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Arial"/>
          <w:sz w:val="76"/>
          <w:szCs w:val="72"/>
        </w:rPr>
        <w:id w:val="-1077820513"/>
        <w:docPartObj>
          <w:docPartGallery w:val="Cover Pages"/>
          <w:docPartUnique/>
        </w:docPartObj>
      </w:sdtPr>
      <w:sdtEndPr>
        <w:rPr>
          <w:rFonts w:eastAsiaTheme="minorHAnsi"/>
          <w:sz w:val="22"/>
          <w:szCs w:val="22"/>
        </w:rPr>
      </w:sdtEndPr>
      <w:sdtContent>
        <w:p w:rsidR="00B1316E" w:rsidRPr="00B5339B" w:rsidRDefault="00B1316E" w:rsidP="00B1316E">
          <w:pPr>
            <w:jc w:val="center"/>
            <w:rPr>
              <w:rFonts w:eastAsiaTheme="majorEastAsia" w:cs="Arial"/>
              <w:sz w:val="76"/>
              <w:szCs w:val="72"/>
            </w:rPr>
          </w:pPr>
        </w:p>
        <w:p w:rsidR="00D413CE" w:rsidRDefault="00D413CE" w:rsidP="00B1316E">
          <w:pPr>
            <w:jc w:val="center"/>
            <w:rPr>
              <w:rFonts w:eastAsiaTheme="majorEastAsia" w:cs="Arial"/>
              <w:sz w:val="32"/>
              <w:szCs w:val="72"/>
            </w:rPr>
          </w:pPr>
          <w:r w:rsidRPr="00B5339B">
            <w:rPr>
              <w:rFonts w:cs="Arial"/>
              <w:noProof/>
              <w:lang w:val="en-AU" w:eastAsia="en-AU"/>
            </w:rPr>
            <w:drawing>
              <wp:inline distT="0" distB="0" distL="0" distR="0" wp14:anchorId="74F7D347" wp14:editId="627143BA">
                <wp:extent cx="2883535" cy="1438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535" cy="1438910"/>
                        </a:xfrm>
                        <a:prstGeom prst="rect">
                          <a:avLst/>
                        </a:prstGeom>
                        <a:noFill/>
                      </pic:spPr>
                    </pic:pic>
                  </a:graphicData>
                </a:graphic>
              </wp:inline>
            </w:drawing>
          </w:r>
        </w:p>
        <w:p w:rsidR="00D413CE" w:rsidRDefault="00D413CE" w:rsidP="00013654">
          <w:pPr>
            <w:spacing w:line="240" w:lineRule="auto"/>
            <w:jc w:val="center"/>
            <w:rPr>
              <w:rFonts w:eastAsiaTheme="majorEastAsia" w:cs="Arial"/>
              <w:sz w:val="32"/>
              <w:szCs w:val="72"/>
            </w:rPr>
          </w:pPr>
        </w:p>
        <w:p w:rsidR="00B1316E" w:rsidRPr="00B5339B" w:rsidRDefault="00B1316E" w:rsidP="00013654">
          <w:pPr>
            <w:spacing w:line="240" w:lineRule="auto"/>
            <w:jc w:val="center"/>
            <w:rPr>
              <w:rFonts w:eastAsiaTheme="majorEastAsia" w:cs="Arial"/>
              <w:sz w:val="32"/>
              <w:szCs w:val="72"/>
            </w:rPr>
          </w:pPr>
          <w:r w:rsidRPr="00B5339B">
            <w:rPr>
              <w:rFonts w:eastAsiaTheme="majorEastAsia" w:cs="Arial"/>
              <w:sz w:val="32"/>
              <w:szCs w:val="72"/>
            </w:rPr>
            <w:t xml:space="preserve">Music Rights Australia’s </w:t>
          </w:r>
          <w:r w:rsidR="00FE5383">
            <w:rPr>
              <w:rFonts w:eastAsiaTheme="majorEastAsia" w:cs="Arial"/>
              <w:sz w:val="32"/>
              <w:szCs w:val="72"/>
            </w:rPr>
            <w:t>Submission in R</w:t>
          </w:r>
          <w:r w:rsidRPr="00B5339B">
            <w:rPr>
              <w:rFonts w:eastAsiaTheme="majorEastAsia" w:cs="Arial"/>
              <w:sz w:val="32"/>
              <w:szCs w:val="72"/>
            </w:rPr>
            <w:t>esponse to the Productivity Commission Issues Paper on Intellectual Property Arrangements</w:t>
          </w:r>
        </w:p>
        <w:p w:rsidR="00B1316E" w:rsidRPr="00B5339B" w:rsidRDefault="00B1316E" w:rsidP="00B1316E">
          <w:pPr>
            <w:jc w:val="center"/>
            <w:rPr>
              <w:rFonts w:eastAsiaTheme="majorEastAsia" w:cs="Arial"/>
              <w:b/>
              <w:sz w:val="24"/>
              <w:szCs w:val="72"/>
            </w:rPr>
          </w:pPr>
        </w:p>
        <w:p w:rsidR="00D413CE" w:rsidRDefault="00D413CE" w:rsidP="00B1316E">
          <w:pPr>
            <w:jc w:val="center"/>
            <w:rPr>
              <w:rFonts w:eastAsiaTheme="majorEastAsia" w:cs="Arial"/>
              <w:b/>
              <w:sz w:val="28"/>
              <w:szCs w:val="72"/>
            </w:rPr>
          </w:pPr>
        </w:p>
        <w:p w:rsidR="00D413CE" w:rsidRDefault="00D413CE" w:rsidP="00B1316E">
          <w:pPr>
            <w:jc w:val="center"/>
            <w:rPr>
              <w:rFonts w:eastAsiaTheme="majorEastAsia" w:cs="Arial"/>
              <w:b/>
              <w:sz w:val="28"/>
              <w:szCs w:val="72"/>
            </w:rPr>
          </w:pPr>
        </w:p>
        <w:p w:rsidR="00D413CE" w:rsidRDefault="00D413CE" w:rsidP="00B1316E">
          <w:pPr>
            <w:jc w:val="center"/>
            <w:rPr>
              <w:rFonts w:eastAsiaTheme="majorEastAsia" w:cs="Arial"/>
              <w:b/>
              <w:sz w:val="28"/>
              <w:szCs w:val="72"/>
            </w:rPr>
          </w:pPr>
        </w:p>
        <w:p w:rsidR="00D413CE" w:rsidRDefault="00D413CE" w:rsidP="00B1316E">
          <w:pPr>
            <w:jc w:val="center"/>
            <w:rPr>
              <w:rFonts w:eastAsiaTheme="majorEastAsia" w:cs="Arial"/>
              <w:b/>
              <w:sz w:val="28"/>
              <w:szCs w:val="72"/>
            </w:rPr>
          </w:pPr>
        </w:p>
        <w:p w:rsidR="00D413CE" w:rsidRDefault="00D413CE" w:rsidP="00B1316E">
          <w:pPr>
            <w:jc w:val="center"/>
            <w:rPr>
              <w:rFonts w:eastAsiaTheme="majorEastAsia" w:cs="Arial"/>
              <w:b/>
              <w:sz w:val="28"/>
              <w:szCs w:val="72"/>
            </w:rPr>
          </w:pPr>
        </w:p>
        <w:p w:rsidR="00B1316E" w:rsidRPr="00B5339B" w:rsidRDefault="00B1316E" w:rsidP="00B1316E">
          <w:pPr>
            <w:jc w:val="center"/>
            <w:rPr>
              <w:rFonts w:cs="Arial"/>
            </w:rPr>
          </w:pPr>
          <w:r w:rsidRPr="00B5339B">
            <w:rPr>
              <w:rFonts w:eastAsiaTheme="majorEastAsia" w:cs="Arial"/>
              <w:b/>
              <w:sz w:val="28"/>
              <w:szCs w:val="72"/>
            </w:rPr>
            <w:t>November 2015</w:t>
          </w:r>
          <w:r w:rsidRPr="00B5339B">
            <w:rPr>
              <w:rFonts w:cs="Arial"/>
            </w:rPr>
            <w:br w:type="page"/>
          </w:r>
        </w:p>
      </w:sdtContent>
    </w:sdt>
    <w:p w:rsidR="0079004C" w:rsidRPr="00964B6C" w:rsidRDefault="0079004C" w:rsidP="00A457DE">
      <w:pPr>
        <w:spacing w:before="100" w:beforeAutospacing="1" w:after="100" w:afterAutospacing="1" w:line="360" w:lineRule="auto"/>
        <w:rPr>
          <w:rFonts w:cs="Arial"/>
        </w:rPr>
      </w:pPr>
      <w:r w:rsidRPr="00964B6C">
        <w:rPr>
          <w:rFonts w:cs="Arial"/>
        </w:rPr>
        <w:lastRenderedPageBreak/>
        <w:t xml:space="preserve">Music </w:t>
      </w:r>
      <w:r w:rsidR="00B5339B" w:rsidRPr="00964B6C">
        <w:rPr>
          <w:rFonts w:cs="Arial"/>
        </w:rPr>
        <w:t>R</w:t>
      </w:r>
      <w:r w:rsidRPr="00964B6C">
        <w:rPr>
          <w:rFonts w:cs="Arial"/>
        </w:rPr>
        <w:t>ights Australia thanks the Productivity Commission</w:t>
      </w:r>
      <w:r w:rsidR="00A3522A" w:rsidRPr="00964B6C">
        <w:rPr>
          <w:rFonts w:cs="Arial"/>
        </w:rPr>
        <w:t xml:space="preserve"> (the</w:t>
      </w:r>
      <w:r w:rsidR="00A3522A" w:rsidRPr="00964B6C">
        <w:rPr>
          <w:rFonts w:cs="Arial"/>
          <w:b/>
        </w:rPr>
        <w:t xml:space="preserve"> Commission</w:t>
      </w:r>
      <w:r w:rsidR="00A3522A" w:rsidRPr="00964B6C">
        <w:rPr>
          <w:rFonts w:cs="Arial"/>
        </w:rPr>
        <w:t xml:space="preserve">) </w:t>
      </w:r>
      <w:r w:rsidRPr="00964B6C">
        <w:rPr>
          <w:rFonts w:cs="Arial"/>
        </w:rPr>
        <w:t xml:space="preserve">for the opportunity to make a submission in </w:t>
      </w:r>
      <w:r w:rsidR="00A3522A" w:rsidRPr="00964B6C">
        <w:rPr>
          <w:rFonts w:cs="Arial"/>
        </w:rPr>
        <w:t>r</w:t>
      </w:r>
      <w:r w:rsidRPr="00964B6C">
        <w:rPr>
          <w:rFonts w:cs="Arial"/>
        </w:rPr>
        <w:t>esponse to the Productivity Commission</w:t>
      </w:r>
      <w:r w:rsidR="00A3522A" w:rsidRPr="00964B6C">
        <w:rPr>
          <w:rFonts w:cs="Arial"/>
        </w:rPr>
        <w:t>’</w:t>
      </w:r>
      <w:r w:rsidRPr="00964B6C">
        <w:rPr>
          <w:rFonts w:cs="Arial"/>
        </w:rPr>
        <w:t xml:space="preserve">s </w:t>
      </w:r>
      <w:r w:rsidR="00A3522A" w:rsidRPr="00964B6C">
        <w:rPr>
          <w:rFonts w:cs="Arial"/>
        </w:rPr>
        <w:t>I</w:t>
      </w:r>
      <w:r w:rsidRPr="00964B6C">
        <w:rPr>
          <w:rFonts w:cs="Arial"/>
        </w:rPr>
        <w:t xml:space="preserve">ssues </w:t>
      </w:r>
      <w:r w:rsidR="00A3522A" w:rsidRPr="00964B6C">
        <w:rPr>
          <w:rFonts w:cs="Arial"/>
        </w:rPr>
        <w:t>P</w:t>
      </w:r>
      <w:r w:rsidRPr="00964B6C">
        <w:rPr>
          <w:rFonts w:cs="Arial"/>
        </w:rPr>
        <w:t xml:space="preserve">aper on </w:t>
      </w:r>
      <w:r w:rsidR="00A3522A" w:rsidRPr="00964B6C">
        <w:rPr>
          <w:rFonts w:cs="Arial"/>
        </w:rPr>
        <w:t>I</w:t>
      </w:r>
      <w:r w:rsidR="008A64CF" w:rsidRPr="00964B6C">
        <w:rPr>
          <w:rFonts w:cs="Arial"/>
        </w:rPr>
        <w:t>ntellectual</w:t>
      </w:r>
      <w:r w:rsidRPr="00964B6C">
        <w:rPr>
          <w:rFonts w:cs="Arial"/>
        </w:rPr>
        <w:t xml:space="preserve"> Property Arrangements. </w:t>
      </w:r>
    </w:p>
    <w:p w:rsidR="00B5339B" w:rsidRPr="00964B6C" w:rsidRDefault="009D5040" w:rsidP="00F73547">
      <w:pPr>
        <w:pStyle w:val="Heading3"/>
        <w:numPr>
          <w:ilvl w:val="0"/>
          <w:numId w:val="11"/>
        </w:numPr>
        <w:spacing w:before="100" w:beforeAutospacing="1" w:after="100" w:afterAutospacing="1" w:line="360" w:lineRule="auto"/>
        <w:rPr>
          <w:rFonts w:asciiTheme="minorHAnsi" w:hAnsiTheme="minorHAnsi" w:cs="Arial"/>
          <w:color w:val="68319F"/>
        </w:rPr>
      </w:pPr>
      <w:r w:rsidRPr="00964B6C">
        <w:rPr>
          <w:rFonts w:asciiTheme="minorHAnsi" w:hAnsiTheme="minorHAnsi" w:cs="Arial"/>
          <w:color w:val="68319F"/>
        </w:rPr>
        <w:t>About Music Rights Australia</w:t>
      </w:r>
    </w:p>
    <w:p w:rsidR="001B0C3E" w:rsidRPr="00964B6C" w:rsidRDefault="009D5040" w:rsidP="00A457DE">
      <w:pPr>
        <w:spacing w:before="100" w:beforeAutospacing="1" w:after="100" w:afterAutospacing="1" w:line="360" w:lineRule="auto"/>
        <w:rPr>
          <w:color w:val="68319F"/>
        </w:rPr>
      </w:pPr>
      <w:r w:rsidRPr="00964B6C">
        <w:t>Music Rights Australia (</w:t>
      </w:r>
      <w:r w:rsidRPr="00964B6C">
        <w:rPr>
          <w:b/>
          <w:i/>
        </w:rPr>
        <w:t>MRA</w:t>
      </w:r>
      <w:r w:rsidRPr="00964B6C">
        <w:t>) is an organisation that protects the creative interests of artists within the Australian music community. MRA represents over 70,000 songwriters and music publishers through their association with the Australasian Mechanical Copyright Owners' Society (</w:t>
      </w:r>
      <w:r w:rsidRPr="00964B6C">
        <w:rPr>
          <w:b/>
          <w:i/>
        </w:rPr>
        <w:t>AMCOS</w:t>
      </w:r>
      <w:r w:rsidRPr="00964B6C">
        <w:t>) and the Australasian Perfor</w:t>
      </w:r>
      <w:r w:rsidR="008A64CF" w:rsidRPr="00964B6C">
        <w:t>ming Right Association (</w:t>
      </w:r>
      <w:r w:rsidR="008A64CF" w:rsidRPr="00964B6C">
        <w:rPr>
          <w:b/>
          <w:i/>
        </w:rPr>
        <w:t>APRA</w:t>
      </w:r>
      <w:r w:rsidR="008A64CF" w:rsidRPr="00964B6C">
        <w:t>)</w:t>
      </w:r>
      <w:r w:rsidR="00A62B14" w:rsidRPr="00964B6C">
        <w:rPr>
          <w:rStyle w:val="FootnoteReference"/>
          <w:rFonts w:cs="Arial"/>
        </w:rPr>
        <w:t xml:space="preserve"> </w:t>
      </w:r>
      <w:r w:rsidR="00A62B14" w:rsidRPr="00964B6C">
        <w:rPr>
          <w:rStyle w:val="FootnoteReference"/>
          <w:rFonts w:cs="Arial"/>
        </w:rPr>
        <w:footnoteReference w:id="1"/>
      </w:r>
      <w:r w:rsidR="008A64CF" w:rsidRPr="00964B6C">
        <w:t xml:space="preserve">, </w:t>
      </w:r>
      <w:r w:rsidR="00D162C6" w:rsidRPr="00964B6C">
        <w:t>a</w:t>
      </w:r>
      <w:r w:rsidRPr="00964B6C">
        <w:t>nd more than 125 record labels - both independent and major - through the Australian Recording Industry Association (</w:t>
      </w:r>
      <w:r w:rsidRPr="00964B6C">
        <w:rPr>
          <w:b/>
          <w:i/>
        </w:rPr>
        <w:t>ARIA</w:t>
      </w:r>
      <w:r w:rsidRPr="00964B6C">
        <w:t>)</w:t>
      </w:r>
      <w:r w:rsidR="00A62B14" w:rsidRPr="00964B6C">
        <w:rPr>
          <w:rStyle w:val="FootnoteReference"/>
          <w:rFonts w:cs="Arial"/>
        </w:rPr>
        <w:footnoteReference w:id="2"/>
      </w:r>
      <w:r w:rsidRPr="00964B6C">
        <w:t>.</w:t>
      </w:r>
    </w:p>
    <w:p w:rsidR="00A457DE" w:rsidRPr="00F73547" w:rsidRDefault="00565CEA" w:rsidP="00F73547">
      <w:pPr>
        <w:pStyle w:val="Heading3"/>
        <w:numPr>
          <w:ilvl w:val="0"/>
          <w:numId w:val="11"/>
        </w:numPr>
        <w:spacing w:before="100" w:beforeAutospacing="1" w:after="100" w:afterAutospacing="1" w:line="360" w:lineRule="auto"/>
        <w:rPr>
          <w:rFonts w:asciiTheme="minorHAnsi" w:hAnsiTheme="minorHAnsi" w:cs="Arial"/>
          <w:color w:val="68319F"/>
        </w:rPr>
      </w:pPr>
      <w:r w:rsidRPr="00F73547">
        <w:rPr>
          <w:rFonts w:asciiTheme="minorHAnsi" w:hAnsiTheme="minorHAnsi" w:cs="Arial"/>
          <w:color w:val="68319F"/>
        </w:rPr>
        <w:t xml:space="preserve">Introduction </w:t>
      </w:r>
    </w:p>
    <w:p w:rsidR="00DB4332" w:rsidRPr="00964B6C" w:rsidRDefault="00DB4332" w:rsidP="00A457DE">
      <w:pPr>
        <w:spacing w:before="100" w:beforeAutospacing="1" w:after="100" w:afterAutospacing="1" w:line="360" w:lineRule="auto"/>
        <w:rPr>
          <w:rFonts w:cs="Arial"/>
          <w:b/>
          <w:color w:val="68319F"/>
        </w:rPr>
      </w:pPr>
      <w:r w:rsidRPr="00964B6C">
        <w:t>I</w:t>
      </w:r>
      <w:r w:rsidR="006252F8" w:rsidRPr="00964B6C">
        <w:t>ntellectual Property (IP)</w:t>
      </w:r>
      <w:r w:rsidRPr="00964B6C">
        <w:t xml:space="preserve"> covers a variety of rights protections and each should be looked at and considered separately. </w:t>
      </w:r>
      <w:r w:rsidR="006252F8" w:rsidRPr="00964B6C">
        <w:t xml:space="preserve"> </w:t>
      </w:r>
      <w:r w:rsidRPr="00964B6C">
        <w:t>MRA will comment only on copyright issues and only on limited matters r</w:t>
      </w:r>
      <w:r w:rsidR="00D162C6" w:rsidRPr="00964B6C">
        <w:t>a</w:t>
      </w:r>
      <w:r w:rsidRPr="00964B6C">
        <w:t>is</w:t>
      </w:r>
      <w:r w:rsidR="00D162C6" w:rsidRPr="00964B6C">
        <w:t>ed</w:t>
      </w:r>
      <w:r w:rsidRPr="00964B6C">
        <w:t xml:space="preserve"> in the Issues </w:t>
      </w:r>
      <w:r w:rsidR="006252F8" w:rsidRPr="00964B6C">
        <w:t>P</w:t>
      </w:r>
      <w:r w:rsidRPr="00964B6C">
        <w:t xml:space="preserve">aper. </w:t>
      </w:r>
    </w:p>
    <w:p w:rsidR="006252F8" w:rsidRPr="00964B6C" w:rsidRDefault="00DB4332" w:rsidP="00A457DE">
      <w:pPr>
        <w:spacing w:before="100" w:beforeAutospacing="1" w:after="100" w:afterAutospacing="1" w:line="360" w:lineRule="auto"/>
      </w:pPr>
      <w:r w:rsidRPr="00964B6C">
        <w:t>M</w:t>
      </w:r>
      <w:r w:rsidR="009D5040" w:rsidRPr="00964B6C">
        <w:t>RA refers to the submissions of ARIA, APRA AMCOS and the Australian Copyright Council.</w:t>
      </w:r>
    </w:p>
    <w:p w:rsidR="006252F8" w:rsidRPr="00964B6C" w:rsidRDefault="006252F8" w:rsidP="00A457DE">
      <w:pPr>
        <w:spacing w:before="100" w:beforeAutospacing="1" w:after="100" w:afterAutospacing="1" w:line="360" w:lineRule="auto"/>
      </w:pPr>
      <w:r w:rsidRPr="00964B6C">
        <w:t>A</w:t>
      </w:r>
      <w:r w:rsidR="00D162C6" w:rsidRPr="00964B6C">
        <w:t xml:space="preserve"> robust and effective copyright framework is </w:t>
      </w:r>
      <w:r w:rsidRPr="00964B6C">
        <w:t xml:space="preserve">an essential </w:t>
      </w:r>
      <w:r w:rsidR="00D162C6" w:rsidRPr="00964B6C">
        <w:t>foundation</w:t>
      </w:r>
      <w:r w:rsidRPr="00964B6C">
        <w:t xml:space="preserve"> for the </w:t>
      </w:r>
      <w:r w:rsidR="009C653B" w:rsidRPr="00964B6C">
        <w:t>creative industries’</w:t>
      </w:r>
      <w:r w:rsidR="00D162C6" w:rsidRPr="00964B6C">
        <w:t xml:space="preserve"> growth and prosperity. </w:t>
      </w:r>
    </w:p>
    <w:p w:rsidR="00D162C6" w:rsidRPr="00964B6C" w:rsidRDefault="00D162C6" w:rsidP="00A457DE">
      <w:pPr>
        <w:spacing w:before="100" w:beforeAutospacing="1" w:after="100" w:afterAutospacing="1" w:line="360" w:lineRule="auto"/>
      </w:pPr>
      <w:r w:rsidRPr="00964B6C">
        <w:t>It should allow:</w:t>
      </w:r>
    </w:p>
    <w:p w:rsidR="00D162C6" w:rsidRPr="00964B6C" w:rsidRDefault="00C15CB5" w:rsidP="0057102B">
      <w:pPr>
        <w:pStyle w:val="ListParagraph"/>
        <w:numPr>
          <w:ilvl w:val="0"/>
          <w:numId w:val="2"/>
        </w:numPr>
        <w:spacing w:before="100" w:beforeAutospacing="1" w:after="100" w:afterAutospacing="1" w:line="360" w:lineRule="auto"/>
        <w:rPr>
          <w:rFonts w:cs="Arial"/>
        </w:rPr>
      </w:pPr>
      <w:r w:rsidRPr="00964B6C">
        <w:rPr>
          <w:rFonts w:cs="Arial"/>
        </w:rPr>
        <w:t>A</w:t>
      </w:r>
      <w:r w:rsidR="00D162C6" w:rsidRPr="00964B6C">
        <w:rPr>
          <w:rFonts w:cs="Arial"/>
        </w:rPr>
        <w:t xml:space="preserve"> legitimate expectation that copyright owners can choose where, when and how their creative output  will be made available to the  public;</w:t>
      </w:r>
      <w:r w:rsidR="006252F8" w:rsidRPr="00964B6C">
        <w:rPr>
          <w:rFonts w:cs="Arial"/>
        </w:rPr>
        <w:t xml:space="preserve"> and</w:t>
      </w:r>
    </w:p>
    <w:p w:rsidR="00565CEA" w:rsidRPr="00964B6C" w:rsidRDefault="00C15CB5" w:rsidP="0057102B">
      <w:pPr>
        <w:pStyle w:val="ListParagraph"/>
        <w:numPr>
          <w:ilvl w:val="0"/>
          <w:numId w:val="2"/>
        </w:numPr>
        <w:spacing w:before="100" w:beforeAutospacing="1" w:after="100" w:afterAutospacing="1" w:line="360" w:lineRule="auto"/>
        <w:rPr>
          <w:rFonts w:cs="Arial"/>
        </w:rPr>
      </w:pPr>
      <w:r w:rsidRPr="00964B6C">
        <w:rPr>
          <w:rFonts w:cs="Arial"/>
        </w:rPr>
        <w:t>A</w:t>
      </w:r>
      <w:r w:rsidR="00D162C6" w:rsidRPr="00964B6C">
        <w:rPr>
          <w:rFonts w:cs="Arial"/>
        </w:rPr>
        <w:t xml:space="preserve"> legitimate expectation on the part </w:t>
      </w:r>
      <w:r w:rsidRPr="00964B6C">
        <w:rPr>
          <w:rFonts w:cs="Arial"/>
        </w:rPr>
        <w:t>of copyright owners</w:t>
      </w:r>
      <w:r w:rsidR="00D162C6" w:rsidRPr="00964B6C">
        <w:rPr>
          <w:rFonts w:cs="Arial"/>
        </w:rPr>
        <w:t xml:space="preserve"> </w:t>
      </w:r>
      <w:r w:rsidRPr="00964B6C">
        <w:rPr>
          <w:rFonts w:cs="Arial"/>
        </w:rPr>
        <w:t>that when</w:t>
      </w:r>
      <w:r w:rsidR="00D162C6" w:rsidRPr="00964B6C">
        <w:rPr>
          <w:rFonts w:cs="Arial"/>
        </w:rPr>
        <w:t xml:space="preserve"> those choices are not respected that there </w:t>
      </w:r>
      <w:r w:rsidRPr="00964B6C">
        <w:rPr>
          <w:rFonts w:cs="Arial"/>
        </w:rPr>
        <w:t>are effective</w:t>
      </w:r>
      <w:r w:rsidR="00D162C6" w:rsidRPr="00964B6C">
        <w:rPr>
          <w:rFonts w:cs="Arial"/>
        </w:rPr>
        <w:t>, efficient processes to prevent that unauthori</w:t>
      </w:r>
      <w:r w:rsidR="006252F8" w:rsidRPr="00964B6C">
        <w:rPr>
          <w:rFonts w:cs="Arial"/>
        </w:rPr>
        <w:t>s</w:t>
      </w:r>
      <w:r w:rsidR="00D162C6" w:rsidRPr="00964B6C">
        <w:rPr>
          <w:rFonts w:cs="Arial"/>
        </w:rPr>
        <w:t>ed exploitation of their work.</w:t>
      </w:r>
    </w:p>
    <w:p w:rsidR="00754027" w:rsidRPr="00964B6C" w:rsidRDefault="00754027" w:rsidP="00A457DE">
      <w:pPr>
        <w:spacing w:before="100" w:beforeAutospacing="1" w:after="100" w:afterAutospacing="1" w:line="360" w:lineRule="auto"/>
        <w:rPr>
          <w:rFonts w:cs="Arial"/>
          <w:b/>
          <w:color w:val="68319F"/>
        </w:rPr>
      </w:pPr>
    </w:p>
    <w:p w:rsidR="00565CEA" w:rsidRPr="00F73547" w:rsidRDefault="00565CEA" w:rsidP="00F73547">
      <w:pPr>
        <w:pStyle w:val="ListParagraph"/>
        <w:numPr>
          <w:ilvl w:val="0"/>
          <w:numId w:val="11"/>
        </w:numPr>
        <w:spacing w:before="100" w:beforeAutospacing="1" w:after="100" w:afterAutospacing="1" w:line="360" w:lineRule="auto"/>
        <w:rPr>
          <w:rFonts w:cs="Arial"/>
          <w:b/>
          <w:color w:val="68319F"/>
          <w:sz w:val="24"/>
          <w:szCs w:val="24"/>
        </w:rPr>
      </w:pPr>
      <w:r w:rsidRPr="00F73547">
        <w:rPr>
          <w:rFonts w:cs="Arial"/>
          <w:b/>
          <w:color w:val="68319F"/>
          <w:sz w:val="24"/>
          <w:szCs w:val="24"/>
        </w:rPr>
        <w:lastRenderedPageBreak/>
        <w:t>Section I</w:t>
      </w:r>
    </w:p>
    <w:p w:rsidR="000532BB" w:rsidRPr="00964B6C" w:rsidRDefault="00F544B9" w:rsidP="00A457DE">
      <w:pPr>
        <w:spacing w:before="100" w:beforeAutospacing="1" w:after="100" w:afterAutospacing="1" w:line="360" w:lineRule="auto"/>
        <w:rPr>
          <w:rFonts w:cs="Arial"/>
        </w:rPr>
      </w:pPr>
      <w:r w:rsidRPr="00964B6C">
        <w:rPr>
          <w:rFonts w:cs="Arial"/>
        </w:rPr>
        <w:t>A</w:t>
      </w:r>
      <w:r w:rsidR="00E73336" w:rsidRPr="00964B6C">
        <w:rPr>
          <w:rFonts w:cs="Arial"/>
        </w:rPr>
        <w:t>t</w:t>
      </w:r>
      <w:r w:rsidRPr="00964B6C">
        <w:rPr>
          <w:rFonts w:cs="Arial"/>
        </w:rPr>
        <w:t xml:space="preserve"> page 28 of the </w:t>
      </w:r>
      <w:r w:rsidR="00A3522A" w:rsidRPr="00964B6C">
        <w:rPr>
          <w:rFonts w:cs="Arial"/>
        </w:rPr>
        <w:t>I</w:t>
      </w:r>
      <w:r w:rsidRPr="00964B6C">
        <w:rPr>
          <w:rFonts w:cs="Arial"/>
        </w:rPr>
        <w:t>ssues paper the</w:t>
      </w:r>
      <w:r w:rsidR="00577174" w:rsidRPr="00964B6C">
        <w:rPr>
          <w:rFonts w:cs="Arial"/>
        </w:rPr>
        <w:t xml:space="preserve"> </w:t>
      </w:r>
      <w:r w:rsidR="00625486" w:rsidRPr="00964B6C">
        <w:rPr>
          <w:rFonts w:cs="Arial"/>
        </w:rPr>
        <w:t>Commission</w:t>
      </w:r>
      <w:r w:rsidR="00577174" w:rsidRPr="00964B6C">
        <w:rPr>
          <w:rFonts w:cs="Arial"/>
        </w:rPr>
        <w:t xml:space="preserve"> has </w:t>
      </w:r>
      <w:r w:rsidR="00625486" w:rsidRPr="00964B6C">
        <w:rPr>
          <w:rFonts w:cs="Arial"/>
        </w:rPr>
        <w:t>asked</w:t>
      </w:r>
      <w:r w:rsidR="00A3522A" w:rsidRPr="00964B6C">
        <w:rPr>
          <w:rFonts w:cs="Arial"/>
        </w:rPr>
        <w:t>:</w:t>
      </w:r>
    </w:p>
    <w:p w:rsidR="00A3522A" w:rsidRPr="00964B6C" w:rsidRDefault="00577174" w:rsidP="00A457DE">
      <w:pPr>
        <w:spacing w:before="100" w:beforeAutospacing="1" w:after="100" w:afterAutospacing="1" w:line="360" w:lineRule="auto"/>
        <w:rPr>
          <w:rFonts w:cs="Arial"/>
          <w:i/>
        </w:rPr>
      </w:pPr>
      <w:r w:rsidRPr="00964B6C">
        <w:rPr>
          <w:rFonts w:cs="Arial"/>
        </w:rPr>
        <w:t xml:space="preserve"> </w:t>
      </w:r>
      <w:r w:rsidR="00112438" w:rsidRPr="00964B6C">
        <w:rPr>
          <w:rFonts w:cs="Arial"/>
          <w:i/>
        </w:rPr>
        <w:t>“</w:t>
      </w:r>
      <w:r w:rsidRPr="00964B6C">
        <w:rPr>
          <w:rFonts w:cs="Arial"/>
          <w:i/>
        </w:rPr>
        <w:t>A</w:t>
      </w:r>
      <w:r w:rsidR="00625486" w:rsidRPr="00964B6C">
        <w:rPr>
          <w:rFonts w:cs="Arial"/>
          <w:i/>
        </w:rPr>
        <w:t xml:space="preserve">re IP rights </w:t>
      </w:r>
      <w:r w:rsidRPr="00964B6C">
        <w:rPr>
          <w:rFonts w:cs="Arial"/>
          <w:i/>
        </w:rPr>
        <w:t xml:space="preserve">too </w:t>
      </w:r>
      <w:r w:rsidR="00625486" w:rsidRPr="00964B6C">
        <w:rPr>
          <w:rFonts w:cs="Arial"/>
          <w:i/>
        </w:rPr>
        <w:t>easy</w:t>
      </w:r>
      <w:r w:rsidRPr="00964B6C">
        <w:rPr>
          <w:rFonts w:cs="Arial"/>
          <w:i/>
        </w:rPr>
        <w:t xml:space="preserve"> or hard to enforce in </w:t>
      </w:r>
      <w:r w:rsidR="00625486" w:rsidRPr="00964B6C">
        <w:rPr>
          <w:rFonts w:cs="Arial"/>
          <w:i/>
        </w:rPr>
        <w:t>Australia and if so why?</w:t>
      </w:r>
      <w:r w:rsidR="008A64CF" w:rsidRPr="00964B6C">
        <w:rPr>
          <w:rFonts w:cs="Arial"/>
          <w:i/>
        </w:rPr>
        <w:t>”</w:t>
      </w:r>
      <w:r w:rsidR="008A64CF" w:rsidRPr="00964B6C">
        <w:rPr>
          <w:rStyle w:val="FootnoteReference"/>
          <w:rFonts w:cs="Arial"/>
          <w:i/>
        </w:rPr>
        <w:t xml:space="preserve"> </w:t>
      </w:r>
      <w:r w:rsidR="008A64CF" w:rsidRPr="00964B6C">
        <w:rPr>
          <w:rStyle w:val="FootnoteReference"/>
          <w:rFonts w:cs="Arial"/>
        </w:rPr>
        <w:footnoteReference w:id="3"/>
      </w:r>
      <w:r w:rsidR="008A64CF" w:rsidRPr="00964B6C">
        <w:rPr>
          <w:rFonts w:cs="Arial"/>
          <w:i/>
        </w:rPr>
        <w:t xml:space="preserve"> </w:t>
      </w:r>
      <w:r w:rsidR="00E73336" w:rsidRPr="00964B6C">
        <w:rPr>
          <w:rFonts w:cs="Arial"/>
          <w:i/>
        </w:rPr>
        <w:t xml:space="preserve"> </w:t>
      </w:r>
    </w:p>
    <w:p w:rsidR="00DB4332" w:rsidRPr="00964B6C" w:rsidRDefault="00DB4332" w:rsidP="00A457DE">
      <w:pPr>
        <w:spacing w:before="100" w:beforeAutospacing="1" w:after="100" w:afterAutospacing="1" w:line="360" w:lineRule="auto"/>
        <w:rPr>
          <w:rFonts w:cs="Arial"/>
        </w:rPr>
      </w:pPr>
      <w:r w:rsidRPr="00964B6C">
        <w:rPr>
          <w:rFonts w:cs="Arial"/>
        </w:rPr>
        <w:t>MRA respectfully submits that the question should not</w:t>
      </w:r>
      <w:r w:rsidR="009C653B" w:rsidRPr="00964B6C">
        <w:rPr>
          <w:rFonts w:cs="Arial"/>
        </w:rPr>
        <w:t xml:space="preserve"> only </w:t>
      </w:r>
      <w:r w:rsidRPr="00964B6C">
        <w:rPr>
          <w:rFonts w:cs="Arial"/>
        </w:rPr>
        <w:t>be one of ease or difficulty but</w:t>
      </w:r>
      <w:r w:rsidR="008A64CF" w:rsidRPr="00964B6C">
        <w:rPr>
          <w:rFonts w:cs="Arial"/>
        </w:rPr>
        <w:t xml:space="preserve"> also</w:t>
      </w:r>
      <w:r w:rsidRPr="00964B6C">
        <w:rPr>
          <w:rFonts w:cs="Arial"/>
        </w:rPr>
        <w:t xml:space="preserve"> of clarity of rights and articulation of exceptions and defenses such that commercial discussions can lead to efficient and effective resolution of issues between the parties.</w:t>
      </w:r>
    </w:p>
    <w:p w:rsidR="00625486" w:rsidRPr="00964B6C" w:rsidRDefault="00625486" w:rsidP="00A457DE">
      <w:pPr>
        <w:spacing w:before="100" w:beforeAutospacing="1" w:after="100" w:afterAutospacing="1" w:line="360" w:lineRule="auto"/>
        <w:rPr>
          <w:rFonts w:cs="Arial"/>
        </w:rPr>
      </w:pPr>
      <w:r w:rsidRPr="00964B6C">
        <w:rPr>
          <w:rFonts w:cs="Arial"/>
        </w:rPr>
        <w:t>With</w:t>
      </w:r>
      <w:r w:rsidR="00577174" w:rsidRPr="00964B6C">
        <w:rPr>
          <w:rFonts w:cs="Arial"/>
        </w:rPr>
        <w:t xml:space="preserve"> respect MR</w:t>
      </w:r>
      <w:r w:rsidRPr="00964B6C">
        <w:rPr>
          <w:rFonts w:cs="Arial"/>
        </w:rPr>
        <w:t>A</w:t>
      </w:r>
      <w:r w:rsidR="00577174" w:rsidRPr="00964B6C">
        <w:rPr>
          <w:rFonts w:cs="Arial"/>
        </w:rPr>
        <w:t xml:space="preserve"> suggest</w:t>
      </w:r>
      <w:r w:rsidR="0079004C" w:rsidRPr="00964B6C">
        <w:rPr>
          <w:rFonts w:cs="Arial"/>
        </w:rPr>
        <w:t>s</w:t>
      </w:r>
      <w:r w:rsidR="00577174" w:rsidRPr="00964B6C">
        <w:rPr>
          <w:rFonts w:cs="Arial"/>
        </w:rPr>
        <w:t xml:space="preserve"> that </w:t>
      </w:r>
      <w:r w:rsidRPr="00964B6C">
        <w:rPr>
          <w:rFonts w:cs="Arial"/>
        </w:rPr>
        <w:t>the preferable questions to ask</w:t>
      </w:r>
      <w:r w:rsidR="00DB4332" w:rsidRPr="00964B6C">
        <w:rPr>
          <w:rFonts w:cs="Arial"/>
        </w:rPr>
        <w:t xml:space="preserve"> in relation to copyright</w:t>
      </w:r>
      <w:r w:rsidRPr="00964B6C">
        <w:rPr>
          <w:rFonts w:cs="Arial"/>
        </w:rPr>
        <w:t xml:space="preserve"> </w:t>
      </w:r>
      <w:r w:rsidR="00E73336" w:rsidRPr="00964B6C">
        <w:rPr>
          <w:rFonts w:cs="Arial"/>
        </w:rPr>
        <w:t>ar</w:t>
      </w:r>
      <w:r w:rsidR="008A6C08" w:rsidRPr="00964B6C">
        <w:rPr>
          <w:rFonts w:cs="Arial"/>
        </w:rPr>
        <w:t>e</w:t>
      </w:r>
      <w:r w:rsidR="0079004C" w:rsidRPr="00964B6C">
        <w:rPr>
          <w:rFonts w:cs="Arial"/>
        </w:rPr>
        <w:t>:</w:t>
      </w:r>
      <w:r w:rsidRPr="00964B6C">
        <w:rPr>
          <w:rFonts w:cs="Arial"/>
        </w:rPr>
        <w:t xml:space="preserve"> </w:t>
      </w:r>
    </w:p>
    <w:p w:rsidR="00625486" w:rsidRPr="00964B6C" w:rsidRDefault="00625486" w:rsidP="00754027">
      <w:pPr>
        <w:pStyle w:val="ListParagraph"/>
        <w:numPr>
          <w:ilvl w:val="0"/>
          <w:numId w:val="8"/>
        </w:numPr>
        <w:spacing w:before="100" w:beforeAutospacing="1" w:after="100" w:afterAutospacing="1" w:line="360" w:lineRule="auto"/>
        <w:rPr>
          <w:rFonts w:cs="Arial"/>
          <w:i/>
        </w:rPr>
      </w:pPr>
      <w:r w:rsidRPr="00964B6C">
        <w:rPr>
          <w:rFonts w:cs="Arial"/>
          <w:i/>
        </w:rPr>
        <w:t xml:space="preserve">Do </w:t>
      </w:r>
      <w:r w:rsidR="006252F8" w:rsidRPr="00964B6C">
        <w:rPr>
          <w:rFonts w:cs="Arial"/>
          <w:i/>
        </w:rPr>
        <w:t>copyright owners</w:t>
      </w:r>
      <w:r w:rsidRPr="00964B6C">
        <w:rPr>
          <w:rFonts w:cs="Arial"/>
          <w:i/>
        </w:rPr>
        <w:t xml:space="preserve"> </w:t>
      </w:r>
      <w:r w:rsidRPr="006D450E">
        <w:rPr>
          <w:rFonts w:cs="Arial"/>
          <w:i/>
        </w:rPr>
        <w:t>have</w:t>
      </w:r>
      <w:r w:rsidR="00D162C6" w:rsidRPr="006D450E">
        <w:rPr>
          <w:rFonts w:cs="Arial"/>
          <w:i/>
        </w:rPr>
        <w:t xml:space="preserve"> reasonable </w:t>
      </w:r>
      <w:r w:rsidRPr="006D450E">
        <w:rPr>
          <w:rFonts w:cs="Arial"/>
          <w:i/>
        </w:rPr>
        <w:t>certainty</w:t>
      </w:r>
      <w:r w:rsidRPr="00964B6C">
        <w:rPr>
          <w:rFonts w:cs="Arial"/>
          <w:i/>
        </w:rPr>
        <w:t xml:space="preserve"> about their</w:t>
      </w:r>
      <w:r w:rsidR="008A6C08" w:rsidRPr="00964B6C">
        <w:rPr>
          <w:rFonts w:cs="Arial"/>
          <w:i/>
        </w:rPr>
        <w:t xml:space="preserve"> </w:t>
      </w:r>
      <w:r w:rsidRPr="00964B6C">
        <w:rPr>
          <w:rFonts w:cs="Arial"/>
          <w:i/>
        </w:rPr>
        <w:t xml:space="preserve">rights and how they can be effectively protected if their </w:t>
      </w:r>
      <w:r w:rsidR="006252F8" w:rsidRPr="00964B6C">
        <w:rPr>
          <w:rFonts w:cs="Arial"/>
          <w:i/>
        </w:rPr>
        <w:t>copyright is</w:t>
      </w:r>
      <w:r w:rsidRPr="00964B6C">
        <w:rPr>
          <w:rFonts w:cs="Arial"/>
          <w:i/>
        </w:rPr>
        <w:t xml:space="preserve"> infringed?</w:t>
      </w:r>
    </w:p>
    <w:p w:rsidR="009C653B" w:rsidRPr="00964B6C" w:rsidRDefault="009C653B" w:rsidP="00754027">
      <w:pPr>
        <w:pStyle w:val="ListParagraph"/>
        <w:spacing w:before="100" w:beforeAutospacing="1" w:after="100" w:afterAutospacing="1" w:line="360" w:lineRule="auto"/>
        <w:rPr>
          <w:rFonts w:cs="Arial"/>
        </w:rPr>
      </w:pPr>
      <w:r w:rsidRPr="00964B6C">
        <w:rPr>
          <w:rFonts w:cs="Arial"/>
        </w:rPr>
        <w:t>and</w:t>
      </w:r>
    </w:p>
    <w:p w:rsidR="00E73336" w:rsidRPr="00964B6C" w:rsidRDefault="00E73336" w:rsidP="00754027">
      <w:pPr>
        <w:pStyle w:val="ListParagraph"/>
        <w:numPr>
          <w:ilvl w:val="0"/>
          <w:numId w:val="8"/>
        </w:numPr>
        <w:spacing w:before="100" w:beforeAutospacing="1" w:after="100" w:afterAutospacing="1" w:line="360" w:lineRule="auto"/>
        <w:rPr>
          <w:rFonts w:cs="Arial"/>
          <w:i/>
        </w:rPr>
      </w:pPr>
      <w:r w:rsidRPr="00964B6C">
        <w:rPr>
          <w:rFonts w:cs="Arial"/>
          <w:i/>
        </w:rPr>
        <w:t>I</w:t>
      </w:r>
      <w:r w:rsidR="008A6C08" w:rsidRPr="00964B6C">
        <w:rPr>
          <w:rFonts w:cs="Arial"/>
          <w:i/>
        </w:rPr>
        <w:t>f an allegation</w:t>
      </w:r>
      <w:r w:rsidRPr="00964B6C">
        <w:rPr>
          <w:rFonts w:cs="Arial"/>
          <w:i/>
        </w:rPr>
        <w:t xml:space="preserve"> of cop</w:t>
      </w:r>
      <w:r w:rsidR="008A6C08" w:rsidRPr="00964B6C">
        <w:rPr>
          <w:rFonts w:cs="Arial"/>
          <w:i/>
        </w:rPr>
        <w:t>yright</w:t>
      </w:r>
      <w:r w:rsidRPr="00964B6C">
        <w:rPr>
          <w:rFonts w:cs="Arial"/>
          <w:i/>
        </w:rPr>
        <w:t xml:space="preserve"> </w:t>
      </w:r>
      <w:r w:rsidR="008A6C08" w:rsidRPr="00964B6C">
        <w:rPr>
          <w:rFonts w:cs="Arial"/>
          <w:i/>
        </w:rPr>
        <w:t xml:space="preserve">infringement is made </w:t>
      </w:r>
      <w:r w:rsidR="008A64CF" w:rsidRPr="00964B6C">
        <w:rPr>
          <w:rFonts w:cs="Arial"/>
          <w:i/>
        </w:rPr>
        <w:t>can</w:t>
      </w:r>
      <w:r w:rsidRPr="00964B6C">
        <w:rPr>
          <w:rFonts w:cs="Arial"/>
          <w:i/>
        </w:rPr>
        <w:t xml:space="preserve"> the p</w:t>
      </w:r>
      <w:r w:rsidR="008A6C08" w:rsidRPr="00964B6C">
        <w:rPr>
          <w:rFonts w:cs="Arial"/>
          <w:i/>
        </w:rPr>
        <w:t>erson</w:t>
      </w:r>
      <w:r w:rsidRPr="00964B6C">
        <w:rPr>
          <w:rFonts w:cs="Arial"/>
          <w:i/>
        </w:rPr>
        <w:t xml:space="preserve"> against whom the allegation</w:t>
      </w:r>
      <w:r w:rsidR="008A6C08" w:rsidRPr="00964B6C">
        <w:rPr>
          <w:rFonts w:cs="Arial"/>
          <w:i/>
        </w:rPr>
        <w:t xml:space="preserve"> is directed </w:t>
      </w:r>
      <w:r w:rsidRPr="006D450E">
        <w:rPr>
          <w:rFonts w:cs="Arial"/>
          <w:i/>
        </w:rPr>
        <w:t>have</w:t>
      </w:r>
      <w:r w:rsidR="00D162C6" w:rsidRPr="006D450E">
        <w:rPr>
          <w:rFonts w:cs="Arial"/>
          <w:i/>
        </w:rPr>
        <w:t xml:space="preserve"> reasonable </w:t>
      </w:r>
      <w:r w:rsidR="008A6C08" w:rsidRPr="006D450E">
        <w:rPr>
          <w:rFonts w:cs="Arial"/>
          <w:i/>
        </w:rPr>
        <w:t>certainty</w:t>
      </w:r>
      <w:r w:rsidRPr="00964B6C">
        <w:rPr>
          <w:rFonts w:cs="Arial"/>
          <w:i/>
        </w:rPr>
        <w:t xml:space="preserve"> about </w:t>
      </w:r>
      <w:r w:rsidR="008A6C08" w:rsidRPr="00964B6C">
        <w:rPr>
          <w:rFonts w:cs="Arial"/>
          <w:i/>
        </w:rPr>
        <w:t>what defenses or exceptions they can rely upon to respond to the claims?</w:t>
      </w:r>
    </w:p>
    <w:p w:rsidR="0079004C" w:rsidRPr="00964B6C" w:rsidRDefault="0079004C" w:rsidP="00A457DE">
      <w:pPr>
        <w:spacing w:before="100" w:beforeAutospacing="1" w:after="100" w:afterAutospacing="1" w:line="360" w:lineRule="auto"/>
        <w:rPr>
          <w:rFonts w:cs="Arial"/>
        </w:rPr>
      </w:pPr>
      <w:r w:rsidRPr="00964B6C">
        <w:rPr>
          <w:rFonts w:cs="Arial"/>
        </w:rPr>
        <w:t>Often the answers to these questions are not questions of enforcement in the courts or other avenues of</w:t>
      </w:r>
      <w:r w:rsidR="00D162C6" w:rsidRPr="00964B6C">
        <w:rPr>
          <w:rFonts w:cs="Arial"/>
        </w:rPr>
        <w:t xml:space="preserve"> formal arbitration</w:t>
      </w:r>
      <w:r w:rsidR="008A64CF" w:rsidRPr="00964B6C">
        <w:rPr>
          <w:rFonts w:cs="Arial"/>
        </w:rPr>
        <w:t>,</w:t>
      </w:r>
      <w:r w:rsidR="00D162C6" w:rsidRPr="00964B6C">
        <w:rPr>
          <w:rFonts w:cs="Arial"/>
        </w:rPr>
        <w:t xml:space="preserve"> </w:t>
      </w:r>
      <w:r w:rsidRPr="00964B6C">
        <w:rPr>
          <w:rFonts w:cs="Arial"/>
        </w:rPr>
        <w:t xml:space="preserve">but </w:t>
      </w:r>
      <w:r w:rsidR="009C653B" w:rsidRPr="00964B6C">
        <w:rPr>
          <w:rFonts w:cs="Arial"/>
        </w:rPr>
        <w:t xml:space="preserve">that </w:t>
      </w:r>
      <w:r w:rsidRPr="00964B6C">
        <w:rPr>
          <w:rFonts w:cs="Arial"/>
        </w:rPr>
        <w:t>issues are resolved in commercial discussions and on mutually acceptable commercial terms.</w:t>
      </w:r>
    </w:p>
    <w:p w:rsidR="006252F8" w:rsidRPr="00964B6C" w:rsidRDefault="006252F8" w:rsidP="00A457DE">
      <w:pPr>
        <w:spacing w:before="100" w:beforeAutospacing="1" w:after="100" w:afterAutospacing="1" w:line="360" w:lineRule="auto"/>
        <w:rPr>
          <w:rFonts w:cs="Arial"/>
        </w:rPr>
      </w:pPr>
      <w:r w:rsidRPr="00964B6C">
        <w:rPr>
          <w:rFonts w:cs="Arial"/>
        </w:rPr>
        <w:t xml:space="preserve">It is precisely because the </w:t>
      </w:r>
      <w:r w:rsidRPr="00964B6C">
        <w:rPr>
          <w:rFonts w:cs="Arial"/>
          <w:i/>
        </w:rPr>
        <w:t>Copyright Act 1968</w:t>
      </w:r>
      <w:r w:rsidR="0057102B" w:rsidRPr="00964B6C">
        <w:rPr>
          <w:rFonts w:cs="Arial"/>
          <w:i/>
        </w:rPr>
        <w:t xml:space="preserve"> </w:t>
      </w:r>
      <w:r w:rsidR="0057102B" w:rsidRPr="00964B6C">
        <w:rPr>
          <w:rFonts w:cs="Arial"/>
        </w:rPr>
        <w:t>(Cth)</w:t>
      </w:r>
      <w:r w:rsidRPr="00964B6C">
        <w:rPr>
          <w:rFonts w:cs="Arial"/>
        </w:rPr>
        <w:t xml:space="preserve"> </w:t>
      </w:r>
      <w:r w:rsidR="009C653B" w:rsidRPr="00964B6C">
        <w:rPr>
          <w:rFonts w:cs="Arial"/>
        </w:rPr>
        <w:t>(</w:t>
      </w:r>
      <w:r w:rsidR="008A64CF" w:rsidRPr="00964B6C">
        <w:rPr>
          <w:rFonts w:cs="Arial"/>
        </w:rPr>
        <w:t>the</w:t>
      </w:r>
      <w:r w:rsidR="0057102B" w:rsidRPr="00964B6C">
        <w:rPr>
          <w:rFonts w:cs="Arial"/>
          <w:b/>
        </w:rPr>
        <w:t xml:space="preserve"> </w:t>
      </w:r>
      <w:r w:rsidRPr="00964B6C">
        <w:rPr>
          <w:rFonts w:cs="Arial"/>
          <w:b/>
        </w:rPr>
        <w:t>Act</w:t>
      </w:r>
      <w:r w:rsidRPr="00964B6C">
        <w:rPr>
          <w:rFonts w:cs="Arial"/>
        </w:rPr>
        <w:t>) affords the parties relative certainty about their positions that commercial outcomes are achieved to the mutual benefit of the parties without resort to expensive and time consuming litigation.</w:t>
      </w:r>
    </w:p>
    <w:p w:rsidR="006252F8" w:rsidRPr="00964B6C" w:rsidRDefault="006252F8" w:rsidP="00A457DE">
      <w:pPr>
        <w:spacing w:before="100" w:beforeAutospacing="1" w:after="100" w:afterAutospacing="1" w:line="360" w:lineRule="auto"/>
        <w:rPr>
          <w:rFonts w:cs="Arial"/>
        </w:rPr>
      </w:pPr>
      <w:r w:rsidRPr="00964B6C">
        <w:rPr>
          <w:rFonts w:cs="Arial"/>
        </w:rPr>
        <w:t>Those matters which cannot be resolved commercially may result in civil litigation. However, it is MRA’s experience that this is the exception rather than the rule.</w:t>
      </w:r>
    </w:p>
    <w:p w:rsidR="0079004C" w:rsidRPr="00964B6C" w:rsidRDefault="0079004C" w:rsidP="00A457DE">
      <w:pPr>
        <w:spacing w:before="100" w:beforeAutospacing="1" w:after="100" w:afterAutospacing="1" w:line="360" w:lineRule="auto"/>
        <w:rPr>
          <w:rFonts w:cs="Arial"/>
        </w:rPr>
      </w:pPr>
      <w:r w:rsidRPr="00964B6C">
        <w:rPr>
          <w:rFonts w:cs="Arial"/>
        </w:rPr>
        <w:t>I</w:t>
      </w:r>
      <w:r w:rsidR="0057258D" w:rsidRPr="00964B6C">
        <w:rPr>
          <w:rFonts w:cs="Arial"/>
        </w:rPr>
        <w:t xml:space="preserve">n the </w:t>
      </w:r>
      <w:r w:rsidRPr="00964B6C">
        <w:rPr>
          <w:rFonts w:cs="Arial"/>
        </w:rPr>
        <w:t>circumstances when</w:t>
      </w:r>
      <w:r w:rsidR="008A6C08" w:rsidRPr="00964B6C">
        <w:rPr>
          <w:rFonts w:cs="Arial"/>
        </w:rPr>
        <w:t xml:space="preserve"> such </w:t>
      </w:r>
      <w:r w:rsidR="0057258D" w:rsidRPr="00964B6C">
        <w:rPr>
          <w:rFonts w:cs="Arial"/>
        </w:rPr>
        <w:t>discussion</w:t>
      </w:r>
      <w:r w:rsidRPr="00964B6C">
        <w:rPr>
          <w:rFonts w:cs="Arial"/>
        </w:rPr>
        <w:t>s are unsuccessful the question then becomes:</w:t>
      </w:r>
    </w:p>
    <w:p w:rsidR="00F8374F" w:rsidRPr="00964B6C" w:rsidRDefault="0079004C" w:rsidP="00754027">
      <w:pPr>
        <w:pStyle w:val="ListParagraph"/>
        <w:numPr>
          <w:ilvl w:val="0"/>
          <w:numId w:val="9"/>
        </w:numPr>
        <w:spacing w:before="100" w:beforeAutospacing="1" w:after="100" w:afterAutospacing="1" w:line="360" w:lineRule="auto"/>
        <w:rPr>
          <w:rFonts w:cs="Arial"/>
          <w:i/>
        </w:rPr>
      </w:pPr>
      <w:r w:rsidRPr="00964B6C">
        <w:rPr>
          <w:rFonts w:cs="Arial"/>
          <w:i/>
        </w:rPr>
        <w:t xml:space="preserve">Do the parties have </w:t>
      </w:r>
      <w:r w:rsidR="008A6C08" w:rsidRPr="00964B6C">
        <w:rPr>
          <w:rFonts w:cs="Arial"/>
          <w:i/>
        </w:rPr>
        <w:t>acc</w:t>
      </w:r>
      <w:r w:rsidR="0057258D" w:rsidRPr="00964B6C">
        <w:rPr>
          <w:rFonts w:cs="Arial"/>
          <w:i/>
        </w:rPr>
        <w:t xml:space="preserve">ess </w:t>
      </w:r>
      <w:r w:rsidR="008A6C08" w:rsidRPr="00964B6C">
        <w:rPr>
          <w:rFonts w:cs="Arial"/>
          <w:i/>
        </w:rPr>
        <w:t>to</w:t>
      </w:r>
      <w:r w:rsidR="0057258D" w:rsidRPr="00964B6C">
        <w:rPr>
          <w:rFonts w:cs="Arial"/>
          <w:i/>
        </w:rPr>
        <w:t xml:space="preserve"> </w:t>
      </w:r>
      <w:r w:rsidR="00A3522A" w:rsidRPr="00964B6C">
        <w:rPr>
          <w:rFonts w:cs="Arial"/>
          <w:i/>
        </w:rPr>
        <w:t xml:space="preserve">effective </w:t>
      </w:r>
      <w:r w:rsidR="0080278F" w:rsidRPr="00964B6C">
        <w:rPr>
          <w:rFonts w:cs="Arial"/>
          <w:i/>
        </w:rPr>
        <w:t xml:space="preserve">civil procedures </w:t>
      </w:r>
      <w:r w:rsidR="00A3522A" w:rsidRPr="00964B6C">
        <w:rPr>
          <w:rFonts w:cs="Arial"/>
          <w:i/>
        </w:rPr>
        <w:t xml:space="preserve">to resolve </w:t>
      </w:r>
      <w:r w:rsidR="00F8374F" w:rsidRPr="00964B6C">
        <w:rPr>
          <w:rFonts w:cs="Arial"/>
          <w:i/>
        </w:rPr>
        <w:t>claims</w:t>
      </w:r>
      <w:r w:rsidRPr="00964B6C">
        <w:rPr>
          <w:rFonts w:cs="Arial"/>
          <w:i/>
        </w:rPr>
        <w:t xml:space="preserve"> of alleged </w:t>
      </w:r>
      <w:r w:rsidR="00F8374F" w:rsidRPr="00964B6C">
        <w:rPr>
          <w:rFonts w:cs="Arial"/>
          <w:i/>
        </w:rPr>
        <w:t>copyright infringement</w:t>
      </w:r>
      <w:r w:rsidRPr="00964B6C">
        <w:rPr>
          <w:rFonts w:cs="Arial"/>
          <w:i/>
        </w:rPr>
        <w:t>?</w:t>
      </w:r>
      <w:r w:rsidR="00F8374F" w:rsidRPr="00964B6C">
        <w:rPr>
          <w:rFonts w:cs="Arial"/>
          <w:i/>
        </w:rPr>
        <w:t xml:space="preserve"> </w:t>
      </w:r>
    </w:p>
    <w:p w:rsidR="00495E15" w:rsidRPr="00964B6C" w:rsidRDefault="00495E15" w:rsidP="00A457DE">
      <w:pPr>
        <w:spacing w:before="100" w:beforeAutospacing="1" w:after="100" w:afterAutospacing="1" w:line="360" w:lineRule="auto"/>
        <w:rPr>
          <w:rFonts w:cs="Arial"/>
        </w:rPr>
      </w:pPr>
      <w:r w:rsidRPr="00964B6C">
        <w:rPr>
          <w:rFonts w:cs="Arial"/>
        </w:rPr>
        <w:lastRenderedPageBreak/>
        <w:t>The Fe</w:t>
      </w:r>
      <w:r w:rsidR="00D162C6" w:rsidRPr="00964B6C">
        <w:rPr>
          <w:rFonts w:cs="Arial"/>
        </w:rPr>
        <w:t>deral C</w:t>
      </w:r>
      <w:r w:rsidRPr="00964B6C">
        <w:rPr>
          <w:rFonts w:cs="Arial"/>
        </w:rPr>
        <w:t xml:space="preserve">ourt of </w:t>
      </w:r>
      <w:r w:rsidR="00D162C6" w:rsidRPr="00964B6C">
        <w:rPr>
          <w:rFonts w:cs="Arial"/>
        </w:rPr>
        <w:t>Australia</w:t>
      </w:r>
      <w:r w:rsidRPr="00964B6C">
        <w:rPr>
          <w:rFonts w:cs="Arial"/>
        </w:rPr>
        <w:t xml:space="preserve"> </w:t>
      </w:r>
      <w:r w:rsidR="00D162C6" w:rsidRPr="00964B6C">
        <w:rPr>
          <w:rFonts w:cs="Arial"/>
        </w:rPr>
        <w:t>a</w:t>
      </w:r>
      <w:r w:rsidRPr="00964B6C">
        <w:rPr>
          <w:rFonts w:cs="Arial"/>
        </w:rPr>
        <w:t>nd Fed</w:t>
      </w:r>
      <w:r w:rsidR="00D162C6" w:rsidRPr="00964B6C">
        <w:rPr>
          <w:rFonts w:cs="Arial"/>
        </w:rPr>
        <w:t>era</w:t>
      </w:r>
      <w:r w:rsidRPr="00964B6C">
        <w:rPr>
          <w:rFonts w:cs="Arial"/>
        </w:rPr>
        <w:t xml:space="preserve">l </w:t>
      </w:r>
      <w:r w:rsidR="00D162C6" w:rsidRPr="00964B6C">
        <w:rPr>
          <w:rFonts w:cs="Arial"/>
        </w:rPr>
        <w:t>Circuit Court</w:t>
      </w:r>
      <w:r w:rsidRPr="00964B6C">
        <w:rPr>
          <w:rFonts w:cs="Arial"/>
        </w:rPr>
        <w:t xml:space="preserve"> have j</w:t>
      </w:r>
      <w:r w:rsidR="00D162C6" w:rsidRPr="00964B6C">
        <w:rPr>
          <w:rFonts w:cs="Arial"/>
        </w:rPr>
        <w:t>urisdiction to hear</w:t>
      </w:r>
      <w:r w:rsidRPr="00964B6C">
        <w:rPr>
          <w:rFonts w:cs="Arial"/>
        </w:rPr>
        <w:t xml:space="preserve"> </w:t>
      </w:r>
      <w:r w:rsidR="00D162C6" w:rsidRPr="00964B6C">
        <w:rPr>
          <w:rFonts w:cs="Arial"/>
        </w:rPr>
        <w:t xml:space="preserve">copyright matters. </w:t>
      </w:r>
      <w:r w:rsidR="00EF172A" w:rsidRPr="00964B6C">
        <w:rPr>
          <w:rFonts w:cs="Arial"/>
        </w:rPr>
        <w:t>However, the F</w:t>
      </w:r>
      <w:r w:rsidR="00D162C6" w:rsidRPr="00964B6C">
        <w:rPr>
          <w:rFonts w:cs="Arial"/>
        </w:rPr>
        <w:t xml:space="preserve">ederal Circuit Court does not have jurisdiction to hear section 115A matters. </w:t>
      </w:r>
    </w:p>
    <w:p w:rsidR="0065350B" w:rsidRPr="00964B6C" w:rsidRDefault="00495E15" w:rsidP="00A457DE">
      <w:pPr>
        <w:spacing w:before="100" w:beforeAutospacing="1" w:after="100" w:afterAutospacing="1" w:line="360" w:lineRule="auto"/>
        <w:rPr>
          <w:rFonts w:cs="Arial"/>
        </w:rPr>
      </w:pPr>
      <w:r w:rsidRPr="00964B6C">
        <w:rPr>
          <w:rFonts w:cs="Arial"/>
        </w:rPr>
        <w:t xml:space="preserve">The Act </w:t>
      </w:r>
      <w:r w:rsidR="00D162C6" w:rsidRPr="00964B6C">
        <w:rPr>
          <w:rFonts w:cs="Arial"/>
        </w:rPr>
        <w:t>sets out the remedies available to copyright owners</w:t>
      </w:r>
      <w:r w:rsidR="00EF172A" w:rsidRPr="00964B6C">
        <w:rPr>
          <w:rFonts w:cs="Arial"/>
        </w:rPr>
        <w:t xml:space="preserve">. It also outlines some specific circumstances where certain remedies will not be available to copyright owners. All remedies are subject to the court’s discretion based on the specific matters which are brought before it.   </w:t>
      </w:r>
    </w:p>
    <w:p w:rsidR="001A10B9" w:rsidRPr="00F73547" w:rsidRDefault="0065350B" w:rsidP="00F73547">
      <w:pPr>
        <w:pStyle w:val="ListParagraph"/>
        <w:numPr>
          <w:ilvl w:val="0"/>
          <w:numId w:val="11"/>
        </w:numPr>
        <w:spacing w:before="100" w:beforeAutospacing="1" w:after="100" w:afterAutospacing="1" w:line="360" w:lineRule="auto"/>
        <w:rPr>
          <w:rFonts w:cs="Arial"/>
          <w:b/>
          <w:color w:val="68319F"/>
          <w:sz w:val="24"/>
          <w:szCs w:val="24"/>
        </w:rPr>
      </w:pPr>
      <w:r w:rsidRPr="00F73547">
        <w:rPr>
          <w:rFonts w:cs="Arial"/>
          <w:b/>
          <w:color w:val="68319F"/>
          <w:sz w:val="24"/>
          <w:szCs w:val="24"/>
        </w:rPr>
        <w:t>Section II</w:t>
      </w:r>
    </w:p>
    <w:p w:rsidR="009C653B" w:rsidRPr="00964B6C" w:rsidRDefault="009C653B" w:rsidP="001A10B9">
      <w:pPr>
        <w:spacing w:before="100" w:beforeAutospacing="1" w:after="100" w:afterAutospacing="1" w:line="240" w:lineRule="auto"/>
        <w:rPr>
          <w:rFonts w:cs="Arial"/>
          <w:b/>
          <w:color w:val="68319F"/>
        </w:rPr>
      </w:pPr>
      <w:r w:rsidRPr="00964B6C">
        <w:rPr>
          <w:rFonts w:cs="Arial"/>
        </w:rPr>
        <w:t>The Commission has asked at page 21:</w:t>
      </w:r>
    </w:p>
    <w:p w:rsidR="00D162C6" w:rsidRPr="00964B6C" w:rsidRDefault="008A64CF" w:rsidP="00A457DE">
      <w:pPr>
        <w:spacing w:before="100" w:beforeAutospacing="1" w:after="100" w:afterAutospacing="1" w:line="360" w:lineRule="auto"/>
        <w:rPr>
          <w:rFonts w:cs="Arial"/>
          <w:i/>
        </w:rPr>
      </w:pPr>
      <w:r w:rsidRPr="00964B6C">
        <w:rPr>
          <w:rFonts w:cs="Arial"/>
        </w:rPr>
        <w:t>“</w:t>
      </w:r>
      <w:r w:rsidR="000532BB" w:rsidRPr="00964B6C">
        <w:rPr>
          <w:rFonts w:cs="Arial"/>
          <w:i/>
        </w:rPr>
        <w:t>To be efficient and effe</w:t>
      </w:r>
      <w:r w:rsidRPr="00964B6C">
        <w:rPr>
          <w:rFonts w:cs="Arial"/>
          <w:i/>
        </w:rPr>
        <w:t>ctive in the modern era, what (</w:t>
      </w:r>
      <w:r w:rsidR="000532BB" w:rsidRPr="00964B6C">
        <w:rPr>
          <w:rFonts w:cs="Arial"/>
          <w:i/>
        </w:rPr>
        <w:t xml:space="preserve">if any) changes should be made to </w:t>
      </w:r>
      <w:r w:rsidR="009C653B" w:rsidRPr="00964B6C">
        <w:rPr>
          <w:rFonts w:cs="Arial"/>
          <w:i/>
        </w:rPr>
        <w:t>Australia’s</w:t>
      </w:r>
      <w:r w:rsidR="000532BB" w:rsidRPr="00964B6C">
        <w:rPr>
          <w:rFonts w:cs="Arial"/>
          <w:i/>
        </w:rPr>
        <w:t xml:space="preserve"> copyright regime?</w:t>
      </w:r>
      <w:r w:rsidRPr="00964B6C">
        <w:rPr>
          <w:rFonts w:cs="Arial"/>
          <w:i/>
        </w:rPr>
        <w:t>”</w:t>
      </w:r>
      <w:r w:rsidR="000532BB" w:rsidRPr="00964B6C">
        <w:rPr>
          <w:rFonts w:cs="Arial"/>
          <w:i/>
        </w:rPr>
        <w:t xml:space="preserve"> </w:t>
      </w:r>
      <w:r w:rsidR="000532BB" w:rsidRPr="00964B6C">
        <w:rPr>
          <w:rStyle w:val="FootnoteReference"/>
          <w:rFonts w:cs="Arial"/>
        </w:rPr>
        <w:footnoteReference w:id="4"/>
      </w:r>
    </w:p>
    <w:p w:rsidR="00EF172A" w:rsidRPr="00964B6C" w:rsidRDefault="00EF172A" w:rsidP="00A457DE">
      <w:pPr>
        <w:spacing w:before="100" w:beforeAutospacing="1" w:after="100" w:afterAutospacing="1" w:line="360" w:lineRule="auto"/>
        <w:rPr>
          <w:rFonts w:cs="Arial"/>
        </w:rPr>
      </w:pPr>
      <w:r w:rsidRPr="00964B6C">
        <w:rPr>
          <w:rFonts w:cs="Arial"/>
        </w:rPr>
        <w:t xml:space="preserve">MRA made a </w:t>
      </w:r>
      <w:r w:rsidR="004348DF" w:rsidRPr="00964B6C">
        <w:rPr>
          <w:rFonts w:cs="Arial"/>
        </w:rPr>
        <w:t>submission</w:t>
      </w:r>
      <w:r w:rsidRPr="00964B6C">
        <w:rPr>
          <w:rFonts w:cs="Arial"/>
        </w:rPr>
        <w:t xml:space="preserve"> to</w:t>
      </w:r>
      <w:r w:rsidR="004348DF" w:rsidRPr="00964B6C">
        <w:rPr>
          <w:rFonts w:cs="Arial"/>
        </w:rPr>
        <w:t xml:space="preserve"> the </w:t>
      </w:r>
      <w:r w:rsidRPr="00964B6C">
        <w:rPr>
          <w:rFonts w:cs="Arial"/>
        </w:rPr>
        <w:t>re</w:t>
      </w:r>
      <w:r w:rsidR="004348DF" w:rsidRPr="00964B6C">
        <w:rPr>
          <w:rFonts w:cs="Arial"/>
        </w:rPr>
        <w:t>cent Online</w:t>
      </w:r>
      <w:r w:rsidRPr="00964B6C">
        <w:rPr>
          <w:rFonts w:cs="Arial"/>
        </w:rPr>
        <w:t xml:space="preserve"> </w:t>
      </w:r>
      <w:r w:rsidR="004348DF" w:rsidRPr="00964B6C">
        <w:rPr>
          <w:rFonts w:cs="Arial"/>
        </w:rPr>
        <w:t>Copyright</w:t>
      </w:r>
      <w:r w:rsidRPr="00964B6C">
        <w:rPr>
          <w:rFonts w:cs="Arial"/>
        </w:rPr>
        <w:t xml:space="preserve"> </w:t>
      </w:r>
      <w:r w:rsidR="004348DF" w:rsidRPr="00964B6C">
        <w:rPr>
          <w:rFonts w:cs="Arial"/>
        </w:rPr>
        <w:t>Infringement</w:t>
      </w:r>
      <w:r w:rsidRPr="00964B6C">
        <w:rPr>
          <w:rFonts w:cs="Arial"/>
        </w:rPr>
        <w:t xml:space="preserve"> discussion </w:t>
      </w:r>
      <w:r w:rsidR="004348DF" w:rsidRPr="00964B6C">
        <w:rPr>
          <w:rFonts w:cs="Arial"/>
        </w:rPr>
        <w:t>paper</w:t>
      </w:r>
      <w:r w:rsidR="00D413CE" w:rsidRPr="00964B6C">
        <w:rPr>
          <w:rFonts w:cs="Arial"/>
        </w:rPr>
        <w:t xml:space="preserve">. </w:t>
      </w:r>
      <w:r w:rsidR="009C653B" w:rsidRPr="00964B6C">
        <w:rPr>
          <w:rStyle w:val="FootnoteReference"/>
          <w:rFonts w:cs="Arial"/>
        </w:rPr>
        <w:footnoteReference w:id="5"/>
      </w:r>
      <w:r w:rsidR="00D413CE" w:rsidRPr="00964B6C">
        <w:rPr>
          <w:rFonts w:cs="Arial"/>
        </w:rPr>
        <w:t xml:space="preserve"> </w:t>
      </w:r>
      <w:r w:rsidRPr="00964B6C">
        <w:rPr>
          <w:rFonts w:cs="Arial"/>
        </w:rPr>
        <w:t xml:space="preserve">In that </w:t>
      </w:r>
      <w:r w:rsidR="004348DF" w:rsidRPr="00964B6C">
        <w:rPr>
          <w:rFonts w:cs="Arial"/>
        </w:rPr>
        <w:t>submission</w:t>
      </w:r>
      <w:r w:rsidRPr="00964B6C">
        <w:rPr>
          <w:rFonts w:cs="Arial"/>
        </w:rPr>
        <w:t xml:space="preserve"> MRA stated</w:t>
      </w:r>
      <w:r w:rsidR="009C653B" w:rsidRPr="00964B6C">
        <w:rPr>
          <w:rFonts w:cs="Arial"/>
        </w:rPr>
        <w:t>:</w:t>
      </w:r>
      <w:r w:rsidRPr="00964B6C">
        <w:rPr>
          <w:rFonts w:cs="Arial"/>
        </w:rPr>
        <w:t xml:space="preserve"> </w:t>
      </w:r>
    </w:p>
    <w:p w:rsidR="00EF172A" w:rsidRPr="00964B6C" w:rsidRDefault="004348DF" w:rsidP="00A457DE">
      <w:pPr>
        <w:spacing w:before="100" w:beforeAutospacing="1" w:after="100" w:afterAutospacing="1" w:line="360" w:lineRule="auto"/>
        <w:rPr>
          <w:rFonts w:cs="Arial"/>
          <w:i/>
        </w:rPr>
      </w:pPr>
      <w:r w:rsidRPr="00964B6C">
        <w:rPr>
          <w:rFonts w:cs="Arial"/>
        </w:rPr>
        <w:t>“</w:t>
      </w:r>
      <w:r w:rsidR="00EF172A" w:rsidRPr="00964B6C">
        <w:rPr>
          <w:rFonts w:cs="Arial"/>
          <w:i/>
        </w:rPr>
        <w:t>MRA believes the government has correctly identified that:</w:t>
      </w:r>
    </w:p>
    <w:p w:rsidR="00EF172A" w:rsidRPr="00964B6C" w:rsidRDefault="008A64CF" w:rsidP="00754027">
      <w:pPr>
        <w:pStyle w:val="ListParagraph"/>
        <w:numPr>
          <w:ilvl w:val="0"/>
          <w:numId w:val="10"/>
        </w:numPr>
        <w:spacing w:before="100" w:beforeAutospacing="1" w:after="100" w:afterAutospacing="1" w:line="360" w:lineRule="auto"/>
        <w:rPr>
          <w:rFonts w:cs="Arial"/>
          <w:i/>
        </w:rPr>
      </w:pPr>
      <w:r w:rsidRPr="00964B6C">
        <w:rPr>
          <w:rFonts w:cs="Arial"/>
          <w:i/>
        </w:rPr>
        <w:t>Sections</w:t>
      </w:r>
      <w:r w:rsidR="00EF172A" w:rsidRPr="00964B6C">
        <w:rPr>
          <w:rFonts w:cs="Arial"/>
          <w:i/>
        </w:rPr>
        <w:t xml:space="preserve"> 36(1) and 101(1) are intended to create a legal incentive for service providers such as ISPs to take reasonable steps to prevent or avoid an infringement where they are in a position to do so;</w:t>
      </w:r>
    </w:p>
    <w:p w:rsidR="00EF172A" w:rsidRPr="00964B6C" w:rsidRDefault="00EF172A" w:rsidP="00754027">
      <w:pPr>
        <w:pStyle w:val="ListParagraph"/>
        <w:numPr>
          <w:ilvl w:val="0"/>
          <w:numId w:val="10"/>
        </w:numPr>
        <w:spacing w:before="100" w:beforeAutospacing="1" w:after="100" w:afterAutospacing="1" w:line="360" w:lineRule="auto"/>
        <w:rPr>
          <w:rFonts w:cs="Arial"/>
          <w:i/>
        </w:rPr>
      </w:pPr>
      <w:r w:rsidRPr="00964B6C">
        <w:rPr>
          <w:rFonts w:cs="Arial"/>
          <w:i/>
        </w:rPr>
        <w:t xml:space="preserve">Australia is obliged under its free trade agreements with the United States, Singapore and Korea (not yet ratified) to provide a legal incentive to ISPs to cooperate with rights holders to prevent infringement on their systems and networks; </w:t>
      </w:r>
    </w:p>
    <w:p w:rsidR="00EF172A" w:rsidRPr="00964B6C" w:rsidRDefault="008A64CF" w:rsidP="00754027">
      <w:pPr>
        <w:pStyle w:val="ListParagraph"/>
        <w:numPr>
          <w:ilvl w:val="0"/>
          <w:numId w:val="10"/>
        </w:numPr>
        <w:spacing w:before="100" w:beforeAutospacing="1" w:after="100" w:afterAutospacing="1" w:line="360" w:lineRule="auto"/>
        <w:rPr>
          <w:rFonts w:cs="Arial"/>
          <w:i/>
        </w:rPr>
      </w:pPr>
      <w:r w:rsidRPr="00964B6C">
        <w:rPr>
          <w:rFonts w:cs="Arial"/>
          <w:i/>
        </w:rPr>
        <w:t>The</w:t>
      </w:r>
      <w:r w:rsidR="00EF172A" w:rsidRPr="00964B6C">
        <w:rPr>
          <w:rFonts w:cs="Arial"/>
          <w:i/>
        </w:rPr>
        <w:t xml:space="preserve"> effect of the decision in the iiNet case is to limit severely the circumstances in which an ISP can be found liable for authorising an act by a subscriber that infringes copyright; and</w:t>
      </w:r>
    </w:p>
    <w:p w:rsidR="00EF172A" w:rsidRPr="00964B6C" w:rsidRDefault="008A64CF" w:rsidP="00754027">
      <w:pPr>
        <w:pStyle w:val="ListParagraph"/>
        <w:numPr>
          <w:ilvl w:val="0"/>
          <w:numId w:val="10"/>
        </w:numPr>
        <w:spacing w:before="100" w:beforeAutospacing="1" w:after="100" w:afterAutospacing="1" w:line="360" w:lineRule="auto"/>
        <w:rPr>
          <w:rFonts w:cs="Arial"/>
          <w:i/>
        </w:rPr>
      </w:pPr>
      <w:r w:rsidRPr="00964B6C">
        <w:rPr>
          <w:rFonts w:cs="Arial"/>
          <w:i/>
        </w:rPr>
        <w:t>Extending</w:t>
      </w:r>
      <w:r w:rsidR="00EF172A" w:rsidRPr="00964B6C">
        <w:rPr>
          <w:rFonts w:cs="Arial"/>
          <w:i/>
        </w:rPr>
        <w:t xml:space="preserve"> authorisation liability is essential to ensuring the existence of an effective legal framework that encourages industry cooperation and functions as originally intended, and is consistent with Australia’s international obligations.</w:t>
      </w:r>
      <w:r w:rsidR="0005061E" w:rsidRPr="00964B6C">
        <w:rPr>
          <w:rFonts w:cs="Arial"/>
          <w:i/>
        </w:rPr>
        <w:t>”</w:t>
      </w:r>
    </w:p>
    <w:p w:rsidR="004348DF" w:rsidRPr="00964B6C" w:rsidRDefault="004348DF" w:rsidP="00A457DE">
      <w:pPr>
        <w:spacing w:before="100" w:beforeAutospacing="1" w:after="100" w:afterAutospacing="1" w:line="360" w:lineRule="auto"/>
        <w:rPr>
          <w:rFonts w:cs="Arial"/>
        </w:rPr>
      </w:pPr>
      <w:r w:rsidRPr="00964B6C">
        <w:rPr>
          <w:rFonts w:cs="Arial"/>
        </w:rPr>
        <w:t xml:space="preserve">The Government chose not </w:t>
      </w:r>
      <w:r w:rsidR="00B75F79">
        <w:rPr>
          <w:rFonts w:cs="Arial"/>
        </w:rPr>
        <w:t xml:space="preserve"> to </w:t>
      </w:r>
      <w:r w:rsidRPr="00964B6C">
        <w:rPr>
          <w:rFonts w:cs="Arial"/>
        </w:rPr>
        <w:t xml:space="preserve">address the </w:t>
      </w:r>
      <w:proofErr w:type="spellStart"/>
      <w:r w:rsidRPr="00964B6C">
        <w:rPr>
          <w:rFonts w:cs="Arial"/>
        </w:rPr>
        <w:t>authori</w:t>
      </w:r>
      <w:r w:rsidR="00383B26" w:rsidRPr="00964B6C">
        <w:rPr>
          <w:rFonts w:cs="Arial"/>
        </w:rPr>
        <w:t>s</w:t>
      </w:r>
      <w:r w:rsidRPr="00964B6C">
        <w:rPr>
          <w:rFonts w:cs="Arial"/>
        </w:rPr>
        <w:t>ation</w:t>
      </w:r>
      <w:proofErr w:type="spellEnd"/>
      <w:r w:rsidRPr="00964B6C">
        <w:rPr>
          <w:rFonts w:cs="Arial"/>
        </w:rPr>
        <w:t xml:space="preserve"> provisions or the </w:t>
      </w:r>
      <w:r w:rsidR="00A457DE" w:rsidRPr="00964B6C">
        <w:rPr>
          <w:rFonts w:cs="Arial"/>
        </w:rPr>
        <w:t>Safe Harbour provisions</w:t>
      </w:r>
      <w:r w:rsidRPr="00964B6C">
        <w:rPr>
          <w:rFonts w:cs="Arial"/>
        </w:rPr>
        <w:t xml:space="preserve"> in</w:t>
      </w:r>
      <w:r w:rsidR="000F5226" w:rsidRPr="00964B6C">
        <w:rPr>
          <w:rFonts w:cs="Arial"/>
        </w:rPr>
        <w:t xml:space="preserve"> the </w:t>
      </w:r>
      <w:r w:rsidR="000F5226" w:rsidRPr="00964B6C">
        <w:rPr>
          <w:rFonts w:cs="Arial"/>
          <w:i/>
        </w:rPr>
        <w:t>Copyright Amen</w:t>
      </w:r>
      <w:r w:rsidR="008A64CF" w:rsidRPr="00964B6C">
        <w:rPr>
          <w:rFonts w:cs="Arial"/>
          <w:i/>
        </w:rPr>
        <w:t>dment (Online Infringement Bill</w:t>
      </w:r>
      <w:r w:rsidR="000F5226" w:rsidRPr="00964B6C">
        <w:rPr>
          <w:rFonts w:cs="Arial"/>
          <w:i/>
        </w:rPr>
        <w:t>) 2015</w:t>
      </w:r>
      <w:r w:rsidR="0027773B" w:rsidRPr="00964B6C">
        <w:rPr>
          <w:rFonts w:cs="Arial"/>
        </w:rPr>
        <w:t xml:space="preserve"> (Cth)</w:t>
      </w:r>
      <w:r w:rsidR="000532BB" w:rsidRPr="00964B6C">
        <w:rPr>
          <w:rFonts w:cs="Arial"/>
        </w:rPr>
        <w:t>.</w:t>
      </w:r>
      <w:r w:rsidR="00130655">
        <w:rPr>
          <w:rFonts w:cs="Arial"/>
        </w:rPr>
        <w:t xml:space="preserve"> </w:t>
      </w:r>
      <w:r w:rsidR="009C653B" w:rsidRPr="00964B6C">
        <w:rPr>
          <w:rStyle w:val="FootnoteReference"/>
          <w:rFonts w:cs="Arial"/>
        </w:rPr>
        <w:footnoteReference w:id="6"/>
      </w:r>
      <w:r w:rsidRPr="00964B6C">
        <w:rPr>
          <w:rFonts w:cs="Arial"/>
        </w:rPr>
        <w:t xml:space="preserve"> </w:t>
      </w:r>
    </w:p>
    <w:p w:rsidR="009C653B" w:rsidRPr="00964B6C" w:rsidRDefault="000532BB" w:rsidP="00A457DE">
      <w:pPr>
        <w:spacing w:before="100" w:beforeAutospacing="1" w:after="100" w:afterAutospacing="1" w:line="360" w:lineRule="auto"/>
        <w:rPr>
          <w:rFonts w:cs="Arial"/>
        </w:rPr>
      </w:pPr>
      <w:r w:rsidRPr="00964B6C">
        <w:rPr>
          <w:rFonts w:cs="Arial"/>
        </w:rPr>
        <w:lastRenderedPageBreak/>
        <w:t>It remains</w:t>
      </w:r>
      <w:r w:rsidR="00BC4D2C">
        <w:rPr>
          <w:rFonts w:cs="Arial"/>
        </w:rPr>
        <w:t xml:space="preserve"> </w:t>
      </w:r>
      <w:r w:rsidRPr="00964B6C">
        <w:rPr>
          <w:rFonts w:cs="Arial"/>
        </w:rPr>
        <w:t>MRA’s position</w:t>
      </w:r>
      <w:r w:rsidR="00383B26" w:rsidRPr="00964B6C">
        <w:rPr>
          <w:rFonts w:cs="Arial"/>
        </w:rPr>
        <w:t xml:space="preserve"> that to be effective, the framework for online rights protection must deliver certainty for rights holders, consumers and intermediaries. </w:t>
      </w:r>
    </w:p>
    <w:p w:rsidR="00383B26" w:rsidRPr="00964B6C" w:rsidRDefault="00383B26" w:rsidP="00A457DE">
      <w:pPr>
        <w:spacing w:before="100" w:beforeAutospacing="1" w:after="100" w:afterAutospacing="1" w:line="360" w:lineRule="auto"/>
        <w:rPr>
          <w:rFonts w:cs="Arial"/>
        </w:rPr>
      </w:pPr>
      <w:r w:rsidRPr="00964B6C">
        <w:rPr>
          <w:rFonts w:cs="Arial"/>
        </w:rPr>
        <w:t>The Australian framework does not currently deliver that certainty and does not work to protect creative content online.</w:t>
      </w:r>
    </w:p>
    <w:p w:rsidR="000532BB" w:rsidRPr="00964B6C" w:rsidRDefault="000532BB" w:rsidP="00A457DE">
      <w:pPr>
        <w:spacing w:before="100" w:beforeAutospacing="1" w:after="100" w:afterAutospacing="1" w:line="360" w:lineRule="auto"/>
        <w:rPr>
          <w:rFonts w:cs="Arial"/>
        </w:rPr>
      </w:pPr>
      <w:r w:rsidRPr="00964B6C">
        <w:rPr>
          <w:rFonts w:cs="Arial"/>
        </w:rPr>
        <w:t>Were the Government</w:t>
      </w:r>
      <w:r w:rsidR="009C653B" w:rsidRPr="00964B6C">
        <w:rPr>
          <w:rFonts w:cs="Arial"/>
        </w:rPr>
        <w:t xml:space="preserve"> to consider </w:t>
      </w:r>
      <w:r w:rsidR="00383B26" w:rsidRPr="00964B6C">
        <w:rPr>
          <w:rFonts w:cs="Arial"/>
        </w:rPr>
        <w:t>revisit</w:t>
      </w:r>
      <w:r w:rsidR="009C653B" w:rsidRPr="00964B6C">
        <w:rPr>
          <w:rFonts w:cs="Arial"/>
        </w:rPr>
        <w:t>ing</w:t>
      </w:r>
      <w:r w:rsidR="00383B26" w:rsidRPr="00964B6C">
        <w:rPr>
          <w:rFonts w:cs="Arial"/>
        </w:rPr>
        <w:t xml:space="preserve"> either of these outstanding issues</w:t>
      </w:r>
      <w:r w:rsidR="009C653B" w:rsidRPr="00964B6C">
        <w:rPr>
          <w:rFonts w:cs="Arial"/>
        </w:rPr>
        <w:t>, it mu</w:t>
      </w:r>
      <w:r w:rsidR="00A457DE" w:rsidRPr="00964B6C">
        <w:rPr>
          <w:rFonts w:cs="Arial"/>
        </w:rPr>
        <w:t xml:space="preserve">st make </w:t>
      </w:r>
      <w:r w:rsidRPr="00964B6C">
        <w:rPr>
          <w:rFonts w:cs="Arial"/>
        </w:rPr>
        <w:t xml:space="preserve">detailed consideration of appropriate levels of response that might be required from the different businesses that participate in online markets. </w:t>
      </w:r>
    </w:p>
    <w:p w:rsidR="00495E15" w:rsidRPr="00964B6C" w:rsidRDefault="00495E15" w:rsidP="00A457DE">
      <w:pPr>
        <w:spacing w:before="100" w:beforeAutospacing="1" w:after="100" w:afterAutospacing="1" w:line="360" w:lineRule="auto"/>
        <w:rPr>
          <w:rFonts w:cs="Arial"/>
        </w:rPr>
      </w:pPr>
      <w:r w:rsidRPr="00964B6C">
        <w:rPr>
          <w:rFonts w:cs="Arial"/>
        </w:rPr>
        <w:t xml:space="preserve">The existing </w:t>
      </w:r>
      <w:r w:rsidR="009C653B" w:rsidRPr="00964B6C">
        <w:rPr>
          <w:rFonts w:cs="Arial"/>
        </w:rPr>
        <w:t>S</w:t>
      </w:r>
      <w:r w:rsidRPr="00964B6C">
        <w:rPr>
          <w:rFonts w:cs="Arial"/>
        </w:rPr>
        <w:t xml:space="preserve">afe </w:t>
      </w:r>
      <w:r w:rsidR="009C653B" w:rsidRPr="00964B6C">
        <w:rPr>
          <w:rFonts w:cs="Arial"/>
        </w:rPr>
        <w:t>H</w:t>
      </w:r>
      <w:r w:rsidRPr="00964B6C">
        <w:rPr>
          <w:rFonts w:cs="Arial"/>
        </w:rPr>
        <w:t xml:space="preserve">arbour </w:t>
      </w:r>
      <w:r w:rsidR="009C653B" w:rsidRPr="00964B6C">
        <w:rPr>
          <w:rFonts w:cs="Arial"/>
        </w:rPr>
        <w:t>System</w:t>
      </w:r>
      <w:r w:rsidRPr="00964B6C">
        <w:rPr>
          <w:rFonts w:cs="Arial"/>
        </w:rPr>
        <w:t xml:space="preserve"> already cover</w:t>
      </w:r>
      <w:r w:rsidR="009C653B" w:rsidRPr="00964B6C">
        <w:rPr>
          <w:rFonts w:cs="Arial"/>
        </w:rPr>
        <w:t>s</w:t>
      </w:r>
      <w:r w:rsidRPr="00964B6C">
        <w:rPr>
          <w:rFonts w:cs="Arial"/>
        </w:rPr>
        <w:t xml:space="preserve"> passive technical carriage service providers</w:t>
      </w:r>
      <w:r w:rsidR="009C653B" w:rsidRPr="00964B6C">
        <w:rPr>
          <w:rFonts w:cs="Arial"/>
        </w:rPr>
        <w:t>,</w:t>
      </w:r>
      <w:r w:rsidRPr="00964B6C">
        <w:rPr>
          <w:rFonts w:cs="Arial"/>
        </w:rPr>
        <w:t xml:space="preserve"> when they engage in activities specified in the </w:t>
      </w:r>
      <w:r w:rsidR="000532BB" w:rsidRPr="00964B6C">
        <w:rPr>
          <w:rFonts w:cs="Arial"/>
        </w:rPr>
        <w:t>Act</w:t>
      </w:r>
      <w:r w:rsidR="009C653B" w:rsidRPr="00964B6C">
        <w:rPr>
          <w:rFonts w:cs="Arial"/>
        </w:rPr>
        <w:t xml:space="preserve"> and </w:t>
      </w:r>
      <w:r w:rsidRPr="00964B6C">
        <w:rPr>
          <w:rFonts w:cs="Arial"/>
        </w:rPr>
        <w:t>provid</w:t>
      </w:r>
      <w:r w:rsidR="009C653B" w:rsidRPr="00964B6C">
        <w:rPr>
          <w:rFonts w:cs="Arial"/>
        </w:rPr>
        <w:t xml:space="preserve">es </w:t>
      </w:r>
      <w:r w:rsidRPr="00964B6C">
        <w:rPr>
          <w:rFonts w:cs="Arial"/>
        </w:rPr>
        <w:t>commercial and legal certainty for crucial online infrastructure providers.</w:t>
      </w:r>
    </w:p>
    <w:p w:rsidR="00E54235" w:rsidRPr="00964B6C" w:rsidRDefault="00A867A3" w:rsidP="00A457DE">
      <w:pPr>
        <w:spacing w:before="100" w:beforeAutospacing="1" w:after="100" w:afterAutospacing="1" w:line="360" w:lineRule="auto"/>
        <w:rPr>
          <w:rFonts w:cs="Arial"/>
        </w:rPr>
      </w:pPr>
      <w:r w:rsidRPr="00964B6C">
        <w:rPr>
          <w:rFonts w:cs="Arial"/>
        </w:rPr>
        <w:t xml:space="preserve">The existing </w:t>
      </w:r>
      <w:r w:rsidR="00495E15" w:rsidRPr="00964B6C">
        <w:rPr>
          <w:rFonts w:cs="Arial"/>
        </w:rPr>
        <w:t xml:space="preserve">Safe </w:t>
      </w:r>
      <w:r w:rsidR="00A457DE" w:rsidRPr="00964B6C">
        <w:rPr>
          <w:rFonts w:cs="Arial"/>
        </w:rPr>
        <w:t>H</w:t>
      </w:r>
      <w:r w:rsidRPr="00964B6C">
        <w:rPr>
          <w:rFonts w:cs="Arial"/>
        </w:rPr>
        <w:t>arbor</w:t>
      </w:r>
      <w:r w:rsidR="00E54235" w:rsidRPr="00964B6C">
        <w:rPr>
          <w:rFonts w:cs="Arial"/>
        </w:rPr>
        <w:t xml:space="preserve"> System</w:t>
      </w:r>
      <w:r w:rsidR="00495E15" w:rsidRPr="00964B6C">
        <w:rPr>
          <w:rFonts w:cs="Arial"/>
        </w:rPr>
        <w:t xml:space="preserve"> currently provide</w:t>
      </w:r>
      <w:r w:rsidR="00E54235" w:rsidRPr="00964B6C">
        <w:rPr>
          <w:rFonts w:cs="Arial"/>
        </w:rPr>
        <w:t>s</w:t>
      </w:r>
      <w:r w:rsidR="00495E15" w:rsidRPr="00964B6C">
        <w:rPr>
          <w:rFonts w:cs="Arial"/>
        </w:rPr>
        <w:t xml:space="preserve"> for protection from monetary damages and criminal liability with respect to specific technical online activities undertaken by ISPs. </w:t>
      </w:r>
    </w:p>
    <w:p w:rsidR="00E54235" w:rsidRPr="00964B6C" w:rsidRDefault="00E54235" w:rsidP="00A457DE">
      <w:pPr>
        <w:spacing w:before="100" w:beforeAutospacing="1" w:after="100" w:afterAutospacing="1" w:line="360" w:lineRule="auto"/>
        <w:rPr>
          <w:rFonts w:cs="Arial"/>
        </w:rPr>
      </w:pPr>
      <w:r w:rsidRPr="00964B6C">
        <w:rPr>
          <w:rFonts w:cs="Arial"/>
        </w:rPr>
        <w:t>The policy behind the Safe Harbour Scheme is clear.  It distinguishes between:</w:t>
      </w:r>
    </w:p>
    <w:p w:rsidR="00E54235" w:rsidRPr="00964B6C" w:rsidRDefault="00E54235" w:rsidP="001A10B9">
      <w:pPr>
        <w:pStyle w:val="ListParagraph"/>
        <w:numPr>
          <w:ilvl w:val="0"/>
          <w:numId w:val="7"/>
        </w:numPr>
        <w:spacing w:before="100" w:beforeAutospacing="1" w:after="100" w:afterAutospacing="1" w:line="360" w:lineRule="auto"/>
        <w:rPr>
          <w:rFonts w:cs="Arial"/>
        </w:rPr>
      </w:pPr>
      <w:r w:rsidRPr="00964B6C">
        <w:rPr>
          <w:rFonts w:cs="Arial"/>
        </w:rPr>
        <w:t>Those who provide content (whether as a business or a non- profit) and who are in a position to moderate content on their site or network; and</w:t>
      </w:r>
    </w:p>
    <w:p w:rsidR="00E54235" w:rsidRPr="00964B6C" w:rsidRDefault="00E54235" w:rsidP="001A10B9">
      <w:pPr>
        <w:pStyle w:val="ListParagraph"/>
        <w:numPr>
          <w:ilvl w:val="0"/>
          <w:numId w:val="7"/>
        </w:numPr>
        <w:spacing w:before="100" w:beforeAutospacing="1" w:after="100" w:afterAutospacing="1" w:line="360" w:lineRule="auto"/>
        <w:rPr>
          <w:rFonts w:cs="Arial"/>
        </w:rPr>
      </w:pPr>
      <w:r w:rsidRPr="00964B6C">
        <w:rPr>
          <w:rFonts w:cs="Arial"/>
        </w:rPr>
        <w:t>Those who merely facilitate the communication of content.</w:t>
      </w:r>
    </w:p>
    <w:p w:rsidR="00E54235" w:rsidRPr="00964B6C" w:rsidRDefault="00A457DE" w:rsidP="00A457DE">
      <w:pPr>
        <w:spacing w:before="100" w:beforeAutospacing="1" w:after="100" w:afterAutospacing="1" w:line="360" w:lineRule="auto"/>
        <w:rPr>
          <w:rFonts w:cs="Arial"/>
        </w:rPr>
      </w:pPr>
      <w:r w:rsidRPr="00964B6C">
        <w:rPr>
          <w:rFonts w:cs="Arial"/>
        </w:rPr>
        <w:t>This is the correct balance.</w:t>
      </w:r>
    </w:p>
    <w:p w:rsidR="00495E15" w:rsidRPr="00964B6C" w:rsidRDefault="00495E15" w:rsidP="00A457DE">
      <w:pPr>
        <w:spacing w:before="100" w:beforeAutospacing="1" w:after="100" w:afterAutospacing="1" w:line="360" w:lineRule="auto"/>
        <w:rPr>
          <w:rFonts w:cs="Arial"/>
        </w:rPr>
      </w:pPr>
      <w:r w:rsidRPr="00964B6C">
        <w:rPr>
          <w:rFonts w:cs="Arial"/>
        </w:rPr>
        <w:t xml:space="preserve">This policy objective should continue to apply to ensure that only passive intermediaries which do not obtain financial benefit from the infringing activity </w:t>
      </w:r>
      <w:r w:rsidR="00BC4D2C">
        <w:rPr>
          <w:rFonts w:cs="Arial"/>
        </w:rPr>
        <w:t xml:space="preserve">and </w:t>
      </w:r>
      <w:r w:rsidRPr="00964B6C">
        <w:rPr>
          <w:rFonts w:cs="Arial"/>
        </w:rPr>
        <w:t xml:space="preserve">which are obliged to take reasonable steps to prevent the infringing activity are capable of obtaining the limited immunities the </w:t>
      </w:r>
      <w:r w:rsidR="0065350B" w:rsidRPr="00964B6C">
        <w:rPr>
          <w:rFonts w:cs="Arial"/>
        </w:rPr>
        <w:t>S</w:t>
      </w:r>
      <w:r w:rsidRPr="00964B6C">
        <w:rPr>
          <w:rFonts w:cs="Arial"/>
        </w:rPr>
        <w:t xml:space="preserve">afe </w:t>
      </w:r>
      <w:r w:rsidR="0065350B" w:rsidRPr="00964B6C">
        <w:rPr>
          <w:rFonts w:cs="Arial"/>
        </w:rPr>
        <w:t>H</w:t>
      </w:r>
      <w:r w:rsidRPr="00964B6C">
        <w:rPr>
          <w:rFonts w:cs="Arial"/>
        </w:rPr>
        <w:t xml:space="preserve">arbour </w:t>
      </w:r>
      <w:r w:rsidR="008704AB">
        <w:rPr>
          <w:rFonts w:cs="Arial"/>
        </w:rPr>
        <w:t>S</w:t>
      </w:r>
      <w:r w:rsidRPr="00964B6C">
        <w:rPr>
          <w:rFonts w:cs="Arial"/>
        </w:rPr>
        <w:t>cheme affords them.</w:t>
      </w:r>
    </w:p>
    <w:p w:rsidR="00383B26" w:rsidRPr="00964B6C" w:rsidRDefault="00383B26" w:rsidP="00A457DE">
      <w:pPr>
        <w:spacing w:before="100" w:beforeAutospacing="1" w:after="100" w:afterAutospacing="1" w:line="360" w:lineRule="auto"/>
        <w:rPr>
          <w:rFonts w:cs="Arial"/>
        </w:rPr>
      </w:pPr>
      <w:r w:rsidRPr="00964B6C">
        <w:rPr>
          <w:rFonts w:cs="Arial"/>
        </w:rPr>
        <w:t>Additionally</w:t>
      </w:r>
      <w:r w:rsidR="00745E9A">
        <w:rPr>
          <w:rFonts w:cs="Arial"/>
        </w:rPr>
        <w:t>,</w:t>
      </w:r>
      <w:r w:rsidRPr="00964B6C">
        <w:rPr>
          <w:rFonts w:cs="Arial"/>
        </w:rPr>
        <w:t xml:space="preserve"> </w:t>
      </w:r>
      <w:r w:rsidR="00745E9A">
        <w:rPr>
          <w:rFonts w:cs="Arial"/>
        </w:rPr>
        <w:t xml:space="preserve">were the Government to consider </w:t>
      </w:r>
      <w:r w:rsidRPr="00964B6C">
        <w:rPr>
          <w:rFonts w:cs="Arial"/>
        </w:rPr>
        <w:t>amend</w:t>
      </w:r>
      <w:r w:rsidR="00745E9A">
        <w:rPr>
          <w:rFonts w:cs="Arial"/>
        </w:rPr>
        <w:t xml:space="preserve">ing the </w:t>
      </w:r>
      <w:r w:rsidR="0065350B" w:rsidRPr="00964B6C">
        <w:rPr>
          <w:rFonts w:cs="Arial"/>
        </w:rPr>
        <w:t>S</w:t>
      </w:r>
      <w:r w:rsidRPr="00964B6C">
        <w:rPr>
          <w:rFonts w:cs="Arial"/>
        </w:rPr>
        <w:t xml:space="preserve">afe </w:t>
      </w:r>
      <w:proofErr w:type="spellStart"/>
      <w:r w:rsidR="0065350B" w:rsidRPr="00964B6C">
        <w:rPr>
          <w:rFonts w:cs="Arial"/>
        </w:rPr>
        <w:t>H</w:t>
      </w:r>
      <w:r w:rsidRPr="00964B6C">
        <w:rPr>
          <w:rFonts w:cs="Arial"/>
        </w:rPr>
        <w:t>arbour</w:t>
      </w:r>
      <w:proofErr w:type="spellEnd"/>
      <w:r w:rsidRPr="00964B6C">
        <w:rPr>
          <w:rFonts w:cs="Arial"/>
        </w:rPr>
        <w:t xml:space="preserve"> </w:t>
      </w:r>
      <w:r w:rsidR="0065350B" w:rsidRPr="00964B6C">
        <w:rPr>
          <w:rFonts w:cs="Arial"/>
        </w:rPr>
        <w:t>S</w:t>
      </w:r>
      <w:r w:rsidRPr="00964B6C">
        <w:rPr>
          <w:rFonts w:cs="Arial"/>
        </w:rPr>
        <w:t>ystem</w:t>
      </w:r>
      <w:r w:rsidR="00745E9A">
        <w:rPr>
          <w:rFonts w:cs="Arial"/>
        </w:rPr>
        <w:t xml:space="preserve"> this would </w:t>
      </w:r>
      <w:r w:rsidRPr="00964B6C">
        <w:rPr>
          <w:rFonts w:cs="Arial"/>
        </w:rPr>
        <w:t>require</w:t>
      </w:r>
      <w:r w:rsidR="00745E9A">
        <w:rPr>
          <w:rFonts w:cs="Arial"/>
        </w:rPr>
        <w:t xml:space="preserve"> </w:t>
      </w:r>
      <w:r w:rsidRPr="00964B6C">
        <w:rPr>
          <w:rFonts w:cs="Arial"/>
        </w:rPr>
        <w:t xml:space="preserve"> </w:t>
      </w:r>
      <w:r w:rsidR="00745E9A">
        <w:rPr>
          <w:rFonts w:cs="Arial"/>
        </w:rPr>
        <w:t>amendment to the authorization provisions</w:t>
      </w:r>
      <w:r w:rsidRPr="00964B6C">
        <w:rPr>
          <w:rFonts w:cs="Arial"/>
        </w:rPr>
        <w:t>.</w:t>
      </w:r>
    </w:p>
    <w:p w:rsidR="00754027" w:rsidRPr="00964B6C" w:rsidRDefault="00754027" w:rsidP="00A457DE">
      <w:pPr>
        <w:spacing w:before="100" w:beforeAutospacing="1" w:after="100" w:afterAutospacing="1" w:line="360" w:lineRule="auto"/>
        <w:rPr>
          <w:rFonts w:cs="Arial"/>
          <w:b/>
          <w:color w:val="68319F"/>
        </w:rPr>
      </w:pPr>
    </w:p>
    <w:p w:rsidR="00383B26" w:rsidRPr="00F73547" w:rsidRDefault="004B6E41" w:rsidP="00F73547">
      <w:pPr>
        <w:pStyle w:val="ListParagraph"/>
        <w:numPr>
          <w:ilvl w:val="0"/>
          <w:numId w:val="10"/>
        </w:numPr>
        <w:spacing w:before="100" w:beforeAutospacing="1" w:after="100" w:afterAutospacing="1" w:line="360" w:lineRule="auto"/>
        <w:rPr>
          <w:rFonts w:cs="Arial"/>
          <w:b/>
          <w:color w:val="68319F"/>
          <w:sz w:val="24"/>
          <w:szCs w:val="24"/>
        </w:rPr>
      </w:pPr>
      <w:r w:rsidRPr="00F73547">
        <w:rPr>
          <w:rFonts w:cs="Arial"/>
          <w:b/>
          <w:color w:val="68319F"/>
          <w:sz w:val="24"/>
          <w:szCs w:val="24"/>
        </w:rPr>
        <w:lastRenderedPageBreak/>
        <w:t>Section 115A</w:t>
      </w:r>
    </w:p>
    <w:p w:rsidR="00AD25DB" w:rsidRPr="00964B6C" w:rsidRDefault="00383B26" w:rsidP="00A457DE">
      <w:pPr>
        <w:spacing w:before="100" w:beforeAutospacing="1" w:after="100" w:afterAutospacing="1" w:line="360" w:lineRule="auto"/>
        <w:rPr>
          <w:rFonts w:cs="Arial"/>
        </w:rPr>
      </w:pPr>
      <w:r w:rsidRPr="00964B6C">
        <w:rPr>
          <w:rFonts w:cs="Arial"/>
        </w:rPr>
        <w:t>MRA</w:t>
      </w:r>
      <w:r w:rsidR="00AD25DB" w:rsidRPr="00964B6C">
        <w:rPr>
          <w:rFonts w:cs="Arial"/>
        </w:rPr>
        <w:t xml:space="preserve"> welcomed</w:t>
      </w:r>
      <w:r w:rsidRPr="00964B6C">
        <w:rPr>
          <w:rFonts w:cs="Arial"/>
        </w:rPr>
        <w:t xml:space="preserve"> the introduction of section 115A. T</w:t>
      </w:r>
      <w:r w:rsidR="00AD25DB" w:rsidRPr="00964B6C">
        <w:rPr>
          <w:rFonts w:cs="Arial"/>
        </w:rPr>
        <w:t>his effective, targeted and efficient no</w:t>
      </w:r>
      <w:r w:rsidR="00745E9A">
        <w:rPr>
          <w:rFonts w:cs="Arial"/>
        </w:rPr>
        <w:t>-</w:t>
      </w:r>
      <w:r w:rsidR="00AD25DB" w:rsidRPr="00964B6C">
        <w:rPr>
          <w:rFonts w:cs="Arial"/>
        </w:rPr>
        <w:t>fault solution</w:t>
      </w:r>
      <w:r w:rsidRPr="00964B6C">
        <w:rPr>
          <w:rFonts w:cs="Arial"/>
        </w:rPr>
        <w:t xml:space="preserve"> offers an excellent </w:t>
      </w:r>
      <w:r w:rsidR="00AD25DB" w:rsidRPr="00964B6C">
        <w:rPr>
          <w:rFonts w:cs="Arial"/>
        </w:rPr>
        <w:t xml:space="preserve">example </w:t>
      </w:r>
      <w:r w:rsidRPr="00964B6C">
        <w:rPr>
          <w:rFonts w:cs="Arial"/>
        </w:rPr>
        <w:t xml:space="preserve">of </w:t>
      </w:r>
      <w:r w:rsidR="00AD25DB" w:rsidRPr="00964B6C">
        <w:rPr>
          <w:rFonts w:cs="Arial"/>
        </w:rPr>
        <w:t>an evidence</w:t>
      </w:r>
      <w:r w:rsidR="00B75F79">
        <w:rPr>
          <w:rFonts w:cs="Arial"/>
        </w:rPr>
        <w:t>-</w:t>
      </w:r>
      <w:r w:rsidR="00AD25DB" w:rsidRPr="00964B6C">
        <w:rPr>
          <w:rFonts w:cs="Arial"/>
        </w:rPr>
        <w:t xml:space="preserve">based </w:t>
      </w:r>
      <w:r w:rsidRPr="00964B6C">
        <w:rPr>
          <w:rFonts w:cs="Arial"/>
        </w:rPr>
        <w:t>solution designed to solve a long standing problem</w:t>
      </w:r>
      <w:r w:rsidR="008D608E" w:rsidRPr="00964B6C">
        <w:rPr>
          <w:rFonts w:cs="Arial"/>
        </w:rPr>
        <w:t xml:space="preserve">. </w:t>
      </w:r>
      <w:r w:rsidR="00B75F79">
        <w:rPr>
          <w:rFonts w:cs="Arial"/>
        </w:rPr>
        <w:t>S</w:t>
      </w:r>
      <w:r w:rsidR="00D413CE" w:rsidRPr="00964B6C">
        <w:rPr>
          <w:rFonts w:cs="Arial"/>
        </w:rPr>
        <w:t>ection</w:t>
      </w:r>
      <w:r w:rsidR="00A867A3" w:rsidRPr="00964B6C">
        <w:rPr>
          <w:rFonts w:cs="Arial"/>
        </w:rPr>
        <w:t xml:space="preserve"> 115A delivers </w:t>
      </w:r>
      <w:r w:rsidR="00D413CE" w:rsidRPr="00964B6C">
        <w:rPr>
          <w:rFonts w:cs="Arial"/>
        </w:rPr>
        <w:t>an efficient</w:t>
      </w:r>
      <w:r w:rsidR="00AD25DB" w:rsidRPr="00964B6C">
        <w:rPr>
          <w:rFonts w:cs="Arial"/>
        </w:rPr>
        <w:t xml:space="preserve"> </w:t>
      </w:r>
      <w:r w:rsidR="00D413CE" w:rsidRPr="00964B6C">
        <w:rPr>
          <w:rFonts w:cs="Arial"/>
        </w:rPr>
        <w:t>mechanism to</w:t>
      </w:r>
      <w:r w:rsidRPr="00964B6C">
        <w:rPr>
          <w:rFonts w:cs="Arial"/>
        </w:rPr>
        <w:t xml:space="preserve"> address </w:t>
      </w:r>
      <w:r w:rsidR="00A867A3" w:rsidRPr="00964B6C">
        <w:rPr>
          <w:rFonts w:cs="Arial"/>
        </w:rPr>
        <w:t>the</w:t>
      </w:r>
      <w:r w:rsidRPr="00964B6C">
        <w:rPr>
          <w:rFonts w:cs="Arial"/>
        </w:rPr>
        <w:t xml:space="preserve"> </w:t>
      </w:r>
      <w:r w:rsidR="00A867A3" w:rsidRPr="00964B6C">
        <w:rPr>
          <w:rFonts w:cs="Arial"/>
        </w:rPr>
        <w:t>damage</w:t>
      </w:r>
      <w:r w:rsidRPr="00964B6C">
        <w:rPr>
          <w:rFonts w:cs="Arial"/>
        </w:rPr>
        <w:t xml:space="preserve"> </w:t>
      </w:r>
      <w:r w:rsidR="00A867A3" w:rsidRPr="00964B6C">
        <w:rPr>
          <w:rFonts w:cs="Arial"/>
        </w:rPr>
        <w:t>which</w:t>
      </w:r>
      <w:r w:rsidRPr="00964B6C">
        <w:rPr>
          <w:rFonts w:cs="Arial"/>
        </w:rPr>
        <w:t xml:space="preserve"> </w:t>
      </w:r>
      <w:r w:rsidR="00A867A3" w:rsidRPr="00964B6C">
        <w:rPr>
          <w:rFonts w:cs="Arial"/>
        </w:rPr>
        <w:t>illegal</w:t>
      </w:r>
      <w:r w:rsidRPr="00964B6C">
        <w:rPr>
          <w:rFonts w:cs="Arial"/>
        </w:rPr>
        <w:t xml:space="preserve"> off</w:t>
      </w:r>
      <w:r w:rsidR="00BC4D2C">
        <w:rPr>
          <w:rFonts w:cs="Arial"/>
        </w:rPr>
        <w:t>-</w:t>
      </w:r>
      <w:r w:rsidR="00A867A3" w:rsidRPr="00964B6C">
        <w:rPr>
          <w:rFonts w:cs="Arial"/>
        </w:rPr>
        <w:t>shore</w:t>
      </w:r>
      <w:r w:rsidRPr="00964B6C">
        <w:rPr>
          <w:rFonts w:cs="Arial"/>
        </w:rPr>
        <w:t xml:space="preserve"> </w:t>
      </w:r>
      <w:r w:rsidR="00D413CE" w:rsidRPr="00964B6C">
        <w:rPr>
          <w:rFonts w:cs="Arial"/>
        </w:rPr>
        <w:t>sites pose</w:t>
      </w:r>
      <w:r w:rsidRPr="00964B6C">
        <w:rPr>
          <w:rFonts w:cs="Arial"/>
        </w:rPr>
        <w:t xml:space="preserve"> to </w:t>
      </w:r>
      <w:r w:rsidR="00A867A3" w:rsidRPr="00964B6C">
        <w:rPr>
          <w:rFonts w:cs="Arial"/>
        </w:rPr>
        <w:t>the</w:t>
      </w:r>
      <w:r w:rsidRPr="00964B6C">
        <w:rPr>
          <w:rFonts w:cs="Arial"/>
        </w:rPr>
        <w:t xml:space="preserve"> </w:t>
      </w:r>
      <w:r w:rsidR="00A867A3" w:rsidRPr="00964B6C">
        <w:rPr>
          <w:rFonts w:cs="Arial"/>
        </w:rPr>
        <w:t>creative</w:t>
      </w:r>
      <w:r w:rsidRPr="00964B6C">
        <w:rPr>
          <w:rFonts w:cs="Arial"/>
        </w:rPr>
        <w:t xml:space="preserve"> </w:t>
      </w:r>
      <w:r w:rsidR="00A867A3" w:rsidRPr="00964B6C">
        <w:rPr>
          <w:rFonts w:cs="Arial"/>
        </w:rPr>
        <w:t>industries</w:t>
      </w:r>
      <w:r w:rsidRPr="00964B6C">
        <w:rPr>
          <w:rFonts w:cs="Arial"/>
        </w:rPr>
        <w:t xml:space="preserve"> and</w:t>
      </w:r>
      <w:r w:rsidR="00AD25DB" w:rsidRPr="00964B6C">
        <w:rPr>
          <w:rFonts w:cs="Arial"/>
        </w:rPr>
        <w:t xml:space="preserve"> does not over reach to solve the problem.</w:t>
      </w:r>
    </w:p>
    <w:p w:rsidR="004843C0" w:rsidRPr="00964B6C" w:rsidRDefault="004843C0" w:rsidP="00A457DE">
      <w:pPr>
        <w:spacing w:before="100" w:beforeAutospacing="1" w:after="100" w:afterAutospacing="1" w:line="360" w:lineRule="auto"/>
        <w:rPr>
          <w:rFonts w:cs="Arial"/>
        </w:rPr>
      </w:pPr>
      <w:r w:rsidRPr="00964B6C">
        <w:rPr>
          <w:rFonts w:cs="Arial"/>
        </w:rPr>
        <w:t xml:space="preserve">In the second </w:t>
      </w:r>
      <w:r w:rsidR="00AD25DB" w:rsidRPr="00964B6C">
        <w:rPr>
          <w:rFonts w:cs="Arial"/>
        </w:rPr>
        <w:t>reading</w:t>
      </w:r>
      <w:r w:rsidRPr="00964B6C">
        <w:rPr>
          <w:rFonts w:cs="Arial"/>
        </w:rPr>
        <w:t xml:space="preserve"> speech to</w:t>
      </w:r>
      <w:r w:rsidR="00AD25DB" w:rsidRPr="00964B6C">
        <w:rPr>
          <w:rFonts w:cs="Arial"/>
        </w:rPr>
        <w:t xml:space="preserve"> the</w:t>
      </w:r>
      <w:r w:rsidRPr="00964B6C">
        <w:rPr>
          <w:rFonts w:cs="Arial"/>
        </w:rPr>
        <w:t xml:space="preserve"> </w:t>
      </w:r>
      <w:r w:rsidR="00AD25DB" w:rsidRPr="00964B6C">
        <w:rPr>
          <w:rFonts w:cs="Arial"/>
        </w:rPr>
        <w:t>Copyright</w:t>
      </w:r>
      <w:r w:rsidRPr="00964B6C">
        <w:rPr>
          <w:rFonts w:cs="Arial"/>
        </w:rPr>
        <w:t xml:space="preserve"> </w:t>
      </w:r>
      <w:r w:rsidR="00AD25DB" w:rsidRPr="00964B6C">
        <w:rPr>
          <w:rFonts w:cs="Arial"/>
        </w:rPr>
        <w:t>Amendment</w:t>
      </w:r>
      <w:r w:rsidR="008D608E" w:rsidRPr="00964B6C">
        <w:rPr>
          <w:rFonts w:cs="Arial"/>
        </w:rPr>
        <w:t xml:space="preserve"> (</w:t>
      </w:r>
      <w:r w:rsidR="00AD25DB" w:rsidRPr="00964B6C">
        <w:rPr>
          <w:rFonts w:cs="Arial"/>
        </w:rPr>
        <w:t>Online</w:t>
      </w:r>
      <w:r w:rsidRPr="00964B6C">
        <w:rPr>
          <w:rFonts w:cs="Arial"/>
        </w:rPr>
        <w:t xml:space="preserve"> Inf</w:t>
      </w:r>
      <w:r w:rsidR="00AD25DB" w:rsidRPr="00964B6C">
        <w:rPr>
          <w:rFonts w:cs="Arial"/>
        </w:rPr>
        <w:t>ringement</w:t>
      </w:r>
      <w:r w:rsidRPr="00964B6C">
        <w:rPr>
          <w:rFonts w:cs="Arial"/>
        </w:rPr>
        <w:t>) Bill 2015 on 16 June 2015, the then Minister for</w:t>
      </w:r>
      <w:r w:rsidR="00AD25DB" w:rsidRPr="00964B6C">
        <w:rPr>
          <w:rFonts w:cs="Arial"/>
        </w:rPr>
        <w:t xml:space="preserve"> C</w:t>
      </w:r>
      <w:r w:rsidRPr="00964B6C">
        <w:rPr>
          <w:rFonts w:cs="Arial"/>
        </w:rPr>
        <w:t>ommun</w:t>
      </w:r>
      <w:r w:rsidR="00AD25DB" w:rsidRPr="00964B6C">
        <w:rPr>
          <w:rFonts w:cs="Arial"/>
        </w:rPr>
        <w:t>ications the</w:t>
      </w:r>
      <w:r w:rsidRPr="00964B6C">
        <w:rPr>
          <w:rFonts w:cs="Arial"/>
        </w:rPr>
        <w:t xml:space="preserve"> </w:t>
      </w:r>
      <w:r w:rsidR="00AD25DB" w:rsidRPr="00964B6C">
        <w:rPr>
          <w:rFonts w:cs="Arial"/>
        </w:rPr>
        <w:t>Right</w:t>
      </w:r>
      <w:r w:rsidRPr="00964B6C">
        <w:rPr>
          <w:rFonts w:cs="Arial"/>
        </w:rPr>
        <w:t xml:space="preserve"> </w:t>
      </w:r>
      <w:r w:rsidR="00AD25DB" w:rsidRPr="00964B6C">
        <w:rPr>
          <w:rFonts w:cs="Arial"/>
        </w:rPr>
        <w:t>Honorable</w:t>
      </w:r>
      <w:r w:rsidRPr="00964B6C">
        <w:rPr>
          <w:rFonts w:cs="Arial"/>
        </w:rPr>
        <w:t xml:space="preserve"> M</w:t>
      </w:r>
      <w:r w:rsidR="00AD25DB" w:rsidRPr="00964B6C">
        <w:rPr>
          <w:rFonts w:cs="Arial"/>
        </w:rPr>
        <w:t xml:space="preserve">alcolm Turnbull </w:t>
      </w:r>
      <w:r w:rsidR="00D413CE" w:rsidRPr="00964B6C">
        <w:rPr>
          <w:rFonts w:cs="Arial"/>
        </w:rPr>
        <w:t xml:space="preserve">said: </w:t>
      </w:r>
      <w:r w:rsidR="00AD25DB" w:rsidRPr="00964B6C">
        <w:rPr>
          <w:rStyle w:val="FootnoteReference"/>
          <w:rFonts w:cs="Arial"/>
        </w:rPr>
        <w:footnoteReference w:id="7"/>
      </w:r>
      <w:r w:rsidRPr="00964B6C">
        <w:rPr>
          <w:rFonts w:cs="Arial"/>
        </w:rPr>
        <w:t xml:space="preserve"> </w:t>
      </w:r>
    </w:p>
    <w:p w:rsidR="005620EE" w:rsidRPr="00964B6C" w:rsidRDefault="00D413CE" w:rsidP="00D413CE">
      <w:pPr>
        <w:spacing w:before="100" w:beforeAutospacing="1" w:after="100" w:afterAutospacing="1" w:line="360" w:lineRule="auto"/>
        <w:ind w:left="720"/>
        <w:rPr>
          <w:rFonts w:cs="Arial"/>
          <w:i/>
        </w:rPr>
      </w:pPr>
      <w:r w:rsidRPr="00964B6C">
        <w:rPr>
          <w:rFonts w:cs="Arial"/>
          <w:i/>
        </w:rPr>
        <w:t>“</w:t>
      </w:r>
      <w:r w:rsidR="008D608E" w:rsidRPr="00964B6C">
        <w:rPr>
          <w:rFonts w:cs="Arial"/>
          <w:i/>
        </w:rPr>
        <w:t>There</w:t>
      </w:r>
      <w:r w:rsidR="004843C0" w:rsidRPr="00964B6C">
        <w:rPr>
          <w:rFonts w:cs="Arial"/>
          <w:i/>
        </w:rPr>
        <w:t xml:space="preserve"> is no </w:t>
      </w:r>
      <w:r w:rsidR="002575D1" w:rsidRPr="00964B6C">
        <w:rPr>
          <w:rFonts w:cs="Arial"/>
          <w:i/>
        </w:rPr>
        <w:t>silver</w:t>
      </w:r>
      <w:r w:rsidR="004843C0" w:rsidRPr="00964B6C">
        <w:rPr>
          <w:rFonts w:cs="Arial"/>
          <w:i/>
        </w:rPr>
        <w:t xml:space="preserve"> bullet to deal with </w:t>
      </w:r>
      <w:r w:rsidR="002575D1" w:rsidRPr="00964B6C">
        <w:rPr>
          <w:rFonts w:cs="Arial"/>
          <w:i/>
        </w:rPr>
        <w:t>internet</w:t>
      </w:r>
      <w:r w:rsidR="008D608E" w:rsidRPr="00964B6C">
        <w:rPr>
          <w:rFonts w:cs="Arial"/>
          <w:i/>
        </w:rPr>
        <w:t xml:space="preserve"> piracy</w:t>
      </w:r>
      <w:r w:rsidR="004843C0" w:rsidRPr="00964B6C">
        <w:rPr>
          <w:rFonts w:cs="Arial"/>
          <w:i/>
        </w:rPr>
        <w:t xml:space="preserve">, but the </w:t>
      </w:r>
      <w:r w:rsidR="002575D1" w:rsidRPr="00964B6C">
        <w:rPr>
          <w:rFonts w:cs="Arial"/>
          <w:i/>
        </w:rPr>
        <w:t>Copyright</w:t>
      </w:r>
      <w:r w:rsidR="004843C0" w:rsidRPr="00964B6C">
        <w:rPr>
          <w:rFonts w:cs="Arial"/>
          <w:i/>
        </w:rPr>
        <w:t xml:space="preserve"> </w:t>
      </w:r>
      <w:r w:rsidR="002575D1" w:rsidRPr="00964B6C">
        <w:rPr>
          <w:rFonts w:cs="Arial"/>
          <w:i/>
        </w:rPr>
        <w:t>Amendment</w:t>
      </w:r>
      <w:r w:rsidR="008D608E" w:rsidRPr="00964B6C">
        <w:rPr>
          <w:rFonts w:cs="Arial"/>
          <w:i/>
        </w:rPr>
        <w:t xml:space="preserve"> (</w:t>
      </w:r>
      <w:r w:rsidR="004843C0" w:rsidRPr="00964B6C">
        <w:rPr>
          <w:rFonts w:cs="Arial"/>
          <w:i/>
        </w:rPr>
        <w:t>Online</w:t>
      </w:r>
      <w:r w:rsidR="002575D1" w:rsidRPr="00964B6C">
        <w:rPr>
          <w:rFonts w:cs="Arial"/>
          <w:i/>
        </w:rPr>
        <w:t xml:space="preserve"> Infringement</w:t>
      </w:r>
      <w:r w:rsidR="004843C0" w:rsidRPr="00964B6C">
        <w:rPr>
          <w:rFonts w:cs="Arial"/>
          <w:i/>
        </w:rPr>
        <w:t xml:space="preserve">) Bill 2015 provides an </w:t>
      </w:r>
      <w:r w:rsidR="002575D1" w:rsidRPr="00964B6C">
        <w:rPr>
          <w:rFonts w:cs="Arial"/>
          <w:i/>
        </w:rPr>
        <w:t>important</w:t>
      </w:r>
      <w:r w:rsidR="004843C0" w:rsidRPr="00964B6C">
        <w:rPr>
          <w:rFonts w:cs="Arial"/>
          <w:i/>
        </w:rPr>
        <w:t xml:space="preserve"> part of the solution to</w:t>
      </w:r>
      <w:r w:rsidR="008D608E" w:rsidRPr="00964B6C">
        <w:rPr>
          <w:rFonts w:cs="Arial"/>
          <w:i/>
        </w:rPr>
        <w:t xml:space="preserve"> the</w:t>
      </w:r>
      <w:r w:rsidR="004843C0" w:rsidRPr="00964B6C">
        <w:rPr>
          <w:rFonts w:cs="Arial"/>
          <w:i/>
        </w:rPr>
        <w:t xml:space="preserve"> problem of </w:t>
      </w:r>
      <w:r w:rsidR="002575D1" w:rsidRPr="00964B6C">
        <w:rPr>
          <w:rFonts w:cs="Arial"/>
          <w:i/>
        </w:rPr>
        <w:t>online</w:t>
      </w:r>
      <w:r w:rsidR="004843C0" w:rsidRPr="00964B6C">
        <w:rPr>
          <w:rFonts w:cs="Arial"/>
          <w:i/>
        </w:rPr>
        <w:t xml:space="preserve"> copyright </w:t>
      </w:r>
      <w:r w:rsidR="002575D1" w:rsidRPr="00964B6C">
        <w:rPr>
          <w:rFonts w:cs="Arial"/>
          <w:i/>
        </w:rPr>
        <w:t>infringement</w:t>
      </w:r>
      <w:r w:rsidR="004843C0" w:rsidRPr="00964B6C">
        <w:rPr>
          <w:rFonts w:cs="Arial"/>
          <w:i/>
        </w:rPr>
        <w:t xml:space="preserve">. </w:t>
      </w:r>
      <w:r w:rsidR="002575D1" w:rsidRPr="00964B6C">
        <w:rPr>
          <w:rFonts w:cs="Arial"/>
          <w:i/>
        </w:rPr>
        <w:t>I</w:t>
      </w:r>
      <w:r w:rsidR="004843C0" w:rsidRPr="00964B6C">
        <w:rPr>
          <w:rFonts w:cs="Arial"/>
          <w:i/>
        </w:rPr>
        <w:t xml:space="preserve">t is vital copyright </w:t>
      </w:r>
      <w:r w:rsidR="002575D1" w:rsidRPr="00964B6C">
        <w:rPr>
          <w:rFonts w:cs="Arial"/>
          <w:i/>
        </w:rPr>
        <w:t>owners</w:t>
      </w:r>
      <w:r w:rsidR="004843C0" w:rsidRPr="00964B6C">
        <w:rPr>
          <w:rFonts w:cs="Arial"/>
          <w:i/>
        </w:rPr>
        <w:t xml:space="preserve"> </w:t>
      </w:r>
      <w:r w:rsidR="002575D1" w:rsidRPr="00964B6C">
        <w:rPr>
          <w:rFonts w:cs="Arial"/>
          <w:i/>
        </w:rPr>
        <w:t>have</w:t>
      </w:r>
      <w:r w:rsidR="004843C0" w:rsidRPr="00964B6C">
        <w:rPr>
          <w:rFonts w:cs="Arial"/>
          <w:i/>
        </w:rPr>
        <w:t xml:space="preserve"> an eff</w:t>
      </w:r>
      <w:r w:rsidR="002575D1" w:rsidRPr="00964B6C">
        <w:rPr>
          <w:rFonts w:cs="Arial"/>
          <w:i/>
        </w:rPr>
        <w:t xml:space="preserve">icient </w:t>
      </w:r>
      <w:r w:rsidR="004843C0" w:rsidRPr="00964B6C">
        <w:rPr>
          <w:rFonts w:cs="Arial"/>
          <w:i/>
        </w:rPr>
        <w:t xml:space="preserve">mechanism to </w:t>
      </w:r>
      <w:r w:rsidR="002575D1" w:rsidRPr="00964B6C">
        <w:rPr>
          <w:rFonts w:cs="Arial"/>
          <w:i/>
        </w:rPr>
        <w:t>disrupt</w:t>
      </w:r>
      <w:r w:rsidR="004843C0" w:rsidRPr="00964B6C">
        <w:rPr>
          <w:rFonts w:cs="Arial"/>
          <w:i/>
        </w:rPr>
        <w:t xml:space="preserve"> the st</w:t>
      </w:r>
      <w:r w:rsidR="002575D1" w:rsidRPr="00964B6C">
        <w:rPr>
          <w:rFonts w:cs="Arial"/>
          <w:i/>
        </w:rPr>
        <w:t xml:space="preserve">eady </w:t>
      </w:r>
      <w:r w:rsidR="004843C0" w:rsidRPr="00964B6C">
        <w:rPr>
          <w:rFonts w:cs="Arial"/>
          <w:i/>
        </w:rPr>
        <w:t xml:space="preserve">supply of </w:t>
      </w:r>
      <w:r w:rsidR="002575D1" w:rsidRPr="00964B6C">
        <w:rPr>
          <w:rFonts w:cs="Arial"/>
          <w:i/>
        </w:rPr>
        <w:t>infringing</w:t>
      </w:r>
      <w:r w:rsidR="004843C0" w:rsidRPr="00964B6C">
        <w:rPr>
          <w:rFonts w:cs="Arial"/>
          <w:i/>
        </w:rPr>
        <w:t xml:space="preserve"> content to </w:t>
      </w:r>
      <w:r w:rsidR="002575D1" w:rsidRPr="00964B6C">
        <w:rPr>
          <w:rFonts w:cs="Arial"/>
          <w:i/>
        </w:rPr>
        <w:t>Australian</w:t>
      </w:r>
      <w:r w:rsidR="004843C0" w:rsidRPr="00964B6C">
        <w:rPr>
          <w:rFonts w:cs="Arial"/>
          <w:i/>
        </w:rPr>
        <w:t xml:space="preserve"> </w:t>
      </w:r>
      <w:r w:rsidR="002575D1" w:rsidRPr="00964B6C">
        <w:rPr>
          <w:rFonts w:cs="Arial"/>
          <w:i/>
        </w:rPr>
        <w:t>internet</w:t>
      </w:r>
      <w:r w:rsidR="004843C0" w:rsidRPr="00964B6C">
        <w:rPr>
          <w:rFonts w:cs="Arial"/>
          <w:i/>
        </w:rPr>
        <w:t xml:space="preserve"> users fr</w:t>
      </w:r>
      <w:r w:rsidR="002575D1" w:rsidRPr="00964B6C">
        <w:rPr>
          <w:rFonts w:cs="Arial"/>
          <w:i/>
        </w:rPr>
        <w:t>o</w:t>
      </w:r>
      <w:r w:rsidR="004843C0" w:rsidRPr="00964B6C">
        <w:rPr>
          <w:rFonts w:cs="Arial"/>
          <w:i/>
        </w:rPr>
        <w:t xml:space="preserve">m </w:t>
      </w:r>
      <w:r w:rsidR="002575D1" w:rsidRPr="00964B6C">
        <w:rPr>
          <w:rFonts w:cs="Arial"/>
          <w:i/>
        </w:rPr>
        <w:t>overseas</w:t>
      </w:r>
      <w:r w:rsidR="004843C0" w:rsidRPr="00964B6C">
        <w:rPr>
          <w:rFonts w:cs="Arial"/>
          <w:i/>
        </w:rPr>
        <w:t xml:space="preserve"> </w:t>
      </w:r>
      <w:r w:rsidR="002575D1" w:rsidRPr="00964B6C">
        <w:rPr>
          <w:rFonts w:cs="Arial"/>
          <w:i/>
        </w:rPr>
        <w:t>websites</w:t>
      </w:r>
      <w:r w:rsidR="004843C0" w:rsidRPr="00964B6C">
        <w:rPr>
          <w:rFonts w:cs="Arial"/>
          <w:i/>
        </w:rPr>
        <w:t xml:space="preserve">. The bill will provide an </w:t>
      </w:r>
      <w:r w:rsidR="002575D1" w:rsidRPr="00964B6C">
        <w:rPr>
          <w:rFonts w:cs="Arial"/>
          <w:i/>
        </w:rPr>
        <w:t>enhanced,</w:t>
      </w:r>
      <w:r w:rsidR="004843C0" w:rsidRPr="00964B6C">
        <w:rPr>
          <w:rFonts w:cs="Arial"/>
          <w:i/>
        </w:rPr>
        <w:t xml:space="preserve"> streamlined mechanism – without the need to establish fault on the part of that provider. Specifically the bill</w:t>
      </w:r>
      <w:r w:rsidR="002575D1" w:rsidRPr="00964B6C">
        <w:rPr>
          <w:rFonts w:cs="Arial"/>
          <w:i/>
        </w:rPr>
        <w:t xml:space="preserve"> will</w:t>
      </w:r>
      <w:r w:rsidR="004843C0" w:rsidRPr="00964B6C">
        <w:rPr>
          <w:rFonts w:cs="Arial"/>
          <w:i/>
        </w:rPr>
        <w:t xml:space="preserve"> int</w:t>
      </w:r>
      <w:r w:rsidR="002575D1" w:rsidRPr="00964B6C">
        <w:rPr>
          <w:rFonts w:cs="Arial"/>
          <w:i/>
        </w:rPr>
        <w:t xml:space="preserve">roduce </w:t>
      </w:r>
      <w:r w:rsidR="004843C0" w:rsidRPr="00964B6C">
        <w:rPr>
          <w:rFonts w:cs="Arial"/>
          <w:i/>
        </w:rPr>
        <w:t xml:space="preserve">a new provision that allows a carriage </w:t>
      </w:r>
      <w:r w:rsidR="002575D1" w:rsidRPr="00964B6C">
        <w:rPr>
          <w:rFonts w:cs="Arial"/>
          <w:i/>
        </w:rPr>
        <w:t>service</w:t>
      </w:r>
      <w:r w:rsidR="004843C0" w:rsidRPr="00964B6C">
        <w:rPr>
          <w:rFonts w:cs="Arial"/>
          <w:i/>
        </w:rPr>
        <w:t xml:space="preserve"> provider to di</w:t>
      </w:r>
      <w:r w:rsidR="008D608E" w:rsidRPr="00964B6C">
        <w:rPr>
          <w:rFonts w:cs="Arial"/>
          <w:i/>
        </w:rPr>
        <w:t>sable</w:t>
      </w:r>
      <w:r w:rsidR="004843C0" w:rsidRPr="00964B6C">
        <w:rPr>
          <w:rFonts w:cs="Arial"/>
          <w:i/>
        </w:rPr>
        <w:t xml:space="preserve"> access to infring</w:t>
      </w:r>
      <w:r w:rsidR="002575D1" w:rsidRPr="00964B6C">
        <w:rPr>
          <w:rFonts w:cs="Arial"/>
          <w:i/>
        </w:rPr>
        <w:t xml:space="preserve">ing </w:t>
      </w:r>
      <w:r w:rsidR="004843C0" w:rsidRPr="00964B6C">
        <w:rPr>
          <w:rFonts w:cs="Arial"/>
          <w:i/>
        </w:rPr>
        <w:t xml:space="preserve">online </w:t>
      </w:r>
      <w:r w:rsidR="002575D1" w:rsidRPr="00964B6C">
        <w:rPr>
          <w:rFonts w:cs="Arial"/>
          <w:i/>
        </w:rPr>
        <w:t>locations</w:t>
      </w:r>
      <w:r w:rsidR="004843C0" w:rsidRPr="00964B6C">
        <w:rPr>
          <w:rFonts w:cs="Arial"/>
          <w:i/>
        </w:rPr>
        <w:t xml:space="preserve"> </w:t>
      </w:r>
      <w:r w:rsidR="002575D1" w:rsidRPr="00964B6C">
        <w:rPr>
          <w:rFonts w:cs="Arial"/>
          <w:i/>
        </w:rPr>
        <w:t>located</w:t>
      </w:r>
      <w:r w:rsidR="004843C0" w:rsidRPr="00964B6C">
        <w:rPr>
          <w:rFonts w:cs="Arial"/>
          <w:i/>
        </w:rPr>
        <w:t xml:space="preserve"> outside </w:t>
      </w:r>
      <w:r w:rsidR="002575D1" w:rsidRPr="00964B6C">
        <w:rPr>
          <w:rFonts w:cs="Arial"/>
          <w:i/>
        </w:rPr>
        <w:t>Australia</w:t>
      </w:r>
      <w:r w:rsidR="005620EE" w:rsidRPr="00964B6C">
        <w:rPr>
          <w:rFonts w:cs="Arial"/>
          <w:i/>
        </w:rPr>
        <w:t>.</w:t>
      </w:r>
      <w:r w:rsidRPr="00964B6C">
        <w:rPr>
          <w:rFonts w:cs="Arial"/>
          <w:i/>
        </w:rPr>
        <w:t>”</w:t>
      </w:r>
    </w:p>
    <w:p w:rsidR="00BC4D2C" w:rsidRPr="00F73547" w:rsidRDefault="00F8135C" w:rsidP="00F73547">
      <w:pPr>
        <w:pStyle w:val="ListParagraph"/>
        <w:numPr>
          <w:ilvl w:val="0"/>
          <w:numId w:val="10"/>
        </w:numPr>
        <w:spacing w:before="100" w:beforeAutospacing="1" w:after="100" w:afterAutospacing="1" w:line="360" w:lineRule="auto"/>
        <w:rPr>
          <w:rFonts w:cs="Arial"/>
          <w:b/>
          <w:color w:val="68319F"/>
          <w:sz w:val="24"/>
          <w:szCs w:val="24"/>
        </w:rPr>
      </w:pPr>
      <w:r w:rsidRPr="00F73547">
        <w:rPr>
          <w:rFonts w:cs="Arial"/>
          <w:b/>
          <w:color w:val="68319F"/>
          <w:sz w:val="24"/>
          <w:szCs w:val="24"/>
        </w:rPr>
        <w:t>Enforcing</w:t>
      </w:r>
      <w:r w:rsidR="00B5339B" w:rsidRPr="00F73547">
        <w:rPr>
          <w:rFonts w:cs="Arial"/>
          <w:b/>
          <w:color w:val="68319F"/>
          <w:sz w:val="24"/>
          <w:szCs w:val="24"/>
        </w:rPr>
        <w:t xml:space="preserve"> R</w:t>
      </w:r>
      <w:r w:rsidRPr="00F73547">
        <w:rPr>
          <w:rFonts w:cs="Arial"/>
          <w:b/>
          <w:color w:val="68319F"/>
          <w:sz w:val="24"/>
          <w:szCs w:val="24"/>
        </w:rPr>
        <w:t>ights</w:t>
      </w:r>
      <w:r w:rsidR="00B5339B" w:rsidRPr="00F73547">
        <w:rPr>
          <w:rFonts w:cs="Arial"/>
          <w:b/>
          <w:color w:val="68319F"/>
          <w:sz w:val="24"/>
          <w:szCs w:val="24"/>
        </w:rPr>
        <w:t xml:space="preserve"> O</w:t>
      </w:r>
      <w:r w:rsidR="003A75BD" w:rsidRPr="00F73547">
        <w:rPr>
          <w:rFonts w:cs="Arial"/>
          <w:b/>
          <w:color w:val="68319F"/>
          <w:sz w:val="24"/>
          <w:szCs w:val="24"/>
        </w:rPr>
        <w:t>verseas</w:t>
      </w:r>
    </w:p>
    <w:p w:rsidR="009B05C0" w:rsidRDefault="00565CEA" w:rsidP="00A457DE">
      <w:pPr>
        <w:spacing w:before="100" w:beforeAutospacing="1" w:after="100" w:afterAutospacing="1" w:line="360" w:lineRule="auto"/>
        <w:rPr>
          <w:rFonts w:cs="Arial"/>
        </w:rPr>
      </w:pPr>
      <w:r w:rsidRPr="00964B6C">
        <w:rPr>
          <w:rFonts w:cs="Arial"/>
        </w:rPr>
        <w:t>Litigation</w:t>
      </w:r>
      <w:r w:rsidR="00F8135C" w:rsidRPr="00964B6C">
        <w:rPr>
          <w:rFonts w:cs="Arial"/>
        </w:rPr>
        <w:t xml:space="preserve"> in</w:t>
      </w:r>
      <w:r w:rsidR="002575D1" w:rsidRPr="00964B6C">
        <w:rPr>
          <w:rFonts w:cs="Arial"/>
        </w:rPr>
        <w:t xml:space="preserve"> an</w:t>
      </w:r>
      <w:r w:rsidR="00F8135C" w:rsidRPr="00964B6C">
        <w:rPr>
          <w:rFonts w:cs="Arial"/>
        </w:rPr>
        <w:t xml:space="preserve">other </w:t>
      </w:r>
      <w:r w:rsidR="002575D1" w:rsidRPr="00964B6C">
        <w:rPr>
          <w:rFonts w:cs="Arial"/>
        </w:rPr>
        <w:t>jurisdiction</w:t>
      </w:r>
      <w:r w:rsidRPr="00964B6C">
        <w:rPr>
          <w:rFonts w:cs="Arial"/>
        </w:rPr>
        <w:t xml:space="preserve"> can pose challenges whatever the subject matter. D</w:t>
      </w:r>
      <w:r w:rsidR="002575D1" w:rsidRPr="00964B6C">
        <w:rPr>
          <w:rFonts w:cs="Arial"/>
        </w:rPr>
        <w:t>istance</w:t>
      </w:r>
      <w:r w:rsidR="00F8135C" w:rsidRPr="00964B6C">
        <w:rPr>
          <w:rFonts w:cs="Arial"/>
        </w:rPr>
        <w:t>,</w:t>
      </w:r>
      <w:r w:rsidRPr="00964B6C">
        <w:rPr>
          <w:rFonts w:cs="Arial"/>
        </w:rPr>
        <w:t xml:space="preserve"> specific </w:t>
      </w:r>
      <w:r w:rsidR="002575D1" w:rsidRPr="00964B6C">
        <w:rPr>
          <w:rFonts w:cs="Arial"/>
        </w:rPr>
        <w:t>national legislation and</w:t>
      </w:r>
      <w:r w:rsidR="00F8135C" w:rsidRPr="00964B6C">
        <w:rPr>
          <w:rFonts w:cs="Arial"/>
        </w:rPr>
        <w:t xml:space="preserve"> court </w:t>
      </w:r>
      <w:r w:rsidR="002575D1" w:rsidRPr="00964B6C">
        <w:rPr>
          <w:rFonts w:cs="Arial"/>
        </w:rPr>
        <w:t>procedures</w:t>
      </w:r>
      <w:r w:rsidRPr="00964B6C">
        <w:rPr>
          <w:rFonts w:cs="Arial"/>
        </w:rPr>
        <w:t xml:space="preserve"> can </w:t>
      </w:r>
      <w:r w:rsidR="00F8135C" w:rsidRPr="00964B6C">
        <w:rPr>
          <w:rFonts w:cs="Arial"/>
        </w:rPr>
        <w:t xml:space="preserve">add </w:t>
      </w:r>
      <w:r w:rsidR="002575D1" w:rsidRPr="00964B6C">
        <w:rPr>
          <w:rFonts w:cs="Arial"/>
        </w:rPr>
        <w:t>complexity to the conduct of matters</w:t>
      </w:r>
      <w:r w:rsidR="00F8135C" w:rsidRPr="00964B6C">
        <w:rPr>
          <w:rFonts w:cs="Arial"/>
        </w:rPr>
        <w:t xml:space="preserve">. </w:t>
      </w:r>
      <w:r w:rsidR="002575D1" w:rsidRPr="00964B6C">
        <w:rPr>
          <w:rFonts w:cs="Arial"/>
        </w:rPr>
        <w:t>Copyright</w:t>
      </w:r>
      <w:r w:rsidR="00F8135C" w:rsidRPr="00964B6C">
        <w:rPr>
          <w:rFonts w:cs="Arial"/>
        </w:rPr>
        <w:t xml:space="preserve"> enfor</w:t>
      </w:r>
      <w:r w:rsidR="002575D1" w:rsidRPr="00964B6C">
        <w:rPr>
          <w:rFonts w:cs="Arial"/>
        </w:rPr>
        <w:t xml:space="preserve">cement </w:t>
      </w:r>
      <w:r w:rsidR="00F8135C" w:rsidRPr="00964B6C">
        <w:rPr>
          <w:rFonts w:cs="Arial"/>
        </w:rPr>
        <w:t>is no diff</w:t>
      </w:r>
      <w:r w:rsidR="002575D1" w:rsidRPr="00964B6C">
        <w:rPr>
          <w:rFonts w:cs="Arial"/>
        </w:rPr>
        <w:t>erent</w:t>
      </w:r>
      <w:r w:rsidR="00F8135C" w:rsidRPr="00964B6C">
        <w:rPr>
          <w:rFonts w:cs="Arial"/>
        </w:rPr>
        <w:t xml:space="preserve">. </w:t>
      </w:r>
      <w:r w:rsidR="002575D1" w:rsidRPr="00964B6C">
        <w:rPr>
          <w:rFonts w:cs="Arial"/>
        </w:rPr>
        <w:t>However</w:t>
      </w:r>
      <w:r w:rsidRPr="00964B6C">
        <w:rPr>
          <w:rFonts w:cs="Arial"/>
        </w:rPr>
        <w:t>,</w:t>
      </w:r>
      <w:r w:rsidR="00F8135C" w:rsidRPr="00964B6C">
        <w:rPr>
          <w:rFonts w:cs="Arial"/>
        </w:rPr>
        <w:t xml:space="preserve"> </w:t>
      </w:r>
      <w:r w:rsidR="002575D1" w:rsidRPr="00964B6C">
        <w:rPr>
          <w:rFonts w:cs="Arial"/>
        </w:rPr>
        <w:t>Australia is a signatory to</w:t>
      </w:r>
      <w:r w:rsidRPr="00964B6C">
        <w:rPr>
          <w:rFonts w:cs="Arial"/>
        </w:rPr>
        <w:t xml:space="preserve"> a range of </w:t>
      </w:r>
      <w:r w:rsidR="002575D1" w:rsidRPr="00964B6C">
        <w:rPr>
          <w:rFonts w:cs="Arial"/>
        </w:rPr>
        <w:t>major</w:t>
      </w:r>
      <w:r w:rsidRPr="00964B6C">
        <w:rPr>
          <w:rFonts w:cs="Arial"/>
        </w:rPr>
        <w:t xml:space="preserve"> international</w:t>
      </w:r>
      <w:r w:rsidR="002575D1" w:rsidRPr="00964B6C">
        <w:rPr>
          <w:rFonts w:cs="Arial"/>
        </w:rPr>
        <w:t xml:space="preserve"> IP treaties </w:t>
      </w:r>
      <w:r w:rsidR="00A62B14" w:rsidRPr="00964B6C">
        <w:rPr>
          <w:rFonts w:cs="Arial"/>
        </w:rPr>
        <w:t xml:space="preserve">and continues to ensure robust </w:t>
      </w:r>
      <w:r w:rsidR="002575D1" w:rsidRPr="00964B6C">
        <w:rPr>
          <w:rFonts w:cs="Arial"/>
        </w:rPr>
        <w:t>IP chapters are included in all its bi</w:t>
      </w:r>
      <w:r w:rsidRPr="00964B6C">
        <w:rPr>
          <w:rFonts w:cs="Arial"/>
        </w:rPr>
        <w:t>-</w:t>
      </w:r>
      <w:r w:rsidR="002575D1" w:rsidRPr="00964B6C">
        <w:rPr>
          <w:rFonts w:cs="Arial"/>
        </w:rPr>
        <w:t xml:space="preserve"> lateraled and multi</w:t>
      </w:r>
      <w:r w:rsidRPr="00964B6C">
        <w:rPr>
          <w:rFonts w:cs="Arial"/>
        </w:rPr>
        <w:t>-</w:t>
      </w:r>
      <w:r w:rsidR="00A62B14" w:rsidRPr="00964B6C">
        <w:rPr>
          <w:rFonts w:cs="Arial"/>
        </w:rPr>
        <w:t xml:space="preserve"> lateral </w:t>
      </w:r>
      <w:r w:rsidR="002575D1" w:rsidRPr="00964B6C">
        <w:rPr>
          <w:rFonts w:cs="Arial"/>
        </w:rPr>
        <w:t>trade agreements</w:t>
      </w:r>
      <w:r w:rsidRPr="00964B6C">
        <w:rPr>
          <w:rFonts w:cs="Arial"/>
        </w:rPr>
        <w:t>. Th</w:t>
      </w:r>
      <w:r w:rsidR="00745E9A">
        <w:rPr>
          <w:rFonts w:cs="Arial"/>
        </w:rPr>
        <w:t xml:space="preserve">ese </w:t>
      </w:r>
      <w:r w:rsidRPr="00964B6C">
        <w:rPr>
          <w:rFonts w:cs="Arial"/>
        </w:rPr>
        <w:t>will continue to assi</w:t>
      </w:r>
      <w:r w:rsidR="00A62B14" w:rsidRPr="00964B6C">
        <w:rPr>
          <w:rFonts w:cs="Arial"/>
        </w:rPr>
        <w:t xml:space="preserve">st Australian copyright owners who wish to have their rights </w:t>
      </w:r>
      <w:r w:rsidRPr="00964B6C">
        <w:rPr>
          <w:rFonts w:cs="Arial"/>
        </w:rPr>
        <w:t>recogn</w:t>
      </w:r>
      <w:r w:rsidR="00A62B14" w:rsidRPr="00964B6C">
        <w:rPr>
          <w:rFonts w:cs="Arial"/>
        </w:rPr>
        <w:t>is</w:t>
      </w:r>
      <w:r w:rsidRPr="00964B6C">
        <w:rPr>
          <w:rFonts w:cs="Arial"/>
        </w:rPr>
        <w:t xml:space="preserve">ed and protected in other jurisdictions. </w:t>
      </w:r>
    </w:p>
    <w:p w:rsidR="00AD25DB" w:rsidRDefault="009B05C0" w:rsidP="00A457DE">
      <w:pPr>
        <w:spacing w:before="100" w:beforeAutospacing="1" w:after="100" w:afterAutospacing="1" w:line="360" w:lineRule="auto"/>
        <w:rPr>
          <w:rFonts w:cs="Arial"/>
        </w:rPr>
      </w:pPr>
      <w:r>
        <w:rPr>
          <w:rFonts w:cs="Arial"/>
        </w:rPr>
        <w:t>Should the Commission require further information please do not hesitate to contact Vanessa Hutley General Manager MRA</w:t>
      </w:r>
      <w:r w:rsidR="005970AA">
        <w:rPr>
          <w:rFonts w:cs="Arial"/>
        </w:rPr>
        <w:t xml:space="preserve"> at </w:t>
      </w:r>
      <w:hyperlink r:id="rId10" w:history="1">
        <w:r w:rsidR="005970AA" w:rsidRPr="009E36F9">
          <w:rPr>
            <w:rStyle w:val="Hyperlink"/>
            <w:rFonts w:cs="Arial"/>
          </w:rPr>
          <w:t>vhutley@musicrights.com.au</w:t>
        </w:r>
      </w:hyperlink>
      <w:r w:rsidR="005970AA">
        <w:rPr>
          <w:rFonts w:cs="Arial"/>
        </w:rPr>
        <w:t xml:space="preserve"> </w:t>
      </w:r>
      <w:r w:rsidR="003D3178">
        <w:rPr>
          <w:rFonts w:cs="Arial"/>
        </w:rPr>
        <w:t>.</w:t>
      </w:r>
      <w:r>
        <w:rPr>
          <w:rFonts w:cs="Arial"/>
        </w:rPr>
        <w:t xml:space="preserve"> </w:t>
      </w:r>
    </w:p>
    <w:p w:rsidR="005970AA" w:rsidRDefault="005970AA" w:rsidP="00A457DE">
      <w:pPr>
        <w:spacing w:before="100" w:beforeAutospacing="1" w:after="100" w:afterAutospacing="1" w:line="360" w:lineRule="auto"/>
        <w:rPr>
          <w:rFonts w:cs="Arial"/>
        </w:rPr>
      </w:pPr>
    </w:p>
    <w:p w:rsidR="005970AA" w:rsidRDefault="005970AA" w:rsidP="00A457DE">
      <w:pPr>
        <w:spacing w:before="100" w:beforeAutospacing="1" w:after="100" w:afterAutospacing="1" w:line="360" w:lineRule="auto"/>
        <w:rPr>
          <w:rFonts w:cs="Arial"/>
        </w:rPr>
      </w:pPr>
    </w:p>
    <w:p w:rsidR="009B05C0" w:rsidRDefault="009B05C0" w:rsidP="00A457DE">
      <w:pPr>
        <w:spacing w:before="100" w:beforeAutospacing="1" w:after="100" w:afterAutospacing="1" w:line="360" w:lineRule="auto"/>
        <w:rPr>
          <w:rFonts w:cs="Arial"/>
        </w:rPr>
      </w:pPr>
    </w:p>
    <w:sectPr w:rsidR="009B05C0" w:rsidSect="00B1316E">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AA" w:rsidRDefault="005970AA" w:rsidP="0080278F">
      <w:pPr>
        <w:spacing w:after="0" w:line="240" w:lineRule="auto"/>
      </w:pPr>
      <w:r>
        <w:separator/>
      </w:r>
    </w:p>
  </w:endnote>
  <w:endnote w:type="continuationSeparator" w:id="0">
    <w:p w:rsidR="005970AA" w:rsidRDefault="005970AA" w:rsidP="0080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62258"/>
      <w:docPartObj>
        <w:docPartGallery w:val="Page Numbers (Bottom of Page)"/>
        <w:docPartUnique/>
      </w:docPartObj>
    </w:sdtPr>
    <w:sdtEndPr>
      <w:rPr>
        <w:noProof/>
      </w:rPr>
    </w:sdtEndPr>
    <w:sdtContent>
      <w:p w:rsidR="005970AA" w:rsidRDefault="005970AA">
        <w:pPr>
          <w:pStyle w:val="Footer"/>
          <w:jc w:val="right"/>
        </w:pPr>
        <w:r>
          <w:fldChar w:fldCharType="begin"/>
        </w:r>
        <w:r>
          <w:instrText xml:space="preserve"> PAGE   \* MERGEFORMAT </w:instrText>
        </w:r>
        <w:r>
          <w:fldChar w:fldCharType="separate"/>
        </w:r>
        <w:r w:rsidR="00EE2020">
          <w:rPr>
            <w:noProof/>
          </w:rPr>
          <w:t>1</w:t>
        </w:r>
        <w:r>
          <w:rPr>
            <w:noProof/>
          </w:rPr>
          <w:fldChar w:fldCharType="end"/>
        </w:r>
      </w:p>
    </w:sdtContent>
  </w:sdt>
  <w:p w:rsidR="005970AA" w:rsidRDefault="00597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AA" w:rsidRDefault="005970AA" w:rsidP="0080278F">
      <w:pPr>
        <w:spacing w:after="0" w:line="240" w:lineRule="auto"/>
      </w:pPr>
      <w:r>
        <w:separator/>
      </w:r>
    </w:p>
  </w:footnote>
  <w:footnote w:type="continuationSeparator" w:id="0">
    <w:p w:rsidR="005970AA" w:rsidRDefault="005970AA" w:rsidP="0080278F">
      <w:pPr>
        <w:spacing w:after="0" w:line="240" w:lineRule="auto"/>
      </w:pPr>
      <w:r>
        <w:continuationSeparator/>
      </w:r>
    </w:p>
  </w:footnote>
  <w:footnote w:id="1">
    <w:p w:rsidR="005970AA" w:rsidRPr="00D53715" w:rsidRDefault="005970AA" w:rsidP="00A62B14">
      <w:pPr>
        <w:pStyle w:val="FootnoteText"/>
        <w:rPr>
          <w:lang w:val="en-AU"/>
        </w:rPr>
      </w:pPr>
      <w:r w:rsidRPr="00D53715">
        <w:rPr>
          <w:rStyle w:val="FootnoteReference"/>
        </w:rPr>
        <w:footnoteRef/>
      </w:r>
      <w:r w:rsidRPr="00D53715">
        <w:t xml:space="preserve"> </w:t>
      </w:r>
      <w:r w:rsidRPr="00D53715">
        <w:rPr>
          <w:lang w:val="en-AU"/>
        </w:rPr>
        <w:t xml:space="preserve">See </w:t>
      </w:r>
      <w:hyperlink r:id="rId1" w:history="1">
        <w:r w:rsidRPr="00D53715">
          <w:rPr>
            <w:rStyle w:val="Hyperlink"/>
            <w:lang w:val="en-AU"/>
          </w:rPr>
          <w:t>www.apraamcos.com.au</w:t>
        </w:r>
      </w:hyperlink>
      <w:r w:rsidRPr="00D53715">
        <w:rPr>
          <w:lang w:val="en-AU"/>
        </w:rPr>
        <w:t>.</w:t>
      </w:r>
    </w:p>
  </w:footnote>
  <w:footnote w:id="2">
    <w:p w:rsidR="005970AA" w:rsidRPr="00D53715" w:rsidRDefault="005970AA">
      <w:pPr>
        <w:pStyle w:val="FootnoteText"/>
        <w:rPr>
          <w:lang w:val="en-AU"/>
        </w:rPr>
      </w:pPr>
      <w:r w:rsidRPr="00D53715">
        <w:rPr>
          <w:rStyle w:val="FootnoteReference"/>
        </w:rPr>
        <w:footnoteRef/>
      </w:r>
      <w:r w:rsidRPr="00D53715">
        <w:t xml:space="preserve"> </w:t>
      </w:r>
      <w:r w:rsidRPr="00D53715">
        <w:rPr>
          <w:lang w:val="en-AU"/>
        </w:rPr>
        <w:t xml:space="preserve">See </w:t>
      </w:r>
      <w:hyperlink r:id="rId2" w:history="1">
        <w:r w:rsidRPr="00D53715">
          <w:rPr>
            <w:rStyle w:val="Hyperlink"/>
            <w:lang w:val="en-AU"/>
          </w:rPr>
          <w:t>www.aria.com.au</w:t>
        </w:r>
      </w:hyperlink>
      <w:r w:rsidRPr="00D53715">
        <w:rPr>
          <w:lang w:val="en-AU"/>
        </w:rPr>
        <w:t xml:space="preserve">. </w:t>
      </w:r>
    </w:p>
  </w:footnote>
  <w:footnote w:id="3">
    <w:p w:rsidR="005970AA" w:rsidRPr="00D53715" w:rsidRDefault="005970AA" w:rsidP="008A64CF">
      <w:pPr>
        <w:pStyle w:val="FootnoteText"/>
      </w:pPr>
      <w:r w:rsidRPr="00D53715">
        <w:rPr>
          <w:rStyle w:val="FootnoteReference"/>
        </w:rPr>
        <w:footnoteRef/>
      </w:r>
      <w:r w:rsidRPr="00D53715">
        <w:t xml:space="preserve"> Productivity Commission, </w:t>
      </w:r>
      <w:r w:rsidRPr="00D413CE">
        <w:rPr>
          <w:i/>
        </w:rPr>
        <w:t>Issues Paper on Intellectual Property Arrangements</w:t>
      </w:r>
      <w:r w:rsidRPr="00D53715">
        <w:t xml:space="preserve">, October 2015, p 28. </w:t>
      </w:r>
    </w:p>
  </w:footnote>
  <w:footnote w:id="4">
    <w:p w:rsidR="005970AA" w:rsidRPr="00D53715" w:rsidRDefault="005970AA">
      <w:pPr>
        <w:pStyle w:val="FootnoteText"/>
      </w:pPr>
      <w:r w:rsidRPr="00D53715">
        <w:rPr>
          <w:rStyle w:val="FootnoteReference"/>
        </w:rPr>
        <w:footnoteRef/>
      </w:r>
      <w:r w:rsidRPr="00D53715">
        <w:t xml:space="preserve"> Productivity Commission, </w:t>
      </w:r>
      <w:r w:rsidRPr="00D53715">
        <w:rPr>
          <w:i/>
        </w:rPr>
        <w:t>Issues Paper on Intellectual Property Arrangements</w:t>
      </w:r>
      <w:r w:rsidRPr="00D53715">
        <w:t xml:space="preserve">, </w:t>
      </w:r>
      <w:r>
        <w:t>October</w:t>
      </w:r>
      <w:r w:rsidRPr="00D53715">
        <w:t xml:space="preserve"> 2015, p 21. </w:t>
      </w:r>
    </w:p>
  </w:footnote>
  <w:footnote w:id="5">
    <w:p w:rsidR="005970AA" w:rsidRPr="00D53715" w:rsidRDefault="005970AA">
      <w:pPr>
        <w:pStyle w:val="FootnoteText"/>
      </w:pPr>
      <w:r w:rsidRPr="00D53715">
        <w:rPr>
          <w:rStyle w:val="FootnoteReference"/>
        </w:rPr>
        <w:footnoteRef/>
      </w:r>
      <w:r w:rsidRPr="00D53715">
        <w:t xml:space="preserve"> MRA Submission, </w:t>
      </w:r>
      <w:r w:rsidRPr="00D53715">
        <w:rPr>
          <w:i/>
        </w:rPr>
        <w:t>Online Copyright Infringement Discussion Paper</w:t>
      </w:r>
      <w:r w:rsidRPr="00D53715">
        <w:t>,</w:t>
      </w:r>
      <w:r>
        <w:t xml:space="preserve"> April 2014,</w:t>
      </w:r>
      <w:r w:rsidRPr="00D53715">
        <w:rPr>
          <w:i/>
        </w:rPr>
        <w:t xml:space="preserve"> </w:t>
      </w:r>
      <w:r w:rsidRPr="00D53715">
        <w:t xml:space="preserve">p 10.  </w:t>
      </w:r>
    </w:p>
  </w:footnote>
  <w:footnote w:id="6">
    <w:p w:rsidR="005970AA" w:rsidRPr="00D53715" w:rsidRDefault="005970AA">
      <w:pPr>
        <w:pStyle w:val="FootnoteText"/>
      </w:pPr>
      <w:r w:rsidRPr="00D53715">
        <w:rPr>
          <w:rStyle w:val="FootnoteReference"/>
        </w:rPr>
        <w:footnoteRef/>
      </w:r>
      <w:r w:rsidRPr="00D53715">
        <w:t xml:space="preserve"> Productivity Commission, </w:t>
      </w:r>
      <w:r w:rsidRPr="00D53715">
        <w:rPr>
          <w:i/>
        </w:rPr>
        <w:t>Issues Paper on Intellectual Property Arrangements</w:t>
      </w:r>
      <w:r w:rsidRPr="00D53715">
        <w:t>, October 2015.</w:t>
      </w:r>
    </w:p>
  </w:footnote>
  <w:footnote w:id="7">
    <w:p w:rsidR="005970AA" w:rsidRPr="00D53715" w:rsidRDefault="005970AA">
      <w:pPr>
        <w:pStyle w:val="FootnoteText"/>
      </w:pPr>
      <w:r w:rsidRPr="00D53715">
        <w:rPr>
          <w:rStyle w:val="FootnoteReference"/>
        </w:rPr>
        <w:footnoteRef/>
      </w:r>
      <w:r w:rsidRPr="00D53715">
        <w:t xml:space="preserve"> </w:t>
      </w:r>
      <w:r w:rsidRPr="00D53715">
        <w:rPr>
          <w:rFonts w:cs="Arial"/>
          <w:color w:val="000000"/>
        </w:rPr>
        <w:t>Commonwealth, </w:t>
      </w:r>
      <w:r w:rsidRPr="00D53715">
        <w:rPr>
          <w:rStyle w:val="Emphasis"/>
          <w:rFonts w:cs="Arial"/>
          <w:color w:val="000000"/>
        </w:rPr>
        <w:t>Parliamentary Debates</w:t>
      </w:r>
      <w:r w:rsidRPr="00D53715">
        <w:rPr>
          <w:rFonts w:cs="Arial"/>
          <w:color w:val="000000"/>
        </w:rPr>
        <w:t xml:space="preserve">, Senate, 16 June 2015, </w:t>
      </w:r>
      <w:r>
        <w:rPr>
          <w:rFonts w:cs="Arial"/>
          <w:color w:val="000000"/>
        </w:rPr>
        <w:t xml:space="preserve">p </w:t>
      </w:r>
      <w:r w:rsidRPr="00D53715">
        <w:rPr>
          <w:rFonts w:cs="Arial"/>
          <w:color w:val="000000"/>
        </w:rPr>
        <w:t>81 (Malcolm Turnb</w:t>
      </w:r>
      <w:r>
        <w:rPr>
          <w:rFonts w:cs="Arial"/>
          <w:color w:val="000000"/>
        </w:rPr>
        <w:t>u</w:t>
      </w:r>
      <w:r w:rsidRPr="00D53715">
        <w:rPr>
          <w:rFonts w:cs="Arial"/>
          <w:color w:val="000000"/>
        </w:rPr>
        <w:t>ll)</w:t>
      </w:r>
      <w:r w:rsidRPr="00D5371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839"/>
    <w:multiLevelType w:val="hybridMultilevel"/>
    <w:tmpl w:val="5F5C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41AC"/>
    <w:multiLevelType w:val="hybridMultilevel"/>
    <w:tmpl w:val="2A2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6B3D"/>
    <w:multiLevelType w:val="hybridMultilevel"/>
    <w:tmpl w:val="B19C2A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A1A65"/>
    <w:multiLevelType w:val="hybridMultilevel"/>
    <w:tmpl w:val="73E8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53BC7"/>
    <w:multiLevelType w:val="hybridMultilevel"/>
    <w:tmpl w:val="1E7E0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166CA"/>
    <w:multiLevelType w:val="hybridMultilevel"/>
    <w:tmpl w:val="27625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663F5B"/>
    <w:multiLevelType w:val="hybridMultilevel"/>
    <w:tmpl w:val="6A804D36"/>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C60E3"/>
    <w:multiLevelType w:val="hybridMultilevel"/>
    <w:tmpl w:val="D30893D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35B0A"/>
    <w:multiLevelType w:val="hybridMultilevel"/>
    <w:tmpl w:val="9AC02712"/>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B2F25"/>
    <w:multiLevelType w:val="hybridMultilevel"/>
    <w:tmpl w:val="545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B707A"/>
    <w:multiLevelType w:val="hybridMultilevel"/>
    <w:tmpl w:val="9DEE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40"/>
    <w:rsid w:val="00013654"/>
    <w:rsid w:val="000265C6"/>
    <w:rsid w:val="0005061E"/>
    <w:rsid w:val="000532BB"/>
    <w:rsid w:val="000F5226"/>
    <w:rsid w:val="00112438"/>
    <w:rsid w:val="00125584"/>
    <w:rsid w:val="00130655"/>
    <w:rsid w:val="001A10B9"/>
    <w:rsid w:val="001B0C3E"/>
    <w:rsid w:val="00232B1E"/>
    <w:rsid w:val="002575D1"/>
    <w:rsid w:val="0027773B"/>
    <w:rsid w:val="00331239"/>
    <w:rsid w:val="00383B26"/>
    <w:rsid w:val="00384EC9"/>
    <w:rsid w:val="003A75BD"/>
    <w:rsid w:val="003D3178"/>
    <w:rsid w:val="003E0D89"/>
    <w:rsid w:val="00432709"/>
    <w:rsid w:val="004348DF"/>
    <w:rsid w:val="004736AE"/>
    <w:rsid w:val="004843C0"/>
    <w:rsid w:val="00495E15"/>
    <w:rsid w:val="004B6E41"/>
    <w:rsid w:val="00541194"/>
    <w:rsid w:val="005620EE"/>
    <w:rsid w:val="00565CEA"/>
    <w:rsid w:val="0057102B"/>
    <w:rsid w:val="0057258D"/>
    <w:rsid w:val="00575F7D"/>
    <w:rsid w:val="00577174"/>
    <w:rsid w:val="005970AA"/>
    <w:rsid w:val="005C7230"/>
    <w:rsid w:val="006252F8"/>
    <w:rsid w:val="00625486"/>
    <w:rsid w:val="0065350B"/>
    <w:rsid w:val="006D450E"/>
    <w:rsid w:val="00724758"/>
    <w:rsid w:val="00745E9A"/>
    <w:rsid w:val="00754027"/>
    <w:rsid w:val="0079004C"/>
    <w:rsid w:val="0080278F"/>
    <w:rsid w:val="008704AB"/>
    <w:rsid w:val="008A64CF"/>
    <w:rsid w:val="008A6C08"/>
    <w:rsid w:val="008A7ADF"/>
    <w:rsid w:val="008D608E"/>
    <w:rsid w:val="00964B6C"/>
    <w:rsid w:val="00991614"/>
    <w:rsid w:val="009B05C0"/>
    <w:rsid w:val="009C653B"/>
    <w:rsid w:val="009D5040"/>
    <w:rsid w:val="00A3522A"/>
    <w:rsid w:val="00A457DE"/>
    <w:rsid w:val="00A62B14"/>
    <w:rsid w:val="00A867A3"/>
    <w:rsid w:val="00AB6AC6"/>
    <w:rsid w:val="00AD25DB"/>
    <w:rsid w:val="00B1316E"/>
    <w:rsid w:val="00B5339B"/>
    <w:rsid w:val="00B75F79"/>
    <w:rsid w:val="00BC4D2C"/>
    <w:rsid w:val="00C15CB5"/>
    <w:rsid w:val="00CC3479"/>
    <w:rsid w:val="00D162C6"/>
    <w:rsid w:val="00D413CE"/>
    <w:rsid w:val="00D53715"/>
    <w:rsid w:val="00DB4332"/>
    <w:rsid w:val="00DD1225"/>
    <w:rsid w:val="00E54235"/>
    <w:rsid w:val="00E73336"/>
    <w:rsid w:val="00EE2020"/>
    <w:rsid w:val="00EF172A"/>
    <w:rsid w:val="00F544B9"/>
    <w:rsid w:val="00F73547"/>
    <w:rsid w:val="00F8135C"/>
    <w:rsid w:val="00F8374F"/>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0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0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2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78F"/>
    <w:rPr>
      <w:sz w:val="20"/>
      <w:szCs w:val="20"/>
    </w:rPr>
  </w:style>
  <w:style w:type="character" w:styleId="FootnoteReference">
    <w:name w:val="footnote reference"/>
    <w:basedOn w:val="DefaultParagraphFont"/>
    <w:uiPriority w:val="99"/>
    <w:semiHidden/>
    <w:unhideWhenUsed/>
    <w:rsid w:val="0080278F"/>
    <w:rPr>
      <w:vertAlign w:val="superscript"/>
    </w:rPr>
  </w:style>
  <w:style w:type="character" w:customStyle="1" w:styleId="Heading2Char">
    <w:name w:val="Heading 2 Char"/>
    <w:basedOn w:val="DefaultParagraphFont"/>
    <w:link w:val="Heading2"/>
    <w:uiPriority w:val="9"/>
    <w:rsid w:val="007900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0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7ADF"/>
    <w:pPr>
      <w:ind w:left="720"/>
      <w:contextualSpacing/>
    </w:pPr>
  </w:style>
  <w:style w:type="paragraph" w:styleId="BalloonText">
    <w:name w:val="Balloon Text"/>
    <w:basedOn w:val="Normal"/>
    <w:link w:val="BalloonTextChar"/>
    <w:uiPriority w:val="99"/>
    <w:semiHidden/>
    <w:unhideWhenUsed/>
    <w:rsid w:val="00D1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C6"/>
    <w:rPr>
      <w:rFonts w:ascii="Tahoma" w:hAnsi="Tahoma" w:cs="Tahoma"/>
      <w:sz w:val="16"/>
      <w:szCs w:val="16"/>
    </w:rPr>
  </w:style>
  <w:style w:type="character" w:styleId="Hyperlink">
    <w:name w:val="Hyperlink"/>
    <w:basedOn w:val="DefaultParagraphFont"/>
    <w:uiPriority w:val="99"/>
    <w:unhideWhenUsed/>
    <w:rsid w:val="00A62B14"/>
    <w:rPr>
      <w:color w:val="0000FF" w:themeColor="hyperlink"/>
      <w:u w:val="single"/>
    </w:rPr>
  </w:style>
  <w:style w:type="paragraph" w:styleId="Header">
    <w:name w:val="header"/>
    <w:basedOn w:val="Normal"/>
    <w:link w:val="HeaderChar"/>
    <w:uiPriority w:val="99"/>
    <w:unhideWhenUsed/>
    <w:rsid w:val="00A62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B14"/>
  </w:style>
  <w:style w:type="paragraph" w:styleId="Footer">
    <w:name w:val="footer"/>
    <w:basedOn w:val="Normal"/>
    <w:link w:val="FooterChar"/>
    <w:uiPriority w:val="99"/>
    <w:unhideWhenUsed/>
    <w:rsid w:val="00A62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B14"/>
  </w:style>
  <w:style w:type="character" w:styleId="Emphasis">
    <w:name w:val="Emphasis"/>
    <w:basedOn w:val="DefaultParagraphFont"/>
    <w:uiPriority w:val="20"/>
    <w:qFormat/>
    <w:rsid w:val="00DD1225"/>
    <w:rPr>
      <w:i/>
      <w:iCs/>
    </w:rPr>
  </w:style>
  <w:style w:type="paragraph" w:styleId="NoSpacing">
    <w:name w:val="No Spacing"/>
    <w:link w:val="NoSpacingChar"/>
    <w:uiPriority w:val="1"/>
    <w:qFormat/>
    <w:rsid w:val="00B1316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316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0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0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2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78F"/>
    <w:rPr>
      <w:sz w:val="20"/>
      <w:szCs w:val="20"/>
    </w:rPr>
  </w:style>
  <w:style w:type="character" w:styleId="FootnoteReference">
    <w:name w:val="footnote reference"/>
    <w:basedOn w:val="DefaultParagraphFont"/>
    <w:uiPriority w:val="99"/>
    <w:semiHidden/>
    <w:unhideWhenUsed/>
    <w:rsid w:val="0080278F"/>
    <w:rPr>
      <w:vertAlign w:val="superscript"/>
    </w:rPr>
  </w:style>
  <w:style w:type="character" w:customStyle="1" w:styleId="Heading2Char">
    <w:name w:val="Heading 2 Char"/>
    <w:basedOn w:val="DefaultParagraphFont"/>
    <w:link w:val="Heading2"/>
    <w:uiPriority w:val="9"/>
    <w:rsid w:val="007900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0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7ADF"/>
    <w:pPr>
      <w:ind w:left="720"/>
      <w:contextualSpacing/>
    </w:pPr>
  </w:style>
  <w:style w:type="paragraph" w:styleId="BalloonText">
    <w:name w:val="Balloon Text"/>
    <w:basedOn w:val="Normal"/>
    <w:link w:val="BalloonTextChar"/>
    <w:uiPriority w:val="99"/>
    <w:semiHidden/>
    <w:unhideWhenUsed/>
    <w:rsid w:val="00D1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C6"/>
    <w:rPr>
      <w:rFonts w:ascii="Tahoma" w:hAnsi="Tahoma" w:cs="Tahoma"/>
      <w:sz w:val="16"/>
      <w:szCs w:val="16"/>
    </w:rPr>
  </w:style>
  <w:style w:type="character" w:styleId="Hyperlink">
    <w:name w:val="Hyperlink"/>
    <w:basedOn w:val="DefaultParagraphFont"/>
    <w:uiPriority w:val="99"/>
    <w:unhideWhenUsed/>
    <w:rsid w:val="00A62B14"/>
    <w:rPr>
      <w:color w:val="0000FF" w:themeColor="hyperlink"/>
      <w:u w:val="single"/>
    </w:rPr>
  </w:style>
  <w:style w:type="paragraph" w:styleId="Header">
    <w:name w:val="header"/>
    <w:basedOn w:val="Normal"/>
    <w:link w:val="HeaderChar"/>
    <w:uiPriority w:val="99"/>
    <w:unhideWhenUsed/>
    <w:rsid w:val="00A62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B14"/>
  </w:style>
  <w:style w:type="paragraph" w:styleId="Footer">
    <w:name w:val="footer"/>
    <w:basedOn w:val="Normal"/>
    <w:link w:val="FooterChar"/>
    <w:uiPriority w:val="99"/>
    <w:unhideWhenUsed/>
    <w:rsid w:val="00A62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B14"/>
  </w:style>
  <w:style w:type="character" w:styleId="Emphasis">
    <w:name w:val="Emphasis"/>
    <w:basedOn w:val="DefaultParagraphFont"/>
    <w:uiPriority w:val="20"/>
    <w:qFormat/>
    <w:rsid w:val="00DD1225"/>
    <w:rPr>
      <w:i/>
      <w:iCs/>
    </w:rPr>
  </w:style>
  <w:style w:type="paragraph" w:styleId="NoSpacing">
    <w:name w:val="No Spacing"/>
    <w:link w:val="NoSpacingChar"/>
    <w:uiPriority w:val="1"/>
    <w:qFormat/>
    <w:rsid w:val="00B1316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316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hutley@musicrights.com.a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ria.com.au" TargetMode="External"/><Relationship Id="rId1" Type="http://schemas.openxmlformats.org/officeDocument/2006/relationships/hyperlink" Target="http://www.apraamco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CA3C-E964-4AA3-86D7-F11CC12E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51 - Music Rights Australia Pty Ltd - Intellectual Property Arrangements - Public inquiry</vt:lpstr>
    </vt:vector>
  </TitlesOfParts>
  <Company>Music Rights Australia Pty Ltd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Music Rights Australia Pty Ltd - Intellectual Property Arrangements - Public inquiry</dc:title>
  <dc:creator>Music Rights Australia Pty Ltd</dc:creator>
  <cp:lastModifiedBy>Productivity Commission</cp:lastModifiedBy>
  <cp:revision>3</cp:revision>
  <cp:lastPrinted>2015-11-23T02:37:00Z</cp:lastPrinted>
  <dcterms:created xsi:type="dcterms:W3CDTF">2015-11-29T23:54:00Z</dcterms:created>
  <dcterms:modified xsi:type="dcterms:W3CDTF">2015-12-03T03:00:00Z</dcterms:modified>
</cp:coreProperties>
</file>