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D3B" w:rsidRDefault="00F43426">
      <w:pPr>
        <w:pStyle w:val="BodyText"/>
        <w:rPr>
          <w:rFonts w:ascii="Times New Roman"/>
          <w:sz w:val="20"/>
        </w:rPr>
      </w:pPr>
      <w:bookmarkStart w:id="0" w:name="_GoBack"/>
      <w:bookmarkEnd w:id="0"/>
      <w:r>
        <w:rPr>
          <w:rFonts w:ascii="Times New Roman"/>
          <w:noProof/>
          <w:sz w:val="20"/>
          <w:lang w:val="en-AU" w:eastAsia="en-AU"/>
        </w:rPr>
        <w:drawing>
          <wp:inline distT="0" distB="0" distL="0" distR="0">
            <wp:extent cx="7569642" cy="67904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9982" cy="6790719"/>
                    </a:xfrm>
                    <a:prstGeom prst="rect">
                      <a:avLst/>
                    </a:prstGeom>
                    <a:noFill/>
                    <a:ln>
                      <a:noFill/>
                    </a:ln>
                  </pic:spPr>
                </pic:pic>
              </a:graphicData>
            </a:graphic>
          </wp:inline>
        </w:drawing>
      </w:r>
      <w:r w:rsidR="003E7D83">
        <w:pict>
          <v:rect id="_x0000_s1063" style="position:absolute;margin-left:0;margin-top:830.45pt;width:595.3pt;height:11.45pt;z-index:-42400;mso-position-horizontal-relative:page;mso-position-vertical-relative:page" fillcolor="#0091d5" stroked="f">
            <w10:wrap anchorx="page" anchory="page"/>
          </v:rect>
        </w:pict>
      </w:r>
    </w:p>
    <w:p w:rsidR="00865D3B" w:rsidRDefault="00865D3B">
      <w:pPr>
        <w:pStyle w:val="BodyText"/>
        <w:rPr>
          <w:rFonts w:ascii="Times New Roman"/>
          <w:sz w:val="20"/>
        </w:rPr>
      </w:pPr>
    </w:p>
    <w:p w:rsidR="00865D3B" w:rsidRDefault="00865D3B">
      <w:pPr>
        <w:pStyle w:val="BodyText"/>
        <w:rPr>
          <w:rFonts w:ascii="Times New Roman"/>
          <w:sz w:val="20"/>
        </w:rPr>
      </w:pPr>
    </w:p>
    <w:p w:rsidR="00865D3B" w:rsidRDefault="00865D3B">
      <w:pPr>
        <w:pStyle w:val="BodyText"/>
        <w:rPr>
          <w:rFonts w:ascii="Times New Roman"/>
          <w:sz w:val="20"/>
        </w:rPr>
      </w:pPr>
    </w:p>
    <w:p w:rsidR="00865D3B" w:rsidRDefault="003E7D83">
      <w:pPr>
        <w:pStyle w:val="BodyText"/>
        <w:ind w:left="4818"/>
        <w:rPr>
          <w:rFonts w:ascii="Times New Roman"/>
          <w:sz w:val="20"/>
        </w:rPr>
      </w:pPr>
      <w:r>
        <w:rPr>
          <w:rFonts w:ascii="Times New Roman"/>
          <w:sz w:val="20"/>
        </w:rPr>
      </w:r>
      <w:r>
        <w:rPr>
          <w:rFonts w:ascii="Times New Roman"/>
          <w:sz w:val="20"/>
        </w:rPr>
        <w:pict>
          <v:group id="_x0000_s1035" style="width:120.55pt;height:73.4pt;mso-position-horizontal-relative:char;mso-position-vertical-relative:line" coordsize="2411,1468">
            <v:shape id="_x0000_s1062" style="position:absolute;top:673;width:1275;height:795" coordorigin=",673" coordsize="1275,795" path="m1275,673r-58,47l1147,745r-44,7l134,752,,1468r960,l1024,1455r57,-34l1124,1371r24,-62l1275,673xe" fillcolor="#00529b" stroked="f">
              <v:path arrowok="t"/>
            </v:shape>
            <v:shape id="_x0000_s1061" style="position:absolute;left:150;width:1253;height:717" coordorigin="150" coordsize="1253,717" path="m1403,l443,,379,12,322,46,279,97r-24,61l150,716r960,l1174,704r57,-34l1274,619r24,-61l1403,xe" fillcolor="#00529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208;top:1213;width:189;height:175">
              <v:imagedata r:id="rId8" o:title=""/>
            </v:shape>
            <v:shape id="_x0000_s1059" style="position:absolute;left:908;top:814;width:81;height:85" coordorigin="909,815" coordsize="81,85" o:spt="100" adj="0,,0" path="m922,830r6,23l909,867r21,4l922,900r22,-18l963,882r1,-10l990,867,973,854r9,-17l943,837r-21,-7xm963,882r-19,l961,899r2,-17xm956,815r-13,22l982,837r,l962,837r-6,-22xm985,831r-23,6l982,837r3,-6xe" stroked="f">
              <v:stroke joinstyle="round"/>
              <v:formulas/>
              <v:path arrowok="t" o:connecttype="segments"/>
            </v:shape>
            <v:shape id="_x0000_s1058" style="position:absolute;left:908;top:814;width:81;height:85" coordorigin="909,815" coordsize="81,85" path="m922,900r8,-29l909,867r19,-14l922,830r21,7l956,815r6,22l985,831r-12,23l990,867r-26,5l961,899,944,882r-22,18xe" filled="f" strokecolor="white" strokeweight=".01pt">
              <v:path arrowok="t"/>
            </v:shape>
            <v:shape id="_x0000_s1057" style="position:absolute;left:932;top:1104;width:57;height:50" coordorigin="932,1105" coordsize="57,50" o:spt="100" adj="0,,0" path="m989,1122r-57,l946,1134r-12,20l957,1141r13,l969,1134r20,-12xm970,1141r-13,l972,1154r-2,-13xm964,1105r-11,17l967,1122r-3,-17xe" stroked="f">
              <v:stroke joinstyle="round"/>
              <v:formulas/>
              <v:path arrowok="t" o:connecttype="segments"/>
            </v:shape>
            <v:shape id="_x0000_s1056" style="position:absolute;left:932;top:1104;width:57;height:50" coordorigin="932,1105" coordsize="57,50" path="m932,1122r21,l964,1105r3,17l989,1122r-20,12l972,1154r-15,-13l934,1154r12,-20l932,1122xe" filled="f" strokecolor="white" strokeweight=".01pt">
              <v:path arrowok="t"/>
            </v:shape>
            <v:shape id="_x0000_s1055" style="position:absolute;left:727;top:997;width:85;height:91" coordorigin="727,997" coordsize="85,91" o:spt="100" adj="0,,0" path="m741,1014r6,24l727,1053r22,5l741,1087r24,-18l784,1069r1,-11l812,1052r-18,-14l803,1021r-39,l741,1014xm784,1069r-19,l782,1087r2,-18xm777,997r-13,24l803,1021r,l783,1021r-6,-24xm807,1014r-24,7l803,1021r4,-7xe" stroked="f">
              <v:stroke joinstyle="round"/>
              <v:formulas/>
              <v:path arrowok="t" o:connecttype="segments"/>
            </v:shape>
            <v:shape id="_x0000_s1054" style="position:absolute;left:727;top:997;width:85;height:91" coordorigin="727,997" coordsize="85,91" path="m741,1087r8,-29l727,1053r20,-15l741,1014r23,7l777,997r6,24l807,1014r-13,24l812,1052r-27,6l782,1087r-17,-18l741,1087xe" filled="f" strokecolor="white" strokeweight=".01pt">
              <v:path arrowok="t"/>
            </v:shape>
            <v:shape id="_x0000_s1053" style="position:absolute;left:1007;top:966;width:87;height:93" coordorigin="1008,966" coordsize="87,93" o:spt="100" adj="0,,0" path="m1022,983r6,24l1008,1023r23,5l1022,1058r24,-19l1066,1039r1,-10l1094,1022r-18,-13l1086,991r-41,l1022,983xm1066,1039r-20,l1064,1058r2,-19xm1059,966r-14,25l1086,991r,l1065,991r-6,-25xm1090,984r-25,7l1086,991r4,-7xe" stroked="f">
              <v:stroke joinstyle="round"/>
              <v:formulas/>
              <v:path arrowok="t" o:connecttype="segments"/>
            </v:shape>
            <v:shape id="_x0000_s1052" style="position:absolute;left:1007;top:966;width:87;height:93" coordorigin="1008,966" coordsize="87,93" path="m1022,1058r9,-30l1008,1023r20,-16l1022,983r23,8l1059,966r6,25l1090,984r-14,25l1094,1022r-27,7l1064,1058r-18,-19l1022,1058xe" filled="f" strokecolor="white" strokeweight=".01pt">
              <v:path arrowok="t"/>
            </v:shape>
            <v:shape id="_x0000_s1051" style="position:absolute;left:828;top:1309;width:87;height:93" coordorigin="829,1310" coordsize="87,93" o:spt="100" adj="0,,0" path="m843,1327r6,24l829,1367r22,5l843,1402r24,-19l886,1383r2,-11l915,1366r-18,-14l906,1335r-41,l843,1327xm886,1383r-19,l884,1401r2,-18xm879,1310r-14,25l906,1335r,-1l886,1334r-7,-24xm910,1327r-24,7l906,1334r4,-7xe" stroked="f">
              <v:stroke joinstyle="round"/>
              <v:formulas/>
              <v:path arrowok="t" o:connecttype="segments"/>
            </v:shape>
            <v:shape id="_x0000_s1050" style="position:absolute;left:828;top:1309;width:87;height:93" coordorigin="829,1310" coordsize="87,93" path="m843,1402r8,-30l829,1367r20,-16l843,1327r22,8l879,1310r7,24l910,1327r-13,25l915,1366r-27,6l884,1401r-17,-18l843,1402xe" filled="f" strokecolor="white" strokeweight=".01pt">
              <v:path arrowok="t"/>
            </v:shape>
            <v:shape id="_x0000_s1049" style="position:absolute;left:63;top:751;width:628;height:379" coordorigin="63,752" coordsize="628,379" o:spt="100" adj="0,,0" path="m315,996r-87,l71,1091r-8,39l109,1130,315,996xm407,996r-92,l293,1130r92,l407,996xm505,996r-98,l563,1130r65,l633,1096,505,996xm670,876r-559,l88,996r562,l670,876xm182,752r-48,l126,795r104,81l520,876r5,-2l335,874,182,752xm448,752r-93,l335,874r93,l448,752xm690,752r-52,l428,874r97,l685,782r5,-30xe" stroked="f">
              <v:stroke joinstyle="round"/>
              <v:formulas/>
              <v:path arrowok="t" o:connecttype="segments"/>
            </v:shape>
            <v:shape id="_x0000_s1048" style="position:absolute;left:110;top:794;width:119;height:82" coordorigin="111,795" coordsize="119,82" path="m126,795r104,81l111,876e" filled="f" strokecolor="white" strokeweight=".00317mm">
              <v:path arrowok="t"/>
            </v:shape>
            <v:shape id="_x0000_s1047" style="position:absolute;left:70;top:995;width:158;height:95" coordorigin="71,996" coordsize="158,95" path="m88,996r140,l71,1091e" filled="f" strokecolor="white" strokeweight=".00317mm">
              <v:path arrowok="t"/>
            </v:shape>
            <v:shape id="_x0000_s1046" style="position:absolute;left:63;top:751;width:628;height:379" coordorigin="63,752" coordsize="628,379" path="m63,1130r46,l315,996r-22,134l385,1130,407,996r156,134l628,1130r5,-34l505,996r145,l670,876r-150,l685,782r5,-30e" filled="f" strokecolor="white" strokeweight=".00317mm">
              <v:path arrowok="t"/>
            </v:shape>
            <v:shape id="_x0000_s1045" style="position:absolute;left:427;top:751;width:211;height:123" coordorigin="428,752" coordsize="211,123" path="m638,752l428,874,448,752e" filled="f" strokecolor="white" strokeweight=".00317mm">
              <v:path arrowok="t"/>
            </v:shape>
            <v:shape id="_x0000_s1044" style="position:absolute;left:182;top:751;width:173;height:123" coordorigin="182,752" coordsize="173,123" path="m355,752l335,874,182,752e" filled="f" strokecolor="white" strokeweight=".00317mm">
              <v:path arrowok="t"/>
            </v:shape>
            <v:shape id="_x0000_s1043" style="position:absolute;left:92;top:751;width:574;height:379" coordorigin="92,752" coordsize="574,379" o:spt="100" adj="0,,0" path="m395,976r-58,l311,1130r59,l395,976xm666,900r-560,l92,976r561,l666,900xm432,752r-58,l349,900r59,l432,752xe" fillcolor="#ed1c24" stroked="f">
              <v:stroke joinstyle="round"/>
              <v:formulas/>
              <v:path arrowok="t" o:connecttype="segments"/>
            </v:shape>
            <v:shape id="_x0000_s1042" style="position:absolute;left:106;top:751;width:268;height:149" coordorigin="106,752" coordsize="268,149" path="m106,900r243,l374,752e" filled="f" strokecolor="#ed1c24" strokeweight=".00317mm">
              <v:path arrowok="t"/>
            </v:shape>
            <v:shape id="_x0000_s1041" style="position:absolute;left:92;top:751;width:574;height:379" coordorigin="92,752" coordsize="574,379" path="m432,752l408,900r258,l653,976r-258,l370,1130r-59,l337,976r-245,e" filled="f" strokecolor="#ed1c24" strokeweight=".00317mm">
              <v:path arrowok="t"/>
            </v:shape>
            <v:shape id="_x0000_s1040" type="#_x0000_t75" style="position:absolute;left:64;top:998;width:232;height:132">
              <v:imagedata r:id="rId9" o:title=""/>
            </v:shape>
            <v:shape id="_x0000_s1039" type="#_x0000_t75" style="position:absolute;left:461;top:998;width:170;height:132">
              <v:imagedata r:id="rId10" o:title=""/>
            </v:shape>
            <v:shape id="_x0000_s1038" type="#_x0000_t75" style="position:absolute;left:443;top:751;width:238;height:126">
              <v:imagedata r:id="rId11" o:title=""/>
            </v:shape>
            <v:shape id="_x0000_s1037" type="#_x0000_t75" style="position:absolute;left:128;top:758;width:151;height:116">
              <v:imagedata r:id="rId12" o:title=""/>
            </v:shape>
            <v:shape id="_x0000_s1036" style="position:absolute;left:1072;top:751;width:1338;height:717" coordorigin="1072,752" coordsize="1338,717" path="m2410,752r-960,l1386,764r-56,34l1286,848r-24,62l1187,1309r-5,19l1140,1406r-43,44l1072,1468r1046,l2182,1455r57,-34l2282,1371r24,-62l2410,752xe" fillcolor="#00529b" stroked="f">
              <v:path arrowok="t"/>
            </v:shape>
            <w10:wrap type="none"/>
            <w10:anchorlock/>
          </v:group>
        </w:pict>
      </w:r>
    </w:p>
    <w:p w:rsidR="00865D3B" w:rsidRDefault="00865D3B">
      <w:pPr>
        <w:pStyle w:val="BodyText"/>
        <w:spacing w:before="4"/>
        <w:rPr>
          <w:rFonts w:ascii="Times New Roman"/>
          <w:sz w:val="5"/>
        </w:rPr>
      </w:pPr>
    </w:p>
    <w:p w:rsidR="00865D3B" w:rsidRDefault="003E7D83">
      <w:pPr>
        <w:pStyle w:val="BodyText"/>
        <w:ind w:left="4696"/>
        <w:rPr>
          <w:rFonts w:ascii="Times New Roman"/>
          <w:sz w:val="20"/>
        </w:rPr>
      </w:pPr>
      <w:r>
        <w:rPr>
          <w:rFonts w:ascii="Times New Roman"/>
          <w:sz w:val="20"/>
        </w:rPr>
      </w:r>
      <w:r>
        <w:rPr>
          <w:rFonts w:ascii="Times New Roman"/>
          <w:sz w:val="20"/>
        </w:rPr>
        <w:pict>
          <v:group id="_x0000_s1027" style="width:118.35pt;height:27.75pt;mso-position-horizontal-relative:char;mso-position-vertical-relative:line" coordsize="2367,555">
            <v:shape id="_x0000_s1034" style="position:absolute;width:314;height:555" coordsize="314,555" path="m260,l107,,,555r289,l314,424r-136,l260,xe" fillcolor="#00529b" stroked="f">
              <v:path arrowok="t"/>
            </v:shape>
            <v:shape id="_x0000_s1033" style="position:absolute;left:320;width:261;height:555" coordorigin="321" coordsize="261,555" path="m581,l428,,321,555r153,l581,xe" fillcolor="#00529b" stroked="f">
              <v:path arrowok="t"/>
            </v:shape>
            <v:shape id="_x0000_s1032" style="position:absolute;left:508;width:452;height:555" coordorigin="509" coordsize="452,555" o:spt="100" adj="0,,0" path="m796,l616,,509,555r205,l803,540r62,-39l904,450r6,-15l685,435,706,328r213,l911,308,880,282,833,271r,-2l879,261r37,-24l934,216r-207,l746,120r213,l957,83,921,34,863,8,796,xm919,328r-201,l742,331r19,9l771,357r1,24l762,405r-17,17l722,432r-24,3l910,435r13,-39l926,346r-7,-18xm959,120r-198,l782,123r16,8l807,146r,21l797,190r-16,15l760,213r-24,3l934,216r10,-14l960,158r-1,-38xe" fillcolor="#00529b" stroked="f">
              <v:stroke joinstyle="round"/>
              <v:formulas/>
              <v:path arrowok="t" o:connecttype="segments"/>
            </v:shape>
            <v:shape id="_x0000_s1031" style="position:absolute;left:921;width:392;height:555" coordorigin="921" coordsize="392,555" path="m1312,l1029,,921,555r284,l1230,424r-131,l1116,339r117,l1259,208r-118,l1156,131r131,l1312,xe" fillcolor="#00529b" stroked="f">
              <v:path arrowok="t"/>
            </v:shape>
            <v:shape id="_x0000_s1030" style="position:absolute;left:1240;width:452;height:555" coordorigin="1240" coordsize="452,555" o:spt="100" adj="0,,0" path="m1495,l1348,,1240,555r153,l1422,407r4,-21l1429,366r3,-20l1435,325r2,-1l1574,324r43,-23l1651,268r7,-11l1461,257r-10,-1l1478,119r213,l1692,109,1671,56,1629,23,1569,5,1495,xm1574,324r-137,l1477,555r166,l1574,324xm1691,119r-213,l1506,122r20,12l1537,155r-1,31l1527,212r-16,23l1489,251r-28,6l1658,257r16,-28l1688,185r3,-66xe" fillcolor="#00529b" stroked="f">
              <v:stroke joinstyle="round"/>
              <v:formulas/>
              <v:path arrowok="t" o:connecttype="segments"/>
            </v:shape>
            <v:shape id="_x0000_s1029" style="position:absolute;left:1615;width:443;height:555" coordorigin="1615" coordsize="443,555" o:spt="100" adj="0,,0" path="m2045,l1858,,1615,555r157,l1799,483r257,l2053,366r-211,l1888,237r9,-26l1906,185r16,-53l2048,132,2045,xm2056,483r-154,l1899,555r158,l2056,483xm2048,132r-124,l1922,158r-3,27l1917,211r-2,26l1906,366r147,l2048,132xe" fillcolor="#00529b" stroked="f">
              <v:stroke joinstyle="round"/>
              <v:formulas/>
              <v:path arrowok="t" o:connecttype="segments"/>
            </v:shape>
            <v:shape id="_x0000_s1028" style="position:absolute;left:2052;width:314;height:555" coordorigin="2053" coordsize="314,555" path="m2313,l2160,,2053,555r288,l2367,424r-136,l2313,xe" fillcolor="#00529b" stroked="f">
              <v:path arrowok="t"/>
            </v:shape>
            <w10:wrap type="none"/>
            <w10:anchorlock/>
          </v:group>
        </w:pict>
      </w:r>
    </w:p>
    <w:p w:rsidR="00865D3B" w:rsidRDefault="000C3A69">
      <w:pPr>
        <w:spacing w:line="298" w:lineRule="exact"/>
        <w:ind w:left="355" w:right="528"/>
        <w:jc w:val="center"/>
        <w:rPr>
          <w:rFonts w:ascii="Arial Narrow"/>
          <w:i/>
          <w:sz w:val="27"/>
        </w:rPr>
      </w:pPr>
      <w:r>
        <w:rPr>
          <w:rFonts w:ascii="Arial Narrow"/>
          <w:i/>
          <w:color w:val="00529B"/>
          <w:sz w:val="27"/>
        </w:rPr>
        <w:t>WESTERN AUSTRALIA</w:t>
      </w:r>
    </w:p>
    <w:p w:rsidR="00865D3B" w:rsidRDefault="00865D3B">
      <w:pPr>
        <w:pStyle w:val="BodyText"/>
        <w:spacing w:before="4"/>
        <w:rPr>
          <w:rFonts w:ascii="Arial Narrow"/>
          <w:i/>
          <w:sz w:val="46"/>
        </w:rPr>
      </w:pPr>
    </w:p>
    <w:p w:rsidR="00865D3B" w:rsidRDefault="000C3A69">
      <w:pPr>
        <w:pStyle w:val="Heading1"/>
        <w:ind w:right="528"/>
        <w:jc w:val="center"/>
      </w:pPr>
      <w:r>
        <w:rPr>
          <w:color w:val="231F20"/>
        </w:rPr>
        <w:t>WESTERN AUSTRALIAN PARLIAMENTARY LIBERAL PARTY</w:t>
      </w:r>
    </w:p>
    <w:p w:rsidR="00865D3B" w:rsidRDefault="000C3A69">
      <w:pPr>
        <w:spacing w:before="310"/>
        <w:ind w:left="802" w:right="526"/>
        <w:jc w:val="center"/>
        <w:rPr>
          <w:rFonts w:ascii="Gotham Narrow Book"/>
          <w:sz w:val="36"/>
        </w:rPr>
      </w:pPr>
      <w:r>
        <w:rPr>
          <w:rFonts w:ascii="Gotham Narrow Book"/>
          <w:color w:val="231F20"/>
          <w:sz w:val="36"/>
        </w:rPr>
        <w:t>SUBMISSION TO THE PRODUCTIVITY COMMISSION INQUIRY INTO HORIZONTAL FISCAL EQUALISATION</w:t>
      </w:r>
    </w:p>
    <w:p w:rsidR="00865D3B" w:rsidRDefault="00865D3B">
      <w:pPr>
        <w:jc w:val="center"/>
        <w:rPr>
          <w:rFonts w:ascii="Gotham Narrow Book"/>
          <w:sz w:val="36"/>
        </w:rPr>
        <w:sectPr w:rsidR="00865D3B">
          <w:type w:val="continuous"/>
          <w:pgSz w:w="11910" w:h="16840"/>
          <w:pgMar w:top="0" w:right="0" w:bottom="0" w:left="0" w:header="720" w:footer="720" w:gutter="0"/>
          <w:cols w:space="720"/>
        </w:sect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rPr>
          <w:rFonts w:ascii="Gotham Narrow Book"/>
          <w:sz w:val="20"/>
        </w:rPr>
      </w:pPr>
    </w:p>
    <w:p w:rsidR="00865D3B" w:rsidRDefault="00865D3B">
      <w:pPr>
        <w:pStyle w:val="BodyText"/>
        <w:spacing w:before="9"/>
        <w:rPr>
          <w:rFonts w:ascii="Gotham Narrow Book"/>
          <w:sz w:val="29"/>
        </w:rPr>
      </w:pPr>
    </w:p>
    <w:p w:rsidR="00865D3B" w:rsidRDefault="000C3A69">
      <w:pPr>
        <w:pStyle w:val="Heading1"/>
        <w:spacing w:before="128"/>
        <w:ind w:left="3556"/>
      </w:pPr>
      <w:r>
        <w:rPr>
          <w:color w:val="231F20"/>
        </w:rPr>
        <w:t>KEY CONTRIBUTORS</w:t>
      </w:r>
    </w:p>
    <w:p w:rsidR="00865D3B" w:rsidRDefault="00865D3B">
      <w:pPr>
        <w:pStyle w:val="BodyText"/>
        <w:rPr>
          <w:rFonts w:ascii="Gotham Narrow Ultra"/>
          <w:sz w:val="20"/>
        </w:rPr>
      </w:pPr>
    </w:p>
    <w:p w:rsidR="00865D3B" w:rsidRDefault="00865D3B">
      <w:pPr>
        <w:pStyle w:val="BodyText"/>
        <w:rPr>
          <w:rFonts w:ascii="Gotham Narrow Ultra"/>
          <w:sz w:val="20"/>
        </w:rPr>
      </w:pPr>
    </w:p>
    <w:p w:rsidR="00865D3B" w:rsidRDefault="00865D3B">
      <w:pPr>
        <w:pStyle w:val="BodyText"/>
        <w:rPr>
          <w:rFonts w:ascii="Gotham Narrow Ultra"/>
          <w:sz w:val="20"/>
        </w:rPr>
      </w:pPr>
    </w:p>
    <w:p w:rsidR="00865D3B" w:rsidRDefault="000C3A69">
      <w:pPr>
        <w:pStyle w:val="BodyText"/>
        <w:spacing w:before="4"/>
        <w:rPr>
          <w:rFonts w:ascii="Gotham Narrow Ultra"/>
          <w:sz w:val="27"/>
        </w:rPr>
      </w:pPr>
      <w:r>
        <w:rPr>
          <w:noProof/>
          <w:lang w:val="en-AU" w:eastAsia="en-AU"/>
        </w:rPr>
        <w:drawing>
          <wp:anchor distT="0" distB="0" distL="0" distR="0" simplePos="0" relativeHeight="1120" behindDoc="0" locked="0" layoutInCell="1" allowOverlap="1">
            <wp:simplePos x="0" y="0"/>
            <wp:positionH relativeFrom="page">
              <wp:posOffset>501399</wp:posOffset>
            </wp:positionH>
            <wp:positionV relativeFrom="paragraph">
              <wp:posOffset>233616</wp:posOffset>
            </wp:positionV>
            <wp:extent cx="2997641" cy="2535936"/>
            <wp:effectExtent l="0" t="0" r="0" b="0"/>
            <wp:wrapTopAndBottom/>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3" cstate="print"/>
                    <a:stretch>
                      <a:fillRect/>
                    </a:stretch>
                  </pic:blipFill>
                  <pic:spPr>
                    <a:xfrm>
                      <a:off x="0" y="0"/>
                      <a:ext cx="2997641" cy="2535936"/>
                    </a:xfrm>
                    <a:prstGeom prst="rect">
                      <a:avLst/>
                    </a:prstGeom>
                  </pic:spPr>
                </pic:pic>
              </a:graphicData>
            </a:graphic>
          </wp:anchor>
        </w:drawing>
      </w:r>
      <w:r>
        <w:rPr>
          <w:noProof/>
          <w:lang w:val="en-AU" w:eastAsia="en-AU"/>
        </w:rPr>
        <w:drawing>
          <wp:anchor distT="0" distB="0" distL="0" distR="0" simplePos="0" relativeHeight="1144" behindDoc="0" locked="0" layoutInCell="1" allowOverlap="1">
            <wp:simplePos x="0" y="0"/>
            <wp:positionH relativeFrom="page">
              <wp:posOffset>4083744</wp:posOffset>
            </wp:positionH>
            <wp:positionV relativeFrom="paragraph">
              <wp:posOffset>233616</wp:posOffset>
            </wp:positionV>
            <wp:extent cx="2997636" cy="2535936"/>
            <wp:effectExtent l="0" t="0" r="0" b="0"/>
            <wp:wrapTopAndBottom/>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4" cstate="print"/>
                    <a:stretch>
                      <a:fillRect/>
                    </a:stretch>
                  </pic:blipFill>
                  <pic:spPr>
                    <a:xfrm>
                      <a:off x="0" y="0"/>
                      <a:ext cx="2997636" cy="2535936"/>
                    </a:xfrm>
                    <a:prstGeom prst="rect">
                      <a:avLst/>
                    </a:prstGeom>
                  </pic:spPr>
                </pic:pic>
              </a:graphicData>
            </a:graphic>
          </wp:anchor>
        </w:drawing>
      </w:r>
    </w:p>
    <w:p w:rsidR="00865D3B" w:rsidRDefault="00865D3B">
      <w:pPr>
        <w:pStyle w:val="BodyText"/>
        <w:spacing w:before="10"/>
        <w:rPr>
          <w:rFonts w:ascii="Gotham Narrow Ultra"/>
          <w:sz w:val="5"/>
        </w:rPr>
      </w:pPr>
    </w:p>
    <w:p w:rsidR="00865D3B" w:rsidRDefault="00865D3B">
      <w:pPr>
        <w:rPr>
          <w:rFonts w:ascii="Gotham Narrow Ultra"/>
          <w:sz w:val="5"/>
        </w:rPr>
        <w:sectPr w:rsidR="00865D3B">
          <w:pgSz w:w="11910" w:h="16840"/>
          <w:pgMar w:top="1580" w:right="640" w:bottom="280" w:left="680" w:header="720" w:footer="720" w:gutter="0"/>
          <w:cols w:space="720"/>
        </w:sectPr>
      </w:pPr>
    </w:p>
    <w:p w:rsidR="00865D3B" w:rsidRDefault="000C3A69">
      <w:pPr>
        <w:spacing w:before="95"/>
        <w:ind w:left="660" w:right="551"/>
        <w:jc w:val="center"/>
        <w:rPr>
          <w:rFonts w:ascii="Gotham Narrow Book"/>
          <w:sz w:val="24"/>
        </w:rPr>
      </w:pPr>
      <w:r>
        <w:rPr>
          <w:rFonts w:ascii="Gotham Narrow Book"/>
          <w:color w:val="231F20"/>
          <w:sz w:val="24"/>
        </w:rPr>
        <w:t>HON MIKE NAHAN MLA</w:t>
      </w:r>
    </w:p>
    <w:p w:rsidR="00865D3B" w:rsidRDefault="000C3A69">
      <w:pPr>
        <w:ind w:left="660" w:right="551"/>
        <w:jc w:val="center"/>
        <w:rPr>
          <w:rFonts w:ascii="Gotham Narrow Book"/>
          <w:sz w:val="24"/>
        </w:rPr>
      </w:pPr>
      <w:r>
        <w:rPr>
          <w:rFonts w:ascii="Gotham Narrow Book"/>
          <w:color w:val="231F20"/>
          <w:sz w:val="24"/>
        </w:rPr>
        <w:t>WA LEADER OF THE OPPOSITION</w:t>
      </w:r>
    </w:p>
    <w:p w:rsidR="00865D3B" w:rsidRDefault="00865D3B">
      <w:pPr>
        <w:pStyle w:val="BodyText"/>
        <w:spacing w:before="2"/>
        <w:rPr>
          <w:rFonts w:ascii="Gotham Narrow Book"/>
          <w:sz w:val="23"/>
        </w:rPr>
      </w:pPr>
    </w:p>
    <w:p w:rsidR="00865D3B" w:rsidRDefault="000C3A69">
      <w:pPr>
        <w:ind w:left="1655" w:right="1245" w:firstLine="533"/>
        <w:rPr>
          <w:rFonts w:ascii="Gotham Narrow Book"/>
          <w:sz w:val="20"/>
        </w:rPr>
      </w:pPr>
      <w:r>
        <w:rPr>
          <w:rFonts w:ascii="Gotham Narrow Book"/>
          <w:color w:val="231F20"/>
          <w:sz w:val="20"/>
        </w:rPr>
        <w:t>Office: Stockland Riverton</w:t>
      </w:r>
    </w:p>
    <w:p w:rsidR="00865D3B" w:rsidRDefault="000C3A69">
      <w:pPr>
        <w:ind w:left="660" w:right="548"/>
        <w:jc w:val="center"/>
        <w:rPr>
          <w:rFonts w:ascii="Gotham Narrow Book"/>
          <w:sz w:val="20"/>
        </w:rPr>
      </w:pPr>
      <w:r>
        <w:rPr>
          <w:rFonts w:ascii="Gotham Narrow Book"/>
          <w:color w:val="231F20"/>
          <w:sz w:val="20"/>
        </w:rPr>
        <w:t>Cnr of High Road and Willeri Drive Riverton WA 6148</w:t>
      </w:r>
    </w:p>
    <w:p w:rsidR="00865D3B" w:rsidRDefault="000C3A69">
      <w:pPr>
        <w:spacing w:before="80"/>
        <w:ind w:left="660" w:right="551"/>
        <w:jc w:val="center"/>
        <w:rPr>
          <w:rFonts w:ascii="Gotham Narrow Book"/>
          <w:sz w:val="20"/>
        </w:rPr>
      </w:pPr>
      <w:r>
        <w:rPr>
          <w:rFonts w:ascii="Gotham Narrow Book"/>
          <w:color w:val="231F20"/>
          <w:sz w:val="20"/>
        </w:rPr>
        <w:t>Ph: 9457 1282</w:t>
      </w:r>
    </w:p>
    <w:p w:rsidR="00865D3B" w:rsidRDefault="000C3A69">
      <w:pPr>
        <w:ind w:left="660" w:right="551"/>
        <w:jc w:val="center"/>
        <w:rPr>
          <w:rFonts w:ascii="Gotham Narrow Book"/>
          <w:sz w:val="20"/>
        </w:rPr>
      </w:pPr>
      <w:r>
        <w:rPr>
          <w:rFonts w:ascii="Gotham Narrow Book"/>
          <w:color w:val="231F20"/>
          <w:sz w:val="20"/>
        </w:rPr>
        <w:t>Fax: 9354 3044</w:t>
      </w:r>
    </w:p>
    <w:p w:rsidR="00865D3B" w:rsidRDefault="003E7D83">
      <w:pPr>
        <w:ind w:left="660" w:right="551"/>
        <w:jc w:val="center"/>
        <w:rPr>
          <w:rFonts w:ascii="Gotham Narrow Book"/>
          <w:sz w:val="20"/>
        </w:rPr>
      </w:pPr>
      <w:hyperlink r:id="rId15">
        <w:r w:rsidR="000C3A69">
          <w:rPr>
            <w:rFonts w:ascii="Gotham Narrow Book"/>
            <w:color w:val="231F20"/>
            <w:sz w:val="20"/>
          </w:rPr>
          <w:t>Email: mike.nahan@mp.wa.gov.au</w:t>
        </w:r>
      </w:hyperlink>
    </w:p>
    <w:p w:rsidR="00865D3B" w:rsidRDefault="000C3A69">
      <w:pPr>
        <w:spacing w:before="95"/>
        <w:ind w:left="332" w:right="402"/>
        <w:jc w:val="center"/>
        <w:rPr>
          <w:rFonts w:ascii="Gotham Narrow Book"/>
          <w:sz w:val="24"/>
        </w:rPr>
      </w:pPr>
      <w:r>
        <w:br w:type="column"/>
      </w:r>
      <w:r>
        <w:rPr>
          <w:rFonts w:ascii="Gotham Narrow Book"/>
          <w:color w:val="231F20"/>
          <w:sz w:val="24"/>
        </w:rPr>
        <w:t>HON COLIN BARNETT MLA</w:t>
      </w:r>
    </w:p>
    <w:p w:rsidR="00865D3B" w:rsidRDefault="000C3A69">
      <w:pPr>
        <w:ind w:left="332" w:right="402"/>
        <w:jc w:val="center"/>
        <w:rPr>
          <w:rFonts w:ascii="Gotham Narrow Book"/>
          <w:sz w:val="24"/>
        </w:rPr>
      </w:pPr>
      <w:r>
        <w:rPr>
          <w:rFonts w:ascii="Gotham Narrow Book"/>
          <w:color w:val="231F20"/>
          <w:sz w:val="24"/>
        </w:rPr>
        <w:t>29</w:t>
      </w:r>
      <w:r>
        <w:rPr>
          <w:rFonts w:ascii="Gotham Narrow Book"/>
          <w:color w:val="231F20"/>
          <w:position w:val="8"/>
          <w:sz w:val="14"/>
        </w:rPr>
        <w:t xml:space="preserve">th </w:t>
      </w:r>
      <w:r>
        <w:rPr>
          <w:rFonts w:ascii="Gotham Narrow Book"/>
          <w:color w:val="231F20"/>
          <w:sz w:val="24"/>
        </w:rPr>
        <w:t>PREMIER OF WESTERN AUSTRALIA</w:t>
      </w:r>
    </w:p>
    <w:p w:rsidR="00865D3B" w:rsidRDefault="00865D3B">
      <w:pPr>
        <w:pStyle w:val="BodyText"/>
        <w:spacing w:before="2"/>
        <w:rPr>
          <w:rFonts w:ascii="Gotham Narrow Book"/>
          <w:sz w:val="23"/>
        </w:rPr>
      </w:pPr>
    </w:p>
    <w:p w:rsidR="00865D3B" w:rsidRDefault="000C3A69">
      <w:pPr>
        <w:ind w:left="2087" w:right="2158" w:hanging="1"/>
        <w:jc w:val="center"/>
        <w:rPr>
          <w:rFonts w:ascii="Gotham Narrow Book"/>
          <w:sz w:val="20"/>
        </w:rPr>
      </w:pPr>
      <w:r>
        <w:rPr>
          <w:rFonts w:ascii="Gotham Narrow Book"/>
          <w:color w:val="231F20"/>
          <w:sz w:val="20"/>
        </w:rPr>
        <w:t>Office: Suite 12,</w:t>
      </w:r>
    </w:p>
    <w:p w:rsidR="00865D3B" w:rsidRDefault="000C3A69">
      <w:pPr>
        <w:ind w:left="332" w:right="402"/>
        <w:jc w:val="center"/>
        <w:rPr>
          <w:rFonts w:ascii="Gotham Narrow Book"/>
          <w:sz w:val="20"/>
        </w:rPr>
      </w:pPr>
      <w:r>
        <w:rPr>
          <w:rFonts w:ascii="Gotham Narrow Book"/>
          <w:color w:val="231F20"/>
          <w:sz w:val="20"/>
        </w:rPr>
        <w:t>589 Stirling Highway</w:t>
      </w:r>
    </w:p>
    <w:p w:rsidR="00865D3B" w:rsidRDefault="000C3A69">
      <w:pPr>
        <w:ind w:left="332" w:right="402"/>
        <w:jc w:val="center"/>
        <w:rPr>
          <w:rFonts w:ascii="Gotham Narrow Book"/>
          <w:sz w:val="20"/>
        </w:rPr>
      </w:pPr>
      <w:r>
        <w:rPr>
          <w:rFonts w:ascii="Gotham Narrow Book"/>
          <w:color w:val="231F20"/>
          <w:sz w:val="20"/>
        </w:rPr>
        <w:t>Cottesloe WA 6011</w:t>
      </w:r>
    </w:p>
    <w:p w:rsidR="00865D3B" w:rsidRDefault="000C3A69">
      <w:pPr>
        <w:spacing w:before="79"/>
        <w:ind w:left="332" w:right="402"/>
        <w:jc w:val="center"/>
        <w:rPr>
          <w:rFonts w:ascii="Gotham Narrow Book"/>
          <w:sz w:val="20"/>
        </w:rPr>
      </w:pPr>
      <w:r>
        <w:rPr>
          <w:rFonts w:ascii="Gotham Narrow Book"/>
          <w:color w:val="231F20"/>
          <w:sz w:val="20"/>
        </w:rPr>
        <w:t>Ph: (08) 9383 1505</w:t>
      </w:r>
    </w:p>
    <w:p w:rsidR="00865D3B" w:rsidRDefault="000C3A69">
      <w:pPr>
        <w:ind w:left="332" w:right="402"/>
        <w:jc w:val="center"/>
        <w:rPr>
          <w:rFonts w:ascii="Gotham Narrow Book"/>
          <w:sz w:val="20"/>
        </w:rPr>
      </w:pPr>
      <w:r>
        <w:rPr>
          <w:rFonts w:ascii="Gotham Narrow Book"/>
          <w:color w:val="231F20"/>
          <w:sz w:val="20"/>
        </w:rPr>
        <w:t>Fax: (08) 9385 2352</w:t>
      </w:r>
    </w:p>
    <w:p w:rsidR="00865D3B" w:rsidRDefault="003E7D83">
      <w:pPr>
        <w:ind w:left="332" w:right="402"/>
        <w:jc w:val="center"/>
        <w:rPr>
          <w:rFonts w:ascii="Gotham Narrow Book"/>
          <w:sz w:val="20"/>
        </w:rPr>
      </w:pPr>
      <w:hyperlink r:id="rId16">
        <w:r w:rsidR="000C3A69">
          <w:rPr>
            <w:rFonts w:ascii="Gotham Narrow Book"/>
            <w:color w:val="231F20"/>
            <w:sz w:val="20"/>
          </w:rPr>
          <w:t>Email: cottesloe@mp.wa.gov.au</w:t>
        </w:r>
      </w:hyperlink>
    </w:p>
    <w:p w:rsidR="00865D3B" w:rsidRDefault="00865D3B">
      <w:pPr>
        <w:jc w:val="center"/>
        <w:rPr>
          <w:rFonts w:ascii="Gotham Narrow Book"/>
          <w:sz w:val="20"/>
        </w:rPr>
        <w:sectPr w:rsidR="00865D3B">
          <w:type w:val="continuous"/>
          <w:pgSz w:w="11910" w:h="16840"/>
          <w:pgMar w:top="0" w:right="640" w:bottom="0" w:left="680" w:header="720" w:footer="720" w:gutter="0"/>
          <w:cols w:num="2" w:space="720" w:equalWidth="0">
            <w:col w:w="4827" w:space="814"/>
            <w:col w:w="4949"/>
          </w:cols>
        </w:sectPr>
      </w:pPr>
    </w:p>
    <w:p w:rsidR="00865D3B" w:rsidRDefault="000C3A69">
      <w:pPr>
        <w:spacing w:before="34"/>
        <w:ind w:left="280" w:right="278"/>
        <w:jc w:val="center"/>
        <w:rPr>
          <w:b/>
          <w:sz w:val="24"/>
        </w:rPr>
      </w:pPr>
      <w:r>
        <w:rPr>
          <w:b/>
          <w:sz w:val="24"/>
        </w:rPr>
        <w:lastRenderedPageBreak/>
        <w:t>WESTERN AUSTRALIAN PARLIAMENTARY LIBERAL PARTY</w:t>
      </w:r>
    </w:p>
    <w:p w:rsidR="00865D3B" w:rsidRDefault="00865D3B">
      <w:pPr>
        <w:pStyle w:val="BodyText"/>
        <w:spacing w:before="10"/>
        <w:rPr>
          <w:b/>
          <w:sz w:val="31"/>
        </w:rPr>
      </w:pPr>
    </w:p>
    <w:p w:rsidR="00865D3B" w:rsidRDefault="000C3A69">
      <w:pPr>
        <w:ind w:left="280" w:right="279"/>
        <w:jc w:val="center"/>
        <w:rPr>
          <w:b/>
          <w:sz w:val="32"/>
        </w:rPr>
      </w:pPr>
      <w:r>
        <w:rPr>
          <w:b/>
          <w:sz w:val="32"/>
        </w:rPr>
        <w:t>SUBMISSION TO THE PRODUCTIVITY COMMISSION INQUIRY INTO HORIZONTAL FISCAL EQUALISATION</w:t>
      </w:r>
    </w:p>
    <w:p w:rsidR="00865D3B" w:rsidRDefault="00865D3B">
      <w:pPr>
        <w:pStyle w:val="BodyText"/>
        <w:rPr>
          <w:b/>
          <w:sz w:val="32"/>
        </w:rPr>
      </w:pPr>
    </w:p>
    <w:p w:rsidR="00865D3B" w:rsidRDefault="00865D3B">
      <w:pPr>
        <w:pStyle w:val="BodyText"/>
        <w:spacing w:before="3"/>
        <w:rPr>
          <w:b/>
          <w:sz w:val="32"/>
        </w:rPr>
      </w:pPr>
    </w:p>
    <w:p w:rsidR="00865D3B" w:rsidRDefault="000C3A69">
      <w:pPr>
        <w:pStyle w:val="Heading2"/>
        <w:ind w:left="120"/>
      </w:pPr>
      <w:r>
        <w:t>THE CASE FOR REAL REFORM OF THE GST DISTRIBUTION</w:t>
      </w:r>
    </w:p>
    <w:p w:rsidR="00865D3B" w:rsidRDefault="00865D3B">
      <w:pPr>
        <w:pStyle w:val="BodyText"/>
        <w:spacing w:before="10"/>
        <w:rPr>
          <w:b/>
          <w:sz w:val="27"/>
        </w:rPr>
      </w:pPr>
    </w:p>
    <w:p w:rsidR="00865D3B" w:rsidRDefault="000C3A69">
      <w:pPr>
        <w:pStyle w:val="BodyText"/>
        <w:ind w:left="119" w:right="118"/>
        <w:jc w:val="both"/>
      </w:pPr>
      <w:r>
        <w:t>There is a long and tortuous history to financial arrangements between the Commonwealth and the States. It is a history of arguments between the different levels of government and a constant bickering amongst the States.</w:t>
      </w:r>
    </w:p>
    <w:p w:rsidR="00865D3B" w:rsidRDefault="00865D3B">
      <w:pPr>
        <w:pStyle w:val="BodyText"/>
      </w:pPr>
    </w:p>
    <w:p w:rsidR="00865D3B" w:rsidRDefault="000C3A69">
      <w:pPr>
        <w:pStyle w:val="BodyText"/>
        <w:ind w:left="119" w:right="116"/>
        <w:jc w:val="both"/>
      </w:pPr>
      <w:r>
        <w:t>Not surprisingly, local politics has impinged on what should be a professional and objective task of allocating financial resources. And while blame may be directed at the States, it is equally true that the Commonwealth has been content to use disagreements amongst the States as an excuse for the lack of genuine reform.</w:t>
      </w:r>
    </w:p>
    <w:p w:rsidR="00865D3B" w:rsidRDefault="00865D3B">
      <w:pPr>
        <w:pStyle w:val="BodyText"/>
      </w:pPr>
    </w:p>
    <w:p w:rsidR="00865D3B" w:rsidRDefault="000C3A69">
      <w:pPr>
        <w:pStyle w:val="BodyText"/>
        <w:ind w:left="119" w:right="116"/>
        <w:jc w:val="both"/>
      </w:pPr>
      <w:r>
        <w:t>The Productivity Commission Inquiry into Horizontal Fiscal Equalisation is welcome on the presumption it will raise the level of debate on what is a serious issue both for the States and also for the national economy.</w:t>
      </w:r>
    </w:p>
    <w:p w:rsidR="00865D3B" w:rsidRDefault="00865D3B">
      <w:pPr>
        <w:pStyle w:val="BodyText"/>
      </w:pPr>
    </w:p>
    <w:p w:rsidR="00865D3B" w:rsidRDefault="000C3A69">
      <w:pPr>
        <w:pStyle w:val="BodyText"/>
        <w:ind w:left="119" w:right="119"/>
        <w:jc w:val="both"/>
      </w:pPr>
      <w:r>
        <w:t>So far, most of the public debate has been on the issue of fairness between the States. The Inquiry expands the debate to matters of efficiency and economic growth. While that is welcome, it should be recognised that the equity considerations will remain at the forefront of public and political debate, just as they have been since</w:t>
      </w:r>
      <w:r>
        <w:rPr>
          <w:spacing w:val="-16"/>
        </w:rPr>
        <w:t xml:space="preserve"> </w:t>
      </w:r>
      <w:r>
        <w:t>federation.</w:t>
      </w:r>
    </w:p>
    <w:p w:rsidR="00865D3B" w:rsidRDefault="00865D3B">
      <w:pPr>
        <w:pStyle w:val="BodyText"/>
      </w:pPr>
    </w:p>
    <w:p w:rsidR="00865D3B" w:rsidRDefault="000C3A69">
      <w:pPr>
        <w:pStyle w:val="BodyText"/>
        <w:ind w:left="119" w:right="114"/>
        <w:jc w:val="both"/>
      </w:pPr>
      <w:r>
        <w:t>For Western Australia the situation is acute with the share of the Goods and Service Tax (GST) revenue falling to a low point of just 30 cents in the dollar  and currently being 34 cents in the dollar, while all other States receive somewhere in the range of 89 cents to 181 cents in the dollar. (The Northern Territory is an extreme case, receiving 557 cents in the dollar). The previous lowest relativity for any State was Victoria at 84 cents in the dollar in</w:t>
      </w:r>
      <w:r>
        <w:rPr>
          <w:spacing w:val="-39"/>
        </w:rPr>
        <w:t xml:space="preserve"> </w:t>
      </w:r>
      <w:r>
        <w:t>1994/95.</w:t>
      </w:r>
    </w:p>
    <w:p w:rsidR="00865D3B" w:rsidRDefault="00865D3B">
      <w:pPr>
        <w:pStyle w:val="BodyText"/>
      </w:pPr>
    </w:p>
    <w:p w:rsidR="00865D3B" w:rsidRDefault="000C3A69">
      <w:pPr>
        <w:pStyle w:val="BodyText"/>
        <w:ind w:left="119" w:right="116"/>
        <w:jc w:val="both"/>
      </w:pPr>
      <w:r>
        <w:t>For Western Australia the simple reality is that with the current share of GST revenue there is no circumstance under which a budget surplus can be achieved without substantial reductions to Government services both in terms of quantity and quality. Therefore, there is no circumstance under which state debt will not continue to rise.</w:t>
      </w:r>
    </w:p>
    <w:p w:rsidR="00865D3B" w:rsidRDefault="00865D3B">
      <w:pPr>
        <w:jc w:val="both"/>
        <w:sectPr w:rsidR="00865D3B">
          <w:footerReference w:type="default" r:id="rId17"/>
          <w:pgSz w:w="11910" w:h="16840"/>
          <w:pgMar w:top="940" w:right="1320" w:bottom="1200" w:left="1320" w:header="0" w:footer="1005" w:gutter="0"/>
          <w:pgNumType w:start="1"/>
          <w:cols w:space="720"/>
        </w:sectPr>
      </w:pPr>
    </w:p>
    <w:p w:rsidR="00865D3B" w:rsidRDefault="000C3A69">
      <w:pPr>
        <w:pStyle w:val="BodyText"/>
        <w:spacing w:before="15"/>
        <w:ind w:left="120" w:right="114"/>
        <w:jc w:val="both"/>
      </w:pPr>
      <w:r>
        <w:lastRenderedPageBreak/>
        <w:t>For 2016/17 the forecast budget deficit is $3 billion while at the same time Western Australia loses $4.7 billion in GST redistribution.  If the State received a full share of GST revenue (i.e. 100 cents in the dollar) then there would be a healthy budget surplus of $1.7</w:t>
      </w:r>
      <w:r>
        <w:rPr>
          <w:spacing w:val="-21"/>
        </w:rPr>
        <w:t xml:space="preserve"> </w:t>
      </w:r>
      <w:r>
        <w:t>billion.</w:t>
      </w:r>
    </w:p>
    <w:p w:rsidR="00865D3B" w:rsidRDefault="00865D3B">
      <w:pPr>
        <w:pStyle w:val="BodyText"/>
      </w:pPr>
    </w:p>
    <w:p w:rsidR="00865D3B" w:rsidRDefault="000C3A69">
      <w:pPr>
        <w:pStyle w:val="BodyText"/>
        <w:ind w:left="120" w:right="114"/>
        <w:jc w:val="both"/>
      </w:pPr>
      <w:r>
        <w:t>For both the 2015/16 and 2016/17 years the Commonwealth did make some adjustment by providing an additional $0.5 billion to transport projects in Western Australia. While this was appreciated, it did come as  tied  grants rather than as general revenue. The extra payment was of some assistance,  but limited. Also, it should be noted that for 2017/18 Western Australia will only receive 8.7 per cent of Commonwealth transport funding compared to a population share of 11 per</w:t>
      </w:r>
      <w:r>
        <w:rPr>
          <w:spacing w:val="-19"/>
        </w:rPr>
        <w:t xml:space="preserve"> </w:t>
      </w:r>
      <w:r>
        <w:t>cent.</w:t>
      </w:r>
    </w:p>
    <w:p w:rsidR="00865D3B" w:rsidRDefault="00865D3B">
      <w:pPr>
        <w:pStyle w:val="BodyText"/>
        <w:spacing w:before="12"/>
        <w:rPr>
          <w:sz w:val="27"/>
        </w:rPr>
      </w:pPr>
    </w:p>
    <w:p w:rsidR="00865D3B" w:rsidRDefault="000C3A69">
      <w:pPr>
        <w:pStyle w:val="BodyText"/>
        <w:ind w:left="119" w:right="115"/>
        <w:jc w:val="both"/>
      </w:pPr>
      <w:r>
        <w:t>It is easy to dismiss this as just a problem for Western Australia and to try to apportion blame. However, that ignores the likelihood that other States will experience something similar in the future, albeit to a lesser extent. It also ignores the potential impact on the national economy and in particular on the finances of the Commonwealth Government itself.</w:t>
      </w:r>
    </w:p>
    <w:p w:rsidR="00865D3B" w:rsidRDefault="00865D3B">
      <w:pPr>
        <w:pStyle w:val="BodyText"/>
      </w:pPr>
    </w:p>
    <w:p w:rsidR="00865D3B" w:rsidRDefault="000C3A69">
      <w:pPr>
        <w:pStyle w:val="BodyText"/>
        <w:ind w:left="120" w:right="114"/>
        <w:jc w:val="both"/>
      </w:pPr>
      <w:r>
        <w:t>With the royalty income from mining being effectively taxed out of Western Australia by the system of GST distribution (to the extent of around 90 per cent), there is a reduced incentive to further expand a mining and petroleum industry which already has a value of $95 billion. It is not out of the question that public support for the industry will decline and that calls to ‘leave it in the ground’ will increase. Indeed, that is already happening. The negative implications for economic growth and Commonwealth tax collections are both obvious and against the national interest.</w:t>
      </w:r>
    </w:p>
    <w:p w:rsidR="00865D3B" w:rsidRDefault="00865D3B">
      <w:pPr>
        <w:pStyle w:val="BodyText"/>
        <w:spacing w:before="10"/>
        <w:rPr>
          <w:sz w:val="27"/>
        </w:rPr>
      </w:pPr>
    </w:p>
    <w:p w:rsidR="00865D3B" w:rsidRDefault="000C3A69">
      <w:pPr>
        <w:pStyle w:val="BodyText"/>
        <w:ind w:left="120" w:right="113"/>
        <w:jc w:val="both"/>
      </w:pPr>
      <w:r>
        <w:t>The other aspect of economic efficiency relates to the sheer complexity of the GST distribution. The system, as administered by the Commonwealth Grants Commission, is a product of decades of rules, new rules and changes to rules.   It is both complex and inconsistent and is best described as a ‘black box’ which few can</w:t>
      </w:r>
      <w:r>
        <w:rPr>
          <w:spacing w:val="-17"/>
        </w:rPr>
        <w:t xml:space="preserve"> </w:t>
      </w:r>
      <w:r>
        <w:t>understand.</w:t>
      </w:r>
    </w:p>
    <w:p w:rsidR="00865D3B" w:rsidRDefault="00865D3B">
      <w:pPr>
        <w:pStyle w:val="BodyText"/>
      </w:pPr>
    </w:p>
    <w:p w:rsidR="00865D3B" w:rsidRDefault="000C3A69">
      <w:pPr>
        <w:pStyle w:val="BodyText"/>
        <w:ind w:left="120" w:right="113"/>
        <w:jc w:val="both"/>
      </w:pPr>
      <w:r>
        <w:t>As such the process of GST distribution is in itself an inefficiency and waste of resources. To continue with a tinkering of a system which is broken, or at least past its useful life, would represent a failure by this Inquiry. If there is to be reform, then it needs to be fundamental reform which looks forward rather than backwards.</w:t>
      </w:r>
    </w:p>
    <w:p w:rsidR="00865D3B" w:rsidRDefault="00865D3B">
      <w:pPr>
        <w:pStyle w:val="BodyText"/>
        <w:spacing w:before="10"/>
        <w:rPr>
          <w:sz w:val="27"/>
        </w:rPr>
      </w:pPr>
    </w:p>
    <w:p w:rsidR="00865D3B" w:rsidRDefault="000C3A69">
      <w:pPr>
        <w:pStyle w:val="BodyText"/>
        <w:ind w:left="120" w:right="116"/>
        <w:jc w:val="both"/>
      </w:pPr>
      <w:r>
        <w:t>When Prime Minister John Howard introduced the GST in 2001 it was an important  economic  reform  which  reduced  Australia’s  reliance  on  direct</w:t>
      </w:r>
    </w:p>
    <w:p w:rsidR="00865D3B" w:rsidRDefault="00865D3B">
      <w:pPr>
        <w:jc w:val="both"/>
        <w:sectPr w:rsidR="00865D3B">
          <w:pgSz w:w="11910" w:h="16840"/>
          <w:pgMar w:top="960" w:right="1320" w:bottom="1200" w:left="1320" w:header="0" w:footer="1005" w:gutter="0"/>
          <w:cols w:space="720"/>
        </w:sectPr>
      </w:pPr>
    </w:p>
    <w:p w:rsidR="00865D3B" w:rsidRDefault="000C3A69">
      <w:pPr>
        <w:pStyle w:val="BodyText"/>
        <w:spacing w:before="15"/>
        <w:ind w:left="120" w:right="115"/>
        <w:jc w:val="both"/>
      </w:pPr>
      <w:r>
        <w:lastRenderedPageBreak/>
        <w:t>taxation by establishing a broadly based indirect tax. It was also a bold reform of the federation by directing that all GST revenue would go to the States in exchange for the States giving up their existing right to share in collections  from company and personal income tax. The States also abolished some minor or nuisance taxes as part of the overall</w:t>
      </w:r>
      <w:r>
        <w:rPr>
          <w:spacing w:val="-22"/>
        </w:rPr>
        <w:t xml:space="preserve"> </w:t>
      </w:r>
      <w:r>
        <w:t>deal.</w:t>
      </w:r>
    </w:p>
    <w:p w:rsidR="00865D3B" w:rsidRDefault="00865D3B">
      <w:pPr>
        <w:pStyle w:val="BodyText"/>
      </w:pPr>
    </w:p>
    <w:p w:rsidR="00865D3B" w:rsidRDefault="000C3A69">
      <w:pPr>
        <w:pStyle w:val="BodyText"/>
        <w:ind w:left="119" w:right="116"/>
        <w:jc w:val="both"/>
      </w:pPr>
      <w:r>
        <w:t xml:space="preserve">The logic was that the States needed a stable source of revenue to fund the services they provide, principally in the areas of education and health. Those two areas alone account for around half of State expenditures and are directly related to the size of the population in each State. The policy was sound, </w:t>
      </w:r>
      <w:r>
        <w:rPr>
          <w:spacing w:val="-2"/>
        </w:rPr>
        <w:t xml:space="preserve">but </w:t>
      </w:r>
      <w:r>
        <w:t>unfortunately the implementation has been flawed due to the way in which the GST distribution has played out and hence this</w:t>
      </w:r>
      <w:r>
        <w:rPr>
          <w:spacing w:val="-29"/>
        </w:rPr>
        <w:t xml:space="preserve"> </w:t>
      </w:r>
      <w:r>
        <w:t>Inquiry.</w:t>
      </w:r>
    </w:p>
    <w:p w:rsidR="00865D3B" w:rsidRDefault="00865D3B">
      <w:pPr>
        <w:pStyle w:val="BodyText"/>
        <w:spacing w:before="12"/>
        <w:rPr>
          <w:sz w:val="27"/>
        </w:rPr>
      </w:pPr>
    </w:p>
    <w:p w:rsidR="00865D3B" w:rsidRDefault="000C3A69">
      <w:pPr>
        <w:pStyle w:val="BodyText"/>
        <w:ind w:left="119" w:right="115"/>
        <w:jc w:val="both"/>
      </w:pPr>
      <w:r>
        <w:t>The issue of the GST distribution has not suddenly come upon us. As early as 2009 the then Western Australian Government warned that under the existing distribution system the State’s share of GST would fall dramatically. At the  time it was at an acceptable level of 85 cents in the dollar. The then Government also acknowledged that Western Australia was a  more prosperous state and it had a capacity to support the weaker states. The proposal put forward was that a floor be set at 75 cents in the dollar below which it could go no further. At that stage no state would have been worse off and the critical situation we now face could have been</w:t>
      </w:r>
      <w:r>
        <w:rPr>
          <w:spacing w:val="-40"/>
        </w:rPr>
        <w:t xml:space="preserve"> </w:t>
      </w:r>
      <w:r>
        <w:t>avoided.</w:t>
      </w:r>
    </w:p>
    <w:p w:rsidR="00865D3B" w:rsidRDefault="00865D3B">
      <w:pPr>
        <w:pStyle w:val="BodyText"/>
      </w:pPr>
    </w:p>
    <w:p w:rsidR="00865D3B" w:rsidRDefault="000C3A69">
      <w:pPr>
        <w:pStyle w:val="BodyText"/>
        <w:ind w:left="119" w:right="115"/>
        <w:jc w:val="both"/>
      </w:pPr>
      <w:r>
        <w:t>Regrettably the Commonwealth Government did not act and successive Prime Ministers and Treasurers continued to say publicly that any such change would require the agreement of all States and that was not in place. Such statements were incorrect as the distribution of the GST is by law a matter for the Federal Treasurer on the advice of the Commonwealth Grants Commission. The role of the States, under the GST legislation, is to require all States to agree to any change in the tax rate of the GST or any change in its coverage (for example to include fresh food). The system of distributing Commonwealth funds to the States was not changed by the introduction of the GST. This misrepresentation of the respective roles of the Commonwealth and the States has been a continuing frustration to Western Australia and has impeded debate on sensible reform.</w:t>
      </w:r>
    </w:p>
    <w:p w:rsidR="00865D3B" w:rsidRDefault="00865D3B">
      <w:pPr>
        <w:pStyle w:val="BodyText"/>
      </w:pPr>
    </w:p>
    <w:p w:rsidR="00865D3B" w:rsidRDefault="000C3A69">
      <w:pPr>
        <w:pStyle w:val="BodyText"/>
        <w:ind w:left="118" w:right="117"/>
        <w:jc w:val="both"/>
      </w:pPr>
      <w:r>
        <w:t>That frustration has extended to the many inconsistencies in the system. For example, Western Australia is penalised for having a successful mining export industry while other states are effectively rewarded for having a massive gambling industry with all the associated social costs. (Western Australia has a bipartisan  position  which  outlaws  poker  machines  in  the  state).     Another</w:t>
      </w:r>
    </w:p>
    <w:p w:rsidR="00865D3B" w:rsidRDefault="00865D3B">
      <w:pPr>
        <w:jc w:val="both"/>
        <w:sectPr w:rsidR="00865D3B">
          <w:pgSz w:w="11910" w:h="16840"/>
          <w:pgMar w:top="960" w:right="1320" w:bottom="1200" w:left="1320" w:header="0" w:footer="1005" w:gutter="0"/>
          <w:cols w:space="720"/>
        </w:sectPr>
      </w:pPr>
    </w:p>
    <w:p w:rsidR="00865D3B" w:rsidRDefault="000C3A69">
      <w:pPr>
        <w:pStyle w:val="BodyText"/>
        <w:spacing w:before="15"/>
        <w:ind w:left="240" w:right="236"/>
        <w:jc w:val="both"/>
      </w:pPr>
      <w:r>
        <w:lastRenderedPageBreak/>
        <w:t>example is that Hobart is treated as being remote even though it is a capital city.</w:t>
      </w:r>
    </w:p>
    <w:p w:rsidR="00865D3B" w:rsidRDefault="00865D3B">
      <w:pPr>
        <w:pStyle w:val="BodyText"/>
      </w:pPr>
    </w:p>
    <w:p w:rsidR="00865D3B" w:rsidRDefault="000C3A69">
      <w:pPr>
        <w:pStyle w:val="BodyText"/>
        <w:ind w:left="240"/>
        <w:jc w:val="both"/>
      </w:pPr>
      <w:r>
        <w:t>So, what is the fundamental reform that is recommended?</w:t>
      </w:r>
    </w:p>
    <w:p w:rsidR="00865D3B" w:rsidRDefault="00865D3B">
      <w:pPr>
        <w:pStyle w:val="BodyText"/>
      </w:pPr>
    </w:p>
    <w:p w:rsidR="00865D3B" w:rsidRDefault="000C3A69">
      <w:pPr>
        <w:pStyle w:val="BodyText"/>
        <w:ind w:left="239" w:right="232"/>
        <w:jc w:val="both"/>
      </w:pPr>
      <w:r>
        <w:t>There have been many proposals put forward with most revolving  around some variation of a floor or at what level a floor should be. Suggestions have also been made to exempt some portion of mining royalties, or to penalise states that place bans on mining, or to raise the GST rate, or for the Commonwealth to take full responsibility for the Territories, and so on. While each may improve the situation they all face the criticism of just being  a further tinkering of a broken system.</w:t>
      </w:r>
    </w:p>
    <w:p w:rsidR="00865D3B" w:rsidRDefault="00865D3B">
      <w:pPr>
        <w:pStyle w:val="BodyText"/>
      </w:pPr>
    </w:p>
    <w:p w:rsidR="00865D3B" w:rsidRDefault="000C3A69">
      <w:pPr>
        <w:pStyle w:val="BodyText"/>
        <w:ind w:left="240" w:right="232"/>
        <w:jc w:val="both"/>
      </w:pPr>
      <w:r>
        <w:t>In 2012 the States got closer than ever before to a credible way forward. The four big States (New South Wales, Victoria, Queensland and Western Australia) reached a signed agreement that the solution was to allocate the vast majority of GST revenue on a population or per capita basis. Put simply, the bigger the population the more money you got. Together these four States represent around 90 per cent of Australia’s population and 90 per cent of Australia’s economy. It was also a fundamental recognition that population determined respective state expenditures and that a simple system would be well understood and do away with the complexity and mystique of what we have.</w:t>
      </w:r>
    </w:p>
    <w:p w:rsidR="00865D3B" w:rsidRDefault="003E7D83">
      <w:pPr>
        <w:pStyle w:val="BodyText"/>
        <w:spacing w:before="8"/>
        <w:rPr>
          <w:sz w:val="24"/>
        </w:rPr>
      </w:pPr>
      <w:r>
        <w:pict>
          <v:shapetype id="_x0000_t202" coordsize="21600,21600" o:spt="202" path="m,l,21600r21600,l21600,xe">
            <v:stroke joinstyle="miter"/>
            <v:path gradientshapeok="t" o:connecttype="rect"/>
          </v:shapetype>
          <v:shape id="_x0000_s1026" type="#_x0000_t202" style="position:absolute;margin-left:65.9pt;margin-top:17.8pt;width:463.6pt;height:106.1pt;z-index:1168;mso-wrap-distance-left:0;mso-wrap-distance-right:0;mso-position-horizontal-relative:page" fillcolor="#dadada" strokeweight="1.44pt">
            <v:textbox inset="0,0,0,0">
              <w:txbxContent>
                <w:p w:rsidR="00865D3B" w:rsidRDefault="00865D3B">
                  <w:pPr>
                    <w:pStyle w:val="BodyText"/>
                    <w:spacing w:before="10"/>
                    <w:rPr>
                      <w:sz w:val="29"/>
                    </w:rPr>
                  </w:pPr>
                </w:p>
                <w:p w:rsidR="00865D3B" w:rsidRDefault="000C3A69">
                  <w:pPr>
                    <w:pStyle w:val="BodyText"/>
                    <w:ind w:left="107" w:right="103"/>
                    <w:jc w:val="both"/>
                  </w:pPr>
                  <w:r>
                    <w:t>The recommendation of this submission is that fundamental reform of the GST requires, on both equity and efficiency grounds, that the large majority of GST revenues be distributed to the States and Territories on a population (or per capita) basis.</w:t>
                  </w:r>
                </w:p>
              </w:txbxContent>
            </v:textbox>
            <w10:wrap type="topAndBottom" anchorx="page"/>
          </v:shape>
        </w:pict>
      </w:r>
    </w:p>
    <w:p w:rsidR="00865D3B" w:rsidRDefault="00865D3B">
      <w:pPr>
        <w:pStyle w:val="BodyText"/>
        <w:rPr>
          <w:sz w:val="22"/>
        </w:rPr>
      </w:pPr>
    </w:p>
    <w:p w:rsidR="00865D3B" w:rsidRDefault="000C3A69">
      <w:pPr>
        <w:pStyle w:val="BodyText"/>
        <w:spacing w:before="44"/>
        <w:ind w:left="240" w:right="238"/>
        <w:jc w:val="both"/>
      </w:pPr>
      <w:r>
        <w:t>It is worth noting that even under a system of full distribution of GST revenues on an equal per capita basis (i.e. all States getting 100 cents in the dollar) there is still an implicit redistribution because in higher income States the actual collection of GST per person tends to be higher.</w:t>
      </w:r>
    </w:p>
    <w:p w:rsidR="00865D3B" w:rsidRDefault="00865D3B">
      <w:pPr>
        <w:pStyle w:val="BodyText"/>
        <w:spacing w:before="11"/>
        <w:rPr>
          <w:sz w:val="27"/>
        </w:rPr>
      </w:pPr>
    </w:p>
    <w:p w:rsidR="00865D3B" w:rsidRDefault="000C3A69">
      <w:pPr>
        <w:pStyle w:val="BodyText"/>
        <w:spacing w:before="1"/>
        <w:ind w:left="240" w:right="237"/>
        <w:jc w:val="both"/>
      </w:pPr>
      <w:r>
        <w:t>This submission does not advocate a full distribution of GST on a per capita basis. It does, however, recommend a large majority be distributed on that basis and that a smaller proportion be distributed along the lines of horizontal fiscal equalisation.</w:t>
      </w:r>
    </w:p>
    <w:p w:rsidR="00865D3B" w:rsidRDefault="00865D3B">
      <w:pPr>
        <w:pStyle w:val="BodyText"/>
      </w:pPr>
    </w:p>
    <w:p w:rsidR="00865D3B" w:rsidRDefault="000C3A69">
      <w:pPr>
        <w:pStyle w:val="BodyText"/>
        <w:ind w:left="239" w:right="236"/>
        <w:jc w:val="both"/>
      </w:pPr>
      <w:r>
        <w:t>This submission also acknowledges that change takes time. There would need to be a transition period of several years as the existing system evolves into a</w:t>
      </w:r>
    </w:p>
    <w:p w:rsidR="00865D3B" w:rsidRDefault="00865D3B">
      <w:pPr>
        <w:jc w:val="both"/>
        <w:sectPr w:rsidR="00865D3B">
          <w:pgSz w:w="11910" w:h="16840"/>
          <w:pgMar w:top="960" w:right="1200" w:bottom="1200" w:left="1200" w:header="0" w:footer="1005" w:gutter="0"/>
          <w:cols w:space="720"/>
        </w:sectPr>
      </w:pPr>
    </w:p>
    <w:p w:rsidR="00865D3B" w:rsidRDefault="000C3A69">
      <w:pPr>
        <w:pStyle w:val="BodyText"/>
        <w:spacing w:before="15"/>
        <w:ind w:left="120" w:right="115"/>
        <w:jc w:val="both"/>
      </w:pPr>
      <w:r>
        <w:lastRenderedPageBreak/>
        <w:t>simpler and fairer per capita distribution. This should be done in such a way that no state experiences a year to year decline in actual GST receipts. It is this context that the Commonwealth could play an effective role in supplementing distributions to the weaker States. The Commonwealth might also take responsibility for the Northern Territory.  It is as simple as that.</w:t>
      </w:r>
    </w:p>
    <w:p w:rsidR="00865D3B" w:rsidRDefault="00865D3B">
      <w:pPr>
        <w:pStyle w:val="BodyText"/>
      </w:pPr>
    </w:p>
    <w:p w:rsidR="00865D3B" w:rsidRDefault="00865D3B">
      <w:pPr>
        <w:pStyle w:val="BodyText"/>
        <w:spacing w:before="1"/>
      </w:pPr>
    </w:p>
    <w:p w:rsidR="00865D3B" w:rsidRDefault="000C3A69">
      <w:pPr>
        <w:pStyle w:val="BodyText"/>
        <w:ind w:left="119" w:right="114"/>
        <w:jc w:val="both"/>
      </w:pPr>
      <w:r>
        <w:t>Some preliminary modelling prepared for this submission indicates that a starting point of 55 cents in the dollar would be appropriate. If that applied as an automatic distribution to all States then it would be the case that no State would need be worse off in terms of the actual dollar amount of GST revenue they received. The remaining 45 cents in the dollar would be distributed in accordance with state relativities as determined by the Commonwealth Grants Commission. Over time the 55 cents in the dollar automatic distribution would be progressively raised. The pace at which this occurs will depend on the growth in the overall GST revenue pool and the preparedness of the Commonwealth to assist.</w:t>
      </w:r>
    </w:p>
    <w:p w:rsidR="00865D3B" w:rsidRDefault="00865D3B">
      <w:pPr>
        <w:pStyle w:val="BodyText"/>
        <w:spacing w:before="11"/>
        <w:rPr>
          <w:sz w:val="27"/>
        </w:rPr>
      </w:pPr>
    </w:p>
    <w:p w:rsidR="00865D3B" w:rsidRDefault="000C3A69">
      <w:pPr>
        <w:pStyle w:val="BodyText"/>
        <w:spacing w:before="1"/>
        <w:ind w:left="119" w:right="117"/>
        <w:jc w:val="both"/>
      </w:pPr>
      <w:r>
        <w:t>Allocating GST revenue on a population basis is the fundamental reform that is needed. It would provide financial certainty for State Governments into the future. The transition arrangements, if carefully designed and managed, can also preserve the broad principle of horizontal fiscal equalisation, without seriously compromising economic efficiency or growth.</w:t>
      </w:r>
    </w:p>
    <w:p w:rsidR="00865D3B" w:rsidRDefault="00865D3B">
      <w:pPr>
        <w:pStyle w:val="BodyText"/>
      </w:pPr>
    </w:p>
    <w:p w:rsidR="00865D3B" w:rsidRDefault="00865D3B">
      <w:pPr>
        <w:pStyle w:val="BodyText"/>
        <w:spacing w:before="11"/>
        <w:rPr>
          <w:sz w:val="27"/>
        </w:rPr>
      </w:pPr>
    </w:p>
    <w:p w:rsidR="00865D3B" w:rsidRDefault="000C3A69">
      <w:pPr>
        <w:pStyle w:val="Heading2"/>
        <w:spacing w:before="1"/>
        <w:ind w:left="119"/>
      </w:pPr>
      <w:r>
        <w:t>Economic Impacts</w:t>
      </w:r>
    </w:p>
    <w:p w:rsidR="00865D3B" w:rsidRDefault="00865D3B">
      <w:pPr>
        <w:pStyle w:val="BodyText"/>
        <w:rPr>
          <w:b/>
        </w:rPr>
      </w:pPr>
    </w:p>
    <w:p w:rsidR="00865D3B" w:rsidRDefault="000C3A69">
      <w:pPr>
        <w:pStyle w:val="BodyText"/>
        <w:ind w:left="119" w:right="115"/>
        <w:jc w:val="both"/>
      </w:pPr>
      <w:r>
        <w:t>That does lead to the wider issues of the economy.  It is a strange situation  that the current system of GST distribution would seem to penalise success  and reward failure. It is also a perverse situation that the same system exaggerates economic cycles rather than moderates</w:t>
      </w:r>
      <w:r>
        <w:rPr>
          <w:spacing w:val="-29"/>
        </w:rPr>
        <w:t xml:space="preserve"> </w:t>
      </w:r>
      <w:r>
        <w:t>them.</w:t>
      </w:r>
    </w:p>
    <w:p w:rsidR="00865D3B" w:rsidRDefault="00865D3B">
      <w:pPr>
        <w:pStyle w:val="BodyText"/>
        <w:spacing w:before="12"/>
        <w:rPr>
          <w:sz w:val="27"/>
        </w:rPr>
      </w:pPr>
    </w:p>
    <w:p w:rsidR="00865D3B" w:rsidRDefault="000C3A69">
      <w:pPr>
        <w:pStyle w:val="BodyText"/>
        <w:ind w:left="119" w:right="117"/>
        <w:jc w:val="both"/>
      </w:pPr>
      <w:r>
        <w:t>The Productivity Commission Inquiry will no doubt do some modelling of the impact on the national economy, though the results are likely to be modest. The true impact is felt at a State or regional level. The recent experience of Western Australia is an obvious example.</w:t>
      </w:r>
    </w:p>
    <w:p w:rsidR="00865D3B" w:rsidRDefault="00865D3B">
      <w:pPr>
        <w:pStyle w:val="BodyText"/>
      </w:pPr>
    </w:p>
    <w:p w:rsidR="00865D3B" w:rsidRDefault="000C3A69">
      <w:pPr>
        <w:pStyle w:val="BodyText"/>
        <w:ind w:left="119" w:right="119"/>
        <w:jc w:val="both"/>
      </w:pPr>
      <w:r>
        <w:t>The rapid expansion of a modern China led to an unprecedented surge in demand and price for key commodities. This so-called ‘resources boom’ reached a peak in 2012 with a surge in mining production and investment. For Western Australia this super-cycle will, by the end of the decade, have resulted in a doubling of iron ore production and a trebling of liquefied natural gas</w:t>
      </w:r>
    </w:p>
    <w:p w:rsidR="00865D3B" w:rsidRDefault="00865D3B">
      <w:pPr>
        <w:jc w:val="both"/>
        <w:sectPr w:rsidR="00865D3B">
          <w:pgSz w:w="11910" w:h="16840"/>
          <w:pgMar w:top="960" w:right="1320" w:bottom="1200" w:left="1320" w:header="0" w:footer="1005" w:gutter="0"/>
          <w:cols w:space="720"/>
        </w:sectPr>
      </w:pPr>
    </w:p>
    <w:p w:rsidR="00865D3B" w:rsidRDefault="000C3A69">
      <w:pPr>
        <w:pStyle w:val="BodyText"/>
        <w:spacing w:before="15"/>
        <w:ind w:left="119" w:right="119"/>
        <w:jc w:val="both"/>
      </w:pPr>
      <w:r>
        <w:lastRenderedPageBreak/>
        <w:t>(LNG) production to the extent that the State will be the world leader in both. That is a proud achievement, but it comes at a cost.</w:t>
      </w:r>
    </w:p>
    <w:p w:rsidR="00865D3B" w:rsidRDefault="00865D3B">
      <w:pPr>
        <w:pStyle w:val="BodyText"/>
      </w:pPr>
    </w:p>
    <w:p w:rsidR="00865D3B" w:rsidRDefault="000C3A69">
      <w:pPr>
        <w:pStyle w:val="BodyText"/>
        <w:ind w:left="119" w:right="113"/>
        <w:jc w:val="both"/>
      </w:pPr>
      <w:r>
        <w:t>The attraction of well paid jobs saw the population of the Western Australia grow by 490,000 people within just a few years. That is equivalent to the  entire population of Tasmania. For the State Government that meant more expenditure on education, health, housing, water, electricity and so on. Both the demand for government services and the cost of delivery rose. It also meant more spending on infrastructure in regional areas to support both mining investment and workers. All of that is a good thing and could be accommodated by the strength of mining royalties flowing through  to  the State</w:t>
      </w:r>
      <w:r>
        <w:rPr>
          <w:spacing w:val="-8"/>
        </w:rPr>
        <w:t xml:space="preserve"> </w:t>
      </w:r>
      <w:r>
        <w:t>Treasury.</w:t>
      </w:r>
    </w:p>
    <w:p w:rsidR="00865D3B" w:rsidRDefault="00865D3B">
      <w:pPr>
        <w:pStyle w:val="BodyText"/>
        <w:spacing w:before="12"/>
        <w:rPr>
          <w:sz w:val="27"/>
        </w:rPr>
      </w:pPr>
    </w:p>
    <w:p w:rsidR="00865D3B" w:rsidRDefault="000C3A69">
      <w:pPr>
        <w:pStyle w:val="BodyText"/>
        <w:ind w:left="119" w:right="113"/>
        <w:jc w:val="both"/>
      </w:pPr>
      <w:r>
        <w:t>When the inevitable collapse of commodity prices (especially iron ore) came in 2014 the flow of royalties dried up, but the demand for government services continued. That is not unusual and could be accommodated.  After  all, Western Australia has a long history of cyclical growth. What could not be accommodated was that at the exact same time there was a sharp drop in GST revenues. The perverse nature of the system, with its built in three-year lag, meant that the economic downturn was exaggerated and the State Government was forced into a large budget deficit. The GST  distribution system had been pro-cyclical rather than anti-cyclical or at least neutral. That has proven to be a true economic cost and a real constraint on economic growth and the future provision of government services. For Western  Australia, it was a perfect</w:t>
      </w:r>
      <w:r>
        <w:rPr>
          <w:spacing w:val="-16"/>
        </w:rPr>
        <w:t xml:space="preserve"> </w:t>
      </w:r>
      <w:r>
        <w:t>storm.</w:t>
      </w:r>
    </w:p>
    <w:p w:rsidR="00865D3B" w:rsidRDefault="00865D3B">
      <w:pPr>
        <w:pStyle w:val="BodyText"/>
      </w:pPr>
    </w:p>
    <w:p w:rsidR="00865D3B" w:rsidRDefault="000C3A69">
      <w:pPr>
        <w:pStyle w:val="BodyText"/>
        <w:ind w:left="119" w:right="117"/>
        <w:jc w:val="both"/>
      </w:pPr>
      <w:r>
        <w:t>Over the longer term there are structural issues which should not be ignored. In particular, it is important for future economic prosperity that there be mobility of capital and labour to growth industries and growth regions. Only through resource mobility can Australia maintain and hopefully enhance areas of comparative advantage in a global</w:t>
      </w:r>
      <w:r>
        <w:rPr>
          <w:spacing w:val="-25"/>
        </w:rPr>
        <w:t xml:space="preserve"> </w:t>
      </w:r>
      <w:r>
        <w:t>economy.</w:t>
      </w:r>
    </w:p>
    <w:p w:rsidR="00865D3B" w:rsidRDefault="00865D3B">
      <w:pPr>
        <w:pStyle w:val="BodyText"/>
      </w:pPr>
    </w:p>
    <w:p w:rsidR="00865D3B" w:rsidRDefault="000C3A69">
      <w:pPr>
        <w:pStyle w:val="BodyText"/>
        <w:ind w:left="119" w:right="114"/>
        <w:jc w:val="both"/>
      </w:pPr>
      <w:r>
        <w:t>To the extent that the current GST distribution props up weaker states and declining industries it also mitigates against the mobility of capital and labour. In the same context it limits the capacity to support growth sectors though economic and social infrastructure.</w:t>
      </w:r>
    </w:p>
    <w:p w:rsidR="00865D3B" w:rsidRDefault="00865D3B">
      <w:pPr>
        <w:pStyle w:val="BodyText"/>
      </w:pPr>
    </w:p>
    <w:p w:rsidR="00865D3B" w:rsidRDefault="000C3A69">
      <w:pPr>
        <w:pStyle w:val="BodyText"/>
        <w:ind w:left="119" w:right="117"/>
        <w:jc w:val="both"/>
      </w:pPr>
      <w:r>
        <w:t xml:space="preserve">The development of the Pilbara region in Western Australia is an obvious example. It has been the State Government which has funded and settled native title claims for industry sites. In the small town of Onslow the gas industry and the State Government have jointly funded a range of support projects  including  an  airport,  hospital,  water  supply,  power  supply, </w:t>
      </w:r>
      <w:r>
        <w:rPr>
          <w:spacing w:val="60"/>
        </w:rPr>
        <w:t xml:space="preserve"> </w:t>
      </w:r>
      <w:r>
        <w:t>sports</w:t>
      </w:r>
    </w:p>
    <w:p w:rsidR="00865D3B" w:rsidRDefault="00865D3B">
      <w:pPr>
        <w:jc w:val="both"/>
        <w:sectPr w:rsidR="00865D3B">
          <w:pgSz w:w="11910" w:h="16840"/>
          <w:pgMar w:top="960" w:right="1320" w:bottom="1200" w:left="1320" w:header="0" w:footer="1005" w:gutter="0"/>
          <w:cols w:space="720"/>
        </w:sectPr>
      </w:pPr>
    </w:p>
    <w:p w:rsidR="00865D3B" w:rsidRDefault="000C3A69">
      <w:pPr>
        <w:pStyle w:val="BodyText"/>
        <w:spacing w:before="15"/>
        <w:ind w:left="119" w:right="119"/>
        <w:jc w:val="both"/>
      </w:pPr>
      <w:r>
        <w:lastRenderedPageBreak/>
        <w:t>facility, housing and so on. There are many other examples throughout the Pilbara.</w:t>
      </w:r>
    </w:p>
    <w:p w:rsidR="00865D3B" w:rsidRDefault="00865D3B">
      <w:pPr>
        <w:pStyle w:val="BodyText"/>
      </w:pPr>
    </w:p>
    <w:p w:rsidR="00865D3B" w:rsidRDefault="000C3A69">
      <w:pPr>
        <w:pStyle w:val="BodyText"/>
        <w:ind w:left="119" w:right="115"/>
        <w:jc w:val="both"/>
      </w:pPr>
      <w:r>
        <w:t>In the Kimberley the expansion of the Ord River Irrigation project has only  been possible through the State Government investment in major water channels and roads. In this case the Commonwealth did support on social infrastructure.</w:t>
      </w:r>
    </w:p>
    <w:p w:rsidR="00865D3B" w:rsidRDefault="00865D3B">
      <w:pPr>
        <w:pStyle w:val="BodyText"/>
        <w:spacing w:before="12"/>
        <w:rPr>
          <w:sz w:val="27"/>
        </w:rPr>
      </w:pPr>
    </w:p>
    <w:p w:rsidR="00865D3B" w:rsidRDefault="000C3A69">
      <w:pPr>
        <w:pStyle w:val="BodyText"/>
        <w:ind w:left="119" w:right="114"/>
        <w:jc w:val="both"/>
      </w:pPr>
      <w:r>
        <w:t>The point is that such projects are often in remote locations. They simply will not happen in the future unless there is a high standard of economic and social infrastructure and the ongoing funding of services. For Western Australia, the ability to continue to support big projects of national significance is severely limited by the current low share of GST revenues. It is worth noting that the Pilbara alone accounts for 27 per cent of Australia’s exports. Western Australia as a whole accounts for 43 per cent of national exports and at one stage over 50 per cent.</w:t>
      </w:r>
    </w:p>
    <w:p w:rsidR="00865D3B" w:rsidRDefault="00865D3B">
      <w:pPr>
        <w:pStyle w:val="BodyText"/>
      </w:pPr>
    </w:p>
    <w:p w:rsidR="00865D3B" w:rsidRDefault="000C3A69">
      <w:pPr>
        <w:pStyle w:val="BodyText"/>
        <w:ind w:left="119" w:right="115"/>
        <w:jc w:val="both"/>
      </w:pPr>
      <w:r>
        <w:t>For Western Australia it is ironic that the cost to government of these nation- building projects does not get proper recognition in the GST distribution. The irony is even more so given that the major beneficiary is the Commonwealth through company tax, income tax and the petroleum resources rent tax  (PRRT). A slowdown or possible reduction in the mining industry  has  significant implications for future Commonwealth Government</w:t>
      </w:r>
      <w:r>
        <w:rPr>
          <w:spacing w:val="-39"/>
        </w:rPr>
        <w:t xml:space="preserve"> </w:t>
      </w:r>
      <w:r>
        <w:t>revenue.</w:t>
      </w:r>
    </w:p>
    <w:p w:rsidR="00865D3B" w:rsidRDefault="00865D3B">
      <w:pPr>
        <w:pStyle w:val="BodyText"/>
      </w:pPr>
    </w:p>
    <w:p w:rsidR="00865D3B" w:rsidRDefault="000C3A69">
      <w:pPr>
        <w:pStyle w:val="BodyText"/>
        <w:ind w:left="119" w:right="118"/>
        <w:jc w:val="both"/>
      </w:pPr>
      <w:r>
        <w:t>A final comment could be seen as somewhat political, though it is not intended to be so. Western Australia is  a mining and export state.  The State accounts for 42 per cent of Australia’s mineral production (excluding coal). For the  future it is significant that over 90 per cent of Australia’s conventional gas reserves are found off the north-west coast. The mining and petroleum industries have long held strong community support. They have also enjoyed bipartisan political support.  This can no longer be taken for</w:t>
      </w:r>
      <w:r>
        <w:rPr>
          <w:spacing w:val="-44"/>
        </w:rPr>
        <w:t xml:space="preserve"> </w:t>
      </w:r>
      <w:r>
        <w:t>granted.</w:t>
      </w:r>
    </w:p>
    <w:p w:rsidR="00865D3B" w:rsidRDefault="00865D3B">
      <w:pPr>
        <w:pStyle w:val="BodyText"/>
      </w:pPr>
    </w:p>
    <w:p w:rsidR="00865D3B" w:rsidRDefault="000C3A69">
      <w:pPr>
        <w:pStyle w:val="BodyText"/>
        <w:ind w:left="119" w:right="116" w:hanging="1"/>
        <w:jc w:val="both"/>
      </w:pPr>
      <w:r>
        <w:t>Already on the east coast there are bans on uranium mining, bans on fracking, for the extraction of coal seam gas, and a growing campaign against  coal mining and coal fired power generation. The same pattern is now emerging in Western Australia. The newly elected Labor Government has announced a ban on uranium mining (though previously approved projects could go ahead) and an intention to ban fracking in the south west.</w:t>
      </w:r>
    </w:p>
    <w:p w:rsidR="00865D3B" w:rsidRDefault="00865D3B">
      <w:pPr>
        <w:pStyle w:val="BodyText"/>
      </w:pPr>
    </w:p>
    <w:p w:rsidR="00865D3B" w:rsidRDefault="000C3A69">
      <w:pPr>
        <w:pStyle w:val="BodyText"/>
        <w:ind w:left="119" w:right="118"/>
        <w:jc w:val="both"/>
      </w:pPr>
      <w:r>
        <w:t>However, there is a difference in Western Australia. During the recent state election the National Party campaigned for an additional tax of $5 per tonne of iron ore mined.  This proposal gained a degree of public support on the basis</w:t>
      </w:r>
    </w:p>
    <w:p w:rsidR="00865D3B" w:rsidRDefault="00865D3B">
      <w:pPr>
        <w:jc w:val="both"/>
        <w:sectPr w:rsidR="00865D3B">
          <w:pgSz w:w="11910" w:h="16840"/>
          <w:pgMar w:top="960" w:right="1320" w:bottom="1200" w:left="1320" w:header="0" w:footer="1005" w:gutter="0"/>
          <w:cols w:space="720"/>
        </w:sectPr>
      </w:pPr>
    </w:p>
    <w:p w:rsidR="00865D3B" w:rsidRDefault="000C3A69">
      <w:pPr>
        <w:pStyle w:val="BodyText"/>
        <w:spacing w:before="15"/>
        <w:ind w:left="100" w:right="117"/>
        <w:jc w:val="both"/>
      </w:pPr>
      <w:r>
        <w:lastRenderedPageBreak/>
        <w:t>that many felt the mining companies should pay more in tax. The argument was that given the GST situation a new source of government revenue was needed. It also prompted a sentiment that perhaps the mining industry wasn’t such a great benefit to the State after all. This was further supported by the loss of jobs as the mining sector slowed</w:t>
      </w:r>
      <w:r>
        <w:rPr>
          <w:spacing w:val="-24"/>
        </w:rPr>
        <w:t xml:space="preserve"> </w:t>
      </w:r>
      <w:r>
        <w:t>down.</w:t>
      </w:r>
    </w:p>
    <w:p w:rsidR="00865D3B" w:rsidRDefault="00865D3B">
      <w:pPr>
        <w:pStyle w:val="BodyText"/>
      </w:pPr>
    </w:p>
    <w:p w:rsidR="00865D3B" w:rsidRDefault="000C3A69">
      <w:pPr>
        <w:pStyle w:val="BodyText"/>
        <w:ind w:left="100" w:right="115"/>
        <w:jc w:val="both"/>
      </w:pPr>
      <w:r>
        <w:t>The point is that the effective redistribution of mining royalties to other states through the GST system has reduced public support for mining. A reduction in public support, which is in addition to the growing environmental opposition to the industry, has the potential to see the mining and petroleum industry not achieve its full potential with obvious implications for jobs, export income and tax revenue.</w:t>
      </w:r>
    </w:p>
    <w:p w:rsidR="00865D3B" w:rsidRDefault="00865D3B">
      <w:pPr>
        <w:pStyle w:val="BodyText"/>
        <w:spacing w:before="12"/>
        <w:rPr>
          <w:sz w:val="27"/>
        </w:rPr>
      </w:pPr>
    </w:p>
    <w:p w:rsidR="00865D3B" w:rsidRDefault="000C3A69">
      <w:pPr>
        <w:pStyle w:val="BodyText"/>
        <w:ind w:left="100" w:right="115"/>
        <w:jc w:val="both"/>
      </w:pPr>
      <w:r>
        <w:t>These are some of the reasons why the Parliamentary Liberal Party believes that the time for real reform of the GST distribution system is long overdue. A shift to a sharing of GST revenues on a population (or per capita) basis is not only critical for Western Australia, it is also an important reform for national prosperity. We urge the Inquiry to be bold and to focus on long-term and fundamental reform of the GST distribution system.</w:t>
      </w:r>
    </w:p>
    <w:p w:rsidR="00865D3B" w:rsidRDefault="00865D3B">
      <w:pPr>
        <w:pStyle w:val="BodyText"/>
      </w:pPr>
    </w:p>
    <w:p w:rsidR="00865D3B" w:rsidRDefault="00865D3B">
      <w:pPr>
        <w:pStyle w:val="BodyText"/>
        <w:spacing w:before="11"/>
        <w:rPr>
          <w:sz w:val="27"/>
        </w:rPr>
      </w:pPr>
    </w:p>
    <w:p w:rsidR="00865D3B" w:rsidRDefault="000C3A69">
      <w:pPr>
        <w:pStyle w:val="Heading2"/>
        <w:ind w:left="100"/>
      </w:pPr>
      <w:r>
        <w:t>ATTACHMENTS</w:t>
      </w:r>
    </w:p>
    <w:p w:rsidR="00865D3B" w:rsidRDefault="00865D3B">
      <w:pPr>
        <w:pStyle w:val="BodyText"/>
        <w:spacing w:before="12"/>
        <w:rPr>
          <w:b/>
          <w:sz w:val="27"/>
        </w:rPr>
      </w:pPr>
    </w:p>
    <w:p w:rsidR="00865D3B" w:rsidRDefault="000C3A69">
      <w:pPr>
        <w:pStyle w:val="ListParagraph"/>
        <w:numPr>
          <w:ilvl w:val="0"/>
          <w:numId w:val="1"/>
        </w:numPr>
        <w:tabs>
          <w:tab w:val="left" w:pos="821"/>
        </w:tabs>
        <w:rPr>
          <w:sz w:val="28"/>
        </w:rPr>
      </w:pPr>
      <w:r>
        <w:rPr>
          <w:sz w:val="28"/>
        </w:rPr>
        <w:t>Trends in GST</w:t>
      </w:r>
      <w:r>
        <w:rPr>
          <w:spacing w:val="-12"/>
          <w:sz w:val="28"/>
        </w:rPr>
        <w:t xml:space="preserve"> </w:t>
      </w:r>
      <w:r>
        <w:rPr>
          <w:sz w:val="28"/>
        </w:rPr>
        <w:t>Distribution</w:t>
      </w:r>
    </w:p>
    <w:p w:rsidR="00865D3B" w:rsidRDefault="000C3A69">
      <w:pPr>
        <w:pStyle w:val="ListParagraph"/>
        <w:numPr>
          <w:ilvl w:val="0"/>
          <w:numId w:val="1"/>
        </w:numPr>
        <w:tabs>
          <w:tab w:val="left" w:pos="821"/>
        </w:tabs>
        <w:spacing w:before="1"/>
        <w:rPr>
          <w:sz w:val="28"/>
        </w:rPr>
      </w:pPr>
      <w:r>
        <w:rPr>
          <w:sz w:val="28"/>
        </w:rPr>
        <w:t>Four State Agreement on GST</w:t>
      </w:r>
      <w:r>
        <w:rPr>
          <w:spacing w:val="-19"/>
          <w:sz w:val="28"/>
        </w:rPr>
        <w:t xml:space="preserve"> </w:t>
      </w:r>
      <w:r>
        <w:rPr>
          <w:sz w:val="28"/>
        </w:rPr>
        <w:t>(2012)</w:t>
      </w:r>
    </w:p>
    <w:p w:rsidR="00865D3B" w:rsidRDefault="00865D3B">
      <w:pPr>
        <w:rPr>
          <w:sz w:val="28"/>
        </w:rPr>
        <w:sectPr w:rsidR="00865D3B">
          <w:pgSz w:w="11910" w:h="16840"/>
          <w:pgMar w:top="960" w:right="1320" w:bottom="1200" w:left="1340" w:header="0" w:footer="1005" w:gutter="0"/>
          <w:cols w:space="720"/>
        </w:sectPr>
      </w:pPr>
    </w:p>
    <w:p w:rsidR="00865D3B" w:rsidRDefault="000C3A69">
      <w:pPr>
        <w:pStyle w:val="Heading2"/>
        <w:spacing w:before="15"/>
        <w:jc w:val="left"/>
      </w:pPr>
      <w:r>
        <w:rPr>
          <w:u w:val="single"/>
        </w:rPr>
        <w:lastRenderedPageBreak/>
        <w:t>ATTACHMENT 1</w:t>
      </w:r>
    </w:p>
    <w:p w:rsidR="00865D3B" w:rsidRDefault="00865D3B">
      <w:pPr>
        <w:pStyle w:val="BodyText"/>
        <w:rPr>
          <w:b/>
          <w:sz w:val="20"/>
        </w:rPr>
      </w:pPr>
    </w:p>
    <w:p w:rsidR="00865D3B" w:rsidRDefault="00865D3B">
      <w:pPr>
        <w:pStyle w:val="BodyText"/>
        <w:rPr>
          <w:b/>
          <w:sz w:val="20"/>
        </w:rPr>
      </w:pPr>
    </w:p>
    <w:p w:rsidR="00865D3B" w:rsidRDefault="000C3A69">
      <w:pPr>
        <w:spacing w:before="194"/>
        <w:ind w:left="220"/>
        <w:jc w:val="both"/>
        <w:rPr>
          <w:b/>
          <w:sz w:val="28"/>
        </w:rPr>
      </w:pPr>
      <w:r>
        <w:rPr>
          <w:b/>
          <w:sz w:val="28"/>
        </w:rPr>
        <w:t>TRENDS IN GST DISTRIBUTION</w:t>
      </w:r>
    </w:p>
    <w:p w:rsidR="00865D3B" w:rsidRDefault="00865D3B">
      <w:pPr>
        <w:pStyle w:val="BodyText"/>
        <w:spacing w:before="11"/>
        <w:rPr>
          <w:b/>
          <w:sz w:val="27"/>
        </w:rPr>
      </w:pPr>
    </w:p>
    <w:p w:rsidR="00865D3B" w:rsidRDefault="000C3A69">
      <w:pPr>
        <w:pStyle w:val="BodyText"/>
        <w:spacing w:before="1"/>
        <w:ind w:left="220" w:right="137"/>
        <w:jc w:val="both"/>
      </w:pPr>
      <w:r>
        <w:t>At the time the GST was introduced in 2001 the relativities of the various Sates were broadly in order.</w:t>
      </w:r>
    </w:p>
    <w:p w:rsidR="00865D3B" w:rsidRDefault="00865D3B">
      <w:pPr>
        <w:pStyle w:val="BodyText"/>
      </w:pPr>
    </w:p>
    <w:p w:rsidR="00865D3B" w:rsidRDefault="000C3A69">
      <w:pPr>
        <w:pStyle w:val="BodyText"/>
        <w:ind w:left="220" w:right="132"/>
        <w:jc w:val="both"/>
      </w:pPr>
      <w:r>
        <w:t xml:space="preserve">For Western Australia the relativity was set at 98 cents in the dollar. As </w:t>
      </w:r>
      <w:r>
        <w:rPr>
          <w:i/>
        </w:rPr>
        <w:t xml:space="preserve">Table 1 </w:t>
      </w:r>
      <w:r>
        <w:t>shows this relativity fell dramatically from 2009 to a level of just 30 cents in 2015 and 2016.  It has since improved slightly to 34 cents in 2017.</w:t>
      </w:r>
    </w:p>
    <w:p w:rsidR="00865D3B" w:rsidRDefault="00865D3B">
      <w:pPr>
        <w:pStyle w:val="BodyText"/>
      </w:pPr>
    </w:p>
    <w:p w:rsidR="00865D3B" w:rsidRDefault="00865D3B">
      <w:pPr>
        <w:pStyle w:val="BodyText"/>
        <w:spacing w:before="11"/>
        <w:rPr>
          <w:sz w:val="27"/>
        </w:rPr>
      </w:pPr>
    </w:p>
    <w:p w:rsidR="00865D3B" w:rsidRDefault="000C3A69">
      <w:pPr>
        <w:pStyle w:val="Heading2"/>
      </w:pPr>
      <w:r>
        <w:t>Table 1</w:t>
      </w:r>
    </w:p>
    <w:p w:rsidR="00865D3B" w:rsidRDefault="000C3A69">
      <w:pPr>
        <w:pStyle w:val="BodyText"/>
        <w:spacing w:before="10"/>
        <w:rPr>
          <w:b/>
          <w:sz w:val="24"/>
        </w:rPr>
      </w:pPr>
      <w:r>
        <w:rPr>
          <w:noProof/>
          <w:lang w:val="en-AU" w:eastAsia="en-AU"/>
        </w:rPr>
        <w:drawing>
          <wp:anchor distT="0" distB="0" distL="0" distR="0" simplePos="0" relativeHeight="1192" behindDoc="0" locked="0" layoutInCell="1" allowOverlap="1">
            <wp:simplePos x="0" y="0"/>
            <wp:positionH relativeFrom="page">
              <wp:posOffset>845820</wp:posOffset>
            </wp:positionH>
            <wp:positionV relativeFrom="paragraph">
              <wp:posOffset>217732</wp:posOffset>
            </wp:positionV>
            <wp:extent cx="5822265" cy="3997452"/>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8" cstate="print"/>
                    <a:stretch>
                      <a:fillRect/>
                    </a:stretch>
                  </pic:blipFill>
                  <pic:spPr>
                    <a:xfrm>
                      <a:off x="0" y="0"/>
                      <a:ext cx="5822265" cy="3997452"/>
                    </a:xfrm>
                    <a:prstGeom prst="rect">
                      <a:avLst/>
                    </a:prstGeom>
                  </pic:spPr>
                </pic:pic>
              </a:graphicData>
            </a:graphic>
          </wp:anchor>
        </w:drawing>
      </w:r>
    </w:p>
    <w:p w:rsidR="00865D3B" w:rsidRDefault="00865D3B">
      <w:pPr>
        <w:pStyle w:val="BodyText"/>
        <w:rPr>
          <w:b/>
        </w:rPr>
      </w:pPr>
    </w:p>
    <w:p w:rsidR="00865D3B" w:rsidRDefault="00865D3B">
      <w:pPr>
        <w:pStyle w:val="BodyText"/>
        <w:rPr>
          <w:b/>
        </w:rPr>
      </w:pPr>
    </w:p>
    <w:p w:rsidR="00865D3B" w:rsidRDefault="00865D3B">
      <w:pPr>
        <w:pStyle w:val="BodyText"/>
        <w:spacing w:before="9"/>
        <w:rPr>
          <w:b/>
          <w:sz w:val="22"/>
        </w:rPr>
      </w:pPr>
    </w:p>
    <w:p w:rsidR="00865D3B" w:rsidRDefault="000C3A69">
      <w:pPr>
        <w:pStyle w:val="BodyText"/>
        <w:ind w:left="220" w:right="135"/>
        <w:jc w:val="both"/>
      </w:pPr>
      <w:r>
        <w:t>As mentioned, the Commonwealth did try to make some adjustments through extra payments of $0.5 billion in each of 2015/16 and 2016/17. This was argued to increase the relativity to 37 cents in the dollar. This is still an unacceptably low figure. It also came in the form of funding toward specific infrastructure projects (Airport Rail and then Perth freight Link) and as such was</w:t>
      </w:r>
      <w:r>
        <w:rPr>
          <w:spacing w:val="37"/>
        </w:rPr>
        <w:t xml:space="preserve"> </w:t>
      </w:r>
      <w:r>
        <w:t>a</w:t>
      </w:r>
      <w:r>
        <w:rPr>
          <w:spacing w:val="35"/>
        </w:rPr>
        <w:t xml:space="preserve"> </w:t>
      </w:r>
      <w:r>
        <w:t>specific</w:t>
      </w:r>
      <w:r>
        <w:rPr>
          <w:spacing w:val="35"/>
        </w:rPr>
        <w:t xml:space="preserve"> </w:t>
      </w:r>
      <w:r>
        <w:t>grant</w:t>
      </w:r>
      <w:r>
        <w:rPr>
          <w:spacing w:val="33"/>
        </w:rPr>
        <w:t xml:space="preserve"> </w:t>
      </w:r>
      <w:r>
        <w:t>rather</w:t>
      </w:r>
      <w:r>
        <w:rPr>
          <w:spacing w:val="37"/>
        </w:rPr>
        <w:t xml:space="preserve"> </w:t>
      </w:r>
      <w:r>
        <w:t>than</w:t>
      </w:r>
      <w:r>
        <w:rPr>
          <w:spacing w:val="35"/>
        </w:rPr>
        <w:t xml:space="preserve"> </w:t>
      </w:r>
      <w:r>
        <w:t>the</w:t>
      </w:r>
      <w:r>
        <w:rPr>
          <w:spacing w:val="35"/>
        </w:rPr>
        <w:t xml:space="preserve"> </w:t>
      </w:r>
      <w:r>
        <w:t>untied</w:t>
      </w:r>
      <w:r>
        <w:rPr>
          <w:spacing w:val="35"/>
        </w:rPr>
        <w:t xml:space="preserve"> </w:t>
      </w:r>
      <w:r>
        <w:t>GST</w:t>
      </w:r>
      <w:r>
        <w:rPr>
          <w:spacing w:val="36"/>
        </w:rPr>
        <w:t xml:space="preserve"> </w:t>
      </w:r>
      <w:r>
        <w:t xml:space="preserve">funds.  </w:t>
      </w:r>
      <w:r>
        <w:rPr>
          <w:spacing w:val="12"/>
        </w:rPr>
        <w:t xml:space="preserve"> </w:t>
      </w:r>
      <w:r>
        <w:t>Even</w:t>
      </w:r>
      <w:r>
        <w:rPr>
          <w:spacing w:val="35"/>
        </w:rPr>
        <w:t xml:space="preserve"> </w:t>
      </w:r>
      <w:r>
        <w:t>with</w:t>
      </w:r>
      <w:r>
        <w:rPr>
          <w:spacing w:val="35"/>
        </w:rPr>
        <w:t xml:space="preserve"> </w:t>
      </w:r>
      <w:r>
        <w:t>this</w:t>
      </w:r>
      <w:r>
        <w:rPr>
          <w:spacing w:val="37"/>
        </w:rPr>
        <w:t xml:space="preserve"> </w:t>
      </w:r>
      <w:r>
        <w:t>extra</w:t>
      </w:r>
    </w:p>
    <w:p w:rsidR="00865D3B" w:rsidRDefault="00865D3B">
      <w:pPr>
        <w:jc w:val="both"/>
        <w:sectPr w:rsidR="00865D3B">
          <w:pgSz w:w="11910" w:h="16840"/>
          <w:pgMar w:top="960" w:right="1300" w:bottom="1200" w:left="1220" w:header="0" w:footer="1005" w:gutter="0"/>
          <w:cols w:space="720"/>
        </w:sectPr>
      </w:pPr>
    </w:p>
    <w:p w:rsidR="00865D3B" w:rsidRDefault="000C3A69">
      <w:pPr>
        <w:pStyle w:val="BodyText"/>
        <w:spacing w:before="15"/>
        <w:ind w:left="119" w:right="114"/>
        <w:jc w:val="both"/>
      </w:pPr>
      <w:r>
        <w:lastRenderedPageBreak/>
        <w:t>funding Western Australia’s share of infrastructure funding was well below other States on a comparative basis. With around 11 per cent of the national population Western Australia received just 7.8 per cent of Commonwealth transport funding.</w:t>
      </w:r>
    </w:p>
    <w:p w:rsidR="00865D3B" w:rsidRDefault="00865D3B">
      <w:pPr>
        <w:pStyle w:val="BodyText"/>
      </w:pPr>
    </w:p>
    <w:p w:rsidR="00865D3B" w:rsidRDefault="000C3A69">
      <w:pPr>
        <w:pStyle w:val="BodyText"/>
        <w:ind w:left="119" w:right="117"/>
        <w:jc w:val="both"/>
      </w:pPr>
      <w:r>
        <w:t>Some will say that Western Australia should not complain because the state had previously been a beneficiary of the Grants Commission process. In the early years of Federation, Western Australia did get some extra funding but that was primarily on the basis of tariff compensation for the protection of east coast manufacturing and the higher costs that resulted.</w:t>
      </w:r>
    </w:p>
    <w:p w:rsidR="00865D3B" w:rsidRDefault="00865D3B">
      <w:pPr>
        <w:pStyle w:val="BodyText"/>
        <w:spacing w:before="12"/>
        <w:rPr>
          <w:sz w:val="27"/>
        </w:rPr>
      </w:pPr>
    </w:p>
    <w:p w:rsidR="00865D3B" w:rsidRDefault="000C3A69">
      <w:pPr>
        <w:pStyle w:val="BodyText"/>
        <w:ind w:left="119" w:right="117"/>
        <w:jc w:val="both"/>
      </w:pPr>
      <w:r>
        <w:t>What is undeniable is that any past differential in funding has never been on the scale of what is being experienced today. In modern times the previous  low point was Victoria in 1994/95 which received just 84 cents in the dollar. That appears generous to the 34 cents in the dollar applying to Western Australia.</w:t>
      </w:r>
    </w:p>
    <w:p w:rsidR="00865D3B" w:rsidRDefault="00865D3B">
      <w:pPr>
        <w:pStyle w:val="BodyText"/>
      </w:pPr>
    </w:p>
    <w:p w:rsidR="00865D3B" w:rsidRDefault="00865D3B">
      <w:pPr>
        <w:pStyle w:val="BodyText"/>
        <w:spacing w:before="11"/>
        <w:rPr>
          <w:sz w:val="27"/>
        </w:rPr>
      </w:pPr>
    </w:p>
    <w:p w:rsidR="00865D3B" w:rsidRDefault="000C3A69">
      <w:pPr>
        <w:pStyle w:val="Heading2"/>
        <w:ind w:left="119"/>
      </w:pPr>
      <w:r>
        <w:t>State Comparisons for the GST</w:t>
      </w:r>
    </w:p>
    <w:p w:rsidR="00865D3B" w:rsidRDefault="00865D3B">
      <w:pPr>
        <w:pStyle w:val="BodyText"/>
        <w:spacing w:before="12"/>
        <w:rPr>
          <w:b/>
          <w:sz w:val="27"/>
        </w:rPr>
      </w:pPr>
    </w:p>
    <w:p w:rsidR="00865D3B" w:rsidRDefault="000C3A69">
      <w:pPr>
        <w:pStyle w:val="BodyText"/>
        <w:ind w:left="120" w:right="122"/>
        <w:jc w:val="both"/>
      </w:pPr>
      <w:r>
        <w:rPr>
          <w:i/>
        </w:rPr>
        <w:t xml:space="preserve">Table 2A </w:t>
      </w:r>
      <w:r>
        <w:t xml:space="preserve">shows the relativities and </w:t>
      </w:r>
      <w:r>
        <w:rPr>
          <w:i/>
        </w:rPr>
        <w:t xml:space="preserve">Table 2B </w:t>
      </w:r>
      <w:r>
        <w:t>shows the actual funding from the GST for each State from 2001 to 2016.</w:t>
      </w:r>
    </w:p>
    <w:p w:rsidR="00865D3B" w:rsidRDefault="00865D3B">
      <w:pPr>
        <w:pStyle w:val="BodyText"/>
      </w:pPr>
    </w:p>
    <w:p w:rsidR="00865D3B" w:rsidRDefault="000C3A69">
      <w:pPr>
        <w:pStyle w:val="BodyText"/>
        <w:ind w:left="120" w:right="116"/>
        <w:jc w:val="both"/>
      </w:pPr>
      <w:r>
        <w:t>For Western Australia the dollar amount in 2017-18 was almost identical to that for 2000-01. For every other State the dollar amount has increased by a factor of two to three</w:t>
      </w:r>
      <w:r>
        <w:rPr>
          <w:spacing w:val="-13"/>
        </w:rPr>
        <w:t xml:space="preserve"> </w:t>
      </w:r>
      <w:r>
        <w:t>times.</w:t>
      </w:r>
    </w:p>
    <w:p w:rsidR="00865D3B" w:rsidRDefault="00865D3B">
      <w:pPr>
        <w:pStyle w:val="BodyText"/>
      </w:pPr>
    </w:p>
    <w:p w:rsidR="00865D3B" w:rsidRDefault="000C3A69">
      <w:pPr>
        <w:pStyle w:val="BodyText"/>
        <w:ind w:left="120" w:right="114"/>
        <w:jc w:val="both"/>
      </w:pPr>
      <w:r>
        <w:t>If these figures were adjusted for inflation there would be a real decline in GST funding to Western Australia of some 35 per cent. And given Western Australia’s relatively higher rate of population growth over the period a comparison of real funding per capita would show an even greater disparity.</w:t>
      </w:r>
    </w:p>
    <w:p w:rsidR="00865D3B" w:rsidRDefault="00865D3B">
      <w:pPr>
        <w:pStyle w:val="BodyText"/>
      </w:pPr>
    </w:p>
    <w:p w:rsidR="00865D3B" w:rsidRDefault="000C3A69">
      <w:pPr>
        <w:pStyle w:val="BodyText"/>
        <w:ind w:left="120" w:right="122"/>
        <w:jc w:val="both"/>
      </w:pPr>
      <w:r>
        <w:t>The inequality of the system is blatantly obvious. It is an inequality which is  well understood by the Western Australian</w:t>
      </w:r>
      <w:r>
        <w:rPr>
          <w:spacing w:val="-35"/>
        </w:rPr>
        <w:t xml:space="preserve"> </w:t>
      </w:r>
      <w:r>
        <w:t>population.</w:t>
      </w:r>
    </w:p>
    <w:p w:rsidR="00865D3B" w:rsidRDefault="00865D3B">
      <w:pPr>
        <w:jc w:val="both"/>
        <w:sectPr w:rsidR="00865D3B">
          <w:footerReference w:type="default" r:id="rId19"/>
          <w:pgSz w:w="11910" w:h="16840"/>
          <w:pgMar w:top="960" w:right="1320" w:bottom="1200" w:left="1320" w:header="0" w:footer="1005" w:gutter="0"/>
          <w:cols w:space="720"/>
        </w:sectPr>
      </w:pPr>
    </w:p>
    <w:p w:rsidR="00865D3B" w:rsidRDefault="000C3A69">
      <w:pPr>
        <w:pStyle w:val="Heading2"/>
        <w:spacing w:before="15"/>
        <w:jc w:val="left"/>
      </w:pPr>
      <w:r>
        <w:lastRenderedPageBreak/>
        <w:t>Table 2A</w:t>
      </w:r>
    </w:p>
    <w:p w:rsidR="00865D3B" w:rsidRDefault="00865D3B">
      <w:pPr>
        <w:pStyle w:val="BodyText"/>
        <w:rPr>
          <w:b/>
          <w:sz w:val="20"/>
        </w:rPr>
      </w:pPr>
    </w:p>
    <w:p w:rsidR="00865D3B" w:rsidRDefault="00865D3B">
      <w:pPr>
        <w:pStyle w:val="BodyText"/>
        <w:spacing w:before="3"/>
        <w:rPr>
          <w:b/>
          <w:sz w:val="1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936"/>
        <w:gridCol w:w="936"/>
        <w:gridCol w:w="936"/>
        <w:gridCol w:w="936"/>
        <w:gridCol w:w="936"/>
        <w:gridCol w:w="936"/>
        <w:gridCol w:w="936"/>
        <w:gridCol w:w="936"/>
      </w:tblGrid>
      <w:tr w:rsidR="00865D3B">
        <w:trPr>
          <w:trHeight w:val="460"/>
        </w:trPr>
        <w:tc>
          <w:tcPr>
            <w:tcW w:w="8839" w:type="dxa"/>
            <w:gridSpan w:val="9"/>
          </w:tcPr>
          <w:p w:rsidR="00865D3B" w:rsidRDefault="000C3A69">
            <w:pPr>
              <w:pStyle w:val="TableParagraph"/>
              <w:ind w:left="3644" w:right="3643"/>
              <w:rPr>
                <w:sz w:val="24"/>
              </w:rPr>
            </w:pPr>
            <w:r>
              <w:rPr>
                <w:sz w:val="24"/>
              </w:rPr>
              <w:t>GST Relativities</w:t>
            </w:r>
          </w:p>
        </w:tc>
      </w:tr>
      <w:tr w:rsidR="00865D3B">
        <w:trPr>
          <w:trHeight w:val="460"/>
        </w:trPr>
        <w:tc>
          <w:tcPr>
            <w:tcW w:w="1351" w:type="dxa"/>
          </w:tcPr>
          <w:p w:rsidR="00865D3B" w:rsidRDefault="00865D3B">
            <w:pPr>
              <w:pStyle w:val="TableParagraph"/>
              <w:spacing w:line="240" w:lineRule="auto"/>
              <w:jc w:val="left"/>
              <w:rPr>
                <w:rFonts w:ascii="Times New Roman"/>
                <w:sz w:val="24"/>
              </w:rPr>
            </w:pPr>
          </w:p>
        </w:tc>
        <w:tc>
          <w:tcPr>
            <w:tcW w:w="936" w:type="dxa"/>
          </w:tcPr>
          <w:p w:rsidR="00865D3B" w:rsidRDefault="000C3A69">
            <w:pPr>
              <w:pStyle w:val="TableParagraph"/>
              <w:spacing w:line="292" w:lineRule="exact"/>
              <w:ind w:left="223"/>
              <w:jc w:val="left"/>
              <w:rPr>
                <w:sz w:val="24"/>
              </w:rPr>
            </w:pPr>
            <w:r>
              <w:rPr>
                <w:sz w:val="24"/>
              </w:rPr>
              <w:t>NSW</w:t>
            </w:r>
          </w:p>
        </w:tc>
        <w:tc>
          <w:tcPr>
            <w:tcW w:w="936" w:type="dxa"/>
          </w:tcPr>
          <w:p w:rsidR="00865D3B" w:rsidRDefault="000C3A69">
            <w:pPr>
              <w:pStyle w:val="TableParagraph"/>
              <w:spacing w:line="292" w:lineRule="exact"/>
              <w:ind w:left="168" w:right="168"/>
              <w:rPr>
                <w:sz w:val="24"/>
              </w:rPr>
            </w:pPr>
            <w:r>
              <w:rPr>
                <w:sz w:val="24"/>
              </w:rPr>
              <w:t>Vic</w:t>
            </w:r>
          </w:p>
        </w:tc>
        <w:tc>
          <w:tcPr>
            <w:tcW w:w="936" w:type="dxa"/>
          </w:tcPr>
          <w:p w:rsidR="00865D3B" w:rsidRDefault="000C3A69">
            <w:pPr>
              <w:pStyle w:val="TableParagraph"/>
              <w:spacing w:line="292" w:lineRule="exact"/>
              <w:ind w:left="167" w:right="168"/>
              <w:rPr>
                <w:sz w:val="24"/>
              </w:rPr>
            </w:pPr>
            <w:r>
              <w:rPr>
                <w:sz w:val="24"/>
              </w:rPr>
              <w:t>Qld</w:t>
            </w:r>
          </w:p>
        </w:tc>
        <w:tc>
          <w:tcPr>
            <w:tcW w:w="936" w:type="dxa"/>
          </w:tcPr>
          <w:p w:rsidR="00865D3B" w:rsidRDefault="000C3A69">
            <w:pPr>
              <w:pStyle w:val="TableParagraph"/>
              <w:spacing w:line="292" w:lineRule="exact"/>
              <w:ind w:left="168" w:right="168"/>
              <w:rPr>
                <w:sz w:val="24"/>
              </w:rPr>
            </w:pPr>
            <w:r>
              <w:rPr>
                <w:sz w:val="24"/>
              </w:rPr>
              <w:t>WA</w:t>
            </w:r>
          </w:p>
        </w:tc>
        <w:tc>
          <w:tcPr>
            <w:tcW w:w="936" w:type="dxa"/>
          </w:tcPr>
          <w:p w:rsidR="00865D3B" w:rsidRDefault="000C3A69">
            <w:pPr>
              <w:pStyle w:val="TableParagraph"/>
              <w:spacing w:line="292" w:lineRule="exact"/>
              <w:ind w:left="168" w:right="168"/>
              <w:rPr>
                <w:sz w:val="24"/>
              </w:rPr>
            </w:pPr>
            <w:r>
              <w:rPr>
                <w:sz w:val="24"/>
              </w:rPr>
              <w:t>SA</w:t>
            </w:r>
          </w:p>
        </w:tc>
        <w:tc>
          <w:tcPr>
            <w:tcW w:w="936" w:type="dxa"/>
          </w:tcPr>
          <w:p w:rsidR="00865D3B" w:rsidRDefault="000C3A69">
            <w:pPr>
              <w:pStyle w:val="TableParagraph"/>
              <w:spacing w:line="292" w:lineRule="exact"/>
              <w:ind w:left="168" w:right="168"/>
              <w:rPr>
                <w:sz w:val="24"/>
              </w:rPr>
            </w:pPr>
            <w:r>
              <w:rPr>
                <w:sz w:val="24"/>
              </w:rPr>
              <w:t>Tas</w:t>
            </w:r>
          </w:p>
        </w:tc>
        <w:tc>
          <w:tcPr>
            <w:tcW w:w="936" w:type="dxa"/>
          </w:tcPr>
          <w:p w:rsidR="00865D3B" w:rsidRDefault="000C3A69">
            <w:pPr>
              <w:pStyle w:val="TableParagraph"/>
              <w:spacing w:line="292" w:lineRule="exact"/>
              <w:ind w:left="168" w:right="168"/>
              <w:rPr>
                <w:sz w:val="24"/>
              </w:rPr>
            </w:pPr>
            <w:r>
              <w:rPr>
                <w:sz w:val="24"/>
              </w:rPr>
              <w:t>NT</w:t>
            </w:r>
          </w:p>
        </w:tc>
        <w:tc>
          <w:tcPr>
            <w:tcW w:w="936" w:type="dxa"/>
          </w:tcPr>
          <w:p w:rsidR="00865D3B" w:rsidRDefault="000C3A69">
            <w:pPr>
              <w:pStyle w:val="TableParagraph"/>
              <w:spacing w:line="292" w:lineRule="exact"/>
              <w:ind w:left="167" w:right="168"/>
              <w:rPr>
                <w:sz w:val="24"/>
              </w:rPr>
            </w:pPr>
            <w:r>
              <w:rPr>
                <w:sz w:val="24"/>
              </w:rPr>
              <w:t>ACT</w:t>
            </w:r>
          </w:p>
        </w:tc>
      </w:tr>
      <w:tr w:rsidR="00865D3B">
        <w:trPr>
          <w:trHeight w:val="460"/>
        </w:trPr>
        <w:tc>
          <w:tcPr>
            <w:tcW w:w="1351" w:type="dxa"/>
          </w:tcPr>
          <w:p w:rsidR="00865D3B" w:rsidRDefault="000C3A69">
            <w:pPr>
              <w:pStyle w:val="TableParagraph"/>
              <w:ind w:left="102"/>
              <w:jc w:val="left"/>
              <w:rPr>
                <w:sz w:val="24"/>
              </w:rPr>
            </w:pPr>
            <w:r>
              <w:rPr>
                <w:sz w:val="24"/>
              </w:rPr>
              <w:t>2000-01</w:t>
            </w:r>
          </w:p>
        </w:tc>
        <w:tc>
          <w:tcPr>
            <w:tcW w:w="936" w:type="dxa"/>
          </w:tcPr>
          <w:p w:rsidR="00865D3B" w:rsidRDefault="000C3A69">
            <w:pPr>
              <w:pStyle w:val="TableParagraph"/>
              <w:ind w:left="189"/>
              <w:jc w:val="left"/>
              <w:rPr>
                <w:sz w:val="24"/>
              </w:rPr>
            </w:pPr>
            <w:r>
              <w:rPr>
                <w:sz w:val="24"/>
              </w:rPr>
              <w:t>0.889</w:t>
            </w:r>
          </w:p>
        </w:tc>
        <w:tc>
          <w:tcPr>
            <w:tcW w:w="936" w:type="dxa"/>
          </w:tcPr>
          <w:p w:rsidR="00865D3B" w:rsidRDefault="000C3A69">
            <w:pPr>
              <w:pStyle w:val="TableParagraph"/>
              <w:ind w:left="170" w:right="168"/>
              <w:rPr>
                <w:sz w:val="24"/>
              </w:rPr>
            </w:pPr>
            <w:r>
              <w:rPr>
                <w:sz w:val="24"/>
              </w:rPr>
              <w:t>0.845</w:t>
            </w:r>
          </w:p>
        </w:tc>
        <w:tc>
          <w:tcPr>
            <w:tcW w:w="936" w:type="dxa"/>
          </w:tcPr>
          <w:p w:rsidR="00865D3B" w:rsidRDefault="000C3A69">
            <w:pPr>
              <w:pStyle w:val="TableParagraph"/>
              <w:ind w:left="170" w:right="168"/>
              <w:rPr>
                <w:sz w:val="24"/>
              </w:rPr>
            </w:pPr>
            <w:r>
              <w:rPr>
                <w:sz w:val="24"/>
              </w:rPr>
              <w:t>1.025</w:t>
            </w:r>
          </w:p>
        </w:tc>
        <w:tc>
          <w:tcPr>
            <w:tcW w:w="936" w:type="dxa"/>
          </w:tcPr>
          <w:p w:rsidR="00865D3B" w:rsidRDefault="000C3A69">
            <w:pPr>
              <w:pStyle w:val="TableParagraph"/>
              <w:ind w:left="170" w:right="168"/>
              <w:rPr>
                <w:sz w:val="24"/>
              </w:rPr>
            </w:pPr>
            <w:r>
              <w:rPr>
                <w:sz w:val="24"/>
              </w:rPr>
              <w:t>0.987</w:t>
            </w:r>
          </w:p>
        </w:tc>
        <w:tc>
          <w:tcPr>
            <w:tcW w:w="936" w:type="dxa"/>
          </w:tcPr>
          <w:p w:rsidR="00865D3B" w:rsidRDefault="000C3A69">
            <w:pPr>
              <w:pStyle w:val="TableParagraph"/>
              <w:ind w:left="170" w:right="168"/>
              <w:rPr>
                <w:sz w:val="24"/>
              </w:rPr>
            </w:pPr>
            <w:r>
              <w:rPr>
                <w:sz w:val="24"/>
              </w:rPr>
              <w:t>1.204</w:t>
            </w:r>
          </w:p>
        </w:tc>
        <w:tc>
          <w:tcPr>
            <w:tcW w:w="936" w:type="dxa"/>
          </w:tcPr>
          <w:p w:rsidR="00865D3B" w:rsidRDefault="000C3A69">
            <w:pPr>
              <w:pStyle w:val="TableParagraph"/>
              <w:ind w:left="170" w:right="168"/>
              <w:rPr>
                <w:sz w:val="24"/>
              </w:rPr>
            </w:pPr>
            <w:r>
              <w:rPr>
                <w:sz w:val="24"/>
              </w:rPr>
              <w:t>1.610</w:t>
            </w:r>
          </w:p>
        </w:tc>
        <w:tc>
          <w:tcPr>
            <w:tcW w:w="936" w:type="dxa"/>
          </w:tcPr>
          <w:p w:rsidR="00865D3B" w:rsidRDefault="000C3A69">
            <w:pPr>
              <w:pStyle w:val="TableParagraph"/>
              <w:ind w:left="170" w:right="168"/>
              <w:rPr>
                <w:sz w:val="24"/>
              </w:rPr>
            </w:pPr>
            <w:r>
              <w:rPr>
                <w:sz w:val="24"/>
              </w:rPr>
              <w:t>4.794</w:t>
            </w:r>
          </w:p>
        </w:tc>
        <w:tc>
          <w:tcPr>
            <w:tcW w:w="936" w:type="dxa"/>
          </w:tcPr>
          <w:p w:rsidR="00865D3B" w:rsidRDefault="000C3A69">
            <w:pPr>
              <w:pStyle w:val="TableParagraph"/>
              <w:ind w:left="170" w:right="168"/>
              <w:rPr>
                <w:sz w:val="24"/>
              </w:rPr>
            </w:pPr>
            <w:r>
              <w:rPr>
                <w:sz w:val="24"/>
              </w:rPr>
              <w:t>1.171</w:t>
            </w:r>
          </w:p>
        </w:tc>
      </w:tr>
      <w:tr w:rsidR="00865D3B">
        <w:trPr>
          <w:trHeight w:val="460"/>
        </w:trPr>
        <w:tc>
          <w:tcPr>
            <w:tcW w:w="1351" w:type="dxa"/>
          </w:tcPr>
          <w:p w:rsidR="00865D3B" w:rsidRDefault="000C3A69">
            <w:pPr>
              <w:pStyle w:val="TableParagraph"/>
              <w:ind w:left="102"/>
              <w:jc w:val="left"/>
              <w:rPr>
                <w:sz w:val="24"/>
              </w:rPr>
            </w:pPr>
            <w:r>
              <w:rPr>
                <w:sz w:val="24"/>
              </w:rPr>
              <w:t>2001-02</w:t>
            </w:r>
          </w:p>
        </w:tc>
        <w:tc>
          <w:tcPr>
            <w:tcW w:w="936" w:type="dxa"/>
          </w:tcPr>
          <w:p w:rsidR="00865D3B" w:rsidRDefault="000C3A69">
            <w:pPr>
              <w:pStyle w:val="TableParagraph"/>
              <w:ind w:left="189"/>
              <w:jc w:val="left"/>
              <w:rPr>
                <w:sz w:val="24"/>
              </w:rPr>
            </w:pPr>
            <w:r>
              <w:rPr>
                <w:sz w:val="24"/>
              </w:rPr>
              <w:t>0.902</w:t>
            </w:r>
          </w:p>
        </w:tc>
        <w:tc>
          <w:tcPr>
            <w:tcW w:w="936" w:type="dxa"/>
          </w:tcPr>
          <w:p w:rsidR="00865D3B" w:rsidRDefault="000C3A69">
            <w:pPr>
              <w:pStyle w:val="TableParagraph"/>
              <w:ind w:left="170" w:right="168"/>
              <w:rPr>
                <w:sz w:val="24"/>
              </w:rPr>
            </w:pPr>
            <w:r>
              <w:rPr>
                <w:sz w:val="24"/>
              </w:rPr>
              <w:t>0.852</w:t>
            </w:r>
          </w:p>
        </w:tc>
        <w:tc>
          <w:tcPr>
            <w:tcW w:w="936" w:type="dxa"/>
          </w:tcPr>
          <w:p w:rsidR="00865D3B" w:rsidRDefault="000C3A69">
            <w:pPr>
              <w:pStyle w:val="TableParagraph"/>
              <w:ind w:left="170" w:right="168"/>
              <w:rPr>
                <w:sz w:val="24"/>
              </w:rPr>
            </w:pPr>
            <w:r>
              <w:rPr>
                <w:sz w:val="24"/>
              </w:rPr>
              <w:t>1.006</w:t>
            </w:r>
          </w:p>
        </w:tc>
        <w:tc>
          <w:tcPr>
            <w:tcW w:w="936" w:type="dxa"/>
          </w:tcPr>
          <w:p w:rsidR="00865D3B" w:rsidRDefault="000C3A69">
            <w:pPr>
              <w:pStyle w:val="TableParagraph"/>
              <w:ind w:left="170" w:right="168"/>
              <w:rPr>
                <w:sz w:val="24"/>
              </w:rPr>
            </w:pPr>
            <w:r>
              <w:rPr>
                <w:sz w:val="24"/>
              </w:rPr>
              <w:t>0.976</w:t>
            </w:r>
          </w:p>
        </w:tc>
        <w:tc>
          <w:tcPr>
            <w:tcW w:w="936" w:type="dxa"/>
          </w:tcPr>
          <w:p w:rsidR="00865D3B" w:rsidRDefault="000C3A69">
            <w:pPr>
              <w:pStyle w:val="TableParagraph"/>
              <w:ind w:left="170" w:right="168"/>
              <w:rPr>
                <w:sz w:val="24"/>
              </w:rPr>
            </w:pPr>
            <w:r>
              <w:rPr>
                <w:sz w:val="24"/>
              </w:rPr>
              <w:t>1.200</w:t>
            </w:r>
          </w:p>
        </w:tc>
        <w:tc>
          <w:tcPr>
            <w:tcW w:w="936" w:type="dxa"/>
          </w:tcPr>
          <w:p w:rsidR="00865D3B" w:rsidRDefault="000C3A69">
            <w:pPr>
              <w:pStyle w:val="TableParagraph"/>
              <w:ind w:left="170" w:right="168"/>
              <w:rPr>
                <w:sz w:val="24"/>
              </w:rPr>
            </w:pPr>
            <w:r>
              <w:rPr>
                <w:sz w:val="24"/>
              </w:rPr>
              <w:t>1.605</w:t>
            </w:r>
          </w:p>
        </w:tc>
        <w:tc>
          <w:tcPr>
            <w:tcW w:w="936" w:type="dxa"/>
          </w:tcPr>
          <w:p w:rsidR="00865D3B" w:rsidRDefault="000C3A69">
            <w:pPr>
              <w:pStyle w:val="TableParagraph"/>
              <w:ind w:left="170" w:right="168"/>
              <w:rPr>
                <w:sz w:val="24"/>
              </w:rPr>
            </w:pPr>
            <w:r>
              <w:rPr>
                <w:sz w:val="24"/>
              </w:rPr>
              <w:t>4.615</w:t>
            </w:r>
          </w:p>
        </w:tc>
        <w:tc>
          <w:tcPr>
            <w:tcW w:w="936" w:type="dxa"/>
          </w:tcPr>
          <w:p w:rsidR="00865D3B" w:rsidRDefault="000C3A69">
            <w:pPr>
              <w:pStyle w:val="TableParagraph"/>
              <w:ind w:left="170" w:right="168"/>
              <w:rPr>
                <w:sz w:val="24"/>
              </w:rPr>
            </w:pPr>
            <w:r>
              <w:rPr>
                <w:sz w:val="24"/>
              </w:rPr>
              <w:t>1.211</w:t>
            </w:r>
          </w:p>
        </w:tc>
      </w:tr>
      <w:tr w:rsidR="00865D3B">
        <w:trPr>
          <w:trHeight w:val="460"/>
        </w:trPr>
        <w:tc>
          <w:tcPr>
            <w:tcW w:w="1351" w:type="dxa"/>
          </w:tcPr>
          <w:p w:rsidR="00865D3B" w:rsidRDefault="000C3A69">
            <w:pPr>
              <w:pStyle w:val="TableParagraph"/>
              <w:ind w:left="102"/>
              <w:jc w:val="left"/>
              <w:rPr>
                <w:sz w:val="24"/>
              </w:rPr>
            </w:pPr>
            <w:r>
              <w:rPr>
                <w:sz w:val="24"/>
              </w:rPr>
              <w:t>2002-03</w:t>
            </w:r>
          </w:p>
        </w:tc>
        <w:tc>
          <w:tcPr>
            <w:tcW w:w="936" w:type="dxa"/>
          </w:tcPr>
          <w:p w:rsidR="00865D3B" w:rsidRDefault="000C3A69">
            <w:pPr>
              <w:pStyle w:val="TableParagraph"/>
              <w:ind w:left="189"/>
              <w:jc w:val="left"/>
              <w:rPr>
                <w:sz w:val="24"/>
              </w:rPr>
            </w:pPr>
            <w:r>
              <w:rPr>
                <w:sz w:val="24"/>
              </w:rPr>
              <w:t>0.884</w:t>
            </w:r>
          </w:p>
        </w:tc>
        <w:tc>
          <w:tcPr>
            <w:tcW w:w="936" w:type="dxa"/>
          </w:tcPr>
          <w:p w:rsidR="00865D3B" w:rsidRDefault="000C3A69">
            <w:pPr>
              <w:pStyle w:val="TableParagraph"/>
              <w:ind w:left="170" w:right="168"/>
              <w:rPr>
                <w:sz w:val="24"/>
              </w:rPr>
            </w:pPr>
            <w:r>
              <w:rPr>
                <w:sz w:val="24"/>
              </w:rPr>
              <w:t>0.842</w:t>
            </w:r>
          </w:p>
        </w:tc>
        <w:tc>
          <w:tcPr>
            <w:tcW w:w="936" w:type="dxa"/>
          </w:tcPr>
          <w:p w:rsidR="00865D3B" w:rsidRDefault="000C3A69">
            <w:pPr>
              <w:pStyle w:val="TableParagraph"/>
              <w:ind w:left="170" w:right="168"/>
              <w:rPr>
                <w:sz w:val="24"/>
              </w:rPr>
            </w:pPr>
            <w:r>
              <w:rPr>
                <w:sz w:val="24"/>
              </w:rPr>
              <w:t>1.017</w:t>
            </w:r>
          </w:p>
        </w:tc>
        <w:tc>
          <w:tcPr>
            <w:tcW w:w="936" w:type="dxa"/>
          </w:tcPr>
          <w:p w:rsidR="00865D3B" w:rsidRDefault="000C3A69">
            <w:pPr>
              <w:pStyle w:val="TableParagraph"/>
              <w:ind w:left="170" w:right="168"/>
              <w:rPr>
                <w:sz w:val="24"/>
              </w:rPr>
            </w:pPr>
            <w:r>
              <w:rPr>
                <w:sz w:val="24"/>
              </w:rPr>
              <w:t>0.976</w:t>
            </w:r>
          </w:p>
        </w:tc>
        <w:tc>
          <w:tcPr>
            <w:tcW w:w="936" w:type="dxa"/>
          </w:tcPr>
          <w:p w:rsidR="00865D3B" w:rsidRDefault="000C3A69">
            <w:pPr>
              <w:pStyle w:val="TableParagraph"/>
              <w:ind w:left="170" w:right="168"/>
              <w:rPr>
                <w:sz w:val="24"/>
              </w:rPr>
            </w:pPr>
            <w:r>
              <w:rPr>
                <w:sz w:val="24"/>
              </w:rPr>
              <w:t>1.217</w:t>
            </w:r>
          </w:p>
        </w:tc>
        <w:tc>
          <w:tcPr>
            <w:tcW w:w="936" w:type="dxa"/>
          </w:tcPr>
          <w:p w:rsidR="00865D3B" w:rsidRDefault="000C3A69">
            <w:pPr>
              <w:pStyle w:val="TableParagraph"/>
              <w:ind w:left="170" w:right="168"/>
              <w:rPr>
                <w:sz w:val="24"/>
              </w:rPr>
            </w:pPr>
            <w:r>
              <w:rPr>
                <w:sz w:val="24"/>
              </w:rPr>
              <w:t>1.682</w:t>
            </w:r>
          </w:p>
        </w:tc>
        <w:tc>
          <w:tcPr>
            <w:tcW w:w="936" w:type="dxa"/>
          </w:tcPr>
          <w:p w:rsidR="00865D3B" w:rsidRDefault="000C3A69">
            <w:pPr>
              <w:pStyle w:val="TableParagraph"/>
              <w:ind w:left="170" w:right="168"/>
              <w:rPr>
                <w:sz w:val="24"/>
              </w:rPr>
            </w:pPr>
            <w:r>
              <w:rPr>
                <w:sz w:val="24"/>
              </w:rPr>
              <w:t>4.916</w:t>
            </w:r>
          </w:p>
        </w:tc>
        <w:tc>
          <w:tcPr>
            <w:tcW w:w="936" w:type="dxa"/>
          </w:tcPr>
          <w:p w:rsidR="00865D3B" w:rsidRDefault="000C3A69">
            <w:pPr>
              <w:pStyle w:val="TableParagraph"/>
              <w:ind w:left="170" w:right="168"/>
              <w:rPr>
                <w:sz w:val="24"/>
              </w:rPr>
            </w:pPr>
            <w:r>
              <w:rPr>
                <w:sz w:val="24"/>
              </w:rPr>
              <w:t>1.226</w:t>
            </w:r>
          </w:p>
        </w:tc>
      </w:tr>
      <w:tr w:rsidR="00865D3B">
        <w:trPr>
          <w:trHeight w:val="460"/>
        </w:trPr>
        <w:tc>
          <w:tcPr>
            <w:tcW w:w="1351" w:type="dxa"/>
          </w:tcPr>
          <w:p w:rsidR="00865D3B" w:rsidRDefault="000C3A69">
            <w:pPr>
              <w:pStyle w:val="TableParagraph"/>
              <w:ind w:left="102"/>
              <w:jc w:val="left"/>
              <w:rPr>
                <w:sz w:val="24"/>
              </w:rPr>
            </w:pPr>
            <w:r>
              <w:rPr>
                <w:sz w:val="24"/>
              </w:rPr>
              <w:t>2003-04</w:t>
            </w:r>
          </w:p>
        </w:tc>
        <w:tc>
          <w:tcPr>
            <w:tcW w:w="936" w:type="dxa"/>
          </w:tcPr>
          <w:p w:rsidR="00865D3B" w:rsidRDefault="000C3A69">
            <w:pPr>
              <w:pStyle w:val="TableParagraph"/>
              <w:ind w:left="189"/>
              <w:jc w:val="left"/>
              <w:rPr>
                <w:sz w:val="24"/>
              </w:rPr>
            </w:pPr>
            <w:r>
              <w:rPr>
                <w:sz w:val="24"/>
              </w:rPr>
              <w:t>0.865</w:t>
            </w:r>
          </w:p>
        </w:tc>
        <w:tc>
          <w:tcPr>
            <w:tcW w:w="936" w:type="dxa"/>
          </w:tcPr>
          <w:p w:rsidR="00865D3B" w:rsidRDefault="000C3A69">
            <w:pPr>
              <w:pStyle w:val="TableParagraph"/>
              <w:ind w:left="170" w:right="168"/>
              <w:rPr>
                <w:sz w:val="24"/>
              </w:rPr>
            </w:pPr>
            <w:r>
              <w:rPr>
                <w:sz w:val="24"/>
              </w:rPr>
              <w:t>0.842</w:t>
            </w:r>
          </w:p>
        </w:tc>
        <w:tc>
          <w:tcPr>
            <w:tcW w:w="936" w:type="dxa"/>
          </w:tcPr>
          <w:p w:rsidR="00865D3B" w:rsidRDefault="000C3A69">
            <w:pPr>
              <w:pStyle w:val="TableParagraph"/>
              <w:ind w:left="170" w:right="168"/>
              <w:rPr>
                <w:sz w:val="24"/>
              </w:rPr>
            </w:pPr>
            <w:r>
              <w:rPr>
                <w:sz w:val="24"/>
              </w:rPr>
              <w:t>1.025</w:t>
            </w:r>
          </w:p>
        </w:tc>
        <w:tc>
          <w:tcPr>
            <w:tcW w:w="936" w:type="dxa"/>
          </w:tcPr>
          <w:p w:rsidR="00865D3B" w:rsidRDefault="000C3A69">
            <w:pPr>
              <w:pStyle w:val="TableParagraph"/>
              <w:ind w:left="170" w:right="168"/>
              <w:rPr>
                <w:sz w:val="24"/>
              </w:rPr>
            </w:pPr>
            <w:r>
              <w:rPr>
                <w:sz w:val="24"/>
              </w:rPr>
              <w:t>0.965</w:t>
            </w:r>
          </w:p>
        </w:tc>
        <w:tc>
          <w:tcPr>
            <w:tcW w:w="936" w:type="dxa"/>
          </w:tcPr>
          <w:p w:rsidR="00865D3B" w:rsidRDefault="000C3A69">
            <w:pPr>
              <w:pStyle w:val="TableParagraph"/>
              <w:ind w:left="170" w:right="168"/>
              <w:rPr>
                <w:sz w:val="24"/>
              </w:rPr>
            </w:pPr>
            <w:r>
              <w:rPr>
                <w:sz w:val="24"/>
              </w:rPr>
              <w:t>1.240</w:t>
            </w:r>
          </w:p>
        </w:tc>
        <w:tc>
          <w:tcPr>
            <w:tcW w:w="936" w:type="dxa"/>
          </w:tcPr>
          <w:p w:rsidR="00865D3B" w:rsidRDefault="000C3A69">
            <w:pPr>
              <w:pStyle w:val="TableParagraph"/>
              <w:ind w:left="170" w:right="168"/>
              <w:rPr>
                <w:sz w:val="24"/>
              </w:rPr>
            </w:pPr>
            <w:r>
              <w:rPr>
                <w:sz w:val="24"/>
              </w:rPr>
              <w:t>1.753</w:t>
            </w:r>
          </w:p>
        </w:tc>
        <w:tc>
          <w:tcPr>
            <w:tcW w:w="936" w:type="dxa"/>
          </w:tcPr>
          <w:p w:rsidR="00865D3B" w:rsidRDefault="000C3A69">
            <w:pPr>
              <w:pStyle w:val="TableParagraph"/>
              <w:ind w:left="170" w:right="168"/>
              <w:rPr>
                <w:sz w:val="24"/>
              </w:rPr>
            </w:pPr>
            <w:r>
              <w:rPr>
                <w:sz w:val="24"/>
              </w:rPr>
              <w:t>5.135</w:t>
            </w:r>
          </w:p>
        </w:tc>
        <w:tc>
          <w:tcPr>
            <w:tcW w:w="936" w:type="dxa"/>
          </w:tcPr>
          <w:p w:rsidR="00865D3B" w:rsidRDefault="000C3A69">
            <w:pPr>
              <w:pStyle w:val="TableParagraph"/>
              <w:ind w:left="170" w:right="168"/>
              <w:rPr>
                <w:sz w:val="24"/>
              </w:rPr>
            </w:pPr>
            <w:r>
              <w:rPr>
                <w:sz w:val="24"/>
              </w:rPr>
              <w:t>1.234</w:t>
            </w:r>
          </w:p>
        </w:tc>
      </w:tr>
      <w:tr w:rsidR="00865D3B">
        <w:trPr>
          <w:trHeight w:val="460"/>
        </w:trPr>
        <w:tc>
          <w:tcPr>
            <w:tcW w:w="1351" w:type="dxa"/>
          </w:tcPr>
          <w:p w:rsidR="00865D3B" w:rsidRDefault="000C3A69">
            <w:pPr>
              <w:pStyle w:val="TableParagraph"/>
              <w:ind w:left="102"/>
              <w:jc w:val="left"/>
              <w:rPr>
                <w:sz w:val="24"/>
              </w:rPr>
            </w:pPr>
            <w:r>
              <w:rPr>
                <w:sz w:val="24"/>
              </w:rPr>
              <w:t>2004-05</w:t>
            </w:r>
          </w:p>
        </w:tc>
        <w:tc>
          <w:tcPr>
            <w:tcW w:w="936" w:type="dxa"/>
          </w:tcPr>
          <w:p w:rsidR="00865D3B" w:rsidRDefault="000C3A69">
            <w:pPr>
              <w:pStyle w:val="TableParagraph"/>
              <w:ind w:left="189"/>
              <w:jc w:val="left"/>
              <w:rPr>
                <w:sz w:val="24"/>
              </w:rPr>
            </w:pPr>
            <w:r>
              <w:rPr>
                <w:sz w:val="24"/>
              </w:rPr>
              <w:t>0.835</w:t>
            </w:r>
          </w:p>
        </w:tc>
        <w:tc>
          <w:tcPr>
            <w:tcW w:w="936" w:type="dxa"/>
          </w:tcPr>
          <w:p w:rsidR="00865D3B" w:rsidRDefault="000C3A69">
            <w:pPr>
              <w:pStyle w:val="TableParagraph"/>
              <w:ind w:left="170" w:right="168"/>
              <w:rPr>
                <w:sz w:val="24"/>
              </w:rPr>
            </w:pPr>
            <w:r>
              <w:rPr>
                <w:sz w:val="24"/>
              </w:rPr>
              <w:t>0.836</w:t>
            </w:r>
          </w:p>
        </w:tc>
        <w:tc>
          <w:tcPr>
            <w:tcW w:w="936" w:type="dxa"/>
          </w:tcPr>
          <w:p w:rsidR="00865D3B" w:rsidRDefault="000C3A69">
            <w:pPr>
              <w:pStyle w:val="TableParagraph"/>
              <w:ind w:left="170" w:right="168"/>
              <w:rPr>
                <w:sz w:val="24"/>
              </w:rPr>
            </w:pPr>
            <w:r>
              <w:rPr>
                <w:sz w:val="24"/>
              </w:rPr>
              <w:t>1.070</w:t>
            </w:r>
          </w:p>
        </w:tc>
        <w:tc>
          <w:tcPr>
            <w:tcW w:w="936" w:type="dxa"/>
          </w:tcPr>
          <w:p w:rsidR="00865D3B" w:rsidRDefault="000C3A69">
            <w:pPr>
              <w:pStyle w:val="TableParagraph"/>
              <w:ind w:left="170" w:right="168"/>
              <w:rPr>
                <w:sz w:val="24"/>
              </w:rPr>
            </w:pPr>
            <w:r>
              <w:rPr>
                <w:sz w:val="24"/>
              </w:rPr>
              <w:t>1.038</w:t>
            </w:r>
          </w:p>
        </w:tc>
        <w:tc>
          <w:tcPr>
            <w:tcW w:w="936" w:type="dxa"/>
          </w:tcPr>
          <w:p w:rsidR="00865D3B" w:rsidRDefault="000C3A69">
            <w:pPr>
              <w:pStyle w:val="TableParagraph"/>
              <w:ind w:left="170" w:right="168"/>
              <w:rPr>
                <w:sz w:val="24"/>
              </w:rPr>
            </w:pPr>
            <w:r>
              <w:rPr>
                <w:sz w:val="24"/>
              </w:rPr>
              <w:t>1.230</w:t>
            </w:r>
          </w:p>
        </w:tc>
        <w:tc>
          <w:tcPr>
            <w:tcW w:w="936" w:type="dxa"/>
          </w:tcPr>
          <w:p w:rsidR="00865D3B" w:rsidRDefault="000C3A69">
            <w:pPr>
              <w:pStyle w:val="TableParagraph"/>
              <w:ind w:left="170" w:right="168"/>
              <w:rPr>
                <w:sz w:val="24"/>
              </w:rPr>
            </w:pPr>
            <w:r>
              <w:rPr>
                <w:sz w:val="24"/>
              </w:rPr>
              <w:t>1.715</w:t>
            </w:r>
          </w:p>
        </w:tc>
        <w:tc>
          <w:tcPr>
            <w:tcW w:w="936" w:type="dxa"/>
          </w:tcPr>
          <w:p w:rsidR="00865D3B" w:rsidRDefault="000C3A69">
            <w:pPr>
              <w:pStyle w:val="TableParagraph"/>
              <w:ind w:left="170" w:right="168"/>
              <w:rPr>
                <w:sz w:val="24"/>
              </w:rPr>
            </w:pPr>
            <w:r>
              <w:rPr>
                <w:sz w:val="24"/>
              </w:rPr>
              <w:t>5.003</w:t>
            </w:r>
          </w:p>
        </w:tc>
        <w:tc>
          <w:tcPr>
            <w:tcW w:w="936" w:type="dxa"/>
          </w:tcPr>
          <w:p w:rsidR="00865D3B" w:rsidRDefault="000C3A69">
            <w:pPr>
              <w:pStyle w:val="TableParagraph"/>
              <w:ind w:left="170" w:right="168"/>
              <w:rPr>
                <w:sz w:val="24"/>
              </w:rPr>
            </w:pPr>
            <w:r>
              <w:rPr>
                <w:sz w:val="24"/>
              </w:rPr>
              <w:t>1.214</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2005-06</w:t>
            </w:r>
          </w:p>
        </w:tc>
        <w:tc>
          <w:tcPr>
            <w:tcW w:w="936" w:type="dxa"/>
          </w:tcPr>
          <w:p w:rsidR="00865D3B" w:rsidRDefault="000C3A69">
            <w:pPr>
              <w:pStyle w:val="TableParagraph"/>
              <w:spacing w:line="285" w:lineRule="exact"/>
              <w:ind w:left="170" w:right="168"/>
              <w:rPr>
                <w:sz w:val="24"/>
              </w:rPr>
            </w:pPr>
            <w:r>
              <w:rPr>
                <w:sz w:val="24"/>
              </w:rPr>
              <w:t>0.836</w:t>
            </w:r>
          </w:p>
        </w:tc>
        <w:tc>
          <w:tcPr>
            <w:tcW w:w="936" w:type="dxa"/>
          </w:tcPr>
          <w:p w:rsidR="00865D3B" w:rsidRDefault="000C3A69">
            <w:pPr>
              <w:pStyle w:val="TableParagraph"/>
              <w:spacing w:line="285" w:lineRule="exact"/>
              <w:ind w:right="184"/>
              <w:jc w:val="right"/>
              <w:rPr>
                <w:sz w:val="24"/>
              </w:rPr>
            </w:pPr>
            <w:r>
              <w:rPr>
                <w:sz w:val="24"/>
              </w:rPr>
              <w:t>0.849</w:t>
            </w:r>
          </w:p>
        </w:tc>
        <w:tc>
          <w:tcPr>
            <w:tcW w:w="936" w:type="dxa"/>
          </w:tcPr>
          <w:p w:rsidR="00865D3B" w:rsidRDefault="000C3A69">
            <w:pPr>
              <w:pStyle w:val="TableParagraph"/>
              <w:spacing w:line="285" w:lineRule="exact"/>
              <w:ind w:left="189"/>
              <w:jc w:val="left"/>
              <w:rPr>
                <w:sz w:val="24"/>
              </w:rPr>
            </w:pPr>
            <w:r>
              <w:rPr>
                <w:sz w:val="24"/>
              </w:rPr>
              <w:t>1.057</w:t>
            </w:r>
          </w:p>
        </w:tc>
        <w:tc>
          <w:tcPr>
            <w:tcW w:w="936" w:type="dxa"/>
          </w:tcPr>
          <w:p w:rsidR="00865D3B" w:rsidRDefault="000C3A69">
            <w:pPr>
              <w:pStyle w:val="TableParagraph"/>
              <w:spacing w:line="285" w:lineRule="exact"/>
              <w:ind w:left="170" w:right="168"/>
              <w:rPr>
                <w:sz w:val="24"/>
              </w:rPr>
            </w:pPr>
            <w:r>
              <w:rPr>
                <w:sz w:val="24"/>
              </w:rPr>
              <w:t>1.033</w:t>
            </w:r>
          </w:p>
        </w:tc>
        <w:tc>
          <w:tcPr>
            <w:tcW w:w="936" w:type="dxa"/>
          </w:tcPr>
          <w:p w:rsidR="00865D3B" w:rsidRDefault="000C3A69">
            <w:pPr>
              <w:pStyle w:val="TableParagraph"/>
              <w:spacing w:line="285" w:lineRule="exact"/>
              <w:ind w:right="184"/>
              <w:jc w:val="right"/>
              <w:rPr>
                <w:sz w:val="24"/>
              </w:rPr>
            </w:pPr>
            <w:r>
              <w:rPr>
                <w:sz w:val="24"/>
              </w:rPr>
              <w:t>1.227</w:t>
            </w:r>
          </w:p>
        </w:tc>
        <w:tc>
          <w:tcPr>
            <w:tcW w:w="936" w:type="dxa"/>
          </w:tcPr>
          <w:p w:rsidR="00865D3B" w:rsidRDefault="000C3A69">
            <w:pPr>
              <w:pStyle w:val="TableParagraph"/>
              <w:spacing w:line="285" w:lineRule="exact"/>
              <w:ind w:left="189"/>
              <w:jc w:val="left"/>
              <w:rPr>
                <w:sz w:val="24"/>
              </w:rPr>
            </w:pPr>
            <w:r>
              <w:rPr>
                <w:sz w:val="24"/>
              </w:rPr>
              <w:t>1.704</w:t>
            </w:r>
          </w:p>
        </w:tc>
        <w:tc>
          <w:tcPr>
            <w:tcW w:w="936" w:type="dxa"/>
          </w:tcPr>
          <w:p w:rsidR="00865D3B" w:rsidRDefault="000C3A69">
            <w:pPr>
              <w:pStyle w:val="TableParagraph"/>
              <w:spacing w:line="285" w:lineRule="exact"/>
              <w:ind w:left="170" w:right="168"/>
              <w:rPr>
                <w:sz w:val="24"/>
              </w:rPr>
            </w:pPr>
            <w:r>
              <w:rPr>
                <w:sz w:val="24"/>
              </w:rPr>
              <w:t>5.005</w:t>
            </w:r>
          </w:p>
        </w:tc>
        <w:tc>
          <w:tcPr>
            <w:tcW w:w="936" w:type="dxa"/>
          </w:tcPr>
          <w:p w:rsidR="00865D3B" w:rsidRDefault="000C3A69">
            <w:pPr>
              <w:pStyle w:val="TableParagraph"/>
              <w:spacing w:line="285" w:lineRule="exact"/>
              <w:ind w:right="184"/>
              <w:jc w:val="right"/>
              <w:rPr>
                <w:sz w:val="24"/>
              </w:rPr>
            </w:pPr>
            <w:r>
              <w:rPr>
                <w:sz w:val="24"/>
              </w:rPr>
              <w:t>1.228</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2006-07</w:t>
            </w:r>
          </w:p>
        </w:tc>
        <w:tc>
          <w:tcPr>
            <w:tcW w:w="936" w:type="dxa"/>
          </w:tcPr>
          <w:p w:rsidR="00865D3B" w:rsidRDefault="000C3A69">
            <w:pPr>
              <w:pStyle w:val="TableParagraph"/>
              <w:spacing w:line="285" w:lineRule="exact"/>
              <w:ind w:left="170" w:right="168"/>
              <w:rPr>
                <w:sz w:val="24"/>
              </w:rPr>
            </w:pPr>
            <w:r>
              <w:rPr>
                <w:sz w:val="24"/>
              </w:rPr>
              <w:t>0.842</w:t>
            </w:r>
          </w:p>
        </w:tc>
        <w:tc>
          <w:tcPr>
            <w:tcW w:w="936" w:type="dxa"/>
          </w:tcPr>
          <w:p w:rsidR="00865D3B" w:rsidRDefault="000C3A69">
            <w:pPr>
              <w:pStyle w:val="TableParagraph"/>
              <w:spacing w:line="285" w:lineRule="exact"/>
              <w:ind w:right="184"/>
              <w:jc w:val="right"/>
              <w:rPr>
                <w:sz w:val="24"/>
              </w:rPr>
            </w:pPr>
            <w:r>
              <w:rPr>
                <w:sz w:val="24"/>
              </w:rPr>
              <w:t>0.875</w:t>
            </w:r>
          </w:p>
        </w:tc>
        <w:tc>
          <w:tcPr>
            <w:tcW w:w="936" w:type="dxa"/>
          </w:tcPr>
          <w:p w:rsidR="00865D3B" w:rsidRDefault="000C3A69">
            <w:pPr>
              <w:pStyle w:val="TableParagraph"/>
              <w:spacing w:line="285" w:lineRule="exact"/>
              <w:ind w:left="189"/>
              <w:jc w:val="left"/>
              <w:rPr>
                <w:sz w:val="24"/>
              </w:rPr>
            </w:pPr>
            <w:r>
              <w:rPr>
                <w:sz w:val="24"/>
              </w:rPr>
              <w:t>1.033</w:t>
            </w:r>
          </w:p>
        </w:tc>
        <w:tc>
          <w:tcPr>
            <w:tcW w:w="936" w:type="dxa"/>
          </w:tcPr>
          <w:p w:rsidR="00865D3B" w:rsidRDefault="000C3A69">
            <w:pPr>
              <w:pStyle w:val="TableParagraph"/>
              <w:spacing w:line="285" w:lineRule="exact"/>
              <w:ind w:left="170" w:right="168"/>
              <w:rPr>
                <w:sz w:val="24"/>
              </w:rPr>
            </w:pPr>
            <w:r>
              <w:rPr>
                <w:sz w:val="24"/>
              </w:rPr>
              <w:t>1.008</w:t>
            </w:r>
          </w:p>
        </w:tc>
        <w:tc>
          <w:tcPr>
            <w:tcW w:w="936" w:type="dxa"/>
          </w:tcPr>
          <w:p w:rsidR="00865D3B" w:rsidRDefault="000C3A69">
            <w:pPr>
              <w:pStyle w:val="TableParagraph"/>
              <w:spacing w:line="285" w:lineRule="exact"/>
              <w:ind w:right="184"/>
              <w:jc w:val="right"/>
              <w:rPr>
                <w:sz w:val="24"/>
              </w:rPr>
            </w:pPr>
            <w:r>
              <w:rPr>
                <w:sz w:val="24"/>
              </w:rPr>
              <w:t>1.208</w:t>
            </w:r>
          </w:p>
        </w:tc>
        <w:tc>
          <w:tcPr>
            <w:tcW w:w="936" w:type="dxa"/>
          </w:tcPr>
          <w:p w:rsidR="00865D3B" w:rsidRDefault="000C3A69">
            <w:pPr>
              <w:pStyle w:val="TableParagraph"/>
              <w:spacing w:line="285" w:lineRule="exact"/>
              <w:ind w:left="189"/>
              <w:jc w:val="left"/>
              <w:rPr>
                <w:sz w:val="24"/>
              </w:rPr>
            </w:pPr>
            <w:r>
              <w:rPr>
                <w:sz w:val="24"/>
              </w:rPr>
              <w:t>1.696</w:t>
            </w:r>
          </w:p>
        </w:tc>
        <w:tc>
          <w:tcPr>
            <w:tcW w:w="936" w:type="dxa"/>
          </w:tcPr>
          <w:p w:rsidR="00865D3B" w:rsidRDefault="000C3A69">
            <w:pPr>
              <w:pStyle w:val="TableParagraph"/>
              <w:spacing w:line="285" w:lineRule="exact"/>
              <w:ind w:left="170" w:right="168"/>
              <w:rPr>
                <w:sz w:val="24"/>
              </w:rPr>
            </w:pPr>
            <w:r>
              <w:rPr>
                <w:sz w:val="24"/>
              </w:rPr>
              <w:t>5.065</w:t>
            </w:r>
          </w:p>
        </w:tc>
        <w:tc>
          <w:tcPr>
            <w:tcW w:w="936" w:type="dxa"/>
          </w:tcPr>
          <w:p w:rsidR="00865D3B" w:rsidRDefault="000C3A69">
            <w:pPr>
              <w:pStyle w:val="TableParagraph"/>
              <w:spacing w:line="285" w:lineRule="exact"/>
              <w:ind w:right="184"/>
              <w:jc w:val="right"/>
              <w:rPr>
                <w:sz w:val="24"/>
              </w:rPr>
            </w:pPr>
            <w:r>
              <w:rPr>
                <w:sz w:val="24"/>
              </w:rPr>
              <w:t>1.229</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2007-08</w:t>
            </w:r>
          </w:p>
        </w:tc>
        <w:tc>
          <w:tcPr>
            <w:tcW w:w="936" w:type="dxa"/>
          </w:tcPr>
          <w:p w:rsidR="00865D3B" w:rsidRDefault="000C3A69">
            <w:pPr>
              <w:pStyle w:val="TableParagraph"/>
              <w:spacing w:line="285" w:lineRule="exact"/>
              <w:ind w:left="170" w:right="168"/>
              <w:rPr>
                <w:sz w:val="24"/>
              </w:rPr>
            </w:pPr>
            <w:r>
              <w:rPr>
                <w:sz w:val="24"/>
              </w:rPr>
              <w:t>0.864</w:t>
            </w:r>
          </w:p>
        </w:tc>
        <w:tc>
          <w:tcPr>
            <w:tcW w:w="936" w:type="dxa"/>
          </w:tcPr>
          <w:p w:rsidR="00865D3B" w:rsidRDefault="000C3A69">
            <w:pPr>
              <w:pStyle w:val="TableParagraph"/>
              <w:spacing w:line="285" w:lineRule="exact"/>
              <w:ind w:right="184"/>
              <w:jc w:val="right"/>
              <w:rPr>
                <w:sz w:val="24"/>
              </w:rPr>
            </w:pPr>
            <w:r>
              <w:rPr>
                <w:sz w:val="24"/>
              </w:rPr>
              <w:t>0.882</w:t>
            </w:r>
          </w:p>
        </w:tc>
        <w:tc>
          <w:tcPr>
            <w:tcW w:w="936" w:type="dxa"/>
          </w:tcPr>
          <w:p w:rsidR="00865D3B" w:rsidRDefault="000C3A69">
            <w:pPr>
              <w:pStyle w:val="TableParagraph"/>
              <w:spacing w:line="285" w:lineRule="exact"/>
              <w:ind w:left="189"/>
              <w:jc w:val="left"/>
              <w:rPr>
                <w:sz w:val="24"/>
              </w:rPr>
            </w:pPr>
            <w:r>
              <w:rPr>
                <w:sz w:val="24"/>
              </w:rPr>
              <w:t>1.011</w:t>
            </w:r>
          </w:p>
        </w:tc>
        <w:tc>
          <w:tcPr>
            <w:tcW w:w="936" w:type="dxa"/>
          </w:tcPr>
          <w:p w:rsidR="00865D3B" w:rsidRDefault="000C3A69">
            <w:pPr>
              <w:pStyle w:val="TableParagraph"/>
              <w:spacing w:line="285" w:lineRule="exact"/>
              <w:ind w:left="170" w:right="168"/>
              <w:rPr>
                <w:sz w:val="24"/>
              </w:rPr>
            </w:pPr>
            <w:r>
              <w:rPr>
                <w:sz w:val="24"/>
              </w:rPr>
              <w:t>0.936</w:t>
            </w:r>
          </w:p>
        </w:tc>
        <w:tc>
          <w:tcPr>
            <w:tcW w:w="936" w:type="dxa"/>
          </w:tcPr>
          <w:p w:rsidR="00865D3B" w:rsidRDefault="000C3A69">
            <w:pPr>
              <w:pStyle w:val="TableParagraph"/>
              <w:spacing w:line="285" w:lineRule="exact"/>
              <w:ind w:right="184"/>
              <w:jc w:val="right"/>
              <w:rPr>
                <w:sz w:val="24"/>
              </w:rPr>
            </w:pPr>
            <w:r>
              <w:rPr>
                <w:sz w:val="24"/>
              </w:rPr>
              <w:t>1.231</w:t>
            </w:r>
          </w:p>
        </w:tc>
        <w:tc>
          <w:tcPr>
            <w:tcW w:w="936" w:type="dxa"/>
          </w:tcPr>
          <w:p w:rsidR="00865D3B" w:rsidRDefault="000C3A69">
            <w:pPr>
              <w:pStyle w:val="TableParagraph"/>
              <w:spacing w:line="285" w:lineRule="exact"/>
              <w:ind w:left="189"/>
              <w:jc w:val="left"/>
              <w:rPr>
                <w:sz w:val="24"/>
              </w:rPr>
            </w:pPr>
            <w:r>
              <w:rPr>
                <w:sz w:val="24"/>
              </w:rPr>
              <w:t>1.687</w:t>
            </w:r>
          </w:p>
        </w:tc>
        <w:tc>
          <w:tcPr>
            <w:tcW w:w="936" w:type="dxa"/>
          </w:tcPr>
          <w:p w:rsidR="00865D3B" w:rsidRDefault="000C3A69">
            <w:pPr>
              <w:pStyle w:val="TableParagraph"/>
              <w:spacing w:line="285" w:lineRule="exact"/>
              <w:ind w:left="170" w:right="168"/>
              <w:rPr>
                <w:sz w:val="24"/>
              </w:rPr>
            </w:pPr>
            <w:r>
              <w:rPr>
                <w:sz w:val="24"/>
              </w:rPr>
              <w:t>5.096</w:t>
            </w:r>
          </w:p>
        </w:tc>
        <w:tc>
          <w:tcPr>
            <w:tcW w:w="936" w:type="dxa"/>
          </w:tcPr>
          <w:p w:rsidR="00865D3B" w:rsidRDefault="000C3A69">
            <w:pPr>
              <w:pStyle w:val="TableParagraph"/>
              <w:spacing w:line="285" w:lineRule="exact"/>
              <w:ind w:right="184"/>
              <w:jc w:val="right"/>
              <w:rPr>
                <w:sz w:val="24"/>
              </w:rPr>
            </w:pPr>
            <w:r>
              <w:rPr>
                <w:sz w:val="24"/>
              </w:rPr>
              <w:t>1.247</w:t>
            </w:r>
          </w:p>
        </w:tc>
      </w:tr>
      <w:tr w:rsidR="00865D3B">
        <w:trPr>
          <w:trHeight w:val="460"/>
        </w:trPr>
        <w:tc>
          <w:tcPr>
            <w:tcW w:w="1351" w:type="dxa"/>
          </w:tcPr>
          <w:p w:rsidR="00865D3B" w:rsidRDefault="000C3A69">
            <w:pPr>
              <w:pStyle w:val="TableParagraph"/>
              <w:spacing w:line="287" w:lineRule="exact"/>
              <w:ind w:left="102"/>
              <w:jc w:val="left"/>
              <w:rPr>
                <w:sz w:val="24"/>
              </w:rPr>
            </w:pPr>
            <w:r>
              <w:rPr>
                <w:sz w:val="24"/>
              </w:rPr>
              <w:t>2008-09</w:t>
            </w:r>
          </w:p>
        </w:tc>
        <w:tc>
          <w:tcPr>
            <w:tcW w:w="936" w:type="dxa"/>
          </w:tcPr>
          <w:p w:rsidR="00865D3B" w:rsidRDefault="000C3A69">
            <w:pPr>
              <w:pStyle w:val="TableParagraph"/>
              <w:spacing w:line="287" w:lineRule="exact"/>
              <w:ind w:left="170" w:right="168"/>
              <w:rPr>
                <w:sz w:val="24"/>
              </w:rPr>
            </w:pPr>
            <w:r>
              <w:rPr>
                <w:sz w:val="24"/>
              </w:rPr>
              <w:t>0.887</w:t>
            </w:r>
          </w:p>
        </w:tc>
        <w:tc>
          <w:tcPr>
            <w:tcW w:w="936" w:type="dxa"/>
          </w:tcPr>
          <w:p w:rsidR="00865D3B" w:rsidRDefault="000C3A69">
            <w:pPr>
              <w:pStyle w:val="TableParagraph"/>
              <w:spacing w:line="287" w:lineRule="exact"/>
              <w:ind w:right="184"/>
              <w:jc w:val="right"/>
              <w:rPr>
                <w:sz w:val="24"/>
              </w:rPr>
            </w:pPr>
            <w:r>
              <w:rPr>
                <w:sz w:val="24"/>
              </w:rPr>
              <w:t>0.913</w:t>
            </w:r>
          </w:p>
        </w:tc>
        <w:tc>
          <w:tcPr>
            <w:tcW w:w="936" w:type="dxa"/>
          </w:tcPr>
          <w:p w:rsidR="00865D3B" w:rsidRDefault="000C3A69">
            <w:pPr>
              <w:pStyle w:val="TableParagraph"/>
              <w:spacing w:line="287" w:lineRule="exact"/>
              <w:ind w:left="189"/>
              <w:jc w:val="left"/>
              <w:rPr>
                <w:sz w:val="24"/>
              </w:rPr>
            </w:pPr>
            <w:r>
              <w:rPr>
                <w:sz w:val="24"/>
              </w:rPr>
              <w:t>0.962</w:t>
            </w:r>
          </w:p>
        </w:tc>
        <w:tc>
          <w:tcPr>
            <w:tcW w:w="936" w:type="dxa"/>
          </w:tcPr>
          <w:p w:rsidR="00865D3B" w:rsidRDefault="000C3A69">
            <w:pPr>
              <w:pStyle w:val="TableParagraph"/>
              <w:spacing w:line="287" w:lineRule="exact"/>
              <w:ind w:left="170" w:right="168"/>
              <w:rPr>
                <w:sz w:val="24"/>
              </w:rPr>
            </w:pPr>
            <w:r>
              <w:rPr>
                <w:sz w:val="24"/>
              </w:rPr>
              <w:t>0.858</w:t>
            </w:r>
          </w:p>
        </w:tc>
        <w:tc>
          <w:tcPr>
            <w:tcW w:w="936" w:type="dxa"/>
          </w:tcPr>
          <w:p w:rsidR="00865D3B" w:rsidRDefault="000C3A69">
            <w:pPr>
              <w:pStyle w:val="TableParagraph"/>
              <w:spacing w:line="287" w:lineRule="exact"/>
              <w:ind w:right="184"/>
              <w:jc w:val="right"/>
              <w:rPr>
                <w:sz w:val="24"/>
              </w:rPr>
            </w:pPr>
            <w:r>
              <w:rPr>
                <w:sz w:val="24"/>
              </w:rPr>
              <w:t>1.232</w:t>
            </w:r>
          </w:p>
        </w:tc>
        <w:tc>
          <w:tcPr>
            <w:tcW w:w="936" w:type="dxa"/>
          </w:tcPr>
          <w:p w:rsidR="00865D3B" w:rsidRDefault="000C3A69">
            <w:pPr>
              <w:pStyle w:val="TableParagraph"/>
              <w:spacing w:line="287" w:lineRule="exact"/>
              <w:ind w:left="189"/>
              <w:jc w:val="left"/>
              <w:rPr>
                <w:sz w:val="24"/>
              </w:rPr>
            </w:pPr>
            <w:r>
              <w:rPr>
                <w:sz w:val="24"/>
              </w:rPr>
              <w:t>1.663</w:t>
            </w:r>
          </w:p>
        </w:tc>
        <w:tc>
          <w:tcPr>
            <w:tcW w:w="936" w:type="dxa"/>
          </w:tcPr>
          <w:p w:rsidR="00865D3B" w:rsidRDefault="000C3A69">
            <w:pPr>
              <w:pStyle w:val="TableParagraph"/>
              <w:spacing w:line="287" w:lineRule="exact"/>
              <w:ind w:left="170" w:right="168"/>
              <w:rPr>
                <w:sz w:val="24"/>
              </w:rPr>
            </w:pPr>
            <w:r>
              <w:rPr>
                <w:sz w:val="24"/>
              </w:rPr>
              <w:t>5.258</w:t>
            </w:r>
          </w:p>
        </w:tc>
        <w:tc>
          <w:tcPr>
            <w:tcW w:w="936" w:type="dxa"/>
          </w:tcPr>
          <w:p w:rsidR="00865D3B" w:rsidRDefault="000C3A69">
            <w:pPr>
              <w:pStyle w:val="TableParagraph"/>
              <w:spacing w:line="287" w:lineRule="exact"/>
              <w:ind w:right="184"/>
              <w:jc w:val="right"/>
              <w:rPr>
                <w:sz w:val="24"/>
              </w:rPr>
            </w:pPr>
            <w:r>
              <w:rPr>
                <w:sz w:val="24"/>
              </w:rPr>
              <w:t>1.256</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2009-10</w:t>
            </w:r>
          </w:p>
        </w:tc>
        <w:tc>
          <w:tcPr>
            <w:tcW w:w="936" w:type="dxa"/>
          </w:tcPr>
          <w:p w:rsidR="00865D3B" w:rsidRDefault="000C3A69">
            <w:pPr>
              <w:pStyle w:val="TableParagraph"/>
              <w:spacing w:line="285" w:lineRule="exact"/>
              <w:ind w:left="170" w:right="168"/>
              <w:rPr>
                <w:sz w:val="24"/>
              </w:rPr>
            </w:pPr>
            <w:r>
              <w:rPr>
                <w:sz w:val="24"/>
              </w:rPr>
              <w:t>0.932</w:t>
            </w:r>
          </w:p>
        </w:tc>
        <w:tc>
          <w:tcPr>
            <w:tcW w:w="936" w:type="dxa"/>
          </w:tcPr>
          <w:p w:rsidR="00865D3B" w:rsidRDefault="000C3A69">
            <w:pPr>
              <w:pStyle w:val="TableParagraph"/>
              <w:spacing w:line="285" w:lineRule="exact"/>
              <w:ind w:right="184"/>
              <w:jc w:val="right"/>
              <w:rPr>
                <w:sz w:val="24"/>
              </w:rPr>
            </w:pPr>
            <w:r>
              <w:rPr>
                <w:sz w:val="24"/>
              </w:rPr>
              <w:t>0.919</w:t>
            </w:r>
          </w:p>
        </w:tc>
        <w:tc>
          <w:tcPr>
            <w:tcW w:w="936" w:type="dxa"/>
          </w:tcPr>
          <w:p w:rsidR="00865D3B" w:rsidRDefault="000C3A69">
            <w:pPr>
              <w:pStyle w:val="TableParagraph"/>
              <w:spacing w:line="285" w:lineRule="exact"/>
              <w:ind w:left="189"/>
              <w:jc w:val="left"/>
              <w:rPr>
                <w:sz w:val="24"/>
              </w:rPr>
            </w:pPr>
            <w:r>
              <w:rPr>
                <w:sz w:val="24"/>
              </w:rPr>
              <w:t>0.916</w:t>
            </w:r>
          </w:p>
        </w:tc>
        <w:tc>
          <w:tcPr>
            <w:tcW w:w="936" w:type="dxa"/>
          </w:tcPr>
          <w:p w:rsidR="00865D3B" w:rsidRDefault="000C3A69">
            <w:pPr>
              <w:pStyle w:val="TableParagraph"/>
              <w:spacing w:line="285" w:lineRule="exact"/>
              <w:ind w:left="170" w:right="168"/>
              <w:rPr>
                <w:sz w:val="24"/>
              </w:rPr>
            </w:pPr>
            <w:r>
              <w:rPr>
                <w:sz w:val="24"/>
              </w:rPr>
              <w:t>0.785</w:t>
            </w:r>
          </w:p>
        </w:tc>
        <w:tc>
          <w:tcPr>
            <w:tcW w:w="936" w:type="dxa"/>
          </w:tcPr>
          <w:p w:rsidR="00865D3B" w:rsidRDefault="000C3A69">
            <w:pPr>
              <w:pStyle w:val="TableParagraph"/>
              <w:spacing w:line="285" w:lineRule="exact"/>
              <w:ind w:right="184"/>
              <w:jc w:val="right"/>
              <w:rPr>
                <w:sz w:val="24"/>
              </w:rPr>
            </w:pPr>
            <w:r>
              <w:rPr>
                <w:sz w:val="24"/>
              </w:rPr>
              <w:t>1.247</w:t>
            </w:r>
          </w:p>
        </w:tc>
        <w:tc>
          <w:tcPr>
            <w:tcW w:w="936" w:type="dxa"/>
          </w:tcPr>
          <w:p w:rsidR="00865D3B" w:rsidRDefault="000C3A69">
            <w:pPr>
              <w:pStyle w:val="TableParagraph"/>
              <w:spacing w:line="285" w:lineRule="exact"/>
              <w:ind w:left="189"/>
              <w:jc w:val="left"/>
              <w:rPr>
                <w:sz w:val="24"/>
              </w:rPr>
            </w:pPr>
            <w:r>
              <w:rPr>
                <w:sz w:val="24"/>
              </w:rPr>
              <w:t>1.620</w:t>
            </w:r>
          </w:p>
        </w:tc>
        <w:tc>
          <w:tcPr>
            <w:tcW w:w="936" w:type="dxa"/>
          </w:tcPr>
          <w:p w:rsidR="00865D3B" w:rsidRDefault="000C3A69">
            <w:pPr>
              <w:pStyle w:val="TableParagraph"/>
              <w:spacing w:line="285" w:lineRule="exact"/>
              <w:ind w:left="170" w:right="168"/>
              <w:rPr>
                <w:sz w:val="24"/>
              </w:rPr>
            </w:pPr>
            <w:r>
              <w:rPr>
                <w:sz w:val="24"/>
              </w:rPr>
              <w:t>5.251</w:t>
            </w:r>
          </w:p>
        </w:tc>
        <w:tc>
          <w:tcPr>
            <w:tcW w:w="936" w:type="dxa"/>
          </w:tcPr>
          <w:p w:rsidR="00865D3B" w:rsidRDefault="000C3A69">
            <w:pPr>
              <w:pStyle w:val="TableParagraph"/>
              <w:spacing w:line="285" w:lineRule="exact"/>
              <w:ind w:right="184"/>
              <w:jc w:val="right"/>
              <w:rPr>
                <w:sz w:val="24"/>
              </w:rPr>
            </w:pPr>
            <w:r>
              <w:rPr>
                <w:sz w:val="24"/>
              </w:rPr>
              <w:t>1.271</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2010-11</w:t>
            </w:r>
          </w:p>
        </w:tc>
        <w:tc>
          <w:tcPr>
            <w:tcW w:w="936" w:type="dxa"/>
          </w:tcPr>
          <w:p w:rsidR="00865D3B" w:rsidRDefault="000C3A69">
            <w:pPr>
              <w:pStyle w:val="TableParagraph"/>
              <w:spacing w:line="285" w:lineRule="exact"/>
              <w:ind w:left="170" w:right="168"/>
              <w:rPr>
                <w:sz w:val="24"/>
              </w:rPr>
            </w:pPr>
            <w:r>
              <w:rPr>
                <w:sz w:val="24"/>
              </w:rPr>
              <w:t>0.952</w:t>
            </w:r>
          </w:p>
        </w:tc>
        <w:tc>
          <w:tcPr>
            <w:tcW w:w="936" w:type="dxa"/>
          </w:tcPr>
          <w:p w:rsidR="00865D3B" w:rsidRDefault="000C3A69">
            <w:pPr>
              <w:pStyle w:val="TableParagraph"/>
              <w:spacing w:line="285" w:lineRule="exact"/>
              <w:ind w:right="184"/>
              <w:jc w:val="right"/>
              <w:rPr>
                <w:sz w:val="24"/>
              </w:rPr>
            </w:pPr>
            <w:r>
              <w:rPr>
                <w:sz w:val="24"/>
              </w:rPr>
              <w:t>0.940</w:t>
            </w:r>
          </w:p>
        </w:tc>
        <w:tc>
          <w:tcPr>
            <w:tcW w:w="936" w:type="dxa"/>
          </w:tcPr>
          <w:p w:rsidR="00865D3B" w:rsidRDefault="000C3A69">
            <w:pPr>
              <w:pStyle w:val="TableParagraph"/>
              <w:spacing w:line="285" w:lineRule="exact"/>
              <w:ind w:left="189"/>
              <w:jc w:val="left"/>
              <w:rPr>
                <w:sz w:val="24"/>
              </w:rPr>
            </w:pPr>
            <w:r>
              <w:rPr>
                <w:sz w:val="24"/>
              </w:rPr>
              <w:t>0.913</w:t>
            </w:r>
          </w:p>
        </w:tc>
        <w:tc>
          <w:tcPr>
            <w:tcW w:w="936" w:type="dxa"/>
          </w:tcPr>
          <w:p w:rsidR="00865D3B" w:rsidRDefault="000C3A69">
            <w:pPr>
              <w:pStyle w:val="TableParagraph"/>
              <w:spacing w:line="285" w:lineRule="exact"/>
              <w:ind w:left="170" w:right="168"/>
              <w:rPr>
                <w:sz w:val="24"/>
              </w:rPr>
            </w:pPr>
            <w:r>
              <w:rPr>
                <w:sz w:val="24"/>
              </w:rPr>
              <w:t>0.683</w:t>
            </w:r>
          </w:p>
        </w:tc>
        <w:tc>
          <w:tcPr>
            <w:tcW w:w="936" w:type="dxa"/>
          </w:tcPr>
          <w:p w:rsidR="00865D3B" w:rsidRDefault="000C3A69">
            <w:pPr>
              <w:pStyle w:val="TableParagraph"/>
              <w:spacing w:line="285" w:lineRule="exact"/>
              <w:ind w:right="184"/>
              <w:jc w:val="right"/>
              <w:rPr>
                <w:sz w:val="24"/>
              </w:rPr>
            </w:pPr>
            <w:r>
              <w:rPr>
                <w:sz w:val="24"/>
              </w:rPr>
              <w:t>1.285</w:t>
            </w:r>
          </w:p>
        </w:tc>
        <w:tc>
          <w:tcPr>
            <w:tcW w:w="936" w:type="dxa"/>
          </w:tcPr>
          <w:p w:rsidR="00865D3B" w:rsidRDefault="000C3A69">
            <w:pPr>
              <w:pStyle w:val="TableParagraph"/>
              <w:spacing w:line="285" w:lineRule="exact"/>
              <w:ind w:left="189"/>
              <w:jc w:val="left"/>
              <w:rPr>
                <w:sz w:val="24"/>
              </w:rPr>
            </w:pPr>
            <w:r>
              <w:rPr>
                <w:sz w:val="24"/>
              </w:rPr>
              <w:t>1.621</w:t>
            </w:r>
          </w:p>
        </w:tc>
        <w:tc>
          <w:tcPr>
            <w:tcW w:w="936" w:type="dxa"/>
          </w:tcPr>
          <w:p w:rsidR="00865D3B" w:rsidRDefault="000C3A69">
            <w:pPr>
              <w:pStyle w:val="TableParagraph"/>
              <w:spacing w:line="285" w:lineRule="exact"/>
              <w:ind w:left="170" w:right="168"/>
              <w:rPr>
                <w:sz w:val="24"/>
              </w:rPr>
            </w:pPr>
            <w:r>
              <w:rPr>
                <w:sz w:val="24"/>
              </w:rPr>
              <w:t>5.074</w:t>
            </w:r>
          </w:p>
        </w:tc>
        <w:tc>
          <w:tcPr>
            <w:tcW w:w="936" w:type="dxa"/>
          </w:tcPr>
          <w:p w:rsidR="00865D3B" w:rsidRDefault="000C3A69">
            <w:pPr>
              <w:pStyle w:val="TableParagraph"/>
              <w:spacing w:line="285" w:lineRule="exact"/>
              <w:ind w:right="184"/>
              <w:jc w:val="right"/>
              <w:rPr>
                <w:sz w:val="24"/>
              </w:rPr>
            </w:pPr>
            <w:r>
              <w:rPr>
                <w:sz w:val="24"/>
              </w:rPr>
              <w:t>1.153</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2011-12</w:t>
            </w:r>
          </w:p>
        </w:tc>
        <w:tc>
          <w:tcPr>
            <w:tcW w:w="936" w:type="dxa"/>
          </w:tcPr>
          <w:p w:rsidR="00865D3B" w:rsidRDefault="000C3A69">
            <w:pPr>
              <w:pStyle w:val="TableParagraph"/>
              <w:spacing w:line="285" w:lineRule="exact"/>
              <w:ind w:left="170" w:right="168"/>
              <w:rPr>
                <w:sz w:val="24"/>
              </w:rPr>
            </w:pPr>
            <w:r>
              <w:rPr>
                <w:sz w:val="24"/>
              </w:rPr>
              <w:t>0.958</w:t>
            </w:r>
          </w:p>
        </w:tc>
        <w:tc>
          <w:tcPr>
            <w:tcW w:w="936" w:type="dxa"/>
          </w:tcPr>
          <w:p w:rsidR="00865D3B" w:rsidRDefault="000C3A69">
            <w:pPr>
              <w:pStyle w:val="TableParagraph"/>
              <w:spacing w:line="285" w:lineRule="exact"/>
              <w:ind w:right="184"/>
              <w:jc w:val="right"/>
              <w:rPr>
                <w:sz w:val="24"/>
              </w:rPr>
            </w:pPr>
            <w:r>
              <w:rPr>
                <w:sz w:val="24"/>
              </w:rPr>
              <w:t>0.905</w:t>
            </w:r>
          </w:p>
        </w:tc>
        <w:tc>
          <w:tcPr>
            <w:tcW w:w="936" w:type="dxa"/>
          </w:tcPr>
          <w:p w:rsidR="00865D3B" w:rsidRDefault="000C3A69">
            <w:pPr>
              <w:pStyle w:val="TableParagraph"/>
              <w:spacing w:line="285" w:lineRule="exact"/>
              <w:ind w:left="189"/>
              <w:jc w:val="left"/>
              <w:rPr>
                <w:sz w:val="24"/>
              </w:rPr>
            </w:pPr>
            <w:r>
              <w:rPr>
                <w:sz w:val="24"/>
              </w:rPr>
              <w:t>0.929</w:t>
            </w:r>
          </w:p>
        </w:tc>
        <w:tc>
          <w:tcPr>
            <w:tcW w:w="936" w:type="dxa"/>
          </w:tcPr>
          <w:p w:rsidR="00865D3B" w:rsidRDefault="000C3A69">
            <w:pPr>
              <w:pStyle w:val="TableParagraph"/>
              <w:spacing w:line="285" w:lineRule="exact"/>
              <w:ind w:left="170" w:right="168"/>
              <w:rPr>
                <w:sz w:val="24"/>
              </w:rPr>
            </w:pPr>
            <w:r>
              <w:rPr>
                <w:sz w:val="24"/>
              </w:rPr>
              <w:t>0.717</w:t>
            </w:r>
          </w:p>
        </w:tc>
        <w:tc>
          <w:tcPr>
            <w:tcW w:w="936" w:type="dxa"/>
          </w:tcPr>
          <w:p w:rsidR="00865D3B" w:rsidRDefault="000C3A69">
            <w:pPr>
              <w:pStyle w:val="TableParagraph"/>
              <w:spacing w:line="285" w:lineRule="exact"/>
              <w:ind w:right="184"/>
              <w:jc w:val="right"/>
              <w:rPr>
                <w:sz w:val="24"/>
              </w:rPr>
            </w:pPr>
            <w:r>
              <w:rPr>
                <w:sz w:val="24"/>
              </w:rPr>
              <w:t>1.271</w:t>
            </w:r>
          </w:p>
        </w:tc>
        <w:tc>
          <w:tcPr>
            <w:tcW w:w="936" w:type="dxa"/>
          </w:tcPr>
          <w:p w:rsidR="00865D3B" w:rsidRDefault="000C3A69">
            <w:pPr>
              <w:pStyle w:val="TableParagraph"/>
              <w:spacing w:line="285" w:lineRule="exact"/>
              <w:ind w:left="189"/>
              <w:jc w:val="left"/>
              <w:rPr>
                <w:sz w:val="24"/>
              </w:rPr>
            </w:pPr>
            <w:r>
              <w:rPr>
                <w:sz w:val="24"/>
              </w:rPr>
              <w:t>1.599</w:t>
            </w:r>
          </w:p>
        </w:tc>
        <w:tc>
          <w:tcPr>
            <w:tcW w:w="936" w:type="dxa"/>
          </w:tcPr>
          <w:p w:rsidR="00865D3B" w:rsidRDefault="000C3A69">
            <w:pPr>
              <w:pStyle w:val="TableParagraph"/>
              <w:spacing w:line="285" w:lineRule="exact"/>
              <w:ind w:left="170" w:right="168"/>
              <w:rPr>
                <w:sz w:val="24"/>
              </w:rPr>
            </w:pPr>
            <w:r>
              <w:rPr>
                <w:sz w:val="24"/>
              </w:rPr>
              <w:t>5.357</w:t>
            </w:r>
          </w:p>
        </w:tc>
        <w:tc>
          <w:tcPr>
            <w:tcW w:w="936" w:type="dxa"/>
          </w:tcPr>
          <w:p w:rsidR="00865D3B" w:rsidRDefault="000C3A69">
            <w:pPr>
              <w:pStyle w:val="TableParagraph"/>
              <w:spacing w:line="285" w:lineRule="exact"/>
              <w:ind w:right="184"/>
              <w:jc w:val="right"/>
              <w:rPr>
                <w:sz w:val="24"/>
              </w:rPr>
            </w:pPr>
            <w:r>
              <w:rPr>
                <w:sz w:val="24"/>
              </w:rPr>
              <w:t>1.116</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2012-13</w:t>
            </w:r>
          </w:p>
        </w:tc>
        <w:tc>
          <w:tcPr>
            <w:tcW w:w="936" w:type="dxa"/>
          </w:tcPr>
          <w:p w:rsidR="00865D3B" w:rsidRDefault="000C3A69">
            <w:pPr>
              <w:pStyle w:val="TableParagraph"/>
              <w:spacing w:line="285" w:lineRule="exact"/>
              <w:ind w:left="170" w:right="168"/>
              <w:rPr>
                <w:sz w:val="24"/>
              </w:rPr>
            </w:pPr>
            <w:r>
              <w:rPr>
                <w:sz w:val="24"/>
              </w:rPr>
              <w:t>0.953</w:t>
            </w:r>
          </w:p>
        </w:tc>
        <w:tc>
          <w:tcPr>
            <w:tcW w:w="936" w:type="dxa"/>
          </w:tcPr>
          <w:p w:rsidR="00865D3B" w:rsidRDefault="000C3A69">
            <w:pPr>
              <w:pStyle w:val="TableParagraph"/>
              <w:spacing w:line="285" w:lineRule="exact"/>
              <w:ind w:right="184"/>
              <w:jc w:val="right"/>
              <w:rPr>
                <w:sz w:val="24"/>
              </w:rPr>
            </w:pPr>
            <w:r>
              <w:rPr>
                <w:sz w:val="24"/>
              </w:rPr>
              <w:t>0.921</w:t>
            </w:r>
          </w:p>
        </w:tc>
        <w:tc>
          <w:tcPr>
            <w:tcW w:w="936" w:type="dxa"/>
          </w:tcPr>
          <w:p w:rsidR="00865D3B" w:rsidRDefault="000C3A69">
            <w:pPr>
              <w:pStyle w:val="TableParagraph"/>
              <w:spacing w:line="285" w:lineRule="exact"/>
              <w:ind w:left="189"/>
              <w:jc w:val="left"/>
              <w:rPr>
                <w:sz w:val="24"/>
              </w:rPr>
            </w:pPr>
            <w:r>
              <w:rPr>
                <w:sz w:val="24"/>
              </w:rPr>
              <w:t>0.985</w:t>
            </w:r>
          </w:p>
        </w:tc>
        <w:tc>
          <w:tcPr>
            <w:tcW w:w="936" w:type="dxa"/>
          </w:tcPr>
          <w:p w:rsidR="00865D3B" w:rsidRDefault="000C3A69">
            <w:pPr>
              <w:pStyle w:val="TableParagraph"/>
              <w:spacing w:line="285" w:lineRule="exact"/>
              <w:ind w:left="170" w:right="168"/>
              <w:rPr>
                <w:sz w:val="24"/>
              </w:rPr>
            </w:pPr>
            <w:r>
              <w:rPr>
                <w:sz w:val="24"/>
              </w:rPr>
              <w:t>0.551</w:t>
            </w:r>
          </w:p>
        </w:tc>
        <w:tc>
          <w:tcPr>
            <w:tcW w:w="936" w:type="dxa"/>
          </w:tcPr>
          <w:p w:rsidR="00865D3B" w:rsidRDefault="000C3A69">
            <w:pPr>
              <w:pStyle w:val="TableParagraph"/>
              <w:spacing w:line="285" w:lineRule="exact"/>
              <w:ind w:right="184"/>
              <w:jc w:val="right"/>
              <w:rPr>
                <w:sz w:val="24"/>
              </w:rPr>
            </w:pPr>
            <w:r>
              <w:rPr>
                <w:sz w:val="24"/>
              </w:rPr>
              <w:t>1.285</w:t>
            </w:r>
          </w:p>
        </w:tc>
        <w:tc>
          <w:tcPr>
            <w:tcW w:w="936" w:type="dxa"/>
          </w:tcPr>
          <w:p w:rsidR="00865D3B" w:rsidRDefault="000C3A69">
            <w:pPr>
              <w:pStyle w:val="TableParagraph"/>
              <w:spacing w:line="285" w:lineRule="exact"/>
              <w:ind w:left="189"/>
              <w:jc w:val="left"/>
              <w:rPr>
                <w:sz w:val="24"/>
              </w:rPr>
            </w:pPr>
            <w:r>
              <w:rPr>
                <w:sz w:val="24"/>
              </w:rPr>
              <w:t>1.581</w:t>
            </w:r>
          </w:p>
        </w:tc>
        <w:tc>
          <w:tcPr>
            <w:tcW w:w="936" w:type="dxa"/>
          </w:tcPr>
          <w:p w:rsidR="00865D3B" w:rsidRDefault="000C3A69">
            <w:pPr>
              <w:pStyle w:val="TableParagraph"/>
              <w:spacing w:line="285" w:lineRule="exact"/>
              <w:ind w:left="170" w:right="168"/>
              <w:rPr>
                <w:sz w:val="24"/>
              </w:rPr>
            </w:pPr>
            <w:r>
              <w:rPr>
                <w:sz w:val="24"/>
              </w:rPr>
              <w:t>5.528</w:t>
            </w:r>
          </w:p>
        </w:tc>
        <w:tc>
          <w:tcPr>
            <w:tcW w:w="936" w:type="dxa"/>
          </w:tcPr>
          <w:p w:rsidR="00865D3B" w:rsidRDefault="000C3A69">
            <w:pPr>
              <w:pStyle w:val="TableParagraph"/>
              <w:spacing w:line="285" w:lineRule="exact"/>
              <w:ind w:right="184"/>
              <w:jc w:val="right"/>
              <w:rPr>
                <w:sz w:val="24"/>
              </w:rPr>
            </w:pPr>
            <w:r>
              <w:rPr>
                <w:sz w:val="24"/>
              </w:rPr>
              <w:t>1.198</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2013-14</w:t>
            </w:r>
          </w:p>
        </w:tc>
        <w:tc>
          <w:tcPr>
            <w:tcW w:w="936" w:type="dxa"/>
          </w:tcPr>
          <w:p w:rsidR="00865D3B" w:rsidRDefault="000C3A69">
            <w:pPr>
              <w:pStyle w:val="TableParagraph"/>
              <w:spacing w:line="285" w:lineRule="exact"/>
              <w:ind w:left="170" w:right="168"/>
              <w:rPr>
                <w:sz w:val="24"/>
              </w:rPr>
            </w:pPr>
            <w:r>
              <w:rPr>
                <w:sz w:val="24"/>
              </w:rPr>
              <w:t>0.966</w:t>
            </w:r>
          </w:p>
        </w:tc>
        <w:tc>
          <w:tcPr>
            <w:tcW w:w="936" w:type="dxa"/>
          </w:tcPr>
          <w:p w:rsidR="00865D3B" w:rsidRDefault="000C3A69">
            <w:pPr>
              <w:pStyle w:val="TableParagraph"/>
              <w:spacing w:line="285" w:lineRule="exact"/>
              <w:ind w:right="184"/>
              <w:jc w:val="right"/>
              <w:rPr>
                <w:sz w:val="24"/>
              </w:rPr>
            </w:pPr>
            <w:r>
              <w:rPr>
                <w:sz w:val="24"/>
              </w:rPr>
              <w:t>0.904</w:t>
            </w:r>
          </w:p>
        </w:tc>
        <w:tc>
          <w:tcPr>
            <w:tcW w:w="936" w:type="dxa"/>
          </w:tcPr>
          <w:p w:rsidR="00865D3B" w:rsidRDefault="000C3A69">
            <w:pPr>
              <w:pStyle w:val="TableParagraph"/>
              <w:spacing w:line="285" w:lineRule="exact"/>
              <w:ind w:left="189"/>
              <w:jc w:val="left"/>
              <w:rPr>
                <w:sz w:val="24"/>
              </w:rPr>
            </w:pPr>
            <w:r>
              <w:rPr>
                <w:sz w:val="24"/>
              </w:rPr>
              <w:t>1.056</w:t>
            </w:r>
          </w:p>
        </w:tc>
        <w:tc>
          <w:tcPr>
            <w:tcW w:w="936" w:type="dxa"/>
          </w:tcPr>
          <w:p w:rsidR="00865D3B" w:rsidRDefault="000C3A69">
            <w:pPr>
              <w:pStyle w:val="TableParagraph"/>
              <w:spacing w:line="285" w:lineRule="exact"/>
              <w:ind w:left="170" w:right="168"/>
              <w:rPr>
                <w:sz w:val="24"/>
              </w:rPr>
            </w:pPr>
            <w:r>
              <w:rPr>
                <w:sz w:val="24"/>
              </w:rPr>
              <w:t>0.446</w:t>
            </w:r>
          </w:p>
        </w:tc>
        <w:tc>
          <w:tcPr>
            <w:tcW w:w="936" w:type="dxa"/>
          </w:tcPr>
          <w:p w:rsidR="00865D3B" w:rsidRDefault="000C3A69">
            <w:pPr>
              <w:pStyle w:val="TableParagraph"/>
              <w:spacing w:line="285" w:lineRule="exact"/>
              <w:ind w:right="184"/>
              <w:jc w:val="right"/>
              <w:rPr>
                <w:sz w:val="24"/>
              </w:rPr>
            </w:pPr>
            <w:r>
              <w:rPr>
                <w:sz w:val="24"/>
              </w:rPr>
              <w:t>1.262</w:t>
            </w:r>
          </w:p>
        </w:tc>
        <w:tc>
          <w:tcPr>
            <w:tcW w:w="936" w:type="dxa"/>
          </w:tcPr>
          <w:p w:rsidR="00865D3B" w:rsidRDefault="000C3A69">
            <w:pPr>
              <w:pStyle w:val="TableParagraph"/>
              <w:spacing w:line="285" w:lineRule="exact"/>
              <w:ind w:left="189"/>
              <w:jc w:val="left"/>
              <w:rPr>
                <w:sz w:val="24"/>
              </w:rPr>
            </w:pPr>
            <w:r>
              <w:rPr>
                <w:sz w:val="24"/>
              </w:rPr>
              <w:t>1.615</w:t>
            </w:r>
          </w:p>
        </w:tc>
        <w:tc>
          <w:tcPr>
            <w:tcW w:w="936" w:type="dxa"/>
          </w:tcPr>
          <w:p w:rsidR="00865D3B" w:rsidRDefault="000C3A69">
            <w:pPr>
              <w:pStyle w:val="TableParagraph"/>
              <w:spacing w:line="285" w:lineRule="exact"/>
              <w:ind w:left="170" w:right="168"/>
              <w:rPr>
                <w:sz w:val="24"/>
              </w:rPr>
            </w:pPr>
            <w:r>
              <w:rPr>
                <w:sz w:val="24"/>
              </w:rPr>
              <w:t>5.314</w:t>
            </w:r>
          </w:p>
        </w:tc>
        <w:tc>
          <w:tcPr>
            <w:tcW w:w="936" w:type="dxa"/>
          </w:tcPr>
          <w:p w:rsidR="00865D3B" w:rsidRDefault="000C3A69">
            <w:pPr>
              <w:pStyle w:val="TableParagraph"/>
              <w:spacing w:line="285" w:lineRule="exact"/>
              <w:ind w:right="184"/>
              <w:jc w:val="right"/>
              <w:rPr>
                <w:sz w:val="24"/>
              </w:rPr>
            </w:pPr>
            <w:r>
              <w:rPr>
                <w:sz w:val="24"/>
              </w:rPr>
              <w:t>1.221</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2014-15</w:t>
            </w:r>
          </w:p>
        </w:tc>
        <w:tc>
          <w:tcPr>
            <w:tcW w:w="936" w:type="dxa"/>
          </w:tcPr>
          <w:p w:rsidR="00865D3B" w:rsidRDefault="000C3A69">
            <w:pPr>
              <w:pStyle w:val="TableParagraph"/>
              <w:spacing w:line="285" w:lineRule="exact"/>
              <w:ind w:left="170" w:right="168"/>
              <w:rPr>
                <w:sz w:val="24"/>
              </w:rPr>
            </w:pPr>
            <w:r>
              <w:rPr>
                <w:sz w:val="24"/>
              </w:rPr>
              <w:t>0.975</w:t>
            </w:r>
          </w:p>
        </w:tc>
        <w:tc>
          <w:tcPr>
            <w:tcW w:w="936" w:type="dxa"/>
          </w:tcPr>
          <w:p w:rsidR="00865D3B" w:rsidRDefault="000C3A69">
            <w:pPr>
              <w:pStyle w:val="TableParagraph"/>
              <w:spacing w:line="285" w:lineRule="exact"/>
              <w:ind w:right="184"/>
              <w:jc w:val="right"/>
              <w:rPr>
                <w:sz w:val="24"/>
              </w:rPr>
            </w:pPr>
            <w:r>
              <w:rPr>
                <w:sz w:val="24"/>
              </w:rPr>
              <w:t>0.883</w:t>
            </w:r>
          </w:p>
        </w:tc>
        <w:tc>
          <w:tcPr>
            <w:tcW w:w="936" w:type="dxa"/>
          </w:tcPr>
          <w:p w:rsidR="00865D3B" w:rsidRDefault="000C3A69">
            <w:pPr>
              <w:pStyle w:val="TableParagraph"/>
              <w:spacing w:line="285" w:lineRule="exact"/>
              <w:ind w:left="189"/>
              <w:jc w:val="left"/>
              <w:rPr>
                <w:sz w:val="24"/>
              </w:rPr>
            </w:pPr>
            <w:r>
              <w:rPr>
                <w:sz w:val="24"/>
              </w:rPr>
              <w:t>1.079</w:t>
            </w:r>
          </w:p>
        </w:tc>
        <w:tc>
          <w:tcPr>
            <w:tcW w:w="936" w:type="dxa"/>
          </w:tcPr>
          <w:p w:rsidR="00865D3B" w:rsidRDefault="000C3A69">
            <w:pPr>
              <w:pStyle w:val="TableParagraph"/>
              <w:spacing w:line="285" w:lineRule="exact"/>
              <w:ind w:left="170" w:right="168"/>
              <w:rPr>
                <w:sz w:val="24"/>
              </w:rPr>
            </w:pPr>
            <w:r>
              <w:rPr>
                <w:sz w:val="24"/>
              </w:rPr>
              <w:t>0.376</w:t>
            </w:r>
          </w:p>
        </w:tc>
        <w:tc>
          <w:tcPr>
            <w:tcW w:w="936" w:type="dxa"/>
          </w:tcPr>
          <w:p w:rsidR="00865D3B" w:rsidRDefault="000C3A69">
            <w:pPr>
              <w:pStyle w:val="TableParagraph"/>
              <w:spacing w:line="285" w:lineRule="exact"/>
              <w:ind w:right="184"/>
              <w:jc w:val="right"/>
              <w:rPr>
                <w:sz w:val="24"/>
              </w:rPr>
            </w:pPr>
            <w:r>
              <w:rPr>
                <w:sz w:val="24"/>
              </w:rPr>
              <w:t>1.288</w:t>
            </w:r>
          </w:p>
        </w:tc>
        <w:tc>
          <w:tcPr>
            <w:tcW w:w="936" w:type="dxa"/>
          </w:tcPr>
          <w:p w:rsidR="00865D3B" w:rsidRDefault="000C3A69">
            <w:pPr>
              <w:pStyle w:val="TableParagraph"/>
              <w:spacing w:line="285" w:lineRule="exact"/>
              <w:ind w:left="189"/>
              <w:jc w:val="left"/>
              <w:rPr>
                <w:sz w:val="24"/>
              </w:rPr>
            </w:pPr>
            <w:r>
              <w:rPr>
                <w:sz w:val="24"/>
              </w:rPr>
              <w:t>1.635</w:t>
            </w:r>
          </w:p>
        </w:tc>
        <w:tc>
          <w:tcPr>
            <w:tcW w:w="936" w:type="dxa"/>
          </w:tcPr>
          <w:p w:rsidR="00865D3B" w:rsidRDefault="000C3A69">
            <w:pPr>
              <w:pStyle w:val="TableParagraph"/>
              <w:spacing w:line="285" w:lineRule="exact"/>
              <w:ind w:left="170" w:right="168"/>
              <w:rPr>
                <w:sz w:val="24"/>
              </w:rPr>
            </w:pPr>
            <w:r>
              <w:rPr>
                <w:sz w:val="24"/>
              </w:rPr>
              <w:t>5.661</w:t>
            </w:r>
          </w:p>
        </w:tc>
        <w:tc>
          <w:tcPr>
            <w:tcW w:w="936" w:type="dxa"/>
          </w:tcPr>
          <w:p w:rsidR="00865D3B" w:rsidRDefault="000C3A69">
            <w:pPr>
              <w:pStyle w:val="TableParagraph"/>
              <w:spacing w:line="285" w:lineRule="exact"/>
              <w:ind w:right="184"/>
              <w:jc w:val="right"/>
              <w:rPr>
                <w:sz w:val="24"/>
              </w:rPr>
            </w:pPr>
            <w:r>
              <w:rPr>
                <w:sz w:val="24"/>
              </w:rPr>
              <w:t>1.236</w:t>
            </w:r>
          </w:p>
        </w:tc>
      </w:tr>
      <w:tr w:rsidR="00865D3B">
        <w:trPr>
          <w:trHeight w:val="460"/>
        </w:trPr>
        <w:tc>
          <w:tcPr>
            <w:tcW w:w="1351" w:type="dxa"/>
          </w:tcPr>
          <w:p w:rsidR="00865D3B" w:rsidRDefault="000C3A69">
            <w:pPr>
              <w:pStyle w:val="TableParagraph"/>
              <w:spacing w:line="287" w:lineRule="exact"/>
              <w:ind w:left="102"/>
              <w:jc w:val="left"/>
              <w:rPr>
                <w:sz w:val="24"/>
              </w:rPr>
            </w:pPr>
            <w:r>
              <w:rPr>
                <w:sz w:val="24"/>
              </w:rPr>
              <w:t>2015-16</w:t>
            </w:r>
          </w:p>
        </w:tc>
        <w:tc>
          <w:tcPr>
            <w:tcW w:w="936" w:type="dxa"/>
          </w:tcPr>
          <w:p w:rsidR="00865D3B" w:rsidRDefault="000C3A69">
            <w:pPr>
              <w:pStyle w:val="TableParagraph"/>
              <w:spacing w:line="287" w:lineRule="exact"/>
              <w:ind w:left="170" w:right="168"/>
              <w:rPr>
                <w:sz w:val="24"/>
              </w:rPr>
            </w:pPr>
            <w:r>
              <w:rPr>
                <w:sz w:val="24"/>
              </w:rPr>
              <w:t>0.947</w:t>
            </w:r>
          </w:p>
        </w:tc>
        <w:tc>
          <w:tcPr>
            <w:tcW w:w="936" w:type="dxa"/>
          </w:tcPr>
          <w:p w:rsidR="00865D3B" w:rsidRDefault="000C3A69">
            <w:pPr>
              <w:pStyle w:val="TableParagraph"/>
              <w:spacing w:line="287" w:lineRule="exact"/>
              <w:ind w:right="184"/>
              <w:jc w:val="right"/>
              <w:rPr>
                <w:sz w:val="24"/>
              </w:rPr>
            </w:pPr>
            <w:r>
              <w:rPr>
                <w:sz w:val="24"/>
              </w:rPr>
              <w:t>0.892</w:t>
            </w:r>
          </w:p>
        </w:tc>
        <w:tc>
          <w:tcPr>
            <w:tcW w:w="936" w:type="dxa"/>
          </w:tcPr>
          <w:p w:rsidR="00865D3B" w:rsidRDefault="000C3A69">
            <w:pPr>
              <w:pStyle w:val="TableParagraph"/>
              <w:spacing w:line="287" w:lineRule="exact"/>
              <w:ind w:left="189"/>
              <w:jc w:val="left"/>
              <w:rPr>
                <w:sz w:val="24"/>
              </w:rPr>
            </w:pPr>
            <w:r>
              <w:rPr>
                <w:sz w:val="24"/>
              </w:rPr>
              <w:t>1.127</w:t>
            </w:r>
          </w:p>
        </w:tc>
        <w:tc>
          <w:tcPr>
            <w:tcW w:w="936" w:type="dxa"/>
          </w:tcPr>
          <w:p w:rsidR="00865D3B" w:rsidRDefault="000C3A69">
            <w:pPr>
              <w:pStyle w:val="TableParagraph"/>
              <w:spacing w:line="287" w:lineRule="exact"/>
              <w:ind w:left="170" w:right="168"/>
              <w:rPr>
                <w:sz w:val="24"/>
              </w:rPr>
            </w:pPr>
            <w:r>
              <w:rPr>
                <w:sz w:val="24"/>
              </w:rPr>
              <w:t>0.300</w:t>
            </w:r>
          </w:p>
        </w:tc>
        <w:tc>
          <w:tcPr>
            <w:tcW w:w="936" w:type="dxa"/>
          </w:tcPr>
          <w:p w:rsidR="00865D3B" w:rsidRDefault="000C3A69">
            <w:pPr>
              <w:pStyle w:val="TableParagraph"/>
              <w:spacing w:line="287" w:lineRule="exact"/>
              <w:ind w:right="184"/>
              <w:jc w:val="right"/>
              <w:rPr>
                <w:sz w:val="24"/>
              </w:rPr>
            </w:pPr>
            <w:r>
              <w:rPr>
                <w:sz w:val="24"/>
              </w:rPr>
              <w:t>1.358</w:t>
            </w:r>
          </w:p>
        </w:tc>
        <w:tc>
          <w:tcPr>
            <w:tcW w:w="936" w:type="dxa"/>
          </w:tcPr>
          <w:p w:rsidR="00865D3B" w:rsidRDefault="000C3A69">
            <w:pPr>
              <w:pStyle w:val="TableParagraph"/>
              <w:spacing w:line="287" w:lineRule="exact"/>
              <w:ind w:left="189"/>
              <w:jc w:val="left"/>
              <w:rPr>
                <w:sz w:val="24"/>
              </w:rPr>
            </w:pPr>
            <w:r>
              <w:rPr>
                <w:sz w:val="24"/>
              </w:rPr>
              <w:t>1.819</w:t>
            </w:r>
          </w:p>
        </w:tc>
        <w:tc>
          <w:tcPr>
            <w:tcW w:w="936" w:type="dxa"/>
          </w:tcPr>
          <w:p w:rsidR="00865D3B" w:rsidRDefault="000C3A69">
            <w:pPr>
              <w:pStyle w:val="TableParagraph"/>
              <w:spacing w:line="287" w:lineRule="exact"/>
              <w:ind w:left="170" w:right="168"/>
              <w:rPr>
                <w:sz w:val="24"/>
              </w:rPr>
            </w:pPr>
            <w:r>
              <w:rPr>
                <w:sz w:val="24"/>
              </w:rPr>
              <w:t>5.570</w:t>
            </w:r>
          </w:p>
        </w:tc>
        <w:tc>
          <w:tcPr>
            <w:tcW w:w="936" w:type="dxa"/>
          </w:tcPr>
          <w:p w:rsidR="00865D3B" w:rsidRDefault="000C3A69">
            <w:pPr>
              <w:pStyle w:val="TableParagraph"/>
              <w:spacing w:line="287" w:lineRule="exact"/>
              <w:ind w:right="184"/>
              <w:jc w:val="right"/>
              <w:rPr>
                <w:sz w:val="24"/>
              </w:rPr>
            </w:pPr>
            <w:r>
              <w:rPr>
                <w:sz w:val="24"/>
              </w:rPr>
              <w:t>1.100</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2016-17</w:t>
            </w:r>
          </w:p>
        </w:tc>
        <w:tc>
          <w:tcPr>
            <w:tcW w:w="936" w:type="dxa"/>
          </w:tcPr>
          <w:p w:rsidR="00865D3B" w:rsidRDefault="000C3A69">
            <w:pPr>
              <w:pStyle w:val="TableParagraph"/>
              <w:spacing w:line="285" w:lineRule="exact"/>
              <w:ind w:left="170" w:right="168"/>
              <w:rPr>
                <w:sz w:val="24"/>
              </w:rPr>
            </w:pPr>
            <w:r>
              <w:rPr>
                <w:sz w:val="24"/>
              </w:rPr>
              <w:t>0.904</w:t>
            </w:r>
          </w:p>
        </w:tc>
        <w:tc>
          <w:tcPr>
            <w:tcW w:w="936" w:type="dxa"/>
          </w:tcPr>
          <w:p w:rsidR="00865D3B" w:rsidRDefault="000C3A69">
            <w:pPr>
              <w:pStyle w:val="TableParagraph"/>
              <w:spacing w:line="285" w:lineRule="exact"/>
              <w:ind w:right="184"/>
              <w:jc w:val="right"/>
              <w:rPr>
                <w:sz w:val="24"/>
              </w:rPr>
            </w:pPr>
            <w:r>
              <w:rPr>
                <w:sz w:val="24"/>
              </w:rPr>
              <w:t>0.909</w:t>
            </w:r>
          </w:p>
        </w:tc>
        <w:tc>
          <w:tcPr>
            <w:tcW w:w="936" w:type="dxa"/>
          </w:tcPr>
          <w:p w:rsidR="00865D3B" w:rsidRDefault="000C3A69">
            <w:pPr>
              <w:pStyle w:val="TableParagraph"/>
              <w:spacing w:line="285" w:lineRule="exact"/>
              <w:ind w:left="189"/>
              <w:jc w:val="left"/>
              <w:rPr>
                <w:sz w:val="24"/>
              </w:rPr>
            </w:pPr>
            <w:r>
              <w:rPr>
                <w:sz w:val="24"/>
              </w:rPr>
              <w:t>1.171</w:t>
            </w:r>
          </w:p>
        </w:tc>
        <w:tc>
          <w:tcPr>
            <w:tcW w:w="936" w:type="dxa"/>
          </w:tcPr>
          <w:p w:rsidR="00865D3B" w:rsidRDefault="000C3A69">
            <w:pPr>
              <w:pStyle w:val="TableParagraph"/>
              <w:spacing w:line="285" w:lineRule="exact"/>
              <w:ind w:left="170" w:right="168"/>
              <w:rPr>
                <w:sz w:val="24"/>
              </w:rPr>
            </w:pPr>
            <w:r>
              <w:rPr>
                <w:sz w:val="24"/>
              </w:rPr>
              <w:t>0.303</w:t>
            </w:r>
          </w:p>
        </w:tc>
        <w:tc>
          <w:tcPr>
            <w:tcW w:w="936" w:type="dxa"/>
          </w:tcPr>
          <w:p w:rsidR="00865D3B" w:rsidRDefault="000C3A69">
            <w:pPr>
              <w:pStyle w:val="TableParagraph"/>
              <w:spacing w:line="285" w:lineRule="exact"/>
              <w:ind w:right="184"/>
              <w:jc w:val="right"/>
              <w:rPr>
                <w:sz w:val="24"/>
              </w:rPr>
            </w:pPr>
            <w:r>
              <w:rPr>
                <w:sz w:val="24"/>
              </w:rPr>
              <w:t>1.416</w:t>
            </w:r>
          </w:p>
        </w:tc>
        <w:tc>
          <w:tcPr>
            <w:tcW w:w="936" w:type="dxa"/>
          </w:tcPr>
          <w:p w:rsidR="00865D3B" w:rsidRDefault="000C3A69">
            <w:pPr>
              <w:pStyle w:val="TableParagraph"/>
              <w:spacing w:line="285" w:lineRule="exact"/>
              <w:ind w:left="189"/>
              <w:jc w:val="left"/>
              <w:rPr>
                <w:sz w:val="24"/>
              </w:rPr>
            </w:pPr>
            <w:r>
              <w:rPr>
                <w:sz w:val="24"/>
              </w:rPr>
              <w:t>1.776</w:t>
            </w:r>
          </w:p>
        </w:tc>
        <w:tc>
          <w:tcPr>
            <w:tcW w:w="936" w:type="dxa"/>
          </w:tcPr>
          <w:p w:rsidR="00865D3B" w:rsidRDefault="000C3A69">
            <w:pPr>
              <w:pStyle w:val="TableParagraph"/>
              <w:spacing w:line="285" w:lineRule="exact"/>
              <w:ind w:left="170" w:right="168"/>
              <w:rPr>
                <w:sz w:val="24"/>
              </w:rPr>
            </w:pPr>
            <w:r>
              <w:rPr>
                <w:sz w:val="24"/>
              </w:rPr>
              <w:t>5.284</w:t>
            </w:r>
          </w:p>
        </w:tc>
        <w:tc>
          <w:tcPr>
            <w:tcW w:w="936" w:type="dxa"/>
          </w:tcPr>
          <w:p w:rsidR="00865D3B" w:rsidRDefault="000C3A69">
            <w:pPr>
              <w:pStyle w:val="TableParagraph"/>
              <w:spacing w:line="285" w:lineRule="exact"/>
              <w:ind w:right="184"/>
              <w:jc w:val="right"/>
              <w:rPr>
                <w:sz w:val="24"/>
              </w:rPr>
            </w:pPr>
            <w:r>
              <w:rPr>
                <w:sz w:val="24"/>
              </w:rPr>
              <w:t>1.156</w:t>
            </w:r>
          </w:p>
        </w:tc>
      </w:tr>
      <w:tr w:rsidR="00865D3B">
        <w:trPr>
          <w:trHeight w:val="460"/>
        </w:trPr>
        <w:tc>
          <w:tcPr>
            <w:tcW w:w="1351" w:type="dxa"/>
          </w:tcPr>
          <w:p w:rsidR="00865D3B" w:rsidRDefault="000C3A69">
            <w:pPr>
              <w:pStyle w:val="TableParagraph"/>
              <w:spacing w:line="285" w:lineRule="exact"/>
              <w:ind w:left="102"/>
              <w:jc w:val="left"/>
              <w:rPr>
                <w:sz w:val="24"/>
              </w:rPr>
            </w:pPr>
            <w:r>
              <w:rPr>
                <w:sz w:val="24"/>
              </w:rPr>
              <w:t>2017-18</w:t>
            </w:r>
          </w:p>
        </w:tc>
        <w:tc>
          <w:tcPr>
            <w:tcW w:w="936" w:type="dxa"/>
          </w:tcPr>
          <w:p w:rsidR="00865D3B" w:rsidRDefault="000C3A69">
            <w:pPr>
              <w:pStyle w:val="TableParagraph"/>
              <w:spacing w:line="285" w:lineRule="exact"/>
              <w:ind w:left="170" w:right="168"/>
              <w:rPr>
                <w:sz w:val="24"/>
              </w:rPr>
            </w:pPr>
            <w:r>
              <w:rPr>
                <w:sz w:val="24"/>
              </w:rPr>
              <w:t>0.876</w:t>
            </w:r>
          </w:p>
        </w:tc>
        <w:tc>
          <w:tcPr>
            <w:tcW w:w="936" w:type="dxa"/>
          </w:tcPr>
          <w:p w:rsidR="00865D3B" w:rsidRDefault="000C3A69">
            <w:pPr>
              <w:pStyle w:val="TableParagraph"/>
              <w:spacing w:line="285" w:lineRule="exact"/>
              <w:ind w:right="184"/>
              <w:jc w:val="right"/>
              <w:rPr>
                <w:sz w:val="24"/>
              </w:rPr>
            </w:pPr>
            <w:r>
              <w:rPr>
                <w:sz w:val="24"/>
              </w:rPr>
              <w:t>0.932</w:t>
            </w:r>
          </w:p>
        </w:tc>
        <w:tc>
          <w:tcPr>
            <w:tcW w:w="936" w:type="dxa"/>
          </w:tcPr>
          <w:p w:rsidR="00865D3B" w:rsidRDefault="000C3A69">
            <w:pPr>
              <w:pStyle w:val="TableParagraph"/>
              <w:spacing w:line="285" w:lineRule="exact"/>
              <w:ind w:left="189"/>
              <w:jc w:val="left"/>
              <w:rPr>
                <w:sz w:val="24"/>
              </w:rPr>
            </w:pPr>
            <w:r>
              <w:rPr>
                <w:sz w:val="24"/>
              </w:rPr>
              <w:t>1.187</w:t>
            </w:r>
          </w:p>
        </w:tc>
        <w:tc>
          <w:tcPr>
            <w:tcW w:w="936" w:type="dxa"/>
          </w:tcPr>
          <w:p w:rsidR="00865D3B" w:rsidRDefault="000C3A69">
            <w:pPr>
              <w:pStyle w:val="TableParagraph"/>
              <w:spacing w:line="285" w:lineRule="exact"/>
              <w:ind w:left="170" w:right="168"/>
              <w:rPr>
                <w:sz w:val="24"/>
              </w:rPr>
            </w:pPr>
            <w:r>
              <w:rPr>
                <w:sz w:val="24"/>
              </w:rPr>
              <w:t>0.344</w:t>
            </w:r>
          </w:p>
        </w:tc>
        <w:tc>
          <w:tcPr>
            <w:tcW w:w="936" w:type="dxa"/>
          </w:tcPr>
          <w:p w:rsidR="00865D3B" w:rsidRDefault="000C3A69">
            <w:pPr>
              <w:pStyle w:val="TableParagraph"/>
              <w:spacing w:line="285" w:lineRule="exact"/>
              <w:ind w:right="184"/>
              <w:jc w:val="right"/>
              <w:rPr>
                <w:sz w:val="24"/>
              </w:rPr>
            </w:pPr>
            <w:r>
              <w:rPr>
                <w:sz w:val="24"/>
              </w:rPr>
              <w:t>1.439</w:t>
            </w:r>
          </w:p>
        </w:tc>
        <w:tc>
          <w:tcPr>
            <w:tcW w:w="936" w:type="dxa"/>
          </w:tcPr>
          <w:p w:rsidR="00865D3B" w:rsidRDefault="000C3A69">
            <w:pPr>
              <w:pStyle w:val="TableParagraph"/>
              <w:spacing w:line="285" w:lineRule="exact"/>
              <w:ind w:left="189"/>
              <w:jc w:val="left"/>
              <w:rPr>
                <w:sz w:val="24"/>
              </w:rPr>
            </w:pPr>
            <w:r>
              <w:rPr>
                <w:sz w:val="24"/>
              </w:rPr>
              <w:t>1.804</w:t>
            </w:r>
          </w:p>
        </w:tc>
        <w:tc>
          <w:tcPr>
            <w:tcW w:w="936" w:type="dxa"/>
          </w:tcPr>
          <w:p w:rsidR="00865D3B" w:rsidRDefault="000C3A69">
            <w:pPr>
              <w:pStyle w:val="TableParagraph"/>
              <w:spacing w:line="285" w:lineRule="exact"/>
              <w:ind w:left="170" w:right="168"/>
              <w:rPr>
                <w:sz w:val="24"/>
              </w:rPr>
            </w:pPr>
            <w:r>
              <w:rPr>
                <w:sz w:val="24"/>
              </w:rPr>
              <w:t>4.660</w:t>
            </w:r>
          </w:p>
        </w:tc>
        <w:tc>
          <w:tcPr>
            <w:tcW w:w="936" w:type="dxa"/>
          </w:tcPr>
          <w:p w:rsidR="00865D3B" w:rsidRDefault="000C3A69">
            <w:pPr>
              <w:pStyle w:val="TableParagraph"/>
              <w:spacing w:line="285" w:lineRule="exact"/>
              <w:ind w:right="184"/>
              <w:jc w:val="right"/>
              <w:rPr>
                <w:sz w:val="24"/>
              </w:rPr>
            </w:pPr>
            <w:r>
              <w:rPr>
                <w:sz w:val="24"/>
              </w:rPr>
              <w:t>1.194</w:t>
            </w:r>
          </w:p>
        </w:tc>
      </w:tr>
    </w:tbl>
    <w:p w:rsidR="00865D3B" w:rsidRDefault="00865D3B">
      <w:pPr>
        <w:spacing w:line="285" w:lineRule="exact"/>
        <w:jc w:val="right"/>
        <w:rPr>
          <w:sz w:val="24"/>
        </w:rPr>
        <w:sectPr w:rsidR="00865D3B">
          <w:footerReference w:type="default" r:id="rId20"/>
          <w:pgSz w:w="11910" w:h="16840"/>
          <w:pgMar w:top="980" w:right="1340" w:bottom="1140" w:left="1220" w:header="0" w:footer="945" w:gutter="0"/>
          <w:cols w:space="720"/>
        </w:sectPr>
      </w:pPr>
    </w:p>
    <w:p w:rsidR="00865D3B" w:rsidRDefault="000C3A69">
      <w:pPr>
        <w:spacing w:before="15"/>
        <w:ind w:left="280"/>
        <w:jc w:val="both"/>
        <w:rPr>
          <w:b/>
          <w:sz w:val="28"/>
        </w:rPr>
      </w:pPr>
      <w:r>
        <w:rPr>
          <w:b/>
          <w:sz w:val="28"/>
        </w:rPr>
        <w:lastRenderedPageBreak/>
        <w:t>Table 2B</w:t>
      </w:r>
    </w:p>
    <w:p w:rsidR="00865D3B" w:rsidRDefault="00865D3B">
      <w:pPr>
        <w:pStyle w:val="BodyText"/>
        <w:rPr>
          <w:b/>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886"/>
        <w:gridCol w:w="1097"/>
        <w:gridCol w:w="994"/>
        <w:gridCol w:w="850"/>
        <w:gridCol w:w="773"/>
        <w:gridCol w:w="787"/>
        <w:gridCol w:w="763"/>
        <w:gridCol w:w="938"/>
        <w:gridCol w:w="1133"/>
      </w:tblGrid>
      <w:tr w:rsidR="00865D3B">
        <w:trPr>
          <w:trHeight w:val="460"/>
        </w:trPr>
        <w:tc>
          <w:tcPr>
            <w:tcW w:w="9355" w:type="dxa"/>
            <w:gridSpan w:val="10"/>
            <w:tcBorders>
              <w:bottom w:val="single" w:sz="6" w:space="0" w:color="000000"/>
            </w:tcBorders>
          </w:tcPr>
          <w:p w:rsidR="00865D3B" w:rsidRDefault="000C3A69">
            <w:pPr>
              <w:pStyle w:val="TableParagraph"/>
              <w:ind w:left="3344" w:right="3345"/>
              <w:rPr>
                <w:sz w:val="24"/>
              </w:rPr>
            </w:pPr>
            <w:r>
              <w:rPr>
                <w:sz w:val="24"/>
              </w:rPr>
              <w:t>Actual GST paid in the</w:t>
            </w:r>
            <w:r>
              <w:rPr>
                <w:spacing w:val="-7"/>
                <w:sz w:val="24"/>
              </w:rPr>
              <w:t xml:space="preserve"> </w:t>
            </w:r>
            <w:r>
              <w:rPr>
                <w:sz w:val="24"/>
              </w:rPr>
              <w:t>year</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865D3B">
            <w:pPr>
              <w:pStyle w:val="TableParagraph"/>
              <w:spacing w:line="240" w:lineRule="auto"/>
              <w:jc w:val="left"/>
              <w:rPr>
                <w:rFonts w:ascii="Times New Roman"/>
                <w:sz w:val="24"/>
              </w:rPr>
            </w:pP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192"/>
              <w:jc w:val="right"/>
              <w:rPr>
                <w:sz w:val="24"/>
              </w:rPr>
            </w:pPr>
            <w:r>
              <w:rPr>
                <w:sz w:val="24"/>
              </w:rPr>
              <w:t>NSW</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5"/>
              <w:rPr>
                <w:sz w:val="24"/>
              </w:rPr>
            </w:pPr>
            <w:r>
              <w:rPr>
                <w:sz w:val="24"/>
              </w:rPr>
              <w:t>Vic</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3" w:right="134"/>
              <w:rPr>
                <w:sz w:val="24"/>
              </w:rPr>
            </w:pPr>
            <w:r>
              <w:rPr>
                <w:sz w:val="24"/>
              </w:rPr>
              <w:t>Qld</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3" w:right="123"/>
              <w:rPr>
                <w:sz w:val="24"/>
              </w:rPr>
            </w:pPr>
            <w:r>
              <w:rPr>
                <w:sz w:val="24"/>
              </w:rPr>
              <w:t>WA</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4" w:right="84"/>
              <w:rPr>
                <w:sz w:val="24"/>
              </w:rPr>
            </w:pPr>
            <w:r>
              <w:rPr>
                <w:sz w:val="24"/>
              </w:rPr>
              <w:t>SA</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1" w:right="91"/>
              <w:rPr>
                <w:sz w:val="24"/>
              </w:rPr>
            </w:pPr>
            <w:r>
              <w:rPr>
                <w:sz w:val="24"/>
              </w:rPr>
              <w:t>Tas</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79" w:right="79"/>
              <w:rPr>
                <w:sz w:val="24"/>
              </w:rPr>
            </w:pPr>
            <w:r>
              <w:rPr>
                <w:sz w:val="24"/>
              </w:rPr>
              <w:t>NT</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7" w:right="168"/>
              <w:rPr>
                <w:sz w:val="24"/>
              </w:rPr>
            </w:pPr>
            <w:r>
              <w:rPr>
                <w:sz w:val="24"/>
              </w:rPr>
              <w:t>ACT</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8-States</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2000-01</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158"/>
              <w:jc w:val="right"/>
              <w:rPr>
                <w:sz w:val="24"/>
              </w:rPr>
            </w:pPr>
            <w:r>
              <w:rPr>
                <w:sz w:val="24"/>
              </w:rPr>
              <w:t>7,258</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4"/>
              <w:rPr>
                <w:sz w:val="24"/>
              </w:rPr>
            </w:pPr>
            <w:r>
              <w:rPr>
                <w:sz w:val="24"/>
              </w:rPr>
              <w:t>5,099</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3"/>
              <w:rPr>
                <w:sz w:val="24"/>
              </w:rPr>
            </w:pPr>
            <w:r>
              <w:rPr>
                <w:sz w:val="24"/>
              </w:rPr>
              <w:t>4,658</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2,375</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2,279</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988</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1,226</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473</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24,355</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spacing w:line="292" w:lineRule="exact"/>
              <w:ind w:left="102"/>
              <w:jc w:val="left"/>
              <w:rPr>
                <w:sz w:val="24"/>
              </w:rPr>
            </w:pPr>
            <w:r>
              <w:rPr>
                <w:sz w:val="24"/>
              </w:rPr>
              <w:t>2001-02</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right="158"/>
              <w:jc w:val="right"/>
              <w:rPr>
                <w:sz w:val="24"/>
              </w:rPr>
            </w:pPr>
            <w:r>
              <w:rPr>
                <w:sz w:val="24"/>
              </w:rPr>
              <w:t>8,132</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88" w:right="184"/>
              <w:rPr>
                <w:sz w:val="24"/>
              </w:rPr>
            </w:pPr>
            <w:r>
              <w:rPr>
                <w:sz w:val="24"/>
              </w:rPr>
              <w:t>5,593</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35" w:right="133"/>
              <w:rPr>
                <w:sz w:val="24"/>
              </w:rPr>
            </w:pPr>
            <w:r>
              <w:rPr>
                <w:sz w:val="24"/>
              </w:rPr>
              <w:t>5,019</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25" w:right="123"/>
              <w:rPr>
                <w:sz w:val="24"/>
              </w:rPr>
            </w:pPr>
            <w:r>
              <w:rPr>
                <w:sz w:val="24"/>
              </w:rPr>
              <w:t>2,518</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6" w:right="84"/>
              <w:rPr>
                <w:sz w:val="24"/>
              </w:rPr>
            </w:pPr>
            <w:r>
              <w:rPr>
                <w:sz w:val="24"/>
              </w:rPr>
              <w:t>2,477</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93" w:right="91"/>
              <w:rPr>
                <w:sz w:val="24"/>
              </w:rPr>
            </w:pPr>
            <w:r>
              <w:rPr>
                <w:sz w:val="24"/>
              </w:rPr>
              <w:t>1,060</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1" w:right="79"/>
              <w:rPr>
                <w:sz w:val="24"/>
              </w:rPr>
            </w:pPr>
            <w:r>
              <w:rPr>
                <w:sz w:val="24"/>
              </w:rPr>
              <w:t>1,290</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68" w:right="168"/>
              <w:rPr>
                <w:sz w:val="24"/>
              </w:rPr>
            </w:pPr>
            <w:r>
              <w:rPr>
                <w:sz w:val="24"/>
              </w:rPr>
              <w:t>544</w:t>
            </w:r>
          </w:p>
        </w:tc>
        <w:tc>
          <w:tcPr>
            <w:tcW w:w="1133" w:type="dxa"/>
            <w:tcBorders>
              <w:top w:val="single" w:sz="6" w:space="0" w:color="000000"/>
              <w:left w:val="single" w:sz="6" w:space="0" w:color="000000"/>
              <w:bottom w:val="single" w:sz="6" w:space="0" w:color="000000"/>
            </w:tcBorders>
          </w:tcPr>
          <w:p w:rsidR="00865D3B" w:rsidRDefault="000C3A69">
            <w:pPr>
              <w:pStyle w:val="TableParagraph"/>
              <w:spacing w:line="292" w:lineRule="exact"/>
              <w:ind w:left="142" w:right="142"/>
              <w:rPr>
                <w:sz w:val="24"/>
              </w:rPr>
            </w:pPr>
            <w:r>
              <w:rPr>
                <w:sz w:val="24"/>
              </w:rPr>
              <w:t>26,632</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2002-03</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158"/>
              <w:jc w:val="right"/>
              <w:rPr>
                <w:sz w:val="24"/>
              </w:rPr>
            </w:pPr>
            <w:r>
              <w:rPr>
                <w:sz w:val="24"/>
              </w:rPr>
              <w:t>9,080</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4"/>
              <w:rPr>
                <w:sz w:val="24"/>
              </w:rPr>
            </w:pPr>
            <w:r>
              <w:rPr>
                <w:sz w:val="24"/>
              </w:rPr>
              <w:t>6,365</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3"/>
              <w:rPr>
                <w:sz w:val="24"/>
              </w:rPr>
            </w:pPr>
            <w:r>
              <w:rPr>
                <w:sz w:val="24"/>
              </w:rPr>
              <w:t>5,888</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2,910</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2,859</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1,247</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1,515</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616</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30,479</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2003-04</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158"/>
              <w:jc w:val="right"/>
              <w:rPr>
                <w:sz w:val="24"/>
              </w:rPr>
            </w:pPr>
            <w:r>
              <w:rPr>
                <w:sz w:val="24"/>
              </w:rPr>
              <w:t>9,667</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4"/>
              <w:rPr>
                <w:sz w:val="24"/>
              </w:rPr>
            </w:pPr>
            <w:r>
              <w:rPr>
                <w:sz w:val="24"/>
              </w:rPr>
              <w:t>6,961</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3"/>
              <w:rPr>
                <w:sz w:val="24"/>
              </w:rPr>
            </w:pPr>
            <w:r>
              <w:rPr>
                <w:sz w:val="24"/>
              </w:rPr>
              <w:t>6,553</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3,158</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3,146</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1,394</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1,681</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658</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33,219</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spacing w:line="292" w:lineRule="exact"/>
              <w:ind w:left="102"/>
              <w:jc w:val="left"/>
              <w:rPr>
                <w:sz w:val="24"/>
              </w:rPr>
            </w:pPr>
            <w:r>
              <w:rPr>
                <w:sz w:val="24"/>
              </w:rPr>
              <w:t>2004-05</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right="158"/>
              <w:jc w:val="right"/>
              <w:rPr>
                <w:sz w:val="24"/>
              </w:rPr>
            </w:pPr>
            <w:r>
              <w:rPr>
                <w:sz w:val="24"/>
              </w:rPr>
              <w:t>9,884</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88" w:right="184"/>
              <w:rPr>
                <w:sz w:val="24"/>
              </w:rPr>
            </w:pPr>
            <w:r>
              <w:rPr>
                <w:sz w:val="24"/>
              </w:rPr>
              <w:t>7,346</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35" w:right="133"/>
              <w:rPr>
                <w:sz w:val="24"/>
              </w:rPr>
            </w:pPr>
            <w:r>
              <w:rPr>
                <w:sz w:val="24"/>
              </w:rPr>
              <w:t>7,329</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25" w:right="123"/>
              <w:rPr>
                <w:sz w:val="24"/>
              </w:rPr>
            </w:pPr>
            <w:r>
              <w:rPr>
                <w:sz w:val="24"/>
              </w:rPr>
              <w:t>3,624</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6" w:right="84"/>
              <w:rPr>
                <w:sz w:val="24"/>
              </w:rPr>
            </w:pPr>
            <w:r>
              <w:rPr>
                <w:sz w:val="24"/>
              </w:rPr>
              <w:t>3,293</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93" w:right="91"/>
              <w:rPr>
                <w:sz w:val="24"/>
              </w:rPr>
            </w:pPr>
            <w:r>
              <w:rPr>
                <w:sz w:val="24"/>
              </w:rPr>
              <w:t>1,435</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1" w:right="79"/>
              <w:rPr>
                <w:sz w:val="24"/>
              </w:rPr>
            </w:pPr>
            <w:r>
              <w:rPr>
                <w:sz w:val="24"/>
              </w:rPr>
              <w:t>1,730</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68" w:right="168"/>
              <w:rPr>
                <w:sz w:val="24"/>
              </w:rPr>
            </w:pPr>
            <w:r>
              <w:rPr>
                <w:sz w:val="24"/>
              </w:rPr>
              <w:t>680</w:t>
            </w:r>
          </w:p>
        </w:tc>
        <w:tc>
          <w:tcPr>
            <w:tcW w:w="1133" w:type="dxa"/>
            <w:tcBorders>
              <w:top w:val="single" w:sz="6" w:space="0" w:color="000000"/>
              <w:left w:val="single" w:sz="6" w:space="0" w:color="000000"/>
              <w:bottom w:val="single" w:sz="6" w:space="0" w:color="000000"/>
            </w:tcBorders>
          </w:tcPr>
          <w:p w:rsidR="00865D3B" w:rsidRDefault="000C3A69">
            <w:pPr>
              <w:pStyle w:val="TableParagraph"/>
              <w:spacing w:line="292" w:lineRule="exact"/>
              <w:ind w:left="142" w:right="142"/>
              <w:rPr>
                <w:sz w:val="24"/>
              </w:rPr>
            </w:pPr>
            <w:r>
              <w:rPr>
                <w:sz w:val="24"/>
              </w:rPr>
              <w:t>35,323</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2005-06</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99"/>
              <w:jc w:val="right"/>
              <w:rPr>
                <w:sz w:val="24"/>
              </w:rPr>
            </w:pPr>
            <w:r>
              <w:rPr>
                <w:sz w:val="24"/>
              </w:rPr>
              <w:t>10,362</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4"/>
              <w:rPr>
                <w:sz w:val="24"/>
              </w:rPr>
            </w:pPr>
            <w:r>
              <w:rPr>
                <w:sz w:val="24"/>
              </w:rPr>
              <w:t>7,833</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3"/>
              <w:rPr>
                <w:sz w:val="24"/>
              </w:rPr>
            </w:pPr>
            <w:r>
              <w:rPr>
                <w:sz w:val="24"/>
              </w:rPr>
              <w:t>7,689</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3,804</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3,442</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1,496</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1,834</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723</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37,182</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2006-07</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99"/>
              <w:jc w:val="right"/>
              <w:rPr>
                <w:sz w:val="24"/>
              </w:rPr>
            </w:pPr>
            <w:r>
              <w:rPr>
                <w:sz w:val="24"/>
              </w:rPr>
              <w:t>10,938</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4"/>
              <w:rPr>
                <w:sz w:val="24"/>
              </w:rPr>
            </w:pPr>
            <w:r>
              <w:rPr>
                <w:sz w:val="24"/>
              </w:rPr>
              <w:t>8,588</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3"/>
              <w:rPr>
                <w:sz w:val="24"/>
              </w:rPr>
            </w:pPr>
            <w:r>
              <w:rPr>
                <w:sz w:val="24"/>
              </w:rPr>
              <w:t>8,092</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3,968</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3,605</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1,568</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2,015</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778</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39,552</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spacing w:line="292" w:lineRule="exact"/>
              <w:ind w:left="102"/>
              <w:jc w:val="left"/>
              <w:rPr>
                <w:sz w:val="24"/>
              </w:rPr>
            </w:pPr>
            <w:r>
              <w:rPr>
                <w:sz w:val="24"/>
              </w:rPr>
              <w:t>2007-08</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right="99"/>
              <w:jc w:val="right"/>
              <w:rPr>
                <w:sz w:val="24"/>
              </w:rPr>
            </w:pPr>
            <w:r>
              <w:rPr>
                <w:sz w:val="24"/>
              </w:rPr>
              <w:t>11,916</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88" w:right="184"/>
              <w:rPr>
                <w:sz w:val="24"/>
              </w:rPr>
            </w:pPr>
            <w:r>
              <w:rPr>
                <w:sz w:val="24"/>
              </w:rPr>
              <w:t>9,249</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35" w:right="133"/>
              <w:rPr>
                <w:sz w:val="24"/>
              </w:rPr>
            </w:pPr>
            <w:r>
              <w:rPr>
                <w:sz w:val="24"/>
              </w:rPr>
              <w:t>8,549</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25" w:right="123"/>
              <w:rPr>
                <w:sz w:val="24"/>
              </w:rPr>
            </w:pPr>
            <w:r>
              <w:rPr>
                <w:sz w:val="24"/>
              </w:rPr>
              <w:t>3,984</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6" w:right="84"/>
              <w:rPr>
                <w:sz w:val="24"/>
              </w:rPr>
            </w:pPr>
            <w:r>
              <w:rPr>
                <w:sz w:val="24"/>
              </w:rPr>
              <w:t>3,914</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93" w:right="91"/>
              <w:rPr>
                <w:sz w:val="24"/>
              </w:rPr>
            </w:pPr>
            <w:r>
              <w:rPr>
                <w:sz w:val="24"/>
              </w:rPr>
              <w:t>1,665</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1" w:right="79"/>
              <w:rPr>
                <w:sz w:val="24"/>
              </w:rPr>
            </w:pPr>
            <w:r>
              <w:rPr>
                <w:sz w:val="24"/>
              </w:rPr>
              <w:t>2,207</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68" w:right="168"/>
              <w:rPr>
                <w:sz w:val="24"/>
              </w:rPr>
            </w:pPr>
            <w:r>
              <w:rPr>
                <w:sz w:val="24"/>
              </w:rPr>
              <w:t>846</w:t>
            </w:r>
          </w:p>
        </w:tc>
        <w:tc>
          <w:tcPr>
            <w:tcW w:w="1133" w:type="dxa"/>
            <w:tcBorders>
              <w:top w:val="single" w:sz="6" w:space="0" w:color="000000"/>
              <w:left w:val="single" w:sz="6" w:space="0" w:color="000000"/>
              <w:bottom w:val="single" w:sz="6" w:space="0" w:color="000000"/>
            </w:tcBorders>
          </w:tcPr>
          <w:p w:rsidR="00865D3B" w:rsidRDefault="000C3A69">
            <w:pPr>
              <w:pStyle w:val="TableParagraph"/>
              <w:spacing w:line="292" w:lineRule="exact"/>
              <w:ind w:left="142" w:right="142"/>
              <w:rPr>
                <w:sz w:val="24"/>
              </w:rPr>
            </w:pPr>
            <w:r>
              <w:rPr>
                <w:sz w:val="24"/>
              </w:rPr>
              <w:t>42,330</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2008-09</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99"/>
              <w:jc w:val="right"/>
              <w:rPr>
                <w:sz w:val="24"/>
              </w:rPr>
            </w:pPr>
            <w:r>
              <w:rPr>
                <w:sz w:val="24"/>
              </w:rPr>
              <w:t>11,844</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4"/>
              <w:rPr>
                <w:sz w:val="24"/>
              </w:rPr>
            </w:pPr>
            <w:r>
              <w:rPr>
                <w:sz w:val="24"/>
              </w:rPr>
              <w:t>9,315</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3"/>
              <w:rPr>
                <w:sz w:val="24"/>
              </w:rPr>
            </w:pPr>
            <w:r>
              <w:rPr>
                <w:sz w:val="24"/>
              </w:rPr>
              <w:t>7,972</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3,594</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3,786</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1,595</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2,248</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835</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41,189</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2009-10</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99"/>
              <w:jc w:val="right"/>
              <w:rPr>
                <w:sz w:val="24"/>
              </w:rPr>
            </w:pPr>
            <w:r>
              <w:rPr>
                <w:sz w:val="24"/>
              </w:rPr>
              <w:t>13,478</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5"/>
              <w:rPr>
                <w:sz w:val="24"/>
              </w:rPr>
            </w:pPr>
            <w:r>
              <w:rPr>
                <w:sz w:val="24"/>
              </w:rPr>
              <w:t>10,159</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3"/>
              <w:rPr>
                <w:sz w:val="24"/>
              </w:rPr>
            </w:pPr>
            <w:r>
              <w:rPr>
                <w:sz w:val="24"/>
              </w:rPr>
              <w:t>8,242</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3,590</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4,100</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1,648</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2,406</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906</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44,529</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spacing w:line="292" w:lineRule="exact"/>
              <w:ind w:left="102"/>
              <w:jc w:val="left"/>
              <w:rPr>
                <w:sz w:val="24"/>
              </w:rPr>
            </w:pPr>
            <w:r>
              <w:rPr>
                <w:sz w:val="24"/>
              </w:rPr>
              <w:t>2010-11</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right="99"/>
              <w:jc w:val="right"/>
              <w:rPr>
                <w:sz w:val="24"/>
              </w:rPr>
            </w:pPr>
            <w:r>
              <w:rPr>
                <w:sz w:val="24"/>
              </w:rPr>
              <w:t>13,881</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88" w:right="185"/>
              <w:rPr>
                <w:sz w:val="24"/>
              </w:rPr>
            </w:pPr>
            <w:r>
              <w:rPr>
                <w:sz w:val="24"/>
              </w:rPr>
              <w:t>10,520</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35" w:right="133"/>
              <w:rPr>
                <w:sz w:val="24"/>
              </w:rPr>
            </w:pPr>
            <w:r>
              <w:rPr>
                <w:sz w:val="24"/>
              </w:rPr>
              <w:t>8,321</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25" w:right="123"/>
              <w:rPr>
                <w:sz w:val="24"/>
              </w:rPr>
            </w:pPr>
            <w:r>
              <w:rPr>
                <w:sz w:val="24"/>
              </w:rPr>
              <w:t>3,158</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6" w:right="84"/>
              <w:rPr>
                <w:sz w:val="24"/>
              </w:rPr>
            </w:pPr>
            <w:r>
              <w:rPr>
                <w:sz w:val="24"/>
              </w:rPr>
              <w:t>4,252</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93" w:right="91"/>
              <w:rPr>
                <w:sz w:val="24"/>
              </w:rPr>
            </w:pPr>
            <w:r>
              <w:rPr>
                <w:sz w:val="24"/>
              </w:rPr>
              <w:t>1,653</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1" w:right="79"/>
              <w:rPr>
                <w:sz w:val="24"/>
              </w:rPr>
            </w:pPr>
            <w:r>
              <w:rPr>
                <w:sz w:val="24"/>
              </w:rPr>
              <w:t>2,345</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68" w:right="168"/>
              <w:rPr>
                <w:sz w:val="24"/>
              </w:rPr>
            </w:pPr>
            <w:r>
              <w:rPr>
                <w:sz w:val="24"/>
              </w:rPr>
              <w:t>833</w:t>
            </w:r>
          </w:p>
        </w:tc>
        <w:tc>
          <w:tcPr>
            <w:tcW w:w="1133" w:type="dxa"/>
            <w:tcBorders>
              <w:top w:val="single" w:sz="6" w:space="0" w:color="000000"/>
              <w:left w:val="single" w:sz="6" w:space="0" w:color="000000"/>
              <w:bottom w:val="single" w:sz="6" w:space="0" w:color="000000"/>
            </w:tcBorders>
          </w:tcPr>
          <w:p w:rsidR="00865D3B" w:rsidRDefault="000C3A69">
            <w:pPr>
              <w:pStyle w:val="TableParagraph"/>
              <w:spacing w:line="292" w:lineRule="exact"/>
              <w:ind w:left="142" w:right="142"/>
              <w:rPr>
                <w:sz w:val="24"/>
              </w:rPr>
            </w:pPr>
            <w:r>
              <w:rPr>
                <w:sz w:val="24"/>
              </w:rPr>
              <w:t>44,963</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2011-12</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99"/>
              <w:jc w:val="right"/>
              <w:rPr>
                <w:sz w:val="24"/>
              </w:rPr>
            </w:pPr>
            <w:r>
              <w:rPr>
                <w:sz w:val="24"/>
              </w:rPr>
              <w:t>14,239</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5"/>
              <w:rPr>
                <w:sz w:val="24"/>
              </w:rPr>
            </w:pPr>
            <w:r>
              <w:rPr>
                <w:sz w:val="24"/>
              </w:rPr>
              <w:t>10,380</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3"/>
              <w:rPr>
                <w:sz w:val="24"/>
              </w:rPr>
            </w:pPr>
            <w:r>
              <w:rPr>
                <w:sz w:val="24"/>
              </w:rPr>
              <w:t>8,681</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3,454</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4,280</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1,660</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2,507</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837</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46,037</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2012-13</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99"/>
              <w:jc w:val="right"/>
              <w:rPr>
                <w:sz w:val="24"/>
              </w:rPr>
            </w:pPr>
            <w:r>
              <w:rPr>
                <w:sz w:val="24"/>
              </w:rPr>
              <w:t>14,744</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5"/>
              <w:rPr>
                <w:sz w:val="24"/>
              </w:rPr>
            </w:pPr>
            <w:r>
              <w:rPr>
                <w:sz w:val="24"/>
              </w:rPr>
              <w:t>10,989</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3"/>
              <w:rPr>
                <w:sz w:val="24"/>
              </w:rPr>
            </w:pPr>
            <w:r>
              <w:rPr>
                <w:sz w:val="24"/>
              </w:rPr>
              <w:t>9,470</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2,935</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4,510</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1,729</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2,793</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971</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48,140</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spacing w:line="292" w:lineRule="exact"/>
              <w:ind w:left="102"/>
              <w:jc w:val="left"/>
              <w:rPr>
                <w:sz w:val="24"/>
              </w:rPr>
            </w:pPr>
            <w:r>
              <w:rPr>
                <w:sz w:val="24"/>
              </w:rPr>
              <w:t>2013-14</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right="99"/>
              <w:jc w:val="right"/>
              <w:rPr>
                <w:sz w:val="24"/>
              </w:rPr>
            </w:pPr>
            <w:r>
              <w:rPr>
                <w:sz w:val="24"/>
              </w:rPr>
              <w:t>15,844</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88" w:right="185"/>
              <w:rPr>
                <w:sz w:val="24"/>
              </w:rPr>
            </w:pPr>
            <w:r>
              <w:rPr>
                <w:sz w:val="24"/>
              </w:rPr>
              <w:t>11,507</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35" w:right="134"/>
              <w:rPr>
                <w:sz w:val="24"/>
              </w:rPr>
            </w:pPr>
            <w:r>
              <w:rPr>
                <w:sz w:val="24"/>
              </w:rPr>
              <w:t>10,896</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25" w:right="123"/>
              <w:rPr>
                <w:sz w:val="24"/>
              </w:rPr>
            </w:pPr>
            <w:r>
              <w:rPr>
                <w:sz w:val="24"/>
              </w:rPr>
              <w:t>2,507</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6" w:right="84"/>
              <w:rPr>
                <w:sz w:val="24"/>
              </w:rPr>
            </w:pPr>
            <w:r>
              <w:rPr>
                <w:sz w:val="24"/>
              </w:rPr>
              <w:t>4,647</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93" w:right="91"/>
              <w:rPr>
                <w:sz w:val="24"/>
              </w:rPr>
            </w:pPr>
            <w:r>
              <w:rPr>
                <w:sz w:val="24"/>
              </w:rPr>
              <w:t>1,819</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81" w:right="79"/>
              <w:rPr>
                <w:sz w:val="24"/>
              </w:rPr>
            </w:pPr>
            <w:r>
              <w:rPr>
                <w:sz w:val="24"/>
              </w:rPr>
              <w:t>2,828</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spacing w:line="292" w:lineRule="exact"/>
              <w:ind w:left="168" w:right="168"/>
              <w:rPr>
                <w:sz w:val="24"/>
              </w:rPr>
            </w:pPr>
            <w:r>
              <w:rPr>
                <w:sz w:val="24"/>
              </w:rPr>
              <w:t>1,033</w:t>
            </w:r>
          </w:p>
        </w:tc>
        <w:tc>
          <w:tcPr>
            <w:tcW w:w="1133" w:type="dxa"/>
            <w:tcBorders>
              <w:top w:val="single" w:sz="6" w:space="0" w:color="000000"/>
              <w:left w:val="single" w:sz="6" w:space="0" w:color="000000"/>
              <w:bottom w:val="single" w:sz="6" w:space="0" w:color="000000"/>
            </w:tcBorders>
          </w:tcPr>
          <w:p w:rsidR="00865D3B" w:rsidRDefault="000C3A69">
            <w:pPr>
              <w:pStyle w:val="TableParagraph"/>
              <w:spacing w:line="292" w:lineRule="exact"/>
              <w:ind w:left="142" w:right="142"/>
              <w:rPr>
                <w:sz w:val="24"/>
              </w:rPr>
            </w:pPr>
            <w:r>
              <w:rPr>
                <w:sz w:val="24"/>
              </w:rPr>
              <w:t>51,081</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2014-15</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99"/>
              <w:jc w:val="right"/>
              <w:rPr>
                <w:sz w:val="24"/>
              </w:rPr>
            </w:pPr>
            <w:r>
              <w:rPr>
                <w:sz w:val="24"/>
              </w:rPr>
              <w:t>16,896</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5"/>
              <w:rPr>
                <w:sz w:val="24"/>
              </w:rPr>
            </w:pPr>
            <w:r>
              <w:rPr>
                <w:sz w:val="24"/>
              </w:rPr>
              <w:t>11,907</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4"/>
              <w:rPr>
                <w:sz w:val="24"/>
              </w:rPr>
            </w:pPr>
            <w:r>
              <w:rPr>
                <w:sz w:val="24"/>
              </w:rPr>
              <w:t>11,771</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2,262</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4,988</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1,929</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3,223</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1,104</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54,080</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2015-16</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99"/>
              <w:jc w:val="right"/>
              <w:rPr>
                <w:sz w:val="24"/>
              </w:rPr>
            </w:pPr>
            <w:r>
              <w:rPr>
                <w:sz w:val="24"/>
              </w:rPr>
              <w:t>17,496</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5"/>
              <w:rPr>
                <w:sz w:val="24"/>
              </w:rPr>
            </w:pPr>
            <w:r>
              <w:rPr>
                <w:sz w:val="24"/>
              </w:rPr>
              <w:t>12,872</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4"/>
              <w:rPr>
                <w:sz w:val="24"/>
              </w:rPr>
            </w:pPr>
            <w:r>
              <w:rPr>
                <w:sz w:val="24"/>
              </w:rPr>
              <w:t>13,044</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1,882</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5,573</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2,265</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3,274</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1,041</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57,450</w:t>
            </w:r>
          </w:p>
        </w:tc>
      </w:tr>
      <w:tr w:rsidR="00865D3B">
        <w:trPr>
          <w:trHeight w:val="460"/>
        </w:trPr>
        <w:tc>
          <w:tcPr>
            <w:tcW w:w="1135" w:type="dxa"/>
            <w:tcBorders>
              <w:top w:val="single" w:sz="6" w:space="0" w:color="000000"/>
              <w:bottom w:val="single" w:sz="6" w:space="0" w:color="000000"/>
              <w:right w:val="single" w:sz="6" w:space="0" w:color="000000"/>
            </w:tcBorders>
          </w:tcPr>
          <w:p w:rsidR="00865D3B" w:rsidRDefault="000C3A69">
            <w:pPr>
              <w:pStyle w:val="TableParagraph"/>
              <w:ind w:left="102"/>
              <w:jc w:val="left"/>
              <w:rPr>
                <w:sz w:val="24"/>
              </w:rPr>
            </w:pPr>
            <w:r>
              <w:rPr>
                <w:sz w:val="24"/>
              </w:rPr>
              <w:t>2016-17</w:t>
            </w:r>
          </w:p>
        </w:tc>
        <w:tc>
          <w:tcPr>
            <w:tcW w:w="886"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right="99"/>
              <w:jc w:val="right"/>
              <w:rPr>
                <w:sz w:val="24"/>
              </w:rPr>
            </w:pPr>
            <w:r>
              <w:rPr>
                <w:sz w:val="24"/>
              </w:rPr>
              <w:t>17,215</w:t>
            </w:r>
          </w:p>
        </w:tc>
        <w:tc>
          <w:tcPr>
            <w:tcW w:w="109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88" w:right="185"/>
              <w:rPr>
                <w:sz w:val="24"/>
              </w:rPr>
            </w:pPr>
            <w:r>
              <w:rPr>
                <w:sz w:val="24"/>
              </w:rPr>
              <w:t>13,631</w:t>
            </w:r>
          </w:p>
        </w:tc>
        <w:tc>
          <w:tcPr>
            <w:tcW w:w="994"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35" w:right="134"/>
              <w:rPr>
                <w:sz w:val="24"/>
              </w:rPr>
            </w:pPr>
            <w:r>
              <w:rPr>
                <w:sz w:val="24"/>
              </w:rPr>
              <w:t>13,995</w:t>
            </w:r>
          </w:p>
        </w:tc>
        <w:tc>
          <w:tcPr>
            <w:tcW w:w="850"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25" w:right="123"/>
              <w:rPr>
                <w:sz w:val="24"/>
              </w:rPr>
            </w:pPr>
            <w:r>
              <w:rPr>
                <w:sz w:val="24"/>
              </w:rPr>
              <w:t>1,950</w:t>
            </w:r>
          </w:p>
        </w:tc>
        <w:tc>
          <w:tcPr>
            <w:tcW w:w="77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6" w:right="84"/>
              <w:rPr>
                <w:sz w:val="24"/>
              </w:rPr>
            </w:pPr>
            <w:r>
              <w:rPr>
                <w:sz w:val="24"/>
              </w:rPr>
              <w:t>5,933</w:t>
            </w:r>
          </w:p>
        </w:tc>
        <w:tc>
          <w:tcPr>
            <w:tcW w:w="787"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93" w:right="91"/>
              <w:rPr>
                <w:sz w:val="24"/>
              </w:rPr>
            </w:pPr>
            <w:r>
              <w:rPr>
                <w:sz w:val="24"/>
              </w:rPr>
              <w:t>2,259</w:t>
            </w:r>
          </w:p>
        </w:tc>
        <w:tc>
          <w:tcPr>
            <w:tcW w:w="763"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81" w:right="79"/>
              <w:rPr>
                <w:sz w:val="24"/>
              </w:rPr>
            </w:pPr>
            <w:r>
              <w:rPr>
                <w:sz w:val="24"/>
              </w:rPr>
              <w:t>3,165</w:t>
            </w:r>
          </w:p>
        </w:tc>
        <w:tc>
          <w:tcPr>
            <w:tcW w:w="938" w:type="dxa"/>
            <w:tcBorders>
              <w:top w:val="single" w:sz="6" w:space="0" w:color="000000"/>
              <w:left w:val="single" w:sz="6" w:space="0" w:color="000000"/>
              <w:bottom w:val="single" w:sz="6" w:space="0" w:color="000000"/>
              <w:right w:val="single" w:sz="6" w:space="0" w:color="000000"/>
            </w:tcBorders>
          </w:tcPr>
          <w:p w:rsidR="00865D3B" w:rsidRDefault="000C3A69">
            <w:pPr>
              <w:pStyle w:val="TableParagraph"/>
              <w:ind w:left="168" w:right="168"/>
              <w:rPr>
                <w:sz w:val="24"/>
              </w:rPr>
            </w:pPr>
            <w:r>
              <w:rPr>
                <w:sz w:val="24"/>
              </w:rPr>
              <w:t>1,129</w:t>
            </w:r>
          </w:p>
        </w:tc>
        <w:tc>
          <w:tcPr>
            <w:tcW w:w="1133" w:type="dxa"/>
            <w:tcBorders>
              <w:top w:val="single" w:sz="6" w:space="0" w:color="000000"/>
              <w:left w:val="single" w:sz="6" w:space="0" w:color="000000"/>
              <w:bottom w:val="single" w:sz="6" w:space="0" w:color="000000"/>
            </w:tcBorders>
          </w:tcPr>
          <w:p w:rsidR="00865D3B" w:rsidRDefault="000C3A69">
            <w:pPr>
              <w:pStyle w:val="TableParagraph"/>
              <w:ind w:left="142" w:right="142"/>
              <w:rPr>
                <w:sz w:val="24"/>
              </w:rPr>
            </w:pPr>
            <w:r>
              <w:rPr>
                <w:sz w:val="24"/>
              </w:rPr>
              <w:t>59,240</w:t>
            </w:r>
          </w:p>
        </w:tc>
      </w:tr>
      <w:tr w:rsidR="00865D3B">
        <w:trPr>
          <w:trHeight w:val="460"/>
        </w:trPr>
        <w:tc>
          <w:tcPr>
            <w:tcW w:w="1135" w:type="dxa"/>
            <w:tcBorders>
              <w:top w:val="single" w:sz="6" w:space="0" w:color="000000"/>
              <w:right w:val="single" w:sz="6" w:space="0" w:color="000000"/>
            </w:tcBorders>
          </w:tcPr>
          <w:p w:rsidR="00865D3B" w:rsidRDefault="000C3A69">
            <w:pPr>
              <w:pStyle w:val="TableParagraph"/>
              <w:ind w:left="102"/>
              <w:jc w:val="left"/>
              <w:rPr>
                <w:sz w:val="24"/>
              </w:rPr>
            </w:pPr>
            <w:r>
              <w:rPr>
                <w:sz w:val="24"/>
              </w:rPr>
              <w:t>2017-18</w:t>
            </w:r>
          </w:p>
        </w:tc>
        <w:tc>
          <w:tcPr>
            <w:tcW w:w="886" w:type="dxa"/>
            <w:tcBorders>
              <w:top w:val="single" w:sz="6" w:space="0" w:color="000000"/>
              <w:left w:val="single" w:sz="6" w:space="0" w:color="000000"/>
              <w:right w:val="single" w:sz="6" w:space="0" w:color="000000"/>
            </w:tcBorders>
          </w:tcPr>
          <w:p w:rsidR="00865D3B" w:rsidRDefault="000C3A69">
            <w:pPr>
              <w:pStyle w:val="TableParagraph"/>
              <w:ind w:right="99"/>
              <w:jc w:val="right"/>
              <w:rPr>
                <w:sz w:val="24"/>
              </w:rPr>
            </w:pPr>
            <w:r>
              <w:rPr>
                <w:sz w:val="24"/>
              </w:rPr>
              <w:t>17,554</w:t>
            </w:r>
          </w:p>
        </w:tc>
        <w:tc>
          <w:tcPr>
            <w:tcW w:w="1097" w:type="dxa"/>
            <w:tcBorders>
              <w:top w:val="single" w:sz="6" w:space="0" w:color="000000"/>
              <w:left w:val="single" w:sz="6" w:space="0" w:color="000000"/>
              <w:right w:val="single" w:sz="6" w:space="0" w:color="000000"/>
            </w:tcBorders>
          </w:tcPr>
          <w:p w:rsidR="00865D3B" w:rsidRDefault="000C3A69">
            <w:pPr>
              <w:pStyle w:val="TableParagraph"/>
              <w:ind w:left="188" w:right="185"/>
              <w:rPr>
                <w:sz w:val="24"/>
              </w:rPr>
            </w:pPr>
            <w:r>
              <w:rPr>
                <w:sz w:val="24"/>
              </w:rPr>
              <w:t>14,765</w:t>
            </w:r>
          </w:p>
        </w:tc>
        <w:tc>
          <w:tcPr>
            <w:tcW w:w="994" w:type="dxa"/>
            <w:tcBorders>
              <w:top w:val="single" w:sz="6" w:space="0" w:color="000000"/>
              <w:left w:val="single" w:sz="6" w:space="0" w:color="000000"/>
              <w:right w:val="single" w:sz="6" w:space="0" w:color="000000"/>
            </w:tcBorders>
          </w:tcPr>
          <w:p w:rsidR="00865D3B" w:rsidRDefault="000C3A69">
            <w:pPr>
              <w:pStyle w:val="TableParagraph"/>
              <w:ind w:left="135" w:right="134"/>
              <w:rPr>
                <w:sz w:val="24"/>
              </w:rPr>
            </w:pPr>
            <w:r>
              <w:rPr>
                <w:sz w:val="24"/>
              </w:rPr>
              <w:t>14,870</w:t>
            </w:r>
          </w:p>
        </w:tc>
        <w:tc>
          <w:tcPr>
            <w:tcW w:w="850" w:type="dxa"/>
            <w:tcBorders>
              <w:top w:val="single" w:sz="6" w:space="0" w:color="000000"/>
              <w:left w:val="single" w:sz="6" w:space="0" w:color="000000"/>
              <w:right w:val="single" w:sz="6" w:space="0" w:color="000000"/>
            </w:tcBorders>
          </w:tcPr>
          <w:p w:rsidR="00865D3B" w:rsidRDefault="000C3A69">
            <w:pPr>
              <w:pStyle w:val="TableParagraph"/>
              <w:ind w:left="125" w:right="123"/>
              <w:rPr>
                <w:sz w:val="24"/>
              </w:rPr>
            </w:pPr>
            <w:r>
              <w:rPr>
                <w:sz w:val="24"/>
              </w:rPr>
              <w:t>2,327</w:t>
            </w:r>
          </w:p>
        </w:tc>
        <w:tc>
          <w:tcPr>
            <w:tcW w:w="773" w:type="dxa"/>
            <w:tcBorders>
              <w:top w:val="single" w:sz="6" w:space="0" w:color="000000"/>
              <w:left w:val="single" w:sz="6" w:space="0" w:color="000000"/>
              <w:right w:val="single" w:sz="6" w:space="0" w:color="000000"/>
            </w:tcBorders>
          </w:tcPr>
          <w:p w:rsidR="00865D3B" w:rsidRDefault="000C3A69">
            <w:pPr>
              <w:pStyle w:val="TableParagraph"/>
              <w:ind w:left="86" w:right="84"/>
              <w:rPr>
                <w:sz w:val="24"/>
              </w:rPr>
            </w:pPr>
            <w:r>
              <w:rPr>
                <w:sz w:val="24"/>
              </w:rPr>
              <w:t>6,302</w:t>
            </w:r>
          </w:p>
        </w:tc>
        <w:tc>
          <w:tcPr>
            <w:tcW w:w="787" w:type="dxa"/>
            <w:tcBorders>
              <w:top w:val="single" w:sz="6" w:space="0" w:color="000000"/>
              <w:left w:val="single" w:sz="6" w:space="0" w:color="000000"/>
              <w:right w:val="single" w:sz="6" w:space="0" w:color="000000"/>
            </w:tcBorders>
          </w:tcPr>
          <w:p w:rsidR="00865D3B" w:rsidRDefault="000C3A69">
            <w:pPr>
              <w:pStyle w:val="TableParagraph"/>
              <w:ind w:left="93" w:right="91"/>
              <w:rPr>
                <w:sz w:val="24"/>
              </w:rPr>
            </w:pPr>
            <w:r>
              <w:rPr>
                <w:sz w:val="24"/>
              </w:rPr>
              <w:t>2,387</w:t>
            </w:r>
          </w:p>
        </w:tc>
        <w:tc>
          <w:tcPr>
            <w:tcW w:w="763" w:type="dxa"/>
            <w:tcBorders>
              <w:top w:val="single" w:sz="6" w:space="0" w:color="000000"/>
              <w:left w:val="single" w:sz="6" w:space="0" w:color="000000"/>
              <w:right w:val="single" w:sz="6" w:space="0" w:color="000000"/>
            </w:tcBorders>
          </w:tcPr>
          <w:p w:rsidR="00865D3B" w:rsidRDefault="000C3A69">
            <w:pPr>
              <w:pStyle w:val="TableParagraph"/>
              <w:ind w:left="81" w:right="79"/>
              <w:rPr>
                <w:sz w:val="24"/>
              </w:rPr>
            </w:pPr>
            <w:r>
              <w:rPr>
                <w:sz w:val="24"/>
              </w:rPr>
              <w:t>2,908</w:t>
            </w:r>
          </w:p>
        </w:tc>
        <w:tc>
          <w:tcPr>
            <w:tcW w:w="938" w:type="dxa"/>
            <w:tcBorders>
              <w:top w:val="single" w:sz="6" w:space="0" w:color="000000"/>
              <w:left w:val="single" w:sz="6" w:space="0" w:color="000000"/>
              <w:right w:val="single" w:sz="6" w:space="0" w:color="000000"/>
            </w:tcBorders>
          </w:tcPr>
          <w:p w:rsidR="00865D3B" w:rsidRDefault="000C3A69">
            <w:pPr>
              <w:pStyle w:val="TableParagraph"/>
              <w:ind w:left="168" w:right="168"/>
              <w:rPr>
                <w:sz w:val="24"/>
              </w:rPr>
            </w:pPr>
            <w:r>
              <w:rPr>
                <w:sz w:val="24"/>
              </w:rPr>
              <w:t>1,224</w:t>
            </w:r>
          </w:p>
        </w:tc>
        <w:tc>
          <w:tcPr>
            <w:tcW w:w="1133" w:type="dxa"/>
            <w:tcBorders>
              <w:top w:val="single" w:sz="6" w:space="0" w:color="000000"/>
              <w:left w:val="single" w:sz="6" w:space="0" w:color="000000"/>
            </w:tcBorders>
          </w:tcPr>
          <w:p w:rsidR="00865D3B" w:rsidRDefault="000C3A69">
            <w:pPr>
              <w:pStyle w:val="TableParagraph"/>
              <w:ind w:left="142" w:right="142"/>
              <w:rPr>
                <w:sz w:val="24"/>
              </w:rPr>
            </w:pPr>
            <w:r>
              <w:rPr>
                <w:sz w:val="24"/>
              </w:rPr>
              <w:t>62,340</w:t>
            </w:r>
          </w:p>
        </w:tc>
      </w:tr>
    </w:tbl>
    <w:p w:rsidR="00865D3B" w:rsidRDefault="00865D3B">
      <w:pPr>
        <w:pStyle w:val="BodyText"/>
        <w:rPr>
          <w:b/>
        </w:rPr>
      </w:pPr>
    </w:p>
    <w:p w:rsidR="00B551EA" w:rsidRDefault="00B551EA" w:rsidP="00B551EA">
      <w:pPr>
        <w:jc w:val="both"/>
        <w:rPr>
          <w:b/>
          <w:sz w:val="28"/>
        </w:rPr>
      </w:pPr>
    </w:p>
    <w:p w:rsidR="00865D3B" w:rsidRDefault="000C3A69">
      <w:pPr>
        <w:ind w:left="280"/>
        <w:jc w:val="both"/>
        <w:rPr>
          <w:b/>
          <w:sz w:val="28"/>
        </w:rPr>
      </w:pPr>
      <w:r>
        <w:rPr>
          <w:b/>
          <w:sz w:val="28"/>
        </w:rPr>
        <w:t>Winners and Losers</w:t>
      </w:r>
    </w:p>
    <w:p w:rsidR="00865D3B" w:rsidRDefault="00865D3B">
      <w:pPr>
        <w:pStyle w:val="BodyText"/>
        <w:spacing w:before="12"/>
        <w:rPr>
          <w:b/>
          <w:sz w:val="27"/>
        </w:rPr>
      </w:pPr>
    </w:p>
    <w:p w:rsidR="00865D3B" w:rsidRDefault="000C3A69">
      <w:pPr>
        <w:pStyle w:val="BodyText"/>
        <w:ind w:left="280" w:right="273"/>
        <w:jc w:val="both"/>
      </w:pPr>
      <w:r>
        <w:rPr>
          <w:i/>
        </w:rPr>
        <w:t xml:space="preserve">Table 3 </w:t>
      </w:r>
      <w:r>
        <w:t>shows which States receive more of their pro-rata share of GST collections and which States receive less. The winners are the Northern Territory, Queensland, South Australia and Tasmania. The losers  are  New South Wales, Victoria and Western Australia.</w:t>
      </w:r>
    </w:p>
    <w:p w:rsidR="00865D3B" w:rsidRDefault="00865D3B">
      <w:pPr>
        <w:jc w:val="both"/>
        <w:sectPr w:rsidR="00865D3B">
          <w:pgSz w:w="11910" w:h="16840"/>
          <w:pgMar w:top="960" w:right="1160" w:bottom="1140" w:left="1160" w:header="0" w:footer="945" w:gutter="0"/>
          <w:cols w:space="720"/>
        </w:sectPr>
      </w:pPr>
    </w:p>
    <w:p w:rsidR="00865D3B" w:rsidRDefault="000C3A69">
      <w:pPr>
        <w:pStyle w:val="Heading2"/>
        <w:spacing w:before="15"/>
        <w:ind w:left="620"/>
      </w:pPr>
      <w:r>
        <w:lastRenderedPageBreak/>
        <w:t>Table 3</w:t>
      </w:r>
    </w:p>
    <w:p w:rsidR="00865D3B" w:rsidRDefault="00865D3B">
      <w:pPr>
        <w:pStyle w:val="BodyText"/>
        <w:rPr>
          <w:b/>
        </w:rPr>
      </w:pPr>
    </w:p>
    <w:tbl>
      <w:tblPr>
        <w:tblW w:w="0" w:type="auto"/>
        <w:tblInd w:w="113" w:type="dxa"/>
        <w:tblLayout w:type="fixed"/>
        <w:tblCellMar>
          <w:left w:w="0" w:type="dxa"/>
          <w:right w:w="0" w:type="dxa"/>
        </w:tblCellMar>
        <w:tblLook w:val="01E0" w:firstRow="1" w:lastRow="1" w:firstColumn="1" w:lastColumn="1" w:noHBand="0" w:noVBand="0"/>
      </w:tblPr>
      <w:tblGrid>
        <w:gridCol w:w="1080"/>
        <w:gridCol w:w="1219"/>
        <w:gridCol w:w="942"/>
        <w:gridCol w:w="1223"/>
        <w:gridCol w:w="1080"/>
        <w:gridCol w:w="1052"/>
        <w:gridCol w:w="1111"/>
        <w:gridCol w:w="1028"/>
        <w:gridCol w:w="1038"/>
      </w:tblGrid>
      <w:tr w:rsidR="00865D3B">
        <w:trPr>
          <w:trHeight w:val="740"/>
        </w:trPr>
        <w:tc>
          <w:tcPr>
            <w:tcW w:w="1080" w:type="dxa"/>
            <w:tcBorders>
              <w:top w:val="single" w:sz="8" w:space="0" w:color="000000"/>
              <w:left w:val="single" w:sz="8" w:space="0" w:color="000000"/>
              <w:bottom w:val="single" w:sz="8" w:space="0" w:color="000000"/>
            </w:tcBorders>
            <w:shd w:val="clear" w:color="auto" w:fill="DADADA"/>
          </w:tcPr>
          <w:p w:rsidR="00865D3B" w:rsidRDefault="00865D3B">
            <w:pPr>
              <w:pStyle w:val="TableParagraph"/>
              <w:spacing w:line="240" w:lineRule="auto"/>
              <w:jc w:val="left"/>
              <w:rPr>
                <w:b/>
                <w:sz w:val="18"/>
              </w:rPr>
            </w:pPr>
          </w:p>
          <w:p w:rsidR="00865D3B" w:rsidRDefault="00865D3B">
            <w:pPr>
              <w:pStyle w:val="TableParagraph"/>
              <w:spacing w:before="1" w:line="240" w:lineRule="auto"/>
              <w:jc w:val="left"/>
              <w:rPr>
                <w:b/>
                <w:sz w:val="14"/>
              </w:rPr>
            </w:pPr>
          </w:p>
          <w:p w:rsidR="00865D3B" w:rsidRDefault="000C3A69">
            <w:pPr>
              <w:pStyle w:val="TableParagraph"/>
              <w:spacing w:line="240" w:lineRule="auto"/>
              <w:ind w:left="98"/>
              <w:jc w:val="left"/>
              <w:rPr>
                <w:rFonts w:ascii="Arial"/>
                <w:sz w:val="16"/>
              </w:rPr>
            </w:pPr>
            <w:r>
              <w:rPr>
                <w:rFonts w:ascii="Arial"/>
                <w:sz w:val="16"/>
              </w:rPr>
              <w:t>$million</w:t>
            </w:r>
          </w:p>
        </w:tc>
        <w:tc>
          <w:tcPr>
            <w:tcW w:w="1219" w:type="dxa"/>
            <w:tcBorders>
              <w:top w:val="single" w:sz="8" w:space="0" w:color="000000"/>
              <w:bottom w:val="single" w:sz="8" w:space="0" w:color="000000"/>
            </w:tcBorders>
            <w:shd w:val="clear" w:color="auto" w:fill="DADADA"/>
          </w:tcPr>
          <w:p w:rsidR="00865D3B" w:rsidRDefault="00865D3B">
            <w:pPr>
              <w:pStyle w:val="TableParagraph"/>
              <w:spacing w:before="9" w:line="240" w:lineRule="auto"/>
              <w:jc w:val="left"/>
              <w:rPr>
                <w:b/>
                <w:sz w:val="15"/>
              </w:rPr>
            </w:pPr>
          </w:p>
          <w:p w:rsidR="00865D3B" w:rsidRDefault="000C3A69">
            <w:pPr>
              <w:pStyle w:val="TableParagraph"/>
              <w:spacing w:line="240" w:lineRule="auto"/>
              <w:ind w:left="144"/>
              <w:jc w:val="left"/>
              <w:rPr>
                <w:rFonts w:ascii="Arial"/>
                <w:b/>
                <w:sz w:val="16"/>
              </w:rPr>
            </w:pPr>
            <w:r>
              <w:rPr>
                <w:rFonts w:ascii="Arial"/>
                <w:b/>
                <w:sz w:val="16"/>
              </w:rPr>
              <w:t>New South</w:t>
            </w:r>
          </w:p>
          <w:p w:rsidR="00865D3B" w:rsidRDefault="000C3A69">
            <w:pPr>
              <w:pStyle w:val="TableParagraph"/>
              <w:spacing w:before="12" w:line="240" w:lineRule="auto"/>
              <w:ind w:left="508"/>
              <w:jc w:val="left"/>
              <w:rPr>
                <w:rFonts w:ascii="Arial"/>
                <w:b/>
                <w:sz w:val="16"/>
              </w:rPr>
            </w:pPr>
            <w:r>
              <w:rPr>
                <w:rFonts w:ascii="Arial"/>
                <w:b/>
                <w:sz w:val="16"/>
              </w:rPr>
              <w:t>Wales</w:t>
            </w:r>
          </w:p>
        </w:tc>
        <w:tc>
          <w:tcPr>
            <w:tcW w:w="942" w:type="dxa"/>
            <w:tcBorders>
              <w:top w:val="single" w:sz="8" w:space="0" w:color="000000"/>
              <w:bottom w:val="single" w:sz="8" w:space="0" w:color="000000"/>
            </w:tcBorders>
            <w:shd w:val="clear" w:color="auto" w:fill="DADADA"/>
          </w:tcPr>
          <w:p w:rsidR="00865D3B" w:rsidRDefault="00865D3B">
            <w:pPr>
              <w:pStyle w:val="TableParagraph"/>
              <w:spacing w:line="240" w:lineRule="auto"/>
              <w:jc w:val="left"/>
              <w:rPr>
                <w:b/>
                <w:sz w:val="18"/>
              </w:rPr>
            </w:pPr>
          </w:p>
          <w:p w:rsidR="00865D3B" w:rsidRDefault="00865D3B">
            <w:pPr>
              <w:pStyle w:val="TableParagraph"/>
              <w:spacing w:before="11" w:line="240" w:lineRule="auto"/>
              <w:jc w:val="left"/>
              <w:rPr>
                <w:b/>
                <w:sz w:val="13"/>
              </w:rPr>
            </w:pPr>
          </w:p>
          <w:p w:rsidR="00865D3B" w:rsidRDefault="000C3A69">
            <w:pPr>
              <w:pStyle w:val="TableParagraph"/>
              <w:spacing w:line="240" w:lineRule="auto"/>
              <w:ind w:right="105"/>
              <w:jc w:val="right"/>
              <w:rPr>
                <w:rFonts w:ascii="Arial"/>
                <w:b/>
                <w:sz w:val="16"/>
              </w:rPr>
            </w:pPr>
            <w:r>
              <w:rPr>
                <w:rFonts w:ascii="Arial"/>
                <w:b/>
                <w:sz w:val="16"/>
              </w:rPr>
              <w:t>Victoria</w:t>
            </w:r>
          </w:p>
        </w:tc>
        <w:tc>
          <w:tcPr>
            <w:tcW w:w="1223" w:type="dxa"/>
            <w:tcBorders>
              <w:top w:val="single" w:sz="8" w:space="0" w:color="000000"/>
              <w:bottom w:val="single" w:sz="8" w:space="0" w:color="000000"/>
            </w:tcBorders>
            <w:shd w:val="clear" w:color="auto" w:fill="DADADA"/>
          </w:tcPr>
          <w:p w:rsidR="00865D3B" w:rsidRDefault="00865D3B">
            <w:pPr>
              <w:pStyle w:val="TableParagraph"/>
              <w:spacing w:line="240" w:lineRule="auto"/>
              <w:jc w:val="left"/>
              <w:rPr>
                <w:b/>
                <w:sz w:val="18"/>
              </w:rPr>
            </w:pPr>
          </w:p>
          <w:p w:rsidR="00865D3B" w:rsidRDefault="00865D3B">
            <w:pPr>
              <w:pStyle w:val="TableParagraph"/>
              <w:spacing w:before="11" w:line="240" w:lineRule="auto"/>
              <w:jc w:val="left"/>
              <w:rPr>
                <w:b/>
                <w:sz w:val="13"/>
              </w:rPr>
            </w:pPr>
          </w:p>
          <w:p w:rsidR="00865D3B" w:rsidRDefault="000C3A69">
            <w:pPr>
              <w:pStyle w:val="TableParagraph"/>
              <w:spacing w:line="240" w:lineRule="auto"/>
              <w:ind w:right="194"/>
              <w:jc w:val="right"/>
              <w:rPr>
                <w:rFonts w:ascii="Arial"/>
                <w:b/>
                <w:sz w:val="16"/>
              </w:rPr>
            </w:pPr>
            <w:r>
              <w:rPr>
                <w:rFonts w:ascii="Arial"/>
                <w:b/>
                <w:sz w:val="16"/>
              </w:rPr>
              <w:t>Queensland</w:t>
            </w:r>
          </w:p>
        </w:tc>
        <w:tc>
          <w:tcPr>
            <w:tcW w:w="1080" w:type="dxa"/>
            <w:tcBorders>
              <w:top w:val="single" w:sz="8" w:space="0" w:color="000000"/>
              <w:bottom w:val="single" w:sz="8" w:space="0" w:color="000000"/>
            </w:tcBorders>
            <w:shd w:val="clear" w:color="auto" w:fill="DADADA"/>
          </w:tcPr>
          <w:p w:rsidR="00865D3B" w:rsidRDefault="00865D3B">
            <w:pPr>
              <w:pStyle w:val="TableParagraph"/>
              <w:spacing w:before="9" w:line="240" w:lineRule="auto"/>
              <w:jc w:val="left"/>
              <w:rPr>
                <w:b/>
                <w:sz w:val="15"/>
              </w:rPr>
            </w:pPr>
          </w:p>
          <w:p w:rsidR="00865D3B" w:rsidRDefault="000C3A69">
            <w:pPr>
              <w:pStyle w:val="TableParagraph"/>
              <w:spacing w:line="256" w:lineRule="auto"/>
              <w:ind w:left="196" w:right="179" w:firstLine="230"/>
              <w:jc w:val="left"/>
              <w:rPr>
                <w:rFonts w:ascii="Arial"/>
                <w:b/>
                <w:sz w:val="16"/>
              </w:rPr>
            </w:pPr>
            <w:r>
              <w:rPr>
                <w:rFonts w:ascii="Arial"/>
                <w:b/>
                <w:sz w:val="16"/>
              </w:rPr>
              <w:t>South Australia</w:t>
            </w:r>
          </w:p>
        </w:tc>
        <w:tc>
          <w:tcPr>
            <w:tcW w:w="1052" w:type="dxa"/>
            <w:tcBorders>
              <w:top w:val="single" w:sz="8" w:space="0" w:color="000000"/>
              <w:bottom w:val="single" w:sz="8" w:space="0" w:color="000000"/>
            </w:tcBorders>
            <w:shd w:val="clear" w:color="auto" w:fill="DADADA"/>
          </w:tcPr>
          <w:p w:rsidR="00865D3B" w:rsidRDefault="00865D3B">
            <w:pPr>
              <w:pStyle w:val="TableParagraph"/>
              <w:spacing w:before="9" w:line="240" w:lineRule="auto"/>
              <w:jc w:val="left"/>
              <w:rPr>
                <w:b/>
                <w:sz w:val="15"/>
              </w:rPr>
            </w:pPr>
          </w:p>
          <w:p w:rsidR="00865D3B" w:rsidRDefault="000C3A69">
            <w:pPr>
              <w:pStyle w:val="TableParagraph"/>
              <w:spacing w:line="256" w:lineRule="auto"/>
              <w:ind w:left="196" w:right="150" w:firstLine="50"/>
              <w:jc w:val="left"/>
              <w:rPr>
                <w:rFonts w:ascii="Arial"/>
                <w:b/>
                <w:sz w:val="16"/>
              </w:rPr>
            </w:pPr>
            <w:r>
              <w:rPr>
                <w:rFonts w:ascii="Arial"/>
                <w:b/>
                <w:sz w:val="16"/>
              </w:rPr>
              <w:t>Western Australia</w:t>
            </w:r>
          </w:p>
        </w:tc>
        <w:tc>
          <w:tcPr>
            <w:tcW w:w="1111" w:type="dxa"/>
            <w:tcBorders>
              <w:top w:val="single" w:sz="8" w:space="0" w:color="000000"/>
              <w:bottom w:val="single" w:sz="8" w:space="0" w:color="000000"/>
            </w:tcBorders>
            <w:shd w:val="clear" w:color="auto" w:fill="DADADA"/>
          </w:tcPr>
          <w:p w:rsidR="00865D3B" w:rsidRDefault="00865D3B">
            <w:pPr>
              <w:pStyle w:val="TableParagraph"/>
              <w:spacing w:line="240" w:lineRule="auto"/>
              <w:jc w:val="left"/>
              <w:rPr>
                <w:b/>
                <w:sz w:val="18"/>
              </w:rPr>
            </w:pPr>
          </w:p>
          <w:p w:rsidR="00865D3B" w:rsidRDefault="00865D3B">
            <w:pPr>
              <w:pStyle w:val="TableParagraph"/>
              <w:spacing w:before="11" w:line="240" w:lineRule="auto"/>
              <w:jc w:val="left"/>
              <w:rPr>
                <w:b/>
                <w:sz w:val="13"/>
              </w:rPr>
            </w:pPr>
          </w:p>
          <w:p w:rsidR="00865D3B" w:rsidRDefault="000C3A69">
            <w:pPr>
              <w:pStyle w:val="TableParagraph"/>
              <w:spacing w:line="240" w:lineRule="auto"/>
              <w:ind w:right="199"/>
              <w:jc w:val="right"/>
              <w:rPr>
                <w:rFonts w:ascii="Arial"/>
                <w:b/>
                <w:sz w:val="16"/>
              </w:rPr>
            </w:pPr>
            <w:r>
              <w:rPr>
                <w:rFonts w:ascii="Arial"/>
                <w:b/>
                <w:sz w:val="16"/>
              </w:rPr>
              <w:t>Tasmania</w:t>
            </w:r>
          </w:p>
        </w:tc>
        <w:tc>
          <w:tcPr>
            <w:tcW w:w="1028" w:type="dxa"/>
            <w:tcBorders>
              <w:top w:val="single" w:sz="8" w:space="0" w:color="000000"/>
              <w:bottom w:val="single" w:sz="8" w:space="0" w:color="000000"/>
            </w:tcBorders>
            <w:shd w:val="clear" w:color="auto" w:fill="DADADA"/>
          </w:tcPr>
          <w:p w:rsidR="00865D3B" w:rsidRDefault="00865D3B">
            <w:pPr>
              <w:pStyle w:val="TableParagraph"/>
              <w:spacing w:before="9" w:line="240" w:lineRule="auto"/>
              <w:jc w:val="left"/>
              <w:rPr>
                <w:b/>
                <w:sz w:val="15"/>
              </w:rPr>
            </w:pPr>
          </w:p>
          <w:p w:rsidR="00865D3B" w:rsidRDefault="000C3A69">
            <w:pPr>
              <w:pStyle w:val="TableParagraph"/>
              <w:spacing w:line="256" w:lineRule="auto"/>
              <w:ind w:left="220" w:right="130" w:hanging="20"/>
              <w:jc w:val="left"/>
              <w:rPr>
                <w:rFonts w:ascii="Arial"/>
                <w:b/>
                <w:sz w:val="16"/>
              </w:rPr>
            </w:pPr>
            <w:r>
              <w:rPr>
                <w:rFonts w:ascii="Arial"/>
                <w:b/>
                <w:sz w:val="16"/>
              </w:rPr>
              <w:t>Northern Territory</w:t>
            </w:r>
          </w:p>
        </w:tc>
        <w:tc>
          <w:tcPr>
            <w:tcW w:w="1038" w:type="dxa"/>
            <w:tcBorders>
              <w:top w:val="single" w:sz="8" w:space="0" w:color="000000"/>
              <w:bottom w:val="single" w:sz="8" w:space="0" w:color="000000"/>
              <w:right w:val="single" w:sz="8" w:space="0" w:color="000000"/>
            </w:tcBorders>
            <w:shd w:val="clear" w:color="auto" w:fill="DADADA"/>
          </w:tcPr>
          <w:p w:rsidR="00865D3B" w:rsidRDefault="000C3A69">
            <w:pPr>
              <w:pStyle w:val="TableParagraph"/>
              <w:spacing w:line="178" w:lineRule="exact"/>
              <w:ind w:left="147"/>
              <w:jc w:val="left"/>
              <w:rPr>
                <w:rFonts w:ascii="Arial"/>
                <w:b/>
                <w:sz w:val="16"/>
              </w:rPr>
            </w:pPr>
            <w:r>
              <w:rPr>
                <w:rFonts w:ascii="Arial"/>
                <w:b/>
                <w:sz w:val="16"/>
              </w:rPr>
              <w:t>Australian</w:t>
            </w:r>
          </w:p>
          <w:p w:rsidR="00865D3B" w:rsidRDefault="000C3A69">
            <w:pPr>
              <w:pStyle w:val="TableParagraph"/>
              <w:spacing w:before="15" w:line="256" w:lineRule="auto"/>
              <w:ind w:left="272" w:right="77" w:firstLine="122"/>
              <w:jc w:val="left"/>
              <w:rPr>
                <w:rFonts w:ascii="Arial"/>
                <w:b/>
                <w:sz w:val="16"/>
              </w:rPr>
            </w:pPr>
            <w:r>
              <w:rPr>
                <w:rFonts w:ascii="Arial"/>
                <w:b/>
                <w:sz w:val="16"/>
              </w:rPr>
              <w:t>Capital Territory</w:t>
            </w:r>
          </w:p>
        </w:tc>
      </w:tr>
      <w:tr w:rsidR="00865D3B">
        <w:trPr>
          <w:trHeight w:val="460"/>
        </w:trPr>
        <w:tc>
          <w:tcPr>
            <w:tcW w:w="1080" w:type="dxa"/>
            <w:tcBorders>
              <w:top w:val="single" w:sz="8" w:space="0" w:color="000000"/>
              <w:left w:val="single" w:sz="8" w:space="0" w:color="000000"/>
              <w:right w:val="single" w:sz="8" w:space="0" w:color="000000"/>
            </w:tcBorders>
            <w:shd w:val="clear" w:color="auto" w:fill="DADADA"/>
          </w:tcPr>
          <w:p w:rsidR="00865D3B" w:rsidRDefault="000C3A69">
            <w:pPr>
              <w:pStyle w:val="TableParagraph"/>
              <w:spacing w:line="259" w:lineRule="auto"/>
              <w:ind w:left="98" w:right="150"/>
              <w:jc w:val="left"/>
              <w:rPr>
                <w:rFonts w:ascii="Arial"/>
                <w:b/>
                <w:sz w:val="16"/>
              </w:rPr>
            </w:pPr>
            <w:r>
              <w:rPr>
                <w:rFonts w:ascii="Arial"/>
                <w:b/>
                <w:sz w:val="16"/>
              </w:rPr>
              <w:t>Per Capita share</w:t>
            </w:r>
          </w:p>
        </w:tc>
        <w:tc>
          <w:tcPr>
            <w:tcW w:w="1219" w:type="dxa"/>
            <w:tcBorders>
              <w:top w:val="single" w:sz="8" w:space="0" w:color="000000"/>
              <w:left w:val="single" w:sz="8" w:space="0" w:color="000000"/>
            </w:tcBorders>
          </w:tcPr>
          <w:p w:rsidR="00865D3B" w:rsidRDefault="00865D3B">
            <w:pPr>
              <w:pStyle w:val="TableParagraph"/>
              <w:spacing w:before="4" w:line="240" w:lineRule="auto"/>
              <w:jc w:val="left"/>
              <w:rPr>
                <w:b/>
                <w:sz w:val="16"/>
              </w:rPr>
            </w:pPr>
          </w:p>
          <w:p w:rsidR="00865D3B" w:rsidRDefault="000C3A69">
            <w:pPr>
              <w:pStyle w:val="TableParagraph"/>
              <w:spacing w:line="240" w:lineRule="auto"/>
              <w:ind w:right="245"/>
              <w:jc w:val="right"/>
              <w:rPr>
                <w:rFonts w:ascii="Arial"/>
                <w:sz w:val="16"/>
              </w:rPr>
            </w:pPr>
            <w:r>
              <w:rPr>
                <w:rFonts w:ascii="Arial"/>
                <w:sz w:val="16"/>
              </w:rPr>
              <w:t>20,111</w:t>
            </w:r>
          </w:p>
        </w:tc>
        <w:tc>
          <w:tcPr>
            <w:tcW w:w="942" w:type="dxa"/>
            <w:tcBorders>
              <w:top w:val="single" w:sz="8" w:space="0" w:color="000000"/>
            </w:tcBorders>
          </w:tcPr>
          <w:p w:rsidR="00865D3B" w:rsidRDefault="00865D3B">
            <w:pPr>
              <w:pStyle w:val="TableParagraph"/>
              <w:spacing w:before="4" w:line="240" w:lineRule="auto"/>
              <w:jc w:val="left"/>
              <w:rPr>
                <w:b/>
                <w:sz w:val="16"/>
              </w:rPr>
            </w:pPr>
          </w:p>
          <w:p w:rsidR="00865D3B" w:rsidRDefault="000C3A69">
            <w:pPr>
              <w:pStyle w:val="TableParagraph"/>
              <w:spacing w:line="240" w:lineRule="auto"/>
              <w:ind w:right="107"/>
              <w:jc w:val="right"/>
              <w:rPr>
                <w:rFonts w:ascii="Arial"/>
                <w:sz w:val="16"/>
              </w:rPr>
            </w:pPr>
            <w:r>
              <w:rPr>
                <w:rFonts w:ascii="Arial"/>
                <w:sz w:val="16"/>
              </w:rPr>
              <w:t>15,862</w:t>
            </w:r>
          </w:p>
        </w:tc>
        <w:tc>
          <w:tcPr>
            <w:tcW w:w="1223" w:type="dxa"/>
            <w:tcBorders>
              <w:top w:val="single" w:sz="8" w:space="0" w:color="000000"/>
            </w:tcBorders>
          </w:tcPr>
          <w:p w:rsidR="00865D3B" w:rsidRDefault="00865D3B">
            <w:pPr>
              <w:pStyle w:val="TableParagraph"/>
              <w:spacing w:before="4" w:line="240" w:lineRule="auto"/>
              <w:jc w:val="left"/>
              <w:rPr>
                <w:b/>
                <w:sz w:val="16"/>
              </w:rPr>
            </w:pPr>
          </w:p>
          <w:p w:rsidR="00865D3B" w:rsidRDefault="000C3A69">
            <w:pPr>
              <w:pStyle w:val="TableParagraph"/>
              <w:spacing w:line="240" w:lineRule="auto"/>
              <w:ind w:right="197"/>
              <w:jc w:val="right"/>
              <w:rPr>
                <w:rFonts w:ascii="Arial"/>
                <w:sz w:val="16"/>
              </w:rPr>
            </w:pPr>
            <w:r>
              <w:rPr>
                <w:rFonts w:ascii="Arial"/>
                <w:sz w:val="16"/>
              </w:rPr>
              <w:t>12,565</w:t>
            </w:r>
          </w:p>
        </w:tc>
        <w:tc>
          <w:tcPr>
            <w:tcW w:w="1080" w:type="dxa"/>
            <w:tcBorders>
              <w:top w:val="single" w:sz="8" w:space="0" w:color="000000"/>
            </w:tcBorders>
          </w:tcPr>
          <w:p w:rsidR="00865D3B" w:rsidRDefault="00865D3B">
            <w:pPr>
              <w:pStyle w:val="TableParagraph"/>
              <w:spacing w:before="4" w:line="240" w:lineRule="auto"/>
              <w:jc w:val="left"/>
              <w:rPr>
                <w:b/>
                <w:sz w:val="16"/>
              </w:rPr>
            </w:pPr>
          </w:p>
          <w:p w:rsidR="00865D3B" w:rsidRDefault="000C3A69">
            <w:pPr>
              <w:pStyle w:val="TableParagraph"/>
              <w:spacing w:line="240" w:lineRule="auto"/>
              <w:ind w:right="197"/>
              <w:jc w:val="right"/>
              <w:rPr>
                <w:rFonts w:ascii="Arial"/>
                <w:sz w:val="16"/>
              </w:rPr>
            </w:pPr>
            <w:r>
              <w:rPr>
                <w:rFonts w:ascii="Arial"/>
                <w:sz w:val="16"/>
              </w:rPr>
              <w:t>4,405</w:t>
            </w:r>
          </w:p>
        </w:tc>
        <w:tc>
          <w:tcPr>
            <w:tcW w:w="1052" w:type="dxa"/>
            <w:tcBorders>
              <w:top w:val="single" w:sz="8" w:space="0" w:color="000000"/>
            </w:tcBorders>
          </w:tcPr>
          <w:p w:rsidR="00865D3B" w:rsidRDefault="00865D3B">
            <w:pPr>
              <w:pStyle w:val="TableParagraph"/>
              <w:spacing w:before="4" w:line="240" w:lineRule="auto"/>
              <w:jc w:val="left"/>
              <w:rPr>
                <w:b/>
                <w:sz w:val="16"/>
              </w:rPr>
            </w:pPr>
          </w:p>
          <w:p w:rsidR="00865D3B" w:rsidRDefault="000C3A69">
            <w:pPr>
              <w:pStyle w:val="TableParagraph"/>
              <w:spacing w:line="240" w:lineRule="auto"/>
              <w:ind w:right="168"/>
              <w:jc w:val="right"/>
              <w:rPr>
                <w:rFonts w:ascii="Arial"/>
                <w:sz w:val="16"/>
              </w:rPr>
            </w:pPr>
            <w:r>
              <w:rPr>
                <w:rFonts w:ascii="Arial"/>
                <w:sz w:val="16"/>
              </w:rPr>
              <w:t>6,818</w:t>
            </w:r>
          </w:p>
        </w:tc>
        <w:tc>
          <w:tcPr>
            <w:tcW w:w="1111" w:type="dxa"/>
            <w:tcBorders>
              <w:top w:val="single" w:sz="8" w:space="0" w:color="000000"/>
            </w:tcBorders>
          </w:tcPr>
          <w:p w:rsidR="00865D3B" w:rsidRDefault="00865D3B">
            <w:pPr>
              <w:pStyle w:val="TableParagraph"/>
              <w:spacing w:before="4" w:line="240" w:lineRule="auto"/>
              <w:jc w:val="left"/>
              <w:rPr>
                <w:b/>
                <w:sz w:val="16"/>
              </w:rPr>
            </w:pPr>
          </w:p>
          <w:p w:rsidR="00865D3B" w:rsidRDefault="000C3A69">
            <w:pPr>
              <w:pStyle w:val="TableParagraph"/>
              <w:spacing w:line="240" w:lineRule="auto"/>
              <w:ind w:right="199"/>
              <w:jc w:val="right"/>
              <w:rPr>
                <w:rFonts w:ascii="Arial"/>
                <w:sz w:val="16"/>
              </w:rPr>
            </w:pPr>
            <w:r>
              <w:rPr>
                <w:rFonts w:ascii="Arial"/>
                <w:sz w:val="16"/>
              </w:rPr>
              <w:t>1,328</w:t>
            </w:r>
          </w:p>
        </w:tc>
        <w:tc>
          <w:tcPr>
            <w:tcW w:w="1028" w:type="dxa"/>
            <w:tcBorders>
              <w:top w:val="single" w:sz="8" w:space="0" w:color="000000"/>
            </w:tcBorders>
          </w:tcPr>
          <w:p w:rsidR="00865D3B" w:rsidRDefault="00865D3B">
            <w:pPr>
              <w:pStyle w:val="TableParagraph"/>
              <w:spacing w:before="4" w:line="240" w:lineRule="auto"/>
              <w:jc w:val="left"/>
              <w:rPr>
                <w:b/>
                <w:sz w:val="16"/>
              </w:rPr>
            </w:pPr>
          </w:p>
          <w:p w:rsidR="00865D3B" w:rsidRDefault="000C3A69">
            <w:pPr>
              <w:pStyle w:val="TableParagraph"/>
              <w:spacing w:line="240" w:lineRule="auto"/>
              <w:ind w:right="148"/>
              <w:jc w:val="right"/>
              <w:rPr>
                <w:rFonts w:ascii="Arial"/>
                <w:sz w:val="16"/>
              </w:rPr>
            </w:pPr>
            <w:r>
              <w:rPr>
                <w:rFonts w:ascii="Arial"/>
                <w:sz w:val="16"/>
              </w:rPr>
              <w:t>625</w:t>
            </w:r>
          </w:p>
        </w:tc>
        <w:tc>
          <w:tcPr>
            <w:tcW w:w="1038" w:type="dxa"/>
            <w:tcBorders>
              <w:top w:val="single" w:sz="8" w:space="0" w:color="000000"/>
              <w:right w:val="single" w:sz="8" w:space="0" w:color="000000"/>
            </w:tcBorders>
          </w:tcPr>
          <w:p w:rsidR="00865D3B" w:rsidRDefault="00865D3B">
            <w:pPr>
              <w:pStyle w:val="TableParagraph"/>
              <w:spacing w:before="4" w:line="240" w:lineRule="auto"/>
              <w:jc w:val="left"/>
              <w:rPr>
                <w:b/>
                <w:sz w:val="16"/>
              </w:rPr>
            </w:pPr>
          </w:p>
          <w:p w:rsidR="00865D3B" w:rsidRDefault="000C3A69">
            <w:pPr>
              <w:pStyle w:val="TableParagraph"/>
              <w:spacing w:line="240" w:lineRule="auto"/>
              <w:ind w:right="96"/>
              <w:jc w:val="right"/>
              <w:rPr>
                <w:rFonts w:ascii="Arial"/>
                <w:sz w:val="16"/>
              </w:rPr>
            </w:pPr>
            <w:r>
              <w:rPr>
                <w:rFonts w:ascii="Arial"/>
                <w:sz w:val="16"/>
              </w:rPr>
              <w:t>1,026</w:t>
            </w:r>
          </w:p>
        </w:tc>
      </w:tr>
      <w:tr w:rsidR="00865D3B">
        <w:trPr>
          <w:trHeight w:val="540"/>
        </w:trPr>
        <w:tc>
          <w:tcPr>
            <w:tcW w:w="1080" w:type="dxa"/>
            <w:tcBorders>
              <w:left w:val="single" w:sz="8" w:space="0" w:color="000000"/>
              <w:right w:val="single" w:sz="8" w:space="0" w:color="000000"/>
            </w:tcBorders>
            <w:shd w:val="clear" w:color="auto" w:fill="DADADA"/>
          </w:tcPr>
          <w:p w:rsidR="00865D3B" w:rsidRDefault="000C3A69">
            <w:pPr>
              <w:pStyle w:val="TableParagraph"/>
              <w:spacing w:before="83" w:line="240" w:lineRule="auto"/>
              <w:ind w:left="98"/>
              <w:jc w:val="left"/>
              <w:rPr>
                <w:rFonts w:ascii="Arial"/>
                <w:b/>
                <w:sz w:val="16"/>
              </w:rPr>
            </w:pPr>
            <w:r>
              <w:rPr>
                <w:rFonts w:ascii="Arial"/>
                <w:b/>
                <w:sz w:val="16"/>
              </w:rPr>
              <w:t>2017-18</w:t>
            </w:r>
          </w:p>
          <w:p w:rsidR="00865D3B" w:rsidRDefault="000C3A69">
            <w:pPr>
              <w:pStyle w:val="TableParagraph"/>
              <w:spacing w:before="15" w:line="240" w:lineRule="auto"/>
              <w:ind w:left="98"/>
              <w:jc w:val="left"/>
              <w:rPr>
                <w:rFonts w:ascii="Arial"/>
                <w:b/>
                <w:sz w:val="16"/>
              </w:rPr>
            </w:pPr>
            <w:r>
              <w:rPr>
                <w:rFonts w:ascii="Arial"/>
                <w:b/>
                <w:sz w:val="16"/>
              </w:rPr>
              <w:t>CGC</w:t>
            </w:r>
          </w:p>
        </w:tc>
        <w:tc>
          <w:tcPr>
            <w:tcW w:w="1219" w:type="dxa"/>
            <w:tcBorders>
              <w:left w:val="single" w:sz="8" w:space="0" w:color="000000"/>
            </w:tcBorders>
          </w:tcPr>
          <w:p w:rsidR="00865D3B" w:rsidRDefault="00865D3B">
            <w:pPr>
              <w:pStyle w:val="TableParagraph"/>
              <w:spacing w:before="4" w:line="240" w:lineRule="auto"/>
              <w:jc w:val="left"/>
              <w:rPr>
                <w:b/>
                <w:sz w:val="23"/>
              </w:rPr>
            </w:pPr>
          </w:p>
          <w:p w:rsidR="00865D3B" w:rsidRDefault="000C3A69">
            <w:pPr>
              <w:pStyle w:val="TableParagraph"/>
              <w:spacing w:line="240" w:lineRule="auto"/>
              <w:ind w:right="245"/>
              <w:jc w:val="right"/>
              <w:rPr>
                <w:rFonts w:ascii="Arial"/>
                <w:sz w:val="16"/>
              </w:rPr>
            </w:pPr>
            <w:r>
              <w:rPr>
                <w:rFonts w:ascii="Arial"/>
                <w:sz w:val="16"/>
              </w:rPr>
              <w:t>17,680</w:t>
            </w:r>
          </w:p>
        </w:tc>
        <w:tc>
          <w:tcPr>
            <w:tcW w:w="942" w:type="dxa"/>
          </w:tcPr>
          <w:p w:rsidR="00865D3B" w:rsidRDefault="00865D3B">
            <w:pPr>
              <w:pStyle w:val="TableParagraph"/>
              <w:spacing w:before="4" w:line="240" w:lineRule="auto"/>
              <w:jc w:val="left"/>
              <w:rPr>
                <w:b/>
                <w:sz w:val="23"/>
              </w:rPr>
            </w:pPr>
          </w:p>
          <w:p w:rsidR="00865D3B" w:rsidRDefault="000C3A69">
            <w:pPr>
              <w:pStyle w:val="TableParagraph"/>
              <w:spacing w:line="240" w:lineRule="auto"/>
              <w:ind w:right="107"/>
              <w:jc w:val="right"/>
              <w:rPr>
                <w:rFonts w:ascii="Arial"/>
                <w:sz w:val="16"/>
              </w:rPr>
            </w:pPr>
            <w:r>
              <w:rPr>
                <w:rFonts w:ascii="Arial"/>
                <w:sz w:val="16"/>
              </w:rPr>
              <w:t>14,829</w:t>
            </w:r>
          </w:p>
        </w:tc>
        <w:tc>
          <w:tcPr>
            <w:tcW w:w="1223" w:type="dxa"/>
          </w:tcPr>
          <w:p w:rsidR="00865D3B" w:rsidRDefault="00865D3B">
            <w:pPr>
              <w:pStyle w:val="TableParagraph"/>
              <w:spacing w:before="4" w:line="240" w:lineRule="auto"/>
              <w:jc w:val="left"/>
              <w:rPr>
                <w:b/>
                <w:sz w:val="23"/>
              </w:rPr>
            </w:pPr>
          </w:p>
          <w:p w:rsidR="00865D3B" w:rsidRDefault="000C3A69">
            <w:pPr>
              <w:pStyle w:val="TableParagraph"/>
              <w:spacing w:line="240" w:lineRule="auto"/>
              <w:ind w:right="197"/>
              <w:jc w:val="right"/>
              <w:rPr>
                <w:rFonts w:ascii="Arial"/>
                <w:sz w:val="16"/>
              </w:rPr>
            </w:pPr>
            <w:r>
              <w:rPr>
                <w:rFonts w:ascii="Arial"/>
                <w:sz w:val="16"/>
              </w:rPr>
              <w:t>14,963</w:t>
            </w:r>
          </w:p>
        </w:tc>
        <w:tc>
          <w:tcPr>
            <w:tcW w:w="1080" w:type="dxa"/>
          </w:tcPr>
          <w:p w:rsidR="00865D3B" w:rsidRDefault="00865D3B">
            <w:pPr>
              <w:pStyle w:val="TableParagraph"/>
              <w:spacing w:before="4" w:line="240" w:lineRule="auto"/>
              <w:jc w:val="left"/>
              <w:rPr>
                <w:b/>
                <w:sz w:val="23"/>
              </w:rPr>
            </w:pPr>
          </w:p>
          <w:p w:rsidR="00865D3B" w:rsidRDefault="000C3A69">
            <w:pPr>
              <w:pStyle w:val="TableParagraph"/>
              <w:spacing w:line="240" w:lineRule="auto"/>
              <w:ind w:right="197"/>
              <w:jc w:val="right"/>
              <w:rPr>
                <w:rFonts w:ascii="Arial"/>
                <w:sz w:val="16"/>
              </w:rPr>
            </w:pPr>
            <w:r>
              <w:rPr>
                <w:rFonts w:ascii="Arial"/>
                <w:sz w:val="16"/>
              </w:rPr>
              <w:t>6,360</w:t>
            </w:r>
          </w:p>
        </w:tc>
        <w:tc>
          <w:tcPr>
            <w:tcW w:w="1052" w:type="dxa"/>
          </w:tcPr>
          <w:p w:rsidR="00865D3B" w:rsidRDefault="00865D3B">
            <w:pPr>
              <w:pStyle w:val="TableParagraph"/>
              <w:spacing w:before="4" w:line="240" w:lineRule="auto"/>
              <w:jc w:val="left"/>
              <w:rPr>
                <w:b/>
                <w:sz w:val="23"/>
              </w:rPr>
            </w:pPr>
          </w:p>
          <w:p w:rsidR="00865D3B" w:rsidRDefault="000C3A69">
            <w:pPr>
              <w:pStyle w:val="TableParagraph"/>
              <w:spacing w:line="240" w:lineRule="auto"/>
              <w:ind w:right="168"/>
              <w:jc w:val="right"/>
              <w:rPr>
                <w:rFonts w:ascii="Arial"/>
                <w:sz w:val="16"/>
              </w:rPr>
            </w:pPr>
            <w:r>
              <w:rPr>
                <w:rFonts w:ascii="Arial"/>
                <w:sz w:val="16"/>
              </w:rPr>
              <w:t>2,354</w:t>
            </w:r>
          </w:p>
        </w:tc>
        <w:tc>
          <w:tcPr>
            <w:tcW w:w="1111" w:type="dxa"/>
          </w:tcPr>
          <w:p w:rsidR="00865D3B" w:rsidRDefault="00865D3B">
            <w:pPr>
              <w:pStyle w:val="TableParagraph"/>
              <w:spacing w:before="4" w:line="240" w:lineRule="auto"/>
              <w:jc w:val="left"/>
              <w:rPr>
                <w:b/>
                <w:sz w:val="23"/>
              </w:rPr>
            </w:pPr>
          </w:p>
          <w:p w:rsidR="00865D3B" w:rsidRDefault="000C3A69">
            <w:pPr>
              <w:pStyle w:val="TableParagraph"/>
              <w:spacing w:line="240" w:lineRule="auto"/>
              <w:ind w:right="199"/>
              <w:jc w:val="right"/>
              <w:rPr>
                <w:rFonts w:ascii="Arial"/>
                <w:sz w:val="16"/>
              </w:rPr>
            </w:pPr>
            <w:r>
              <w:rPr>
                <w:rFonts w:ascii="Arial"/>
                <w:sz w:val="16"/>
              </w:rPr>
              <w:t>2,403</w:t>
            </w:r>
          </w:p>
        </w:tc>
        <w:tc>
          <w:tcPr>
            <w:tcW w:w="1028" w:type="dxa"/>
          </w:tcPr>
          <w:p w:rsidR="00865D3B" w:rsidRDefault="00865D3B">
            <w:pPr>
              <w:pStyle w:val="TableParagraph"/>
              <w:spacing w:before="4" w:line="240" w:lineRule="auto"/>
              <w:jc w:val="left"/>
              <w:rPr>
                <w:b/>
                <w:sz w:val="23"/>
              </w:rPr>
            </w:pPr>
          </w:p>
          <w:p w:rsidR="00865D3B" w:rsidRDefault="000C3A69">
            <w:pPr>
              <w:pStyle w:val="TableParagraph"/>
              <w:spacing w:line="240" w:lineRule="auto"/>
              <w:ind w:right="148"/>
              <w:jc w:val="right"/>
              <w:rPr>
                <w:rFonts w:ascii="Arial"/>
                <w:sz w:val="16"/>
              </w:rPr>
            </w:pPr>
            <w:r>
              <w:rPr>
                <w:rFonts w:ascii="Arial"/>
                <w:sz w:val="16"/>
              </w:rPr>
              <w:t>2,921</w:t>
            </w:r>
          </w:p>
        </w:tc>
        <w:tc>
          <w:tcPr>
            <w:tcW w:w="1038" w:type="dxa"/>
            <w:tcBorders>
              <w:right w:val="single" w:sz="8" w:space="0" w:color="000000"/>
            </w:tcBorders>
          </w:tcPr>
          <w:p w:rsidR="00865D3B" w:rsidRDefault="00865D3B">
            <w:pPr>
              <w:pStyle w:val="TableParagraph"/>
              <w:spacing w:before="4" w:line="240" w:lineRule="auto"/>
              <w:jc w:val="left"/>
              <w:rPr>
                <w:b/>
                <w:sz w:val="23"/>
              </w:rPr>
            </w:pPr>
          </w:p>
          <w:p w:rsidR="00865D3B" w:rsidRDefault="000C3A69">
            <w:pPr>
              <w:pStyle w:val="TableParagraph"/>
              <w:spacing w:line="240" w:lineRule="auto"/>
              <w:ind w:right="96"/>
              <w:jc w:val="right"/>
              <w:rPr>
                <w:rFonts w:ascii="Arial"/>
                <w:sz w:val="16"/>
              </w:rPr>
            </w:pPr>
            <w:r>
              <w:rPr>
                <w:rFonts w:ascii="Arial"/>
                <w:sz w:val="16"/>
              </w:rPr>
              <w:t>1,230</w:t>
            </w:r>
          </w:p>
        </w:tc>
      </w:tr>
      <w:tr w:rsidR="00865D3B">
        <w:trPr>
          <w:trHeight w:val="440"/>
        </w:trPr>
        <w:tc>
          <w:tcPr>
            <w:tcW w:w="1080" w:type="dxa"/>
            <w:tcBorders>
              <w:left w:val="single" w:sz="8" w:space="0" w:color="000000"/>
              <w:bottom w:val="single" w:sz="8" w:space="0" w:color="000000"/>
              <w:right w:val="single" w:sz="8" w:space="0" w:color="000000"/>
            </w:tcBorders>
            <w:shd w:val="clear" w:color="auto" w:fill="DADADA"/>
          </w:tcPr>
          <w:p w:rsidR="00865D3B" w:rsidRDefault="000C3A69">
            <w:pPr>
              <w:pStyle w:val="TableParagraph"/>
              <w:spacing w:before="83" w:line="240" w:lineRule="auto"/>
              <w:ind w:left="98"/>
              <w:jc w:val="left"/>
              <w:rPr>
                <w:rFonts w:ascii="Arial"/>
                <w:b/>
                <w:sz w:val="16"/>
              </w:rPr>
            </w:pPr>
            <w:r>
              <w:rPr>
                <w:rFonts w:ascii="Arial"/>
                <w:b/>
                <w:sz w:val="16"/>
              </w:rPr>
              <w:t>Difference</w:t>
            </w:r>
          </w:p>
        </w:tc>
        <w:tc>
          <w:tcPr>
            <w:tcW w:w="1219" w:type="dxa"/>
            <w:tcBorders>
              <w:left w:val="single" w:sz="8" w:space="0" w:color="000000"/>
              <w:bottom w:val="single" w:sz="8" w:space="0" w:color="000000"/>
            </w:tcBorders>
          </w:tcPr>
          <w:p w:rsidR="00865D3B" w:rsidRDefault="000C3A69">
            <w:pPr>
              <w:pStyle w:val="TableParagraph"/>
              <w:spacing w:before="85" w:line="240" w:lineRule="auto"/>
              <w:ind w:right="245"/>
              <w:jc w:val="right"/>
              <w:rPr>
                <w:rFonts w:ascii="Arial"/>
                <w:sz w:val="16"/>
              </w:rPr>
            </w:pPr>
            <w:r>
              <w:rPr>
                <w:rFonts w:ascii="Arial"/>
                <w:sz w:val="16"/>
              </w:rPr>
              <w:t>-2,431</w:t>
            </w:r>
          </w:p>
        </w:tc>
        <w:tc>
          <w:tcPr>
            <w:tcW w:w="942" w:type="dxa"/>
            <w:tcBorders>
              <w:bottom w:val="single" w:sz="8" w:space="0" w:color="000000"/>
            </w:tcBorders>
          </w:tcPr>
          <w:p w:rsidR="00865D3B" w:rsidRDefault="000C3A69">
            <w:pPr>
              <w:pStyle w:val="TableParagraph"/>
              <w:spacing w:before="85" w:line="240" w:lineRule="auto"/>
              <w:ind w:right="107"/>
              <w:jc w:val="right"/>
              <w:rPr>
                <w:rFonts w:ascii="Arial"/>
                <w:sz w:val="16"/>
              </w:rPr>
            </w:pPr>
            <w:r>
              <w:rPr>
                <w:rFonts w:ascii="Arial"/>
                <w:sz w:val="16"/>
              </w:rPr>
              <w:t>-1,033</w:t>
            </w:r>
          </w:p>
        </w:tc>
        <w:tc>
          <w:tcPr>
            <w:tcW w:w="1223" w:type="dxa"/>
            <w:tcBorders>
              <w:bottom w:val="single" w:sz="8" w:space="0" w:color="000000"/>
            </w:tcBorders>
          </w:tcPr>
          <w:p w:rsidR="00865D3B" w:rsidRDefault="000C3A69">
            <w:pPr>
              <w:pStyle w:val="TableParagraph"/>
              <w:spacing w:before="85" w:line="240" w:lineRule="auto"/>
              <w:ind w:right="197"/>
              <w:jc w:val="right"/>
              <w:rPr>
                <w:rFonts w:ascii="Arial"/>
                <w:sz w:val="16"/>
              </w:rPr>
            </w:pPr>
            <w:r>
              <w:rPr>
                <w:rFonts w:ascii="Arial"/>
                <w:sz w:val="16"/>
              </w:rPr>
              <w:t>2,398</w:t>
            </w:r>
          </w:p>
        </w:tc>
        <w:tc>
          <w:tcPr>
            <w:tcW w:w="1080" w:type="dxa"/>
            <w:tcBorders>
              <w:bottom w:val="single" w:sz="8" w:space="0" w:color="000000"/>
            </w:tcBorders>
          </w:tcPr>
          <w:p w:rsidR="00865D3B" w:rsidRDefault="000C3A69">
            <w:pPr>
              <w:pStyle w:val="TableParagraph"/>
              <w:spacing w:before="85" w:line="240" w:lineRule="auto"/>
              <w:ind w:right="197"/>
              <w:jc w:val="right"/>
              <w:rPr>
                <w:rFonts w:ascii="Arial"/>
                <w:sz w:val="16"/>
              </w:rPr>
            </w:pPr>
            <w:r>
              <w:rPr>
                <w:rFonts w:ascii="Arial"/>
                <w:sz w:val="16"/>
              </w:rPr>
              <w:t>1,955</w:t>
            </w:r>
          </w:p>
        </w:tc>
        <w:tc>
          <w:tcPr>
            <w:tcW w:w="1052" w:type="dxa"/>
            <w:tcBorders>
              <w:bottom w:val="single" w:sz="8" w:space="0" w:color="000000"/>
            </w:tcBorders>
          </w:tcPr>
          <w:p w:rsidR="00865D3B" w:rsidRDefault="000C3A69">
            <w:pPr>
              <w:pStyle w:val="TableParagraph"/>
              <w:spacing w:before="85" w:line="240" w:lineRule="auto"/>
              <w:ind w:right="168"/>
              <w:jc w:val="right"/>
              <w:rPr>
                <w:rFonts w:ascii="Arial"/>
                <w:sz w:val="16"/>
              </w:rPr>
            </w:pPr>
            <w:r>
              <w:rPr>
                <w:rFonts w:ascii="Arial"/>
                <w:sz w:val="16"/>
              </w:rPr>
              <w:t>-4,464</w:t>
            </w:r>
          </w:p>
        </w:tc>
        <w:tc>
          <w:tcPr>
            <w:tcW w:w="1111" w:type="dxa"/>
            <w:tcBorders>
              <w:bottom w:val="single" w:sz="8" w:space="0" w:color="000000"/>
            </w:tcBorders>
          </w:tcPr>
          <w:p w:rsidR="00865D3B" w:rsidRDefault="000C3A69">
            <w:pPr>
              <w:pStyle w:val="TableParagraph"/>
              <w:spacing w:before="85" w:line="240" w:lineRule="auto"/>
              <w:ind w:right="199"/>
              <w:jc w:val="right"/>
              <w:rPr>
                <w:rFonts w:ascii="Arial"/>
                <w:sz w:val="16"/>
              </w:rPr>
            </w:pPr>
            <w:r>
              <w:rPr>
                <w:rFonts w:ascii="Arial"/>
                <w:sz w:val="16"/>
              </w:rPr>
              <w:t>1,075</w:t>
            </w:r>
          </w:p>
        </w:tc>
        <w:tc>
          <w:tcPr>
            <w:tcW w:w="1028" w:type="dxa"/>
            <w:tcBorders>
              <w:bottom w:val="single" w:sz="8" w:space="0" w:color="000000"/>
            </w:tcBorders>
          </w:tcPr>
          <w:p w:rsidR="00865D3B" w:rsidRDefault="000C3A69">
            <w:pPr>
              <w:pStyle w:val="TableParagraph"/>
              <w:spacing w:before="85" w:line="240" w:lineRule="auto"/>
              <w:ind w:right="148"/>
              <w:jc w:val="right"/>
              <w:rPr>
                <w:rFonts w:ascii="Arial"/>
                <w:sz w:val="16"/>
              </w:rPr>
            </w:pPr>
            <w:r>
              <w:rPr>
                <w:rFonts w:ascii="Arial"/>
                <w:sz w:val="16"/>
              </w:rPr>
              <w:t>2,296</w:t>
            </w:r>
          </w:p>
        </w:tc>
        <w:tc>
          <w:tcPr>
            <w:tcW w:w="1038" w:type="dxa"/>
            <w:tcBorders>
              <w:bottom w:val="single" w:sz="8" w:space="0" w:color="000000"/>
              <w:right w:val="single" w:sz="8" w:space="0" w:color="000000"/>
            </w:tcBorders>
          </w:tcPr>
          <w:p w:rsidR="00865D3B" w:rsidRDefault="000C3A69">
            <w:pPr>
              <w:pStyle w:val="TableParagraph"/>
              <w:spacing w:before="85" w:line="240" w:lineRule="auto"/>
              <w:ind w:right="96"/>
              <w:jc w:val="right"/>
              <w:rPr>
                <w:rFonts w:ascii="Arial"/>
                <w:sz w:val="16"/>
              </w:rPr>
            </w:pPr>
            <w:r>
              <w:rPr>
                <w:rFonts w:ascii="Arial"/>
                <w:sz w:val="16"/>
              </w:rPr>
              <w:t>204</w:t>
            </w:r>
          </w:p>
        </w:tc>
      </w:tr>
    </w:tbl>
    <w:p w:rsidR="00865D3B" w:rsidRDefault="00865D3B">
      <w:pPr>
        <w:pStyle w:val="BodyText"/>
        <w:rPr>
          <w:b/>
        </w:rPr>
      </w:pPr>
    </w:p>
    <w:p w:rsidR="00865D3B" w:rsidRDefault="00865D3B">
      <w:pPr>
        <w:pStyle w:val="BodyText"/>
        <w:rPr>
          <w:b/>
        </w:rPr>
      </w:pPr>
    </w:p>
    <w:p w:rsidR="00865D3B" w:rsidRDefault="000C3A69">
      <w:pPr>
        <w:pStyle w:val="BodyText"/>
        <w:ind w:left="620" w:right="373"/>
        <w:jc w:val="both"/>
      </w:pPr>
      <w:r>
        <w:t>The total gains of the winner States amounts to $7.8 billion.  In other words, just $7.8 billion out of the total GST revenues of $62 billion. In that sense it is a comparatively small proportion and therefore the ultimate resolution is not as difficult as is commonly assumed.</w:t>
      </w:r>
    </w:p>
    <w:p w:rsidR="00865D3B" w:rsidRDefault="00865D3B">
      <w:pPr>
        <w:pStyle w:val="BodyText"/>
      </w:pPr>
    </w:p>
    <w:p w:rsidR="00865D3B" w:rsidRDefault="000C3A69">
      <w:pPr>
        <w:pStyle w:val="BodyText"/>
        <w:ind w:left="619" w:right="374"/>
        <w:jc w:val="both"/>
      </w:pPr>
      <w:r>
        <w:t>For the loser States, Western Australia carried the greatest burden with $4.5 billion (or 60 per cent) of the total $7.8 billion redistributed coming from the State. It is also worth noting the huge cost to the overall system of the redistribution to the Northern Territory of $2.3 billion. Again, this makes the case for the Commonwealth to accept a greater responsibility for its own Territory.</w:t>
      </w:r>
    </w:p>
    <w:p w:rsidR="00865D3B" w:rsidRDefault="00865D3B">
      <w:pPr>
        <w:pStyle w:val="BodyText"/>
      </w:pPr>
    </w:p>
    <w:p w:rsidR="00865D3B" w:rsidRDefault="000C3A69">
      <w:pPr>
        <w:pStyle w:val="BodyText"/>
        <w:ind w:left="620" w:right="378"/>
        <w:jc w:val="both"/>
      </w:pPr>
      <w:r>
        <w:t xml:space="preserve">The State Treasury has calculated that the $4.5 billion of GST redistributed out of WA accrues to the beneficiary states as follows in </w:t>
      </w:r>
      <w:r>
        <w:rPr>
          <w:i/>
        </w:rPr>
        <w:t>Table 4</w:t>
      </w:r>
      <w:r>
        <w:t>.</w:t>
      </w:r>
    </w:p>
    <w:p w:rsidR="00865D3B" w:rsidRDefault="00865D3B">
      <w:pPr>
        <w:pStyle w:val="BodyText"/>
      </w:pPr>
    </w:p>
    <w:p w:rsidR="00865D3B" w:rsidRDefault="000C3A69">
      <w:pPr>
        <w:pStyle w:val="Heading2"/>
        <w:ind w:left="620"/>
      </w:pPr>
      <w:r>
        <w:t>Table 4</w:t>
      </w:r>
    </w:p>
    <w:p w:rsidR="00865D3B" w:rsidRDefault="00865D3B">
      <w:pPr>
        <w:pStyle w:val="BodyText"/>
        <w:spacing w:before="12"/>
        <w:rPr>
          <w:b/>
          <w:sz w:val="27"/>
        </w:rPr>
      </w:pPr>
    </w:p>
    <w:tbl>
      <w:tblPr>
        <w:tblW w:w="0" w:type="auto"/>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505"/>
        <w:gridCol w:w="1320"/>
        <w:gridCol w:w="1320"/>
        <w:gridCol w:w="1318"/>
      </w:tblGrid>
      <w:tr w:rsidR="00865D3B">
        <w:trPr>
          <w:trHeight w:val="440"/>
        </w:trPr>
        <w:tc>
          <w:tcPr>
            <w:tcW w:w="6708" w:type="dxa"/>
            <w:gridSpan w:val="5"/>
          </w:tcPr>
          <w:p w:rsidR="00865D3B" w:rsidRDefault="000C3A69">
            <w:pPr>
              <w:pStyle w:val="TableParagraph"/>
              <w:spacing w:line="292" w:lineRule="exact"/>
              <w:ind w:left="623"/>
              <w:jc w:val="left"/>
              <w:rPr>
                <w:sz w:val="24"/>
              </w:rPr>
            </w:pPr>
            <w:r>
              <w:rPr>
                <w:sz w:val="24"/>
              </w:rPr>
              <w:t>GST Redistribution from Western Australia to the States</w:t>
            </w:r>
          </w:p>
        </w:tc>
      </w:tr>
      <w:tr w:rsidR="00865D3B">
        <w:trPr>
          <w:trHeight w:val="400"/>
        </w:trPr>
        <w:tc>
          <w:tcPr>
            <w:tcW w:w="1246" w:type="dxa"/>
          </w:tcPr>
          <w:p w:rsidR="00865D3B" w:rsidRDefault="000C3A69">
            <w:pPr>
              <w:pStyle w:val="TableParagraph"/>
              <w:spacing w:line="292" w:lineRule="exact"/>
              <w:ind w:left="103"/>
              <w:jc w:val="left"/>
              <w:rPr>
                <w:sz w:val="24"/>
              </w:rPr>
            </w:pPr>
            <w:r>
              <w:rPr>
                <w:sz w:val="24"/>
              </w:rPr>
              <w:t>Tas</w:t>
            </w:r>
          </w:p>
        </w:tc>
        <w:tc>
          <w:tcPr>
            <w:tcW w:w="1505" w:type="dxa"/>
          </w:tcPr>
          <w:p w:rsidR="00865D3B" w:rsidRDefault="000C3A69">
            <w:pPr>
              <w:pStyle w:val="TableParagraph"/>
              <w:spacing w:line="292" w:lineRule="exact"/>
              <w:ind w:left="103"/>
              <w:jc w:val="left"/>
              <w:rPr>
                <w:sz w:val="24"/>
              </w:rPr>
            </w:pPr>
            <w:r>
              <w:rPr>
                <w:sz w:val="24"/>
              </w:rPr>
              <w:t>SA</w:t>
            </w:r>
          </w:p>
        </w:tc>
        <w:tc>
          <w:tcPr>
            <w:tcW w:w="1320" w:type="dxa"/>
          </w:tcPr>
          <w:p w:rsidR="00865D3B" w:rsidRDefault="000C3A69">
            <w:pPr>
              <w:pStyle w:val="TableParagraph"/>
              <w:spacing w:line="292" w:lineRule="exact"/>
              <w:ind w:left="102"/>
              <w:jc w:val="left"/>
              <w:rPr>
                <w:sz w:val="24"/>
              </w:rPr>
            </w:pPr>
            <w:r>
              <w:rPr>
                <w:sz w:val="24"/>
              </w:rPr>
              <w:t>NT</w:t>
            </w:r>
          </w:p>
        </w:tc>
        <w:tc>
          <w:tcPr>
            <w:tcW w:w="1320" w:type="dxa"/>
          </w:tcPr>
          <w:p w:rsidR="00865D3B" w:rsidRDefault="000C3A69">
            <w:pPr>
              <w:pStyle w:val="TableParagraph"/>
              <w:spacing w:line="292" w:lineRule="exact"/>
              <w:ind w:left="102"/>
              <w:jc w:val="left"/>
              <w:rPr>
                <w:sz w:val="24"/>
              </w:rPr>
            </w:pPr>
            <w:r>
              <w:rPr>
                <w:sz w:val="24"/>
              </w:rPr>
              <w:t>Qld</w:t>
            </w:r>
          </w:p>
        </w:tc>
        <w:tc>
          <w:tcPr>
            <w:tcW w:w="1318" w:type="dxa"/>
          </w:tcPr>
          <w:p w:rsidR="00865D3B" w:rsidRDefault="000C3A69">
            <w:pPr>
              <w:pStyle w:val="TableParagraph"/>
              <w:spacing w:line="292" w:lineRule="exact"/>
              <w:ind w:left="100"/>
              <w:jc w:val="left"/>
              <w:rPr>
                <w:sz w:val="24"/>
              </w:rPr>
            </w:pPr>
            <w:r>
              <w:rPr>
                <w:sz w:val="24"/>
              </w:rPr>
              <w:t>Total</w:t>
            </w:r>
          </w:p>
        </w:tc>
      </w:tr>
      <w:tr w:rsidR="00865D3B">
        <w:trPr>
          <w:trHeight w:val="420"/>
        </w:trPr>
        <w:tc>
          <w:tcPr>
            <w:tcW w:w="1246" w:type="dxa"/>
          </w:tcPr>
          <w:p w:rsidR="00865D3B" w:rsidRDefault="000C3A69">
            <w:pPr>
              <w:pStyle w:val="TableParagraph"/>
              <w:spacing w:line="292" w:lineRule="exact"/>
              <w:ind w:left="103"/>
              <w:jc w:val="left"/>
              <w:rPr>
                <w:sz w:val="24"/>
              </w:rPr>
            </w:pPr>
            <w:r>
              <w:rPr>
                <w:sz w:val="24"/>
              </w:rPr>
              <w:t>$604m</w:t>
            </w:r>
          </w:p>
        </w:tc>
        <w:tc>
          <w:tcPr>
            <w:tcW w:w="1505" w:type="dxa"/>
          </w:tcPr>
          <w:p w:rsidR="00865D3B" w:rsidRDefault="000C3A69">
            <w:pPr>
              <w:pStyle w:val="TableParagraph"/>
              <w:spacing w:line="292" w:lineRule="exact"/>
              <w:ind w:left="103"/>
              <w:jc w:val="left"/>
              <w:rPr>
                <w:sz w:val="24"/>
              </w:rPr>
            </w:pPr>
            <w:r>
              <w:rPr>
                <w:sz w:val="24"/>
              </w:rPr>
              <w:t>$1,084m</w:t>
            </w:r>
          </w:p>
        </w:tc>
        <w:tc>
          <w:tcPr>
            <w:tcW w:w="1320" w:type="dxa"/>
          </w:tcPr>
          <w:p w:rsidR="00865D3B" w:rsidRDefault="000C3A69">
            <w:pPr>
              <w:pStyle w:val="TableParagraph"/>
              <w:spacing w:line="292" w:lineRule="exact"/>
              <w:ind w:left="102"/>
              <w:jc w:val="left"/>
              <w:rPr>
                <w:sz w:val="24"/>
              </w:rPr>
            </w:pPr>
            <w:r>
              <w:rPr>
                <w:sz w:val="24"/>
              </w:rPr>
              <w:t>$1,594m</w:t>
            </w:r>
          </w:p>
        </w:tc>
        <w:tc>
          <w:tcPr>
            <w:tcW w:w="1320" w:type="dxa"/>
          </w:tcPr>
          <w:p w:rsidR="00865D3B" w:rsidRDefault="000C3A69">
            <w:pPr>
              <w:pStyle w:val="TableParagraph"/>
              <w:spacing w:line="292" w:lineRule="exact"/>
              <w:ind w:left="102"/>
              <w:jc w:val="left"/>
              <w:rPr>
                <w:sz w:val="24"/>
              </w:rPr>
            </w:pPr>
            <w:r>
              <w:rPr>
                <w:sz w:val="24"/>
              </w:rPr>
              <w:t>$1,277m</w:t>
            </w:r>
          </w:p>
        </w:tc>
        <w:tc>
          <w:tcPr>
            <w:tcW w:w="1318" w:type="dxa"/>
          </w:tcPr>
          <w:p w:rsidR="00865D3B" w:rsidRDefault="000C3A69">
            <w:pPr>
              <w:pStyle w:val="TableParagraph"/>
              <w:spacing w:line="292" w:lineRule="exact"/>
              <w:ind w:left="100"/>
              <w:jc w:val="left"/>
              <w:rPr>
                <w:sz w:val="24"/>
              </w:rPr>
            </w:pPr>
            <w:r>
              <w:rPr>
                <w:sz w:val="24"/>
              </w:rPr>
              <w:t>$4,559m</w:t>
            </w:r>
          </w:p>
        </w:tc>
      </w:tr>
    </w:tbl>
    <w:p w:rsidR="00865D3B" w:rsidRDefault="00865D3B">
      <w:pPr>
        <w:pStyle w:val="BodyText"/>
        <w:rPr>
          <w:b/>
        </w:rPr>
      </w:pPr>
    </w:p>
    <w:p w:rsidR="00865D3B" w:rsidRDefault="00865D3B">
      <w:pPr>
        <w:pStyle w:val="BodyText"/>
        <w:rPr>
          <w:b/>
        </w:rPr>
      </w:pPr>
    </w:p>
    <w:p w:rsidR="00865D3B" w:rsidRDefault="000C3A69">
      <w:pPr>
        <w:pStyle w:val="BodyText"/>
        <w:ind w:left="620" w:right="375"/>
        <w:jc w:val="both"/>
      </w:pPr>
      <w:r>
        <w:t>As previously stated, Western Australia can accept support for the weaker states of Tasmania and South Australia. We also recognise the situation facing the Northern Territory, but contend that the Commonwealth should play a greater role for what is a territory of the Commonwealth. It is however, unacceptable that Western Australia should be cross-subsidising Queensland which has both a large population and a strong economy. The Western Australian public fully understand the inequity of this situation.</w:t>
      </w:r>
    </w:p>
    <w:p w:rsidR="00865D3B" w:rsidRDefault="00865D3B">
      <w:pPr>
        <w:jc w:val="both"/>
        <w:sectPr w:rsidR="00865D3B">
          <w:pgSz w:w="11910" w:h="16840"/>
          <w:pgMar w:top="960" w:right="1060" w:bottom="1200" w:left="820" w:header="0" w:footer="945" w:gutter="0"/>
          <w:cols w:space="720"/>
        </w:sectPr>
      </w:pPr>
    </w:p>
    <w:p w:rsidR="00865D3B" w:rsidRDefault="000C3A69">
      <w:pPr>
        <w:pStyle w:val="Heading2"/>
        <w:spacing w:before="15" w:after="19"/>
        <w:ind w:left="780"/>
        <w:jc w:val="left"/>
      </w:pPr>
      <w:r>
        <w:rPr>
          <w:u w:val="single"/>
        </w:rPr>
        <w:lastRenderedPageBreak/>
        <w:t>ATTACHMENT 2</w:t>
      </w:r>
    </w:p>
    <w:p w:rsidR="00865D3B" w:rsidRDefault="000C3A69">
      <w:pPr>
        <w:pStyle w:val="BodyText"/>
        <w:ind w:left="103"/>
        <w:rPr>
          <w:sz w:val="20"/>
        </w:rPr>
      </w:pPr>
      <w:r>
        <w:rPr>
          <w:noProof/>
          <w:sz w:val="20"/>
          <w:lang w:val="en-AU" w:eastAsia="en-AU"/>
        </w:rPr>
        <w:drawing>
          <wp:inline distT="0" distB="0" distL="0" distR="0">
            <wp:extent cx="6583679" cy="8915400"/>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1" cstate="print"/>
                    <a:stretch>
                      <a:fillRect/>
                    </a:stretch>
                  </pic:blipFill>
                  <pic:spPr>
                    <a:xfrm>
                      <a:off x="0" y="0"/>
                      <a:ext cx="6583679" cy="8915400"/>
                    </a:xfrm>
                    <a:prstGeom prst="rect">
                      <a:avLst/>
                    </a:prstGeom>
                  </pic:spPr>
                </pic:pic>
              </a:graphicData>
            </a:graphic>
          </wp:inline>
        </w:drawing>
      </w:r>
    </w:p>
    <w:sectPr w:rsidR="00865D3B">
      <w:pgSz w:w="11910" w:h="16840"/>
      <w:pgMar w:top="960" w:right="660" w:bottom="1200" w:left="660" w:header="0" w:footer="9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AB8" w:rsidRDefault="00DB6AB8">
      <w:r>
        <w:separator/>
      </w:r>
    </w:p>
  </w:endnote>
  <w:endnote w:type="continuationSeparator" w:id="0">
    <w:p w:rsidR="00DB6AB8" w:rsidRDefault="00DB6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otham Narrow Ultra">
    <w:altName w:val="Arial"/>
    <w:charset w:val="00"/>
    <w:family w:val="modern"/>
    <w:pitch w:val="variable"/>
  </w:font>
  <w:font w:name="Tahoma">
    <w:altName w:val="Times New Roman"/>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tham Narrow Book">
    <w:altName w:val="Arial"/>
    <w:charset w:val="00"/>
    <w:family w:val="modern"/>
    <w:pitch w:val="variable"/>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3B" w:rsidRDefault="003E7D83">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67.35pt;margin-top:780.7pt;width:57.1pt;height:13.05pt;z-index:-42472;mso-position-horizontal-relative:page;mso-position-vertical-relative:page" filled="f" stroked="f">
          <v:textbox inset="0,0,0,0">
            <w:txbxContent>
              <w:p w:rsidR="00865D3B" w:rsidRDefault="000C3A69">
                <w:pPr>
                  <w:spacing w:line="245" w:lineRule="exact"/>
                  <w:ind w:left="20"/>
                  <w:rPr>
                    <w:b/>
                  </w:rPr>
                </w:pPr>
                <w:r>
                  <w:t xml:space="preserve">Page </w:t>
                </w:r>
                <w:r>
                  <w:fldChar w:fldCharType="begin"/>
                </w:r>
                <w:r>
                  <w:rPr>
                    <w:b/>
                  </w:rPr>
                  <w:instrText xml:space="preserve"> PAGE </w:instrText>
                </w:r>
                <w:r>
                  <w:fldChar w:fldCharType="separate"/>
                </w:r>
                <w:r w:rsidR="003E7D83">
                  <w:rPr>
                    <w:b/>
                    <w:noProof/>
                  </w:rPr>
                  <w:t>1</w:t>
                </w:r>
                <w:r>
                  <w:fldChar w:fldCharType="end"/>
                </w:r>
                <w:r>
                  <w:rPr>
                    <w:b/>
                  </w:rPr>
                  <w:t xml:space="preserve"> </w:t>
                </w:r>
                <w:r>
                  <w:t xml:space="preserve">of </w:t>
                </w:r>
                <w:r>
                  <w:rPr>
                    <w:b/>
                  </w:rPr>
                  <w:t>15</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3B" w:rsidRDefault="003E7D83">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61.85pt;margin-top:780.7pt;width:62.5pt;height:13.05pt;z-index:-42448;mso-position-horizontal-relative:page;mso-position-vertical-relative:page" filled="f" stroked="f">
          <v:textbox inset="0,0,0,0">
            <w:txbxContent>
              <w:p w:rsidR="00865D3B" w:rsidRDefault="000C3A69">
                <w:pPr>
                  <w:spacing w:line="245" w:lineRule="exact"/>
                  <w:ind w:left="20"/>
                  <w:rPr>
                    <w:b/>
                  </w:rPr>
                </w:pPr>
                <w:r>
                  <w:t xml:space="preserve">Page </w:t>
                </w:r>
                <w:r>
                  <w:rPr>
                    <w:b/>
                  </w:rPr>
                  <w:t xml:space="preserve">10 </w:t>
                </w:r>
                <w:r>
                  <w:t xml:space="preserve">of </w:t>
                </w:r>
                <w:r>
                  <w:rPr>
                    <w:b/>
                  </w:rPr>
                  <w:t>15</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3B" w:rsidRDefault="003E7D83">
    <w:pPr>
      <w:pStyle w:val="BodyText"/>
      <w:spacing w:line="14" w:lineRule="auto"/>
      <w:rPr>
        <w:sz w:val="16"/>
      </w:rPr>
    </w:pPr>
    <w:r>
      <w:pict>
        <v:shapetype id="_x0000_t202" coordsize="21600,21600" o:spt="202" path="m,l,21600r21600,l21600,xe">
          <v:stroke joinstyle="miter"/>
          <v:path gradientshapeok="t" o:connecttype="rect"/>
        </v:shapetype>
        <v:shape id="_x0000_s2049" type="#_x0000_t202" style="position:absolute;margin-left:461.85pt;margin-top:780.7pt;width:62.5pt;height:13.05pt;z-index:-42424;mso-position-horizontal-relative:page;mso-position-vertical-relative:page" filled="f" stroked="f">
          <v:textbox inset="0,0,0,0">
            <w:txbxContent>
              <w:p w:rsidR="00865D3B" w:rsidRDefault="000C3A69">
                <w:pPr>
                  <w:spacing w:line="245" w:lineRule="exact"/>
                  <w:ind w:left="20"/>
                  <w:rPr>
                    <w:b/>
                  </w:rPr>
                </w:pPr>
                <w:r>
                  <w:t xml:space="preserve">Page </w:t>
                </w:r>
                <w:r>
                  <w:fldChar w:fldCharType="begin"/>
                </w:r>
                <w:r>
                  <w:rPr>
                    <w:b/>
                  </w:rPr>
                  <w:instrText xml:space="preserve"> PAGE </w:instrText>
                </w:r>
                <w:r>
                  <w:fldChar w:fldCharType="separate"/>
                </w:r>
                <w:r w:rsidR="003E7D83">
                  <w:rPr>
                    <w:b/>
                    <w:noProof/>
                  </w:rPr>
                  <w:t>14</w:t>
                </w:r>
                <w:r>
                  <w:fldChar w:fldCharType="end"/>
                </w:r>
                <w:r>
                  <w:rPr>
                    <w:b/>
                  </w:rPr>
                  <w:t xml:space="preserve"> </w:t>
                </w:r>
                <w:r>
                  <w:t xml:space="preserve">of </w:t>
                </w:r>
                <w:r>
                  <w:rPr>
                    <w:b/>
                  </w:rPr>
                  <w:t>15</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AB8" w:rsidRDefault="00DB6AB8">
      <w:r>
        <w:separator/>
      </w:r>
    </w:p>
  </w:footnote>
  <w:footnote w:type="continuationSeparator" w:id="0">
    <w:p w:rsidR="00DB6AB8" w:rsidRDefault="00DB6A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005BE8"/>
    <w:multiLevelType w:val="hybridMultilevel"/>
    <w:tmpl w:val="371C93F0"/>
    <w:lvl w:ilvl="0" w:tplc="F7A66362">
      <w:start w:val="1"/>
      <w:numFmt w:val="decimal"/>
      <w:lvlText w:val="%1."/>
      <w:lvlJc w:val="left"/>
      <w:pPr>
        <w:ind w:left="820" w:hanging="360"/>
        <w:jc w:val="left"/>
      </w:pPr>
      <w:rPr>
        <w:rFonts w:ascii="Calibri" w:eastAsia="Calibri" w:hAnsi="Calibri" w:cs="Calibri" w:hint="default"/>
        <w:spacing w:val="-1"/>
        <w:w w:val="100"/>
        <w:sz w:val="28"/>
        <w:szCs w:val="28"/>
      </w:rPr>
    </w:lvl>
    <w:lvl w:ilvl="1" w:tplc="02BAD260">
      <w:numFmt w:val="bullet"/>
      <w:lvlText w:val="•"/>
      <w:lvlJc w:val="left"/>
      <w:pPr>
        <w:ind w:left="1662" w:hanging="360"/>
      </w:pPr>
      <w:rPr>
        <w:rFonts w:hint="default"/>
      </w:rPr>
    </w:lvl>
    <w:lvl w:ilvl="2" w:tplc="39E0CFFC">
      <w:numFmt w:val="bullet"/>
      <w:lvlText w:val="•"/>
      <w:lvlJc w:val="left"/>
      <w:pPr>
        <w:ind w:left="2505" w:hanging="360"/>
      </w:pPr>
      <w:rPr>
        <w:rFonts w:hint="default"/>
      </w:rPr>
    </w:lvl>
    <w:lvl w:ilvl="3" w:tplc="8F149A42">
      <w:numFmt w:val="bullet"/>
      <w:lvlText w:val="•"/>
      <w:lvlJc w:val="left"/>
      <w:pPr>
        <w:ind w:left="3347" w:hanging="360"/>
      </w:pPr>
      <w:rPr>
        <w:rFonts w:hint="default"/>
      </w:rPr>
    </w:lvl>
    <w:lvl w:ilvl="4" w:tplc="614AE124">
      <w:numFmt w:val="bullet"/>
      <w:lvlText w:val="•"/>
      <w:lvlJc w:val="left"/>
      <w:pPr>
        <w:ind w:left="4190" w:hanging="360"/>
      </w:pPr>
      <w:rPr>
        <w:rFonts w:hint="default"/>
      </w:rPr>
    </w:lvl>
    <w:lvl w:ilvl="5" w:tplc="E5D0DD4C">
      <w:numFmt w:val="bullet"/>
      <w:lvlText w:val="•"/>
      <w:lvlJc w:val="left"/>
      <w:pPr>
        <w:ind w:left="5033" w:hanging="360"/>
      </w:pPr>
      <w:rPr>
        <w:rFonts w:hint="default"/>
      </w:rPr>
    </w:lvl>
    <w:lvl w:ilvl="6" w:tplc="682E16C8">
      <w:numFmt w:val="bullet"/>
      <w:lvlText w:val="•"/>
      <w:lvlJc w:val="left"/>
      <w:pPr>
        <w:ind w:left="5875" w:hanging="360"/>
      </w:pPr>
      <w:rPr>
        <w:rFonts w:hint="default"/>
      </w:rPr>
    </w:lvl>
    <w:lvl w:ilvl="7" w:tplc="5630E782">
      <w:numFmt w:val="bullet"/>
      <w:lvlText w:val="•"/>
      <w:lvlJc w:val="left"/>
      <w:pPr>
        <w:ind w:left="6718" w:hanging="360"/>
      </w:pPr>
      <w:rPr>
        <w:rFonts w:hint="default"/>
      </w:rPr>
    </w:lvl>
    <w:lvl w:ilvl="8" w:tplc="001C8058">
      <w:numFmt w:val="bullet"/>
      <w:lvlText w:val="•"/>
      <w:lvlJc w:val="left"/>
      <w:pPr>
        <w:ind w:left="7561"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65D3B"/>
    <w:rsid w:val="000C3A69"/>
    <w:rsid w:val="003E7D83"/>
    <w:rsid w:val="007976FA"/>
    <w:rsid w:val="00865D3B"/>
    <w:rsid w:val="00B551EA"/>
    <w:rsid w:val="00DB6AB8"/>
    <w:rsid w:val="00F434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765EDB2F-C5CC-4032-83C5-3083E2F89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802"/>
      <w:outlineLvl w:val="0"/>
    </w:pPr>
    <w:rPr>
      <w:rFonts w:ascii="Gotham Narrow Ultra" w:eastAsia="Gotham Narrow Ultra" w:hAnsi="Gotham Narrow Ultra" w:cs="Gotham Narrow Ultra"/>
      <w:sz w:val="40"/>
      <w:szCs w:val="40"/>
    </w:rPr>
  </w:style>
  <w:style w:type="paragraph" w:styleId="Heading2">
    <w:name w:val="heading 2"/>
    <w:basedOn w:val="Normal"/>
    <w:uiPriority w:val="1"/>
    <w:qFormat/>
    <w:pPr>
      <w:ind w:left="220"/>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line="290" w:lineRule="exact"/>
      <w:jc w:val="center"/>
    </w:pPr>
  </w:style>
  <w:style w:type="paragraph" w:styleId="BalloonText">
    <w:name w:val="Balloon Text"/>
    <w:basedOn w:val="Normal"/>
    <w:link w:val="BalloonTextChar"/>
    <w:uiPriority w:val="99"/>
    <w:semiHidden/>
    <w:unhideWhenUsed/>
    <w:rsid w:val="00F43426"/>
    <w:rPr>
      <w:rFonts w:ascii="Tahoma" w:hAnsi="Tahoma" w:cs="Tahoma"/>
      <w:sz w:val="16"/>
      <w:szCs w:val="16"/>
    </w:rPr>
  </w:style>
  <w:style w:type="character" w:customStyle="1" w:styleId="BalloonTextChar">
    <w:name w:val="Balloon Text Char"/>
    <w:basedOn w:val="DefaultParagraphFont"/>
    <w:link w:val="BalloonText"/>
    <w:uiPriority w:val="99"/>
    <w:semiHidden/>
    <w:rsid w:val="00F4342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cottesloe@mp.wa.gov.au"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mike.nahan@mp.wa.gov.au"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3867</Words>
  <Characters>22047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Submission 22 - Parliamentary Liberal Party of WA - Horizontal Fiscal Equalisation - Public inquiry</vt:lpstr>
    </vt:vector>
  </TitlesOfParts>
  <Company>Parliamentary Liberal Party of WA</Company>
  <LinksUpToDate>false</LinksUpToDate>
  <CharactersWithSpaces>25863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22 - Parliamentary Liberal Party of WA - Horizontal Fiscal Equalisation - Public inquiry</dc:title>
  <dc:creator>Parliamentary Liberal Party of WA</dc:creator>
  <cp:lastModifiedBy>Pimperl, Mark</cp:lastModifiedBy>
  <cp:revision>4</cp:revision>
  <dcterms:created xsi:type="dcterms:W3CDTF">2017-06-28T13:26:00Z</dcterms:created>
  <dcterms:modified xsi:type="dcterms:W3CDTF">2017-06-30T04:35:00Z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2017-06-28T00:00:00Z</vt:filetime>
  </property>
  <property fmtid="{D5CDD505-2E9C-101B-9397-08002B2CF9AE}" pid="3" name="Creator">
    <vt:lpwstr>Acrobat PDFMaker 17 for Word</vt:lpwstr>
  </property>
  <property fmtid="{D5CDD505-2E9C-101B-9397-08002B2CF9AE}" pid="4" name="LastSaved">
    <vt:filetime>2017-06-28T00:00:00Z</vt:filetime>
  </property>
</Properties>
</file>