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79BF" w:rsidRPr="009308C8" w:rsidRDefault="008979BF" w:rsidP="008979BF">
      <w:pPr>
        <w:spacing w:after="120"/>
        <w:jc w:val="both"/>
        <w:rPr>
          <w:rFonts w:asciiTheme="majorHAnsi" w:hAnsiTheme="majorHAnsi"/>
          <w:sz w:val="22"/>
          <w:szCs w:val="22"/>
        </w:rPr>
      </w:pPr>
      <w:r w:rsidRPr="009308C8">
        <w:rPr>
          <w:rFonts w:asciiTheme="majorHAnsi" w:hAnsiTheme="majorHAnsi"/>
          <w:sz w:val="22"/>
          <w:szCs w:val="22"/>
        </w:rPr>
        <w:fldChar w:fldCharType="begin"/>
      </w:r>
      <w:r w:rsidRPr="009308C8">
        <w:rPr>
          <w:rFonts w:asciiTheme="majorHAnsi" w:hAnsiTheme="majorHAnsi"/>
          <w:sz w:val="22"/>
          <w:szCs w:val="22"/>
        </w:rPr>
        <w:instrText xml:space="preserve"> TIME \@ "d MMMM yyyy" </w:instrText>
      </w:r>
      <w:r w:rsidRPr="009308C8">
        <w:rPr>
          <w:rFonts w:asciiTheme="majorHAnsi" w:hAnsiTheme="majorHAnsi"/>
          <w:sz w:val="22"/>
          <w:szCs w:val="22"/>
        </w:rPr>
        <w:fldChar w:fldCharType="separate"/>
      </w:r>
      <w:r w:rsidR="00E350B5">
        <w:rPr>
          <w:rFonts w:asciiTheme="majorHAnsi" w:hAnsiTheme="majorHAnsi"/>
          <w:noProof/>
          <w:sz w:val="22"/>
          <w:szCs w:val="22"/>
        </w:rPr>
        <w:t>9 December 2015</w:t>
      </w:r>
      <w:r w:rsidRPr="009308C8">
        <w:rPr>
          <w:rFonts w:asciiTheme="majorHAnsi" w:hAnsiTheme="majorHAnsi"/>
          <w:sz w:val="22"/>
          <w:szCs w:val="22"/>
        </w:rPr>
        <w:fldChar w:fldCharType="end"/>
      </w:r>
    </w:p>
    <w:p w:rsidR="008979BF" w:rsidRPr="009308C8" w:rsidRDefault="008979BF" w:rsidP="008979BF">
      <w:pPr>
        <w:spacing w:after="120"/>
        <w:jc w:val="both"/>
        <w:rPr>
          <w:rFonts w:asciiTheme="majorHAnsi" w:hAnsiTheme="majorHAnsi"/>
          <w:sz w:val="22"/>
          <w:szCs w:val="22"/>
        </w:rPr>
      </w:pPr>
    </w:p>
    <w:p w:rsidR="008979BF" w:rsidRPr="009308C8" w:rsidRDefault="008979BF" w:rsidP="008979BF">
      <w:pPr>
        <w:spacing w:before="120" w:after="240"/>
        <w:jc w:val="both"/>
        <w:rPr>
          <w:rFonts w:asciiTheme="majorHAnsi" w:hAnsiTheme="majorHAnsi"/>
          <w:b/>
          <w:sz w:val="28"/>
          <w:szCs w:val="28"/>
        </w:rPr>
      </w:pPr>
      <w:r w:rsidRPr="009308C8">
        <w:rPr>
          <w:rFonts w:asciiTheme="majorHAnsi" w:hAnsiTheme="majorHAnsi"/>
          <w:b/>
          <w:sz w:val="28"/>
          <w:szCs w:val="28"/>
        </w:rPr>
        <w:t xml:space="preserve">Penguin Random House response to the </w:t>
      </w:r>
      <w:r w:rsidR="00095770" w:rsidRPr="009308C8">
        <w:rPr>
          <w:rFonts w:asciiTheme="majorHAnsi" w:hAnsiTheme="majorHAnsi"/>
          <w:b/>
          <w:sz w:val="28"/>
          <w:szCs w:val="28"/>
        </w:rPr>
        <w:t>Productivity Commission</w:t>
      </w:r>
      <w:r w:rsidR="00D433EF" w:rsidRPr="009308C8">
        <w:rPr>
          <w:rFonts w:asciiTheme="majorHAnsi" w:hAnsiTheme="majorHAnsi"/>
          <w:b/>
          <w:sz w:val="28"/>
          <w:szCs w:val="28"/>
        </w:rPr>
        <w:t xml:space="preserve"> Inquiry into </w:t>
      </w:r>
      <w:r w:rsidR="00D433EF" w:rsidRPr="009308C8">
        <w:rPr>
          <w:rFonts w:asciiTheme="majorHAnsi" w:hAnsiTheme="majorHAnsi"/>
          <w:b/>
          <w:i/>
          <w:sz w:val="28"/>
          <w:szCs w:val="28"/>
        </w:rPr>
        <w:t>Intellectual Property Arrangements</w:t>
      </w:r>
    </w:p>
    <w:p w:rsidR="008979BF" w:rsidRPr="009308C8" w:rsidRDefault="008979BF" w:rsidP="008979BF">
      <w:pPr>
        <w:spacing w:after="120" w:line="300" w:lineRule="exact"/>
        <w:jc w:val="both"/>
        <w:rPr>
          <w:rFonts w:asciiTheme="majorHAnsi" w:eastAsia="Times New Roman" w:hAnsiTheme="majorHAnsi"/>
          <w:sz w:val="22"/>
          <w:szCs w:val="22"/>
          <w:lang w:val="en-GB"/>
        </w:rPr>
      </w:pPr>
      <w:r w:rsidRPr="009308C8">
        <w:rPr>
          <w:rFonts w:asciiTheme="majorHAnsi" w:eastAsia="Times New Roman" w:hAnsiTheme="majorHAnsi"/>
          <w:sz w:val="22"/>
          <w:szCs w:val="22"/>
          <w:lang w:val="en-GB"/>
        </w:rPr>
        <w:t xml:space="preserve">We are pleased to submit our response to the </w:t>
      </w:r>
      <w:r w:rsidR="00D433EF" w:rsidRPr="009308C8">
        <w:rPr>
          <w:rFonts w:asciiTheme="majorHAnsi" w:eastAsia="Times New Roman" w:hAnsiTheme="majorHAnsi"/>
          <w:sz w:val="22"/>
          <w:szCs w:val="22"/>
          <w:lang w:val="en-GB"/>
        </w:rPr>
        <w:t>Productivity Commission Issues Paper, October 2015</w:t>
      </w:r>
      <w:r w:rsidRPr="009308C8">
        <w:rPr>
          <w:rFonts w:asciiTheme="majorHAnsi" w:eastAsia="Times New Roman" w:hAnsiTheme="majorHAnsi"/>
          <w:i/>
          <w:sz w:val="22"/>
          <w:szCs w:val="22"/>
          <w:lang w:val="en-GB"/>
        </w:rPr>
        <w:t xml:space="preserve"> </w:t>
      </w:r>
      <w:r w:rsidRPr="009308C8">
        <w:rPr>
          <w:rFonts w:asciiTheme="majorHAnsi" w:eastAsia="Times New Roman" w:hAnsiTheme="majorHAnsi"/>
          <w:sz w:val="22"/>
          <w:szCs w:val="22"/>
          <w:lang w:val="en-GB"/>
        </w:rPr>
        <w:t xml:space="preserve">(the </w:t>
      </w:r>
      <w:r w:rsidR="00D433EF" w:rsidRPr="009308C8">
        <w:rPr>
          <w:rFonts w:asciiTheme="majorHAnsi" w:eastAsia="Times New Roman" w:hAnsiTheme="majorHAnsi"/>
          <w:b/>
          <w:sz w:val="22"/>
          <w:szCs w:val="22"/>
          <w:lang w:val="en-GB"/>
        </w:rPr>
        <w:t>Issues Paper</w:t>
      </w:r>
      <w:r w:rsidRPr="009308C8">
        <w:rPr>
          <w:rFonts w:asciiTheme="majorHAnsi" w:eastAsia="Times New Roman" w:hAnsiTheme="majorHAnsi"/>
          <w:sz w:val="22"/>
          <w:szCs w:val="22"/>
          <w:lang w:val="en-GB"/>
        </w:rPr>
        <w:t xml:space="preserve">).  </w:t>
      </w:r>
      <w:r w:rsidR="00DA7FAD" w:rsidRPr="009308C8">
        <w:rPr>
          <w:rFonts w:asciiTheme="majorHAnsi" w:eastAsia="Times New Roman" w:hAnsiTheme="majorHAnsi"/>
          <w:sz w:val="22"/>
          <w:szCs w:val="22"/>
          <w:lang w:val="en-GB"/>
        </w:rPr>
        <w:t xml:space="preserve">We understand that the </w:t>
      </w:r>
      <w:r w:rsidR="00253079" w:rsidRPr="009308C8">
        <w:rPr>
          <w:rFonts w:asciiTheme="majorHAnsi" w:eastAsia="Times New Roman" w:hAnsiTheme="majorHAnsi"/>
          <w:sz w:val="22"/>
          <w:szCs w:val="22"/>
          <w:lang w:val="en-GB"/>
        </w:rPr>
        <w:t xml:space="preserve">Australian </w:t>
      </w:r>
      <w:r w:rsidR="00DA7FAD" w:rsidRPr="009308C8">
        <w:rPr>
          <w:rFonts w:asciiTheme="majorHAnsi" w:eastAsia="Times New Roman" w:hAnsiTheme="majorHAnsi"/>
          <w:sz w:val="22"/>
          <w:szCs w:val="22"/>
          <w:lang w:val="en-GB"/>
        </w:rPr>
        <w:t xml:space="preserve">Government has made some preliminary recommendations in its response to the Harper review regarding the retention or otherwise of parallel importation restrictions in Australia.  Prior to the </w:t>
      </w:r>
      <w:r w:rsidR="00253079" w:rsidRPr="009308C8">
        <w:rPr>
          <w:rFonts w:asciiTheme="majorHAnsi" w:eastAsia="Times New Roman" w:hAnsiTheme="majorHAnsi"/>
          <w:sz w:val="22"/>
          <w:szCs w:val="22"/>
          <w:lang w:val="en-GB"/>
        </w:rPr>
        <w:t>Australian</w:t>
      </w:r>
      <w:r w:rsidR="00DA7FAD" w:rsidRPr="009308C8">
        <w:rPr>
          <w:rFonts w:asciiTheme="majorHAnsi" w:eastAsia="Times New Roman" w:hAnsiTheme="majorHAnsi"/>
          <w:sz w:val="22"/>
          <w:szCs w:val="22"/>
          <w:lang w:val="en-GB"/>
        </w:rPr>
        <w:t xml:space="preserve"> Government committing any such decisions to legislation we ask that the Commission highlight the issues raised in this submission with the </w:t>
      </w:r>
      <w:r w:rsidR="00253079" w:rsidRPr="009308C8">
        <w:rPr>
          <w:rFonts w:asciiTheme="majorHAnsi" w:eastAsia="Times New Roman" w:hAnsiTheme="majorHAnsi"/>
          <w:sz w:val="22"/>
          <w:szCs w:val="22"/>
          <w:lang w:val="en-GB"/>
        </w:rPr>
        <w:t>Australian</w:t>
      </w:r>
      <w:r w:rsidR="00DA7FAD" w:rsidRPr="009308C8">
        <w:rPr>
          <w:rFonts w:asciiTheme="majorHAnsi" w:eastAsia="Times New Roman" w:hAnsiTheme="majorHAnsi"/>
          <w:sz w:val="22"/>
          <w:szCs w:val="22"/>
          <w:lang w:val="en-GB"/>
        </w:rPr>
        <w:t xml:space="preserve"> Government.</w:t>
      </w:r>
    </w:p>
    <w:p w:rsidR="00A56C8C" w:rsidRPr="009308C8" w:rsidRDefault="00A56C8C" w:rsidP="00A56C8C">
      <w:pPr>
        <w:spacing w:after="120" w:line="300" w:lineRule="exact"/>
        <w:jc w:val="both"/>
        <w:rPr>
          <w:rFonts w:asciiTheme="majorHAnsi" w:eastAsia="Times New Roman" w:hAnsiTheme="majorHAnsi"/>
          <w:sz w:val="22"/>
          <w:szCs w:val="22"/>
          <w:lang w:val="en-GB"/>
        </w:rPr>
      </w:pPr>
      <w:r>
        <w:rPr>
          <w:rFonts w:asciiTheme="majorHAnsi" w:eastAsia="Times New Roman" w:hAnsiTheme="majorHAnsi"/>
          <w:sz w:val="22"/>
          <w:szCs w:val="22"/>
          <w:lang w:val="en-GB"/>
        </w:rPr>
        <w:t>W</w:t>
      </w:r>
      <w:r w:rsidRPr="009308C8">
        <w:rPr>
          <w:rFonts w:asciiTheme="majorHAnsi" w:eastAsia="Times New Roman" w:hAnsiTheme="majorHAnsi"/>
          <w:sz w:val="22"/>
          <w:szCs w:val="22"/>
          <w:lang w:val="en-GB"/>
        </w:rPr>
        <w:t xml:space="preserve">e provide this submission in response to the specific question:  </w:t>
      </w:r>
      <w:r w:rsidRPr="009308C8">
        <w:rPr>
          <w:rFonts w:asciiTheme="majorHAnsi" w:eastAsia="Times New Roman" w:hAnsiTheme="majorHAnsi"/>
          <w:i/>
          <w:sz w:val="22"/>
          <w:szCs w:val="22"/>
          <w:lang w:val="en-GB"/>
        </w:rPr>
        <w:t>Do existing restrictions on parallel imports still fulfil their intended goals in the digital era?</w:t>
      </w:r>
      <w:r w:rsidRPr="009308C8">
        <w:rPr>
          <w:rFonts w:asciiTheme="majorHAnsi" w:eastAsia="Times New Roman" w:hAnsiTheme="majorHAnsi"/>
          <w:sz w:val="22"/>
          <w:szCs w:val="22"/>
          <w:lang w:val="en-GB"/>
        </w:rPr>
        <w:t xml:space="preserve">  We frame our response adopting the framework outlined in the Issues Paper, namely through a consideration of effectiveness, efficiency, adaptability and accountability.</w:t>
      </w:r>
    </w:p>
    <w:p w:rsidR="00684E3E" w:rsidRPr="009308C8" w:rsidRDefault="00A56C8C" w:rsidP="008979BF">
      <w:pPr>
        <w:spacing w:after="120" w:line="300" w:lineRule="exact"/>
        <w:jc w:val="both"/>
        <w:rPr>
          <w:rFonts w:asciiTheme="majorHAnsi" w:eastAsia="Times New Roman" w:hAnsiTheme="majorHAnsi"/>
          <w:sz w:val="22"/>
          <w:szCs w:val="22"/>
          <w:lang w:val="en-GB"/>
        </w:rPr>
      </w:pPr>
      <w:r>
        <w:rPr>
          <w:rFonts w:asciiTheme="majorHAnsi" w:eastAsia="Times New Roman" w:hAnsiTheme="majorHAnsi"/>
          <w:sz w:val="22"/>
          <w:szCs w:val="22"/>
          <w:lang w:val="en-GB"/>
        </w:rPr>
        <w:t>We</w:t>
      </w:r>
      <w:r w:rsidR="00684E3E" w:rsidRPr="009308C8">
        <w:rPr>
          <w:rFonts w:asciiTheme="majorHAnsi" w:eastAsia="Times New Roman" w:hAnsiTheme="majorHAnsi"/>
          <w:sz w:val="22"/>
          <w:szCs w:val="22"/>
          <w:lang w:val="en-GB"/>
        </w:rPr>
        <w:t xml:space="preserve"> acknowledge and support the draft submissions of </w:t>
      </w:r>
      <w:r w:rsidR="00684E3E" w:rsidRPr="00A56C8C">
        <w:rPr>
          <w:rFonts w:asciiTheme="majorHAnsi" w:eastAsia="Times New Roman" w:hAnsiTheme="majorHAnsi"/>
          <w:sz w:val="22"/>
          <w:szCs w:val="22"/>
          <w:lang w:val="en-GB"/>
        </w:rPr>
        <w:t>Oxford U</w:t>
      </w:r>
      <w:r>
        <w:rPr>
          <w:rFonts w:asciiTheme="majorHAnsi" w:eastAsia="Times New Roman" w:hAnsiTheme="majorHAnsi"/>
          <w:sz w:val="22"/>
          <w:szCs w:val="22"/>
          <w:lang w:val="en-GB"/>
        </w:rPr>
        <w:t xml:space="preserve">niversity </w:t>
      </w:r>
      <w:r w:rsidR="00684E3E" w:rsidRPr="00A56C8C">
        <w:rPr>
          <w:rFonts w:asciiTheme="majorHAnsi" w:eastAsia="Times New Roman" w:hAnsiTheme="majorHAnsi"/>
          <w:sz w:val="22"/>
          <w:szCs w:val="22"/>
          <w:lang w:val="en-GB"/>
        </w:rPr>
        <w:t>P</w:t>
      </w:r>
      <w:r>
        <w:rPr>
          <w:rFonts w:asciiTheme="majorHAnsi" w:eastAsia="Times New Roman" w:hAnsiTheme="majorHAnsi"/>
          <w:sz w:val="22"/>
          <w:szCs w:val="22"/>
          <w:lang w:val="en-GB"/>
        </w:rPr>
        <w:t xml:space="preserve">ress, </w:t>
      </w:r>
      <w:r w:rsidRPr="00A56C8C">
        <w:rPr>
          <w:rFonts w:asciiTheme="majorHAnsi" w:eastAsia="Times New Roman" w:hAnsiTheme="majorHAnsi"/>
          <w:sz w:val="22"/>
          <w:szCs w:val="22"/>
          <w:lang w:val="en-GB"/>
        </w:rPr>
        <w:t>the</w:t>
      </w:r>
      <w:r w:rsidR="00D04B2E" w:rsidRPr="00A56C8C">
        <w:rPr>
          <w:rFonts w:asciiTheme="majorHAnsi" w:eastAsia="Times New Roman" w:hAnsiTheme="majorHAnsi"/>
          <w:sz w:val="22"/>
          <w:szCs w:val="22"/>
          <w:lang w:val="en-GB"/>
        </w:rPr>
        <w:t xml:space="preserve"> Australian </w:t>
      </w:r>
      <w:r w:rsidR="00684E3E" w:rsidRPr="00A56C8C">
        <w:rPr>
          <w:rFonts w:asciiTheme="majorHAnsi" w:eastAsia="Times New Roman" w:hAnsiTheme="majorHAnsi"/>
          <w:sz w:val="22"/>
          <w:szCs w:val="22"/>
          <w:lang w:val="en-GB"/>
        </w:rPr>
        <w:t>Copyright Counci</w:t>
      </w:r>
      <w:r>
        <w:rPr>
          <w:rFonts w:asciiTheme="majorHAnsi" w:eastAsia="Times New Roman" w:hAnsiTheme="majorHAnsi"/>
          <w:sz w:val="22"/>
          <w:szCs w:val="22"/>
          <w:lang w:val="en-GB"/>
        </w:rPr>
        <w:t>l and the Australian Publishers Association</w:t>
      </w:r>
      <w:r w:rsidR="00684E3E" w:rsidRPr="009308C8">
        <w:rPr>
          <w:rFonts w:asciiTheme="majorHAnsi" w:eastAsia="Times New Roman" w:hAnsiTheme="majorHAnsi"/>
          <w:sz w:val="22"/>
          <w:szCs w:val="22"/>
          <w:lang w:val="en-GB"/>
        </w:rPr>
        <w:t xml:space="preserve"> in response to </w:t>
      </w:r>
      <w:r>
        <w:rPr>
          <w:rFonts w:asciiTheme="majorHAnsi" w:eastAsia="Times New Roman" w:hAnsiTheme="majorHAnsi"/>
          <w:sz w:val="22"/>
          <w:szCs w:val="22"/>
          <w:lang w:val="en-GB"/>
        </w:rPr>
        <w:t xml:space="preserve">other </w:t>
      </w:r>
      <w:r w:rsidR="00684E3E" w:rsidRPr="009308C8">
        <w:rPr>
          <w:rFonts w:asciiTheme="majorHAnsi" w:eastAsia="Times New Roman" w:hAnsiTheme="majorHAnsi"/>
          <w:sz w:val="22"/>
          <w:szCs w:val="22"/>
          <w:lang w:val="en-GB"/>
        </w:rPr>
        <w:t>matte</w:t>
      </w:r>
      <w:r>
        <w:rPr>
          <w:rFonts w:asciiTheme="majorHAnsi" w:eastAsia="Times New Roman" w:hAnsiTheme="majorHAnsi"/>
          <w:sz w:val="22"/>
          <w:szCs w:val="22"/>
          <w:lang w:val="en-GB"/>
        </w:rPr>
        <w:t xml:space="preserve">rs raised in the Issues Paper.  </w:t>
      </w:r>
    </w:p>
    <w:p w:rsidR="00684E3E" w:rsidRPr="009308C8" w:rsidRDefault="00EB64F2" w:rsidP="008979BF">
      <w:pPr>
        <w:spacing w:before="120" w:after="240"/>
        <w:jc w:val="both"/>
        <w:rPr>
          <w:rFonts w:asciiTheme="majorHAnsi" w:hAnsiTheme="majorHAnsi"/>
          <w:b/>
          <w:sz w:val="28"/>
          <w:szCs w:val="28"/>
        </w:rPr>
      </w:pPr>
      <w:r w:rsidRPr="009308C8">
        <w:rPr>
          <w:rFonts w:asciiTheme="majorHAnsi" w:hAnsiTheme="majorHAnsi"/>
          <w:b/>
          <w:sz w:val="28"/>
          <w:szCs w:val="28"/>
        </w:rPr>
        <w:t>The publishing industry</w:t>
      </w:r>
      <w:r w:rsidR="00E95A60">
        <w:rPr>
          <w:rFonts w:asciiTheme="majorHAnsi" w:hAnsiTheme="majorHAnsi"/>
          <w:b/>
          <w:sz w:val="28"/>
          <w:szCs w:val="28"/>
        </w:rPr>
        <w:t>- innovation, investment and creativity</w:t>
      </w:r>
    </w:p>
    <w:p w:rsidR="008979BF" w:rsidRPr="009308C8" w:rsidRDefault="008979BF" w:rsidP="008979BF">
      <w:pPr>
        <w:spacing w:after="120" w:line="300" w:lineRule="exact"/>
        <w:jc w:val="both"/>
        <w:rPr>
          <w:rFonts w:asciiTheme="majorHAnsi" w:eastAsia="Times New Roman" w:hAnsiTheme="majorHAnsi"/>
          <w:sz w:val="22"/>
          <w:szCs w:val="22"/>
          <w:lang w:val="en-GB"/>
        </w:rPr>
      </w:pPr>
      <w:r w:rsidRPr="009308C8">
        <w:rPr>
          <w:rFonts w:asciiTheme="majorHAnsi" w:eastAsia="Times New Roman" w:hAnsiTheme="majorHAnsi"/>
          <w:sz w:val="22"/>
          <w:szCs w:val="22"/>
          <w:lang w:val="en-GB"/>
        </w:rPr>
        <w:t xml:space="preserve">We support the </w:t>
      </w:r>
      <w:r w:rsidR="00F549D6" w:rsidRPr="009308C8">
        <w:rPr>
          <w:rFonts w:asciiTheme="majorHAnsi" w:eastAsia="Times New Roman" w:hAnsiTheme="majorHAnsi"/>
          <w:sz w:val="22"/>
          <w:szCs w:val="22"/>
          <w:lang w:val="en-GB"/>
        </w:rPr>
        <w:t>Australian Government’s stated</w:t>
      </w:r>
      <w:r w:rsidR="00684E3E" w:rsidRPr="009308C8">
        <w:rPr>
          <w:rFonts w:asciiTheme="majorHAnsi" w:eastAsia="Times New Roman" w:hAnsiTheme="majorHAnsi"/>
          <w:sz w:val="22"/>
          <w:szCs w:val="22"/>
          <w:lang w:val="en-GB"/>
        </w:rPr>
        <w:t xml:space="preserve"> </w:t>
      </w:r>
      <w:r w:rsidRPr="009308C8">
        <w:rPr>
          <w:rFonts w:asciiTheme="majorHAnsi" w:eastAsia="Times New Roman" w:hAnsiTheme="majorHAnsi"/>
          <w:sz w:val="22"/>
          <w:szCs w:val="22"/>
          <w:lang w:val="en-GB"/>
        </w:rPr>
        <w:t xml:space="preserve">policy aims as outlined in the </w:t>
      </w:r>
      <w:r w:rsidR="00684E3E" w:rsidRPr="009308C8">
        <w:rPr>
          <w:rFonts w:asciiTheme="majorHAnsi" w:eastAsia="Times New Roman" w:hAnsiTheme="majorHAnsi"/>
          <w:sz w:val="22"/>
          <w:szCs w:val="22"/>
          <w:lang w:val="en-GB"/>
        </w:rPr>
        <w:t>Issues Paper</w:t>
      </w:r>
      <w:r w:rsidRPr="009308C8">
        <w:rPr>
          <w:rFonts w:asciiTheme="majorHAnsi" w:eastAsia="Times New Roman" w:hAnsiTheme="majorHAnsi"/>
          <w:sz w:val="22"/>
          <w:szCs w:val="22"/>
          <w:lang w:val="en-GB"/>
        </w:rPr>
        <w:t xml:space="preserve"> </w:t>
      </w:r>
      <w:r w:rsidR="00F549D6" w:rsidRPr="009308C8">
        <w:rPr>
          <w:rFonts w:asciiTheme="majorHAnsi" w:eastAsia="Times New Roman" w:hAnsiTheme="majorHAnsi"/>
          <w:sz w:val="22"/>
          <w:szCs w:val="22"/>
          <w:lang w:val="en-GB"/>
        </w:rPr>
        <w:t xml:space="preserve">of wanting to ensure that the intellectual property system provides appropriate incentives for innovation, investment and the production of creative works while ensuring it does not unreasonably impede further innovation, competition, investment and access to goods and services.  The </w:t>
      </w:r>
      <w:r w:rsidR="009308C8" w:rsidRPr="009308C8">
        <w:rPr>
          <w:rFonts w:asciiTheme="majorHAnsi" w:eastAsia="Times New Roman" w:hAnsiTheme="majorHAnsi"/>
          <w:sz w:val="22"/>
          <w:szCs w:val="22"/>
          <w:lang w:val="en-GB"/>
        </w:rPr>
        <w:t xml:space="preserve">Australian </w:t>
      </w:r>
      <w:r w:rsidR="00F549D6" w:rsidRPr="009308C8">
        <w:rPr>
          <w:rFonts w:asciiTheme="majorHAnsi" w:eastAsia="Times New Roman" w:hAnsiTheme="majorHAnsi"/>
          <w:sz w:val="22"/>
          <w:szCs w:val="22"/>
          <w:lang w:val="en-GB"/>
        </w:rPr>
        <w:t xml:space="preserve">publishing industry has a long history </w:t>
      </w:r>
      <w:r w:rsidRPr="009308C8">
        <w:rPr>
          <w:rFonts w:asciiTheme="majorHAnsi" w:eastAsia="Times New Roman" w:hAnsiTheme="majorHAnsi"/>
          <w:sz w:val="22"/>
          <w:szCs w:val="22"/>
          <w:lang w:val="en-GB"/>
        </w:rPr>
        <w:t>of fostering diversity and the long term interests of consumers, the encouragement of efficient investment, innovation and entrepreneurship</w:t>
      </w:r>
      <w:r w:rsidR="00266EBE">
        <w:rPr>
          <w:rFonts w:asciiTheme="majorHAnsi" w:eastAsia="Times New Roman" w:hAnsiTheme="majorHAnsi"/>
          <w:sz w:val="22"/>
          <w:szCs w:val="22"/>
          <w:lang w:val="en-GB"/>
        </w:rPr>
        <w:t xml:space="preserve">.  </w:t>
      </w:r>
      <w:r w:rsidRPr="009308C8">
        <w:rPr>
          <w:rFonts w:asciiTheme="majorHAnsi" w:eastAsia="Times New Roman" w:hAnsiTheme="majorHAnsi"/>
          <w:sz w:val="22"/>
          <w:szCs w:val="22"/>
          <w:lang w:val="en-GB"/>
        </w:rPr>
        <w:t xml:space="preserve">We </w:t>
      </w:r>
      <w:r w:rsidR="00684E3E" w:rsidRPr="009308C8">
        <w:rPr>
          <w:rFonts w:asciiTheme="majorHAnsi" w:eastAsia="Times New Roman" w:hAnsiTheme="majorHAnsi"/>
          <w:sz w:val="22"/>
          <w:szCs w:val="22"/>
          <w:lang w:val="en-GB"/>
        </w:rPr>
        <w:t>want</w:t>
      </w:r>
      <w:r w:rsidRPr="009308C8">
        <w:rPr>
          <w:rFonts w:asciiTheme="majorHAnsi" w:eastAsia="Times New Roman" w:hAnsiTheme="majorHAnsi"/>
          <w:sz w:val="22"/>
          <w:szCs w:val="22"/>
          <w:lang w:val="en-GB"/>
        </w:rPr>
        <w:t xml:space="preserve"> to ensure that Australian consumers receive access to the best possible content at the best possible prices.</w:t>
      </w:r>
    </w:p>
    <w:p w:rsidR="008979BF" w:rsidRPr="009308C8" w:rsidRDefault="008979BF" w:rsidP="008979BF">
      <w:pPr>
        <w:spacing w:after="120" w:line="300" w:lineRule="exact"/>
        <w:jc w:val="both"/>
        <w:rPr>
          <w:rFonts w:asciiTheme="majorHAnsi" w:eastAsia="Times New Roman" w:hAnsiTheme="majorHAnsi"/>
          <w:sz w:val="22"/>
          <w:szCs w:val="22"/>
          <w:lang w:val="en-GB"/>
        </w:rPr>
      </w:pPr>
      <w:r w:rsidRPr="009308C8">
        <w:rPr>
          <w:rFonts w:asciiTheme="majorHAnsi" w:eastAsia="Times New Roman" w:hAnsiTheme="majorHAnsi"/>
          <w:sz w:val="22"/>
          <w:szCs w:val="22"/>
          <w:lang w:val="en-GB"/>
        </w:rPr>
        <w:t xml:space="preserve">In any review of </w:t>
      </w:r>
      <w:r w:rsidR="00F549D6" w:rsidRPr="009308C8">
        <w:rPr>
          <w:rFonts w:asciiTheme="majorHAnsi" w:eastAsia="Times New Roman" w:hAnsiTheme="majorHAnsi"/>
          <w:sz w:val="22"/>
          <w:szCs w:val="22"/>
          <w:lang w:val="en-GB"/>
        </w:rPr>
        <w:t>governmental</w:t>
      </w:r>
      <w:r w:rsidRPr="009308C8">
        <w:rPr>
          <w:rFonts w:asciiTheme="majorHAnsi" w:eastAsia="Times New Roman" w:hAnsiTheme="majorHAnsi"/>
          <w:sz w:val="22"/>
          <w:szCs w:val="22"/>
          <w:lang w:val="en-GB"/>
        </w:rPr>
        <w:t xml:space="preserve"> policy, a holistic approach must be adopted to enable any perceived benefits</w:t>
      </w:r>
      <w:r w:rsidR="00F549D6" w:rsidRPr="009308C8">
        <w:rPr>
          <w:rFonts w:asciiTheme="majorHAnsi" w:eastAsia="Times New Roman" w:hAnsiTheme="majorHAnsi"/>
          <w:sz w:val="22"/>
          <w:szCs w:val="22"/>
          <w:lang w:val="en-GB"/>
        </w:rPr>
        <w:t xml:space="preserve"> of change</w:t>
      </w:r>
      <w:r w:rsidRPr="009308C8">
        <w:rPr>
          <w:rFonts w:asciiTheme="majorHAnsi" w:eastAsia="Times New Roman" w:hAnsiTheme="majorHAnsi"/>
          <w:sz w:val="22"/>
          <w:szCs w:val="22"/>
          <w:lang w:val="en-GB"/>
        </w:rPr>
        <w:t xml:space="preserve"> to be properly analysed to ensure their likelihood of success.  In the area of intellectual property, a review must take into account the entire value chain, market structure, opportunities for innovation, and production and logistics realities in order for perceived consumer benefits to be realised.   </w:t>
      </w:r>
    </w:p>
    <w:p w:rsidR="008979BF" w:rsidRPr="009308C8" w:rsidRDefault="008979BF" w:rsidP="008979BF">
      <w:pPr>
        <w:spacing w:after="120" w:line="300" w:lineRule="exact"/>
        <w:jc w:val="both"/>
        <w:rPr>
          <w:rFonts w:asciiTheme="majorHAnsi" w:eastAsia="Times New Roman" w:hAnsiTheme="majorHAnsi"/>
          <w:sz w:val="22"/>
          <w:szCs w:val="22"/>
          <w:lang w:val="en-GB"/>
        </w:rPr>
      </w:pPr>
      <w:r w:rsidRPr="009308C8">
        <w:rPr>
          <w:rFonts w:asciiTheme="majorHAnsi" w:eastAsia="Times New Roman" w:hAnsiTheme="majorHAnsi"/>
          <w:sz w:val="22"/>
          <w:szCs w:val="22"/>
          <w:lang w:val="en-GB"/>
        </w:rPr>
        <w:t xml:space="preserve">In 2009, the Productivity Commission conducted a complete and thorough review of parallel importation through the </w:t>
      </w:r>
      <w:r w:rsidRPr="009308C8">
        <w:rPr>
          <w:rFonts w:asciiTheme="majorHAnsi" w:eastAsia="Times New Roman" w:hAnsiTheme="majorHAnsi"/>
          <w:i/>
          <w:sz w:val="22"/>
          <w:szCs w:val="22"/>
          <w:lang w:val="en-GB"/>
        </w:rPr>
        <w:t>Parallel Importation of Books Study</w:t>
      </w:r>
      <w:r w:rsidRPr="009308C8">
        <w:rPr>
          <w:rFonts w:asciiTheme="majorHAnsi" w:eastAsia="Times New Roman" w:hAnsiTheme="majorHAnsi"/>
          <w:sz w:val="22"/>
          <w:szCs w:val="22"/>
          <w:lang w:val="en-GB"/>
        </w:rPr>
        <w:t xml:space="preserve">, to which Penguin Random House (then Random House and Penguin) provided full and </w:t>
      </w:r>
      <w:r w:rsidRPr="009308C8">
        <w:rPr>
          <w:rFonts w:asciiTheme="majorHAnsi" w:eastAsia="Times New Roman" w:hAnsiTheme="majorHAnsi"/>
          <w:sz w:val="22"/>
          <w:szCs w:val="22"/>
          <w:lang w:val="en-GB"/>
        </w:rPr>
        <w:lastRenderedPageBreak/>
        <w:t xml:space="preserve">lengthy submissions. </w:t>
      </w:r>
      <w:r w:rsidR="00F549D6" w:rsidRPr="009308C8">
        <w:rPr>
          <w:rFonts w:asciiTheme="majorHAnsi" w:eastAsia="Times New Roman" w:hAnsiTheme="majorHAnsi"/>
          <w:sz w:val="22"/>
          <w:szCs w:val="22"/>
          <w:lang w:val="en-GB"/>
        </w:rPr>
        <w:t>In 2014</w:t>
      </w:r>
      <w:r w:rsidR="00D62CC1">
        <w:rPr>
          <w:rFonts w:asciiTheme="majorHAnsi" w:eastAsia="Times New Roman" w:hAnsiTheme="majorHAnsi"/>
          <w:sz w:val="22"/>
          <w:szCs w:val="22"/>
          <w:lang w:val="en-GB"/>
        </w:rPr>
        <w:t xml:space="preserve"> Penguin Random House made submissions to the</w:t>
      </w:r>
      <w:r w:rsidR="00F549D6" w:rsidRPr="009308C8">
        <w:rPr>
          <w:rFonts w:asciiTheme="majorHAnsi" w:eastAsia="Times New Roman" w:hAnsiTheme="majorHAnsi"/>
          <w:sz w:val="22"/>
          <w:szCs w:val="22"/>
          <w:lang w:val="en-GB"/>
        </w:rPr>
        <w:t xml:space="preserve"> </w:t>
      </w:r>
      <w:r w:rsidR="00D62CC1">
        <w:rPr>
          <w:rFonts w:asciiTheme="majorHAnsi" w:eastAsia="Times New Roman" w:hAnsiTheme="majorHAnsi"/>
          <w:sz w:val="22"/>
          <w:szCs w:val="22"/>
          <w:lang w:val="en-GB"/>
        </w:rPr>
        <w:t>Harper Review</w:t>
      </w:r>
      <w:r w:rsidR="00F549D6" w:rsidRPr="009308C8">
        <w:rPr>
          <w:rFonts w:asciiTheme="majorHAnsi" w:eastAsia="Times New Roman" w:hAnsiTheme="majorHAnsi"/>
          <w:sz w:val="22"/>
          <w:szCs w:val="22"/>
          <w:lang w:val="en-GB"/>
        </w:rPr>
        <w:t xml:space="preserve"> </w:t>
      </w:r>
      <w:r w:rsidR="00D62CC1">
        <w:rPr>
          <w:rFonts w:asciiTheme="majorHAnsi" w:eastAsia="Times New Roman" w:hAnsiTheme="majorHAnsi"/>
          <w:sz w:val="22"/>
          <w:szCs w:val="22"/>
          <w:lang w:val="en-GB"/>
        </w:rPr>
        <w:t>supporting the retention of the PIR system</w:t>
      </w:r>
      <w:r w:rsidR="00F549D6" w:rsidRPr="009308C8">
        <w:rPr>
          <w:rFonts w:asciiTheme="majorHAnsi" w:eastAsia="Times New Roman" w:hAnsiTheme="majorHAnsi"/>
          <w:sz w:val="22"/>
          <w:szCs w:val="22"/>
          <w:lang w:val="en-GB"/>
        </w:rPr>
        <w:t>.</w:t>
      </w:r>
    </w:p>
    <w:p w:rsidR="00EB64F2" w:rsidRPr="009308C8" w:rsidRDefault="00AF7947" w:rsidP="008979BF">
      <w:pPr>
        <w:spacing w:after="120" w:line="300" w:lineRule="exact"/>
        <w:jc w:val="both"/>
        <w:rPr>
          <w:rFonts w:asciiTheme="majorHAnsi" w:eastAsia="Times New Roman" w:hAnsiTheme="majorHAnsi"/>
          <w:sz w:val="22"/>
          <w:szCs w:val="22"/>
          <w:lang w:val="en-GB"/>
        </w:rPr>
      </w:pPr>
      <w:r w:rsidRPr="00AF7947">
        <w:rPr>
          <w:rFonts w:asciiTheme="majorHAnsi" w:hAnsiTheme="majorHAnsi"/>
          <w:sz w:val="22"/>
          <w:szCs w:val="22"/>
        </w:rPr>
        <w:t>The PIR regime has enabled the creation of new and valuable intellectual property in Australia and the export of the Australian cultural experience to the rest of the world.  Our authors include</w:t>
      </w:r>
      <w:r w:rsidR="005A2E44">
        <w:rPr>
          <w:rFonts w:asciiTheme="majorHAnsi" w:hAnsiTheme="majorHAnsi"/>
          <w:sz w:val="22"/>
          <w:szCs w:val="22"/>
        </w:rPr>
        <w:t xml:space="preserve"> globally recognized literary figures including</w:t>
      </w:r>
      <w:r w:rsidRPr="00AF7947">
        <w:rPr>
          <w:rFonts w:asciiTheme="majorHAnsi" w:hAnsiTheme="majorHAnsi"/>
          <w:sz w:val="22"/>
          <w:szCs w:val="22"/>
        </w:rPr>
        <w:t xml:space="preserve"> </w:t>
      </w:r>
      <w:r w:rsidRPr="005A2E44">
        <w:rPr>
          <w:rFonts w:asciiTheme="majorHAnsi" w:hAnsiTheme="majorHAnsi"/>
          <w:sz w:val="22"/>
          <w:szCs w:val="22"/>
        </w:rPr>
        <w:t>Richard Flanagan</w:t>
      </w:r>
      <w:r w:rsidR="005A2E44" w:rsidRPr="005A2E44">
        <w:rPr>
          <w:rFonts w:asciiTheme="majorHAnsi" w:hAnsiTheme="majorHAnsi"/>
          <w:sz w:val="22"/>
          <w:szCs w:val="22"/>
        </w:rPr>
        <w:t xml:space="preserve"> and</w:t>
      </w:r>
      <w:r w:rsidRPr="005A2E44">
        <w:rPr>
          <w:rFonts w:asciiTheme="majorHAnsi" w:hAnsiTheme="majorHAnsi"/>
          <w:sz w:val="22"/>
          <w:szCs w:val="22"/>
        </w:rPr>
        <w:t xml:space="preserve"> Tim Winton</w:t>
      </w:r>
      <w:r w:rsidRPr="00AF7947">
        <w:rPr>
          <w:rFonts w:asciiTheme="majorHAnsi" w:hAnsiTheme="majorHAnsi"/>
          <w:sz w:val="22"/>
          <w:szCs w:val="22"/>
        </w:rPr>
        <w:t>.</w:t>
      </w:r>
      <w:r>
        <w:rPr>
          <w:rFonts w:asciiTheme="majorHAnsi" w:hAnsiTheme="majorHAnsi"/>
          <w:sz w:val="22"/>
          <w:szCs w:val="22"/>
        </w:rPr>
        <w:t xml:space="preserve">  </w:t>
      </w:r>
      <w:r w:rsidR="00F549D6" w:rsidRPr="009308C8">
        <w:rPr>
          <w:rFonts w:asciiTheme="majorHAnsi" w:eastAsia="Times New Roman" w:hAnsiTheme="majorHAnsi"/>
          <w:sz w:val="22"/>
          <w:szCs w:val="22"/>
          <w:lang w:val="en-GB"/>
        </w:rPr>
        <w:t xml:space="preserve">We do not consider that the maturation of the digital era </w:t>
      </w:r>
      <w:r w:rsidR="009308C8" w:rsidRPr="009308C8">
        <w:rPr>
          <w:rFonts w:asciiTheme="majorHAnsi" w:eastAsia="Times New Roman" w:hAnsiTheme="majorHAnsi"/>
          <w:sz w:val="22"/>
          <w:szCs w:val="22"/>
          <w:lang w:val="en-GB"/>
        </w:rPr>
        <w:t>undermines</w:t>
      </w:r>
      <w:r w:rsidR="00F549D6" w:rsidRPr="009308C8">
        <w:rPr>
          <w:rFonts w:asciiTheme="majorHAnsi" w:eastAsia="Times New Roman" w:hAnsiTheme="majorHAnsi"/>
          <w:sz w:val="22"/>
          <w:szCs w:val="22"/>
          <w:lang w:val="en-GB"/>
        </w:rPr>
        <w:t xml:space="preserve"> the need for </w:t>
      </w:r>
      <w:r w:rsidR="00EB64F2" w:rsidRPr="009308C8">
        <w:rPr>
          <w:rFonts w:asciiTheme="majorHAnsi" w:eastAsia="Times New Roman" w:hAnsiTheme="majorHAnsi"/>
          <w:sz w:val="22"/>
          <w:szCs w:val="22"/>
          <w:lang w:val="en-GB"/>
        </w:rPr>
        <w:t>parallel importation restrictions (</w:t>
      </w:r>
      <w:r w:rsidR="00EB64F2" w:rsidRPr="009308C8">
        <w:rPr>
          <w:rFonts w:asciiTheme="majorHAnsi" w:eastAsia="Times New Roman" w:hAnsiTheme="majorHAnsi"/>
          <w:b/>
          <w:sz w:val="22"/>
          <w:szCs w:val="22"/>
          <w:lang w:val="en-GB"/>
        </w:rPr>
        <w:t>PIR</w:t>
      </w:r>
      <w:r w:rsidR="00E95A60">
        <w:rPr>
          <w:rFonts w:asciiTheme="majorHAnsi" w:eastAsia="Times New Roman" w:hAnsiTheme="majorHAnsi"/>
          <w:b/>
          <w:sz w:val="22"/>
          <w:szCs w:val="22"/>
          <w:lang w:val="en-GB"/>
        </w:rPr>
        <w:t>s</w:t>
      </w:r>
      <w:r w:rsidR="009308C8" w:rsidRPr="009308C8">
        <w:rPr>
          <w:rFonts w:asciiTheme="majorHAnsi" w:eastAsia="Times New Roman" w:hAnsiTheme="majorHAnsi"/>
          <w:sz w:val="22"/>
          <w:szCs w:val="22"/>
          <w:lang w:val="en-GB"/>
        </w:rPr>
        <w:t>)</w:t>
      </w:r>
      <w:r w:rsidR="00EB64F2" w:rsidRPr="009308C8">
        <w:rPr>
          <w:rFonts w:asciiTheme="majorHAnsi" w:eastAsia="Times New Roman" w:hAnsiTheme="majorHAnsi"/>
          <w:sz w:val="22"/>
          <w:szCs w:val="22"/>
          <w:lang w:val="en-GB"/>
        </w:rPr>
        <w:t xml:space="preserve">.  </w:t>
      </w:r>
    </w:p>
    <w:p w:rsidR="00D04B2E" w:rsidRPr="009308C8" w:rsidRDefault="009308C8" w:rsidP="00EB64F2">
      <w:pPr>
        <w:spacing w:before="120" w:after="240"/>
        <w:jc w:val="both"/>
        <w:rPr>
          <w:rFonts w:asciiTheme="majorHAnsi" w:eastAsia="Times New Roman" w:hAnsiTheme="majorHAnsi"/>
          <w:b/>
          <w:sz w:val="28"/>
          <w:szCs w:val="28"/>
          <w:lang w:val="en-GB"/>
        </w:rPr>
      </w:pPr>
      <w:r w:rsidRPr="009308C8">
        <w:rPr>
          <w:rFonts w:asciiTheme="majorHAnsi" w:eastAsia="Times New Roman" w:hAnsiTheme="majorHAnsi"/>
          <w:b/>
          <w:sz w:val="28"/>
          <w:szCs w:val="28"/>
          <w:lang w:val="en-GB"/>
        </w:rPr>
        <w:t>Parallel importation restrictions benefit Australian society</w:t>
      </w:r>
    </w:p>
    <w:p w:rsidR="00D62CC1" w:rsidRPr="009308C8" w:rsidRDefault="00D62CC1" w:rsidP="00D62CC1">
      <w:pPr>
        <w:pStyle w:val="ListParagraph"/>
        <w:numPr>
          <w:ilvl w:val="0"/>
          <w:numId w:val="6"/>
        </w:numPr>
        <w:spacing w:before="120" w:after="240"/>
        <w:jc w:val="both"/>
        <w:rPr>
          <w:rFonts w:asciiTheme="majorHAnsi" w:eastAsia="Times New Roman" w:hAnsiTheme="majorHAnsi"/>
          <w:b/>
          <w:sz w:val="22"/>
          <w:szCs w:val="22"/>
          <w:lang w:val="en-GB"/>
        </w:rPr>
      </w:pPr>
      <w:r>
        <w:rPr>
          <w:rFonts w:asciiTheme="majorHAnsi" w:eastAsia="Times New Roman" w:hAnsiTheme="majorHAnsi"/>
          <w:sz w:val="22"/>
          <w:szCs w:val="22"/>
          <w:lang w:val="en-GB"/>
        </w:rPr>
        <w:t>The PIR regime has not resulted in higher prices for books for Australians.</w:t>
      </w:r>
    </w:p>
    <w:p w:rsidR="00D62CC1" w:rsidRPr="006440F7" w:rsidRDefault="00D62CC1" w:rsidP="00D62CC1">
      <w:pPr>
        <w:pStyle w:val="ListParagraph"/>
        <w:numPr>
          <w:ilvl w:val="0"/>
          <w:numId w:val="6"/>
        </w:numPr>
        <w:spacing w:before="120" w:after="240"/>
        <w:jc w:val="both"/>
        <w:rPr>
          <w:rFonts w:asciiTheme="majorHAnsi" w:eastAsia="Times New Roman" w:hAnsiTheme="majorHAnsi"/>
          <w:b/>
          <w:sz w:val="22"/>
          <w:szCs w:val="22"/>
          <w:lang w:val="en-GB"/>
        </w:rPr>
      </w:pPr>
      <w:r>
        <w:rPr>
          <w:rFonts w:asciiTheme="majorHAnsi" w:eastAsia="Times New Roman" w:hAnsiTheme="majorHAnsi"/>
          <w:sz w:val="22"/>
          <w:szCs w:val="22"/>
          <w:lang w:val="en-GB"/>
        </w:rPr>
        <w:t>The PIR regime has not resulted in delayed access to books for Australians.</w:t>
      </w:r>
    </w:p>
    <w:p w:rsidR="006440F7" w:rsidRPr="009308C8" w:rsidRDefault="006440F7" w:rsidP="00D62CC1">
      <w:pPr>
        <w:pStyle w:val="ListParagraph"/>
        <w:numPr>
          <w:ilvl w:val="0"/>
          <w:numId w:val="6"/>
        </w:numPr>
        <w:spacing w:before="120" w:after="240"/>
        <w:jc w:val="both"/>
        <w:rPr>
          <w:rFonts w:asciiTheme="majorHAnsi" w:eastAsia="Times New Roman" w:hAnsiTheme="majorHAnsi"/>
          <w:b/>
          <w:sz w:val="22"/>
          <w:szCs w:val="22"/>
          <w:lang w:val="en-GB"/>
        </w:rPr>
      </w:pPr>
      <w:r>
        <w:rPr>
          <w:rFonts w:asciiTheme="majorHAnsi" w:eastAsia="Times New Roman" w:hAnsiTheme="majorHAnsi"/>
          <w:sz w:val="22"/>
          <w:szCs w:val="22"/>
          <w:lang w:val="en-GB"/>
        </w:rPr>
        <w:t>The digital era has not lead to a</w:t>
      </w:r>
      <w:r w:rsidR="00FD309B">
        <w:rPr>
          <w:rFonts w:asciiTheme="majorHAnsi" w:eastAsia="Times New Roman" w:hAnsiTheme="majorHAnsi"/>
          <w:sz w:val="22"/>
          <w:szCs w:val="22"/>
          <w:lang w:val="en-GB"/>
        </w:rPr>
        <w:t xml:space="preserve"> marked</w:t>
      </w:r>
      <w:r>
        <w:rPr>
          <w:rFonts w:asciiTheme="majorHAnsi" w:eastAsia="Times New Roman" w:hAnsiTheme="majorHAnsi"/>
          <w:sz w:val="22"/>
          <w:szCs w:val="22"/>
          <w:lang w:val="en-GB"/>
        </w:rPr>
        <w:t xml:space="preserve"> decline in the consumer demand for print books</w:t>
      </w:r>
      <w:r w:rsidR="00FD309B">
        <w:rPr>
          <w:rFonts w:asciiTheme="majorHAnsi" w:eastAsia="Times New Roman" w:hAnsiTheme="majorHAnsi"/>
          <w:sz w:val="22"/>
          <w:szCs w:val="22"/>
          <w:lang w:val="en-GB"/>
        </w:rPr>
        <w:t>.</w:t>
      </w:r>
    </w:p>
    <w:p w:rsidR="00D04B2E" w:rsidRPr="009308C8" w:rsidRDefault="009308C8" w:rsidP="00D04B2E">
      <w:pPr>
        <w:pStyle w:val="ListParagraph"/>
        <w:numPr>
          <w:ilvl w:val="0"/>
          <w:numId w:val="6"/>
        </w:numPr>
        <w:spacing w:before="120" w:after="240"/>
        <w:jc w:val="both"/>
        <w:rPr>
          <w:rFonts w:asciiTheme="majorHAnsi" w:eastAsia="Times New Roman" w:hAnsiTheme="majorHAnsi"/>
          <w:b/>
          <w:sz w:val="22"/>
          <w:szCs w:val="22"/>
          <w:lang w:val="en-GB"/>
        </w:rPr>
      </w:pPr>
      <w:r w:rsidRPr="009308C8">
        <w:rPr>
          <w:rFonts w:asciiTheme="majorHAnsi" w:eastAsia="Times New Roman" w:hAnsiTheme="majorHAnsi"/>
          <w:sz w:val="22"/>
          <w:szCs w:val="22"/>
          <w:lang w:val="en-GB"/>
        </w:rPr>
        <w:t>PIRs</w:t>
      </w:r>
      <w:r w:rsidR="00D04B2E" w:rsidRPr="009308C8">
        <w:rPr>
          <w:rFonts w:asciiTheme="majorHAnsi" w:eastAsia="Times New Roman" w:hAnsiTheme="majorHAnsi"/>
          <w:sz w:val="22"/>
          <w:szCs w:val="22"/>
          <w:lang w:val="en-GB"/>
        </w:rPr>
        <w:t xml:space="preserve"> are a limited set of intellectual property arrangements that enable Australian companies and authors to compete globally</w:t>
      </w:r>
      <w:r w:rsidR="00F24A79" w:rsidRPr="009308C8">
        <w:rPr>
          <w:rFonts w:asciiTheme="majorHAnsi" w:eastAsia="Times New Roman" w:hAnsiTheme="majorHAnsi"/>
          <w:sz w:val="22"/>
          <w:szCs w:val="22"/>
          <w:lang w:val="en-GB"/>
        </w:rPr>
        <w:t>.</w:t>
      </w:r>
    </w:p>
    <w:p w:rsidR="00F24A79" w:rsidRPr="009308C8" w:rsidRDefault="00F24A79" w:rsidP="00D04B2E">
      <w:pPr>
        <w:pStyle w:val="ListParagraph"/>
        <w:numPr>
          <w:ilvl w:val="0"/>
          <w:numId w:val="6"/>
        </w:numPr>
        <w:spacing w:before="120" w:after="240"/>
        <w:jc w:val="both"/>
        <w:rPr>
          <w:rFonts w:asciiTheme="majorHAnsi" w:eastAsia="Times New Roman" w:hAnsiTheme="majorHAnsi"/>
          <w:b/>
          <w:sz w:val="22"/>
          <w:szCs w:val="22"/>
          <w:lang w:val="en-GB"/>
        </w:rPr>
      </w:pPr>
      <w:r w:rsidRPr="009308C8">
        <w:rPr>
          <w:rFonts w:asciiTheme="majorHAnsi" w:eastAsia="Times New Roman" w:hAnsiTheme="majorHAnsi"/>
          <w:sz w:val="22"/>
          <w:szCs w:val="22"/>
          <w:lang w:val="en-GB"/>
        </w:rPr>
        <w:t xml:space="preserve">PIRs put Australian companies on a level playing field with other global publishers who enjoy the </w:t>
      </w:r>
      <w:r w:rsidR="009308C8" w:rsidRPr="009308C8">
        <w:rPr>
          <w:rFonts w:asciiTheme="majorHAnsi" w:eastAsia="Times New Roman" w:hAnsiTheme="majorHAnsi"/>
          <w:sz w:val="22"/>
          <w:szCs w:val="22"/>
          <w:lang w:val="en-GB"/>
        </w:rPr>
        <w:t>benefit</w:t>
      </w:r>
      <w:r w:rsidRPr="009308C8">
        <w:rPr>
          <w:rFonts w:asciiTheme="majorHAnsi" w:eastAsia="Times New Roman" w:hAnsiTheme="majorHAnsi"/>
          <w:sz w:val="22"/>
          <w:szCs w:val="22"/>
          <w:lang w:val="en-GB"/>
        </w:rPr>
        <w:t xml:space="preserve"> of territorial copyright</w:t>
      </w:r>
      <w:r w:rsidR="009308C8" w:rsidRPr="009308C8">
        <w:rPr>
          <w:rFonts w:asciiTheme="majorHAnsi" w:eastAsia="Times New Roman" w:hAnsiTheme="majorHAnsi"/>
          <w:sz w:val="22"/>
          <w:szCs w:val="22"/>
          <w:lang w:val="en-GB"/>
        </w:rPr>
        <w:t xml:space="preserve"> in foreign jurisdictions</w:t>
      </w:r>
      <w:r w:rsidRPr="009308C8">
        <w:rPr>
          <w:rFonts w:asciiTheme="majorHAnsi" w:eastAsia="Times New Roman" w:hAnsiTheme="majorHAnsi"/>
          <w:sz w:val="22"/>
          <w:szCs w:val="22"/>
          <w:lang w:val="en-GB"/>
        </w:rPr>
        <w:t>.</w:t>
      </w:r>
    </w:p>
    <w:p w:rsidR="00F24A79" w:rsidRPr="009308C8" w:rsidRDefault="00F24A79" w:rsidP="00D04B2E">
      <w:pPr>
        <w:pStyle w:val="ListParagraph"/>
        <w:numPr>
          <w:ilvl w:val="0"/>
          <w:numId w:val="6"/>
        </w:numPr>
        <w:spacing w:before="120" w:after="240"/>
        <w:jc w:val="both"/>
        <w:rPr>
          <w:rFonts w:asciiTheme="majorHAnsi" w:eastAsia="Times New Roman" w:hAnsiTheme="majorHAnsi"/>
          <w:b/>
          <w:sz w:val="22"/>
          <w:szCs w:val="22"/>
          <w:lang w:val="en-GB"/>
        </w:rPr>
      </w:pPr>
      <w:r w:rsidRPr="009308C8">
        <w:rPr>
          <w:rFonts w:asciiTheme="majorHAnsi" w:eastAsia="Times New Roman" w:hAnsiTheme="majorHAnsi"/>
          <w:sz w:val="22"/>
          <w:szCs w:val="22"/>
          <w:lang w:val="en-GB"/>
        </w:rPr>
        <w:t>PIRs ensure that local investment is made in local content, enabling Australian consumers to have access to the best and broadest list of Australian book titles.</w:t>
      </w:r>
    </w:p>
    <w:p w:rsidR="00F24A79" w:rsidRPr="009308C8" w:rsidRDefault="00F24A79" w:rsidP="00D04B2E">
      <w:pPr>
        <w:pStyle w:val="ListParagraph"/>
        <w:numPr>
          <w:ilvl w:val="0"/>
          <w:numId w:val="6"/>
        </w:numPr>
        <w:spacing w:before="120" w:after="240"/>
        <w:jc w:val="both"/>
        <w:rPr>
          <w:rFonts w:asciiTheme="majorHAnsi" w:eastAsia="Times New Roman" w:hAnsiTheme="majorHAnsi"/>
          <w:b/>
          <w:sz w:val="22"/>
          <w:szCs w:val="22"/>
          <w:lang w:val="en-GB"/>
        </w:rPr>
      </w:pPr>
      <w:r w:rsidRPr="009308C8">
        <w:rPr>
          <w:rFonts w:asciiTheme="majorHAnsi" w:eastAsia="Times New Roman" w:hAnsiTheme="majorHAnsi"/>
          <w:sz w:val="22"/>
          <w:szCs w:val="22"/>
          <w:lang w:val="en-GB"/>
        </w:rPr>
        <w:t>PIRs ensure that Australian authors are appropriately rewarded for their work</w:t>
      </w:r>
      <w:r w:rsidR="009308C8">
        <w:rPr>
          <w:rFonts w:asciiTheme="majorHAnsi" w:eastAsia="Times New Roman" w:hAnsiTheme="majorHAnsi"/>
          <w:sz w:val="22"/>
          <w:szCs w:val="22"/>
          <w:lang w:val="en-GB"/>
        </w:rPr>
        <w:t>.</w:t>
      </w:r>
    </w:p>
    <w:p w:rsidR="009308C8" w:rsidRPr="00B94673" w:rsidRDefault="009308C8" w:rsidP="00D04B2E">
      <w:pPr>
        <w:pStyle w:val="ListParagraph"/>
        <w:numPr>
          <w:ilvl w:val="0"/>
          <w:numId w:val="6"/>
        </w:numPr>
        <w:spacing w:before="120" w:after="240"/>
        <w:jc w:val="both"/>
        <w:rPr>
          <w:rFonts w:asciiTheme="majorHAnsi" w:eastAsia="Times New Roman" w:hAnsiTheme="majorHAnsi"/>
          <w:b/>
          <w:sz w:val="22"/>
          <w:szCs w:val="22"/>
          <w:lang w:val="en-GB"/>
        </w:rPr>
      </w:pPr>
      <w:r>
        <w:rPr>
          <w:rFonts w:asciiTheme="majorHAnsi" w:eastAsia="Times New Roman" w:hAnsiTheme="majorHAnsi"/>
          <w:sz w:val="22"/>
          <w:szCs w:val="22"/>
          <w:lang w:val="en-GB"/>
        </w:rPr>
        <w:t>PIRs encourage innovation and investment in Australian culture by providing some s</w:t>
      </w:r>
      <w:r w:rsidR="00E95A60">
        <w:rPr>
          <w:rFonts w:asciiTheme="majorHAnsi" w:eastAsia="Times New Roman" w:hAnsiTheme="majorHAnsi"/>
          <w:sz w:val="22"/>
          <w:szCs w:val="22"/>
          <w:lang w:val="en-GB"/>
        </w:rPr>
        <w:t>urety of return on investment for</w:t>
      </w:r>
      <w:r>
        <w:rPr>
          <w:rFonts w:asciiTheme="majorHAnsi" w:eastAsia="Times New Roman" w:hAnsiTheme="majorHAnsi"/>
          <w:sz w:val="22"/>
          <w:szCs w:val="22"/>
          <w:lang w:val="en-GB"/>
        </w:rPr>
        <w:t xml:space="preserve"> local publishers.</w:t>
      </w:r>
    </w:p>
    <w:p w:rsidR="00F20914" w:rsidRPr="009308C8" w:rsidRDefault="00F20914" w:rsidP="00D04B2E">
      <w:pPr>
        <w:pStyle w:val="ListParagraph"/>
        <w:numPr>
          <w:ilvl w:val="0"/>
          <w:numId w:val="6"/>
        </w:numPr>
        <w:spacing w:before="120" w:after="240"/>
        <w:jc w:val="both"/>
        <w:rPr>
          <w:rFonts w:asciiTheme="majorHAnsi" w:eastAsia="Times New Roman" w:hAnsiTheme="majorHAnsi"/>
          <w:b/>
          <w:sz w:val="22"/>
          <w:szCs w:val="22"/>
          <w:lang w:val="en-GB"/>
        </w:rPr>
      </w:pPr>
      <w:r>
        <w:rPr>
          <w:rFonts w:asciiTheme="majorHAnsi" w:eastAsia="Times New Roman" w:hAnsiTheme="majorHAnsi"/>
          <w:sz w:val="22"/>
          <w:szCs w:val="22"/>
          <w:lang w:val="en-GB"/>
        </w:rPr>
        <w:t xml:space="preserve">The current laws work.  </w:t>
      </w:r>
    </w:p>
    <w:p w:rsidR="00EB64F2" w:rsidRPr="009308C8" w:rsidRDefault="00EB64F2" w:rsidP="00EB64F2">
      <w:pPr>
        <w:spacing w:before="120" w:after="240"/>
        <w:jc w:val="both"/>
        <w:rPr>
          <w:rFonts w:asciiTheme="majorHAnsi" w:hAnsiTheme="majorHAnsi"/>
          <w:b/>
          <w:sz w:val="28"/>
          <w:szCs w:val="28"/>
        </w:rPr>
      </w:pPr>
      <w:r w:rsidRPr="009308C8">
        <w:rPr>
          <w:rFonts w:asciiTheme="majorHAnsi" w:hAnsiTheme="majorHAnsi"/>
          <w:b/>
          <w:sz w:val="28"/>
          <w:szCs w:val="28"/>
        </w:rPr>
        <w:t>Effectiveness of PIRs</w:t>
      </w:r>
    </w:p>
    <w:p w:rsidR="00157AED" w:rsidRPr="009308C8" w:rsidRDefault="00E95A60" w:rsidP="00157AED">
      <w:pPr>
        <w:pStyle w:val="ListParagraph"/>
        <w:spacing w:after="120"/>
        <w:ind w:left="0"/>
        <w:jc w:val="both"/>
        <w:rPr>
          <w:rFonts w:asciiTheme="majorHAnsi" w:eastAsia="Times New Roman" w:hAnsiTheme="majorHAnsi"/>
          <w:sz w:val="22"/>
          <w:szCs w:val="22"/>
          <w:lang w:val="en-GB"/>
        </w:rPr>
      </w:pPr>
      <w:r>
        <w:rPr>
          <w:rFonts w:asciiTheme="majorHAnsi" w:eastAsia="Times New Roman" w:hAnsiTheme="majorHAnsi"/>
          <w:sz w:val="22"/>
          <w:szCs w:val="22"/>
          <w:lang w:val="en-GB"/>
        </w:rPr>
        <w:t>PIRs</w:t>
      </w:r>
      <w:r w:rsidR="00157AED" w:rsidRPr="009308C8">
        <w:rPr>
          <w:rFonts w:asciiTheme="majorHAnsi" w:eastAsia="Times New Roman" w:hAnsiTheme="majorHAnsi"/>
          <w:sz w:val="22"/>
          <w:szCs w:val="22"/>
          <w:lang w:val="en-GB"/>
        </w:rPr>
        <w:t xml:space="preserve"> </w:t>
      </w:r>
      <w:r w:rsidR="00AD494D">
        <w:rPr>
          <w:rFonts w:asciiTheme="majorHAnsi" w:eastAsia="Times New Roman" w:hAnsiTheme="majorHAnsi"/>
          <w:sz w:val="22"/>
          <w:szCs w:val="22"/>
          <w:lang w:val="en-GB"/>
        </w:rPr>
        <w:t xml:space="preserve">support additional innovation and creative output.  PIRs </w:t>
      </w:r>
      <w:r w:rsidR="00157AED" w:rsidRPr="009308C8">
        <w:rPr>
          <w:rFonts w:asciiTheme="majorHAnsi" w:eastAsia="Times New Roman" w:hAnsiTheme="majorHAnsi"/>
          <w:sz w:val="22"/>
          <w:szCs w:val="22"/>
          <w:lang w:val="en-GB"/>
        </w:rPr>
        <w:t xml:space="preserve">are not inconsistent with the competition policy aims of the </w:t>
      </w:r>
      <w:r w:rsidR="00AF7947">
        <w:rPr>
          <w:rFonts w:asciiTheme="majorHAnsi" w:eastAsia="Times New Roman" w:hAnsiTheme="majorHAnsi"/>
          <w:sz w:val="22"/>
          <w:szCs w:val="22"/>
          <w:lang w:val="en-GB"/>
        </w:rPr>
        <w:t>Australian Government</w:t>
      </w:r>
      <w:r w:rsidR="00157AED" w:rsidRPr="009308C8">
        <w:rPr>
          <w:rFonts w:asciiTheme="majorHAnsi" w:eastAsia="Times New Roman" w:hAnsiTheme="majorHAnsi"/>
          <w:sz w:val="22"/>
          <w:szCs w:val="22"/>
          <w:lang w:val="en-GB"/>
        </w:rPr>
        <w:t xml:space="preserve"> and should be maintained for the following reasons:</w:t>
      </w:r>
    </w:p>
    <w:p w:rsidR="00157AED" w:rsidRPr="009308C8" w:rsidRDefault="00157AED" w:rsidP="00157AED">
      <w:pPr>
        <w:pStyle w:val="ListParagraph"/>
        <w:spacing w:after="120"/>
        <w:ind w:left="0"/>
        <w:jc w:val="both"/>
        <w:rPr>
          <w:rFonts w:asciiTheme="majorHAnsi" w:eastAsia="Times New Roman" w:hAnsiTheme="majorHAnsi"/>
          <w:sz w:val="22"/>
          <w:szCs w:val="22"/>
          <w:lang w:val="en-GB"/>
        </w:rPr>
      </w:pPr>
    </w:p>
    <w:p w:rsidR="00965B88" w:rsidRPr="00965B88" w:rsidRDefault="0064466A" w:rsidP="00965B88">
      <w:pPr>
        <w:pStyle w:val="ListParagraph"/>
        <w:numPr>
          <w:ilvl w:val="0"/>
          <w:numId w:val="2"/>
        </w:numPr>
        <w:spacing w:after="120" w:line="300" w:lineRule="exact"/>
        <w:ind w:left="360"/>
        <w:jc w:val="both"/>
        <w:rPr>
          <w:rFonts w:asciiTheme="majorHAnsi" w:eastAsia="Times New Roman" w:hAnsiTheme="majorHAnsi"/>
          <w:sz w:val="22"/>
          <w:szCs w:val="22"/>
        </w:rPr>
      </w:pPr>
      <w:r w:rsidRPr="00E95A60">
        <w:rPr>
          <w:rFonts w:asciiTheme="majorHAnsi" w:eastAsia="Times New Roman" w:hAnsiTheme="majorHAnsi"/>
          <w:b/>
          <w:sz w:val="22"/>
          <w:szCs w:val="22"/>
        </w:rPr>
        <w:t xml:space="preserve">An open market will not result in cheaper books for consumers.  </w:t>
      </w:r>
      <w:r w:rsidRPr="00E95A60">
        <w:rPr>
          <w:rFonts w:asciiTheme="majorHAnsi" w:eastAsia="Times New Roman" w:hAnsiTheme="majorHAnsi"/>
          <w:sz w:val="22"/>
          <w:szCs w:val="22"/>
        </w:rPr>
        <w:t xml:space="preserve">During the period of parallel importation restrictions, physical book prices have come down and books are sold in the Australian market at comparable prices to other territories, indicating that parallel importation restrictions do not stifle competition in the local market and have operated in accordance with the promotion of the long term interests of Australian consumers.  </w:t>
      </w:r>
      <w:r w:rsidR="006440F7">
        <w:rPr>
          <w:rFonts w:asciiTheme="majorHAnsi" w:eastAsia="Times New Roman" w:hAnsiTheme="majorHAnsi"/>
          <w:sz w:val="22"/>
          <w:szCs w:val="22"/>
        </w:rPr>
        <w:t xml:space="preserve">The below chart shows price comparisons in the Australian and UK markets across print and </w:t>
      </w:r>
      <w:proofErr w:type="spellStart"/>
      <w:r w:rsidR="006440F7">
        <w:rPr>
          <w:rFonts w:asciiTheme="majorHAnsi" w:eastAsia="Times New Roman" w:hAnsiTheme="majorHAnsi"/>
          <w:sz w:val="22"/>
          <w:szCs w:val="22"/>
        </w:rPr>
        <w:t>ebooks</w:t>
      </w:r>
      <w:proofErr w:type="spellEnd"/>
      <w:r w:rsidR="006440F7">
        <w:rPr>
          <w:rFonts w:asciiTheme="majorHAnsi" w:eastAsia="Times New Roman" w:hAnsiTheme="majorHAnsi"/>
          <w:sz w:val="22"/>
          <w:szCs w:val="22"/>
        </w:rPr>
        <w:t>.</w:t>
      </w:r>
      <w:r w:rsidR="00FD67DC">
        <w:fldChar w:fldCharType="begin"/>
      </w:r>
      <w:r w:rsidR="00FD67DC">
        <w:instrText xml:space="preserve"> LINK </w:instrText>
      </w:r>
      <w:r w:rsidR="00965B88">
        <w:instrText xml:space="preserve">Excel.Sheet.12 "C:\\Users\\ulewibr\\AppData\\Local\\Microsoft\\Windows\\Temporary Internet Files\\Content.Outlook\\QZO1YL9S\\Data for Briony (002).xlsx" "Top 10 Comparison!R1C1:R15C11" </w:instrText>
      </w:r>
      <w:r w:rsidR="00FD67DC">
        <w:instrText xml:space="preserve">\a \f 4 \h  \* MERGEFORMAT </w:instrText>
      </w:r>
      <w:r w:rsidR="00FD67DC">
        <w:fldChar w:fldCharType="separate"/>
      </w:r>
    </w:p>
    <w:tbl>
      <w:tblPr>
        <w:tblW w:w="14952" w:type="dxa"/>
        <w:tblLook w:val="04A0" w:firstRow="1" w:lastRow="0" w:firstColumn="1" w:lastColumn="0" w:noHBand="0" w:noVBand="1"/>
      </w:tblPr>
      <w:tblGrid>
        <w:gridCol w:w="320"/>
        <w:gridCol w:w="99"/>
        <w:gridCol w:w="1916"/>
        <w:gridCol w:w="1440"/>
        <w:gridCol w:w="1170"/>
        <w:gridCol w:w="855"/>
        <w:gridCol w:w="315"/>
        <w:gridCol w:w="810"/>
        <w:gridCol w:w="990"/>
        <w:gridCol w:w="717"/>
        <w:gridCol w:w="93"/>
        <w:gridCol w:w="867"/>
        <w:gridCol w:w="1060"/>
        <w:gridCol w:w="1060"/>
        <w:gridCol w:w="1120"/>
        <w:gridCol w:w="1060"/>
        <w:gridCol w:w="1060"/>
      </w:tblGrid>
      <w:tr w:rsidR="00965B88" w:rsidRPr="00965B88" w:rsidTr="00965B88">
        <w:trPr>
          <w:gridAfter w:val="5"/>
          <w:divId w:val="399596339"/>
          <w:wAfter w:w="5360" w:type="dxa"/>
          <w:trHeight w:val="300"/>
        </w:trPr>
        <w:tc>
          <w:tcPr>
            <w:tcW w:w="3775" w:type="dxa"/>
            <w:gridSpan w:val="4"/>
            <w:tcBorders>
              <w:top w:val="single" w:sz="4" w:space="0" w:color="auto"/>
              <w:left w:val="single" w:sz="4" w:space="0" w:color="auto"/>
              <w:bottom w:val="single" w:sz="4" w:space="0" w:color="auto"/>
              <w:right w:val="nil"/>
            </w:tcBorders>
            <w:shd w:val="clear" w:color="000000" w:fill="D9D9D9"/>
            <w:noWrap/>
            <w:vAlign w:val="bottom"/>
            <w:hideMark/>
          </w:tcPr>
          <w:p w:rsidR="00965B88" w:rsidRPr="00965B88" w:rsidRDefault="00965B88" w:rsidP="00965B88">
            <w:pPr>
              <w:rPr>
                <w:rFonts w:ascii="Calibri" w:eastAsia="Times New Roman" w:hAnsi="Calibri"/>
                <w:b/>
                <w:bCs/>
                <w:color w:val="000000"/>
                <w:sz w:val="20"/>
                <w:szCs w:val="20"/>
              </w:rPr>
            </w:pPr>
            <w:r w:rsidRPr="00965B88">
              <w:rPr>
                <w:rFonts w:ascii="Calibri" w:eastAsia="Times New Roman" w:hAnsi="Calibri"/>
                <w:b/>
                <w:bCs/>
                <w:color w:val="000000"/>
                <w:sz w:val="20"/>
                <w:szCs w:val="20"/>
              </w:rPr>
              <w:t xml:space="preserve">Top 10 </w:t>
            </w:r>
            <w:proofErr w:type="spellStart"/>
            <w:r w:rsidRPr="00965B88">
              <w:rPr>
                <w:rFonts w:ascii="Calibri" w:eastAsia="Times New Roman" w:hAnsi="Calibri"/>
                <w:b/>
                <w:bCs/>
                <w:color w:val="000000"/>
                <w:sz w:val="20"/>
                <w:szCs w:val="20"/>
              </w:rPr>
              <w:t>PRH</w:t>
            </w:r>
            <w:proofErr w:type="spellEnd"/>
            <w:r w:rsidRPr="00965B88">
              <w:rPr>
                <w:rFonts w:ascii="Calibri" w:eastAsia="Times New Roman" w:hAnsi="Calibri"/>
                <w:b/>
                <w:bCs/>
                <w:color w:val="000000"/>
                <w:sz w:val="20"/>
                <w:szCs w:val="20"/>
              </w:rPr>
              <w:t xml:space="preserve"> Titles 2015 YTD on </w:t>
            </w:r>
            <w:proofErr w:type="spellStart"/>
            <w:r w:rsidRPr="00965B88">
              <w:rPr>
                <w:rFonts w:ascii="Calibri" w:eastAsia="Times New Roman" w:hAnsi="Calibri"/>
                <w:b/>
                <w:bCs/>
                <w:color w:val="000000"/>
                <w:sz w:val="20"/>
                <w:szCs w:val="20"/>
              </w:rPr>
              <w:t>Neilsen</w:t>
            </w:r>
            <w:proofErr w:type="spellEnd"/>
            <w:r w:rsidRPr="00965B88">
              <w:rPr>
                <w:rFonts w:ascii="Calibri" w:eastAsia="Times New Roman" w:hAnsi="Calibri"/>
                <w:b/>
                <w:bCs/>
                <w:color w:val="000000"/>
                <w:sz w:val="20"/>
                <w:szCs w:val="20"/>
              </w:rPr>
              <w:t xml:space="preserve"> </w:t>
            </w:r>
            <w:proofErr w:type="spellStart"/>
            <w:r w:rsidRPr="00965B88">
              <w:rPr>
                <w:rFonts w:ascii="Calibri" w:eastAsia="Times New Roman" w:hAnsi="Calibri"/>
                <w:b/>
                <w:bCs/>
                <w:color w:val="000000"/>
                <w:sz w:val="20"/>
                <w:szCs w:val="20"/>
              </w:rPr>
              <w:t>Bookscan</w:t>
            </w:r>
            <w:proofErr w:type="spellEnd"/>
            <w:r w:rsidRPr="00965B88">
              <w:rPr>
                <w:rFonts w:ascii="Calibri" w:eastAsia="Times New Roman" w:hAnsi="Calibri"/>
                <w:b/>
                <w:bCs/>
                <w:color w:val="000000"/>
                <w:sz w:val="20"/>
                <w:szCs w:val="20"/>
              </w:rPr>
              <w:t xml:space="preserve"> </w:t>
            </w:r>
          </w:p>
        </w:tc>
        <w:tc>
          <w:tcPr>
            <w:tcW w:w="315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Physical Book</w:t>
            </w:r>
          </w:p>
        </w:tc>
        <w:tc>
          <w:tcPr>
            <w:tcW w:w="2667"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eBook</w:t>
            </w:r>
          </w:p>
        </w:tc>
      </w:tr>
      <w:tr w:rsidR="00965B88" w:rsidRPr="00965B88" w:rsidTr="00965B88">
        <w:tblPrEx>
          <w:tblCellMar>
            <w:left w:w="65" w:type="dxa"/>
            <w:right w:w="65" w:type="dxa"/>
          </w:tblCellMar>
        </w:tblPrEx>
        <w:trPr>
          <w:gridAfter w:val="5"/>
          <w:divId w:val="399596339"/>
          <w:wAfter w:w="5360" w:type="dxa"/>
          <w:trHeight w:val="168"/>
        </w:trPr>
        <w:tc>
          <w:tcPr>
            <w:tcW w:w="419" w:type="dxa"/>
            <w:gridSpan w:val="2"/>
            <w:tcBorders>
              <w:top w:val="nil"/>
              <w:left w:val="single" w:sz="2" w:space="0" w:color="auto"/>
              <w:bottom w:val="single" w:sz="2" w:space="0" w:color="A6A6A6"/>
              <w:right w:val="nil"/>
            </w:tcBorders>
            <w:shd w:val="clear" w:color="000000" w:fill="FFFFFF"/>
            <w:vAlign w:val="center"/>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lastRenderedPageBreak/>
              <w:t> </w:t>
            </w:r>
          </w:p>
        </w:tc>
        <w:tc>
          <w:tcPr>
            <w:tcW w:w="1916" w:type="dxa"/>
            <w:tcBorders>
              <w:top w:val="nil"/>
              <w:left w:val="single" w:sz="2" w:space="0" w:color="auto"/>
              <w:bottom w:val="single" w:sz="2" w:space="0" w:color="A6A6A6"/>
              <w:right w:val="single" w:sz="2" w:space="0" w:color="auto"/>
            </w:tcBorders>
            <w:shd w:val="clear" w:color="000000" w:fill="FFFFFF"/>
            <w:vAlign w:val="center"/>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Title</w:t>
            </w:r>
          </w:p>
        </w:tc>
        <w:tc>
          <w:tcPr>
            <w:tcW w:w="1440" w:type="dxa"/>
            <w:tcBorders>
              <w:top w:val="nil"/>
              <w:left w:val="nil"/>
              <w:bottom w:val="single" w:sz="2" w:space="0" w:color="A6A6A6"/>
              <w:right w:val="single" w:sz="2" w:space="0" w:color="auto"/>
            </w:tcBorders>
            <w:shd w:val="clear" w:color="000000" w:fill="FFFFFF"/>
            <w:vAlign w:val="center"/>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Author</w:t>
            </w:r>
          </w:p>
        </w:tc>
        <w:tc>
          <w:tcPr>
            <w:tcW w:w="1170" w:type="dxa"/>
            <w:tcBorders>
              <w:top w:val="nil"/>
              <w:left w:val="nil"/>
              <w:bottom w:val="single" w:sz="2" w:space="0" w:color="A6A6A6"/>
              <w:right w:val="single" w:sz="2" w:space="0" w:color="A6A6A6"/>
            </w:tcBorders>
            <w:shd w:val="clear" w:color="000000" w:fill="FFFFFF"/>
            <w:vAlign w:val="center"/>
            <w:hideMark/>
          </w:tcPr>
          <w:p w:rsidR="00965B88" w:rsidRPr="00965B88" w:rsidRDefault="00965B88" w:rsidP="00965B88">
            <w:pPr>
              <w:jc w:val="center"/>
              <w:rPr>
                <w:rFonts w:ascii="Calibri" w:eastAsia="Times New Roman" w:hAnsi="Calibri"/>
                <w:color w:val="000000"/>
                <w:sz w:val="22"/>
                <w:szCs w:val="22"/>
              </w:rPr>
            </w:pPr>
            <w:proofErr w:type="spellStart"/>
            <w:r w:rsidRPr="00965B88">
              <w:rPr>
                <w:rFonts w:ascii="Calibri" w:eastAsia="Times New Roman" w:hAnsi="Calibri"/>
                <w:b/>
                <w:bCs/>
                <w:color w:val="000000"/>
                <w:sz w:val="20"/>
                <w:szCs w:val="20"/>
              </w:rPr>
              <w:t>RRP</w:t>
            </w:r>
            <w:proofErr w:type="spellEnd"/>
            <w:r w:rsidRPr="00965B88">
              <w:rPr>
                <w:rFonts w:ascii="Calibri" w:eastAsia="Times New Roman" w:hAnsi="Calibri"/>
                <w:b/>
                <w:bCs/>
                <w:color w:val="000000"/>
                <w:sz w:val="20"/>
                <w:szCs w:val="20"/>
              </w:rPr>
              <w:t xml:space="preserve"> </w:t>
            </w:r>
            <w:proofErr w:type="spellStart"/>
            <w:r w:rsidRPr="00965B88">
              <w:rPr>
                <w:rFonts w:ascii="Calibri" w:eastAsia="Times New Roman" w:hAnsi="Calibri"/>
                <w:b/>
                <w:bCs/>
                <w:color w:val="000000"/>
                <w:sz w:val="20"/>
                <w:szCs w:val="20"/>
              </w:rPr>
              <w:t>AUD</w:t>
            </w:r>
            <w:proofErr w:type="spellEnd"/>
            <w:r w:rsidRPr="00965B88">
              <w:rPr>
                <w:rFonts w:ascii="Calibri" w:eastAsia="Times New Roman" w:hAnsi="Calibri"/>
                <w:color w:val="000000"/>
                <w:sz w:val="22"/>
                <w:szCs w:val="22"/>
              </w:rPr>
              <w:t xml:space="preserve"> </w:t>
            </w:r>
          </w:p>
        </w:tc>
        <w:tc>
          <w:tcPr>
            <w:tcW w:w="1170" w:type="dxa"/>
            <w:gridSpan w:val="2"/>
            <w:tcBorders>
              <w:top w:val="nil"/>
              <w:left w:val="nil"/>
              <w:bottom w:val="single" w:sz="2" w:space="0" w:color="A6A6A6"/>
              <w:right w:val="single" w:sz="2" w:space="0" w:color="A6A6A6"/>
            </w:tcBorders>
            <w:shd w:val="clear" w:color="000000" w:fill="FFFFFF"/>
            <w:vAlign w:val="center"/>
            <w:hideMark/>
          </w:tcPr>
          <w:p w:rsidR="00965B88" w:rsidRPr="00965B88" w:rsidRDefault="00965B88" w:rsidP="00965B88">
            <w:pPr>
              <w:jc w:val="center"/>
              <w:rPr>
                <w:rFonts w:ascii="Calibri" w:eastAsia="Times New Roman" w:hAnsi="Calibri"/>
                <w:color w:val="000000"/>
                <w:sz w:val="22"/>
                <w:szCs w:val="22"/>
              </w:rPr>
            </w:pPr>
            <w:r w:rsidRPr="00965B88">
              <w:rPr>
                <w:rFonts w:ascii="Calibri" w:eastAsia="Times New Roman" w:hAnsi="Calibri"/>
                <w:b/>
                <w:bCs/>
                <w:color w:val="000000"/>
                <w:sz w:val="20"/>
                <w:szCs w:val="20"/>
              </w:rPr>
              <w:t xml:space="preserve">UK </w:t>
            </w:r>
            <w:proofErr w:type="spellStart"/>
            <w:r w:rsidRPr="00965B88">
              <w:rPr>
                <w:rFonts w:ascii="Calibri" w:eastAsia="Times New Roman" w:hAnsi="Calibri"/>
                <w:b/>
                <w:bCs/>
                <w:color w:val="000000"/>
                <w:sz w:val="16"/>
                <w:szCs w:val="16"/>
              </w:rPr>
              <w:t>RRP</w:t>
            </w:r>
            <w:proofErr w:type="spellEnd"/>
            <w:r w:rsidRPr="00965B88">
              <w:rPr>
                <w:rFonts w:ascii="Calibri" w:eastAsia="Times New Roman" w:hAnsi="Calibri"/>
                <w:b/>
                <w:bCs/>
                <w:color w:val="000000"/>
                <w:sz w:val="16"/>
                <w:szCs w:val="16"/>
              </w:rPr>
              <w:t xml:space="preserve"> Incl. </w:t>
            </w:r>
            <w:r w:rsidRPr="00965B88">
              <w:rPr>
                <w:rFonts w:ascii="Calibri" w:eastAsia="Times New Roman" w:hAnsi="Calibri"/>
                <w:b/>
                <w:bCs/>
                <w:color w:val="000000"/>
                <w:sz w:val="20"/>
                <w:szCs w:val="20"/>
              </w:rPr>
              <w:t>Freight</w:t>
            </w:r>
            <w:r w:rsidRPr="00965B88">
              <w:rPr>
                <w:rFonts w:ascii="Calibri" w:eastAsia="Times New Roman" w:hAnsi="Calibri"/>
                <w:color w:val="000000"/>
                <w:sz w:val="22"/>
                <w:szCs w:val="22"/>
              </w:rPr>
              <w:t xml:space="preserve"> </w:t>
            </w:r>
            <w:proofErr w:type="spellStart"/>
            <w:r w:rsidRPr="00965B88">
              <w:rPr>
                <w:rFonts w:ascii="Calibri" w:eastAsia="Times New Roman" w:hAnsi="Calibri"/>
                <w:color w:val="000000"/>
                <w:sz w:val="22"/>
                <w:szCs w:val="22"/>
              </w:rPr>
              <w:t>AUD</w:t>
            </w:r>
            <w:proofErr w:type="spellEnd"/>
            <w:r w:rsidRPr="00965B88">
              <w:rPr>
                <w:rFonts w:ascii="Calibri" w:eastAsia="Times New Roman" w:hAnsi="Calibri"/>
                <w:color w:val="000000"/>
                <w:sz w:val="22"/>
                <w:szCs w:val="22"/>
              </w:rPr>
              <w:t xml:space="preserve"> </w:t>
            </w:r>
          </w:p>
        </w:tc>
        <w:tc>
          <w:tcPr>
            <w:tcW w:w="810" w:type="dxa"/>
            <w:tcBorders>
              <w:top w:val="nil"/>
              <w:left w:val="nil"/>
              <w:bottom w:val="single" w:sz="2" w:space="0" w:color="A6A6A6"/>
              <w:right w:val="single" w:sz="2" w:space="0" w:color="A6A6A6"/>
            </w:tcBorders>
            <w:shd w:val="clear" w:color="000000" w:fill="FFFFFF"/>
            <w:vAlign w:val="center"/>
            <w:hideMark/>
          </w:tcPr>
          <w:p w:rsidR="00965B88" w:rsidRPr="00965B88" w:rsidRDefault="00965B88" w:rsidP="00965B88">
            <w:pPr>
              <w:jc w:val="center"/>
              <w:rPr>
                <w:rFonts w:ascii="Calibri" w:eastAsia="Times New Roman" w:hAnsi="Calibri"/>
                <w:color w:val="000000"/>
                <w:sz w:val="22"/>
                <w:szCs w:val="22"/>
              </w:rPr>
            </w:pPr>
            <w:r w:rsidRPr="00965B88">
              <w:rPr>
                <w:rFonts w:ascii="Calibri" w:eastAsia="Times New Roman" w:hAnsi="Calibri"/>
                <w:b/>
                <w:bCs/>
                <w:color w:val="000000"/>
                <w:sz w:val="20"/>
                <w:szCs w:val="20"/>
              </w:rPr>
              <w:t xml:space="preserve">US </w:t>
            </w:r>
            <w:proofErr w:type="spellStart"/>
            <w:r w:rsidRPr="00965B88">
              <w:rPr>
                <w:rFonts w:ascii="Calibri" w:eastAsia="Times New Roman" w:hAnsi="Calibri"/>
                <w:b/>
                <w:bCs/>
                <w:color w:val="000000"/>
                <w:sz w:val="16"/>
                <w:szCs w:val="16"/>
              </w:rPr>
              <w:t>RRP</w:t>
            </w:r>
            <w:proofErr w:type="spellEnd"/>
            <w:r w:rsidRPr="00965B88">
              <w:rPr>
                <w:rFonts w:ascii="Calibri" w:eastAsia="Times New Roman" w:hAnsi="Calibri"/>
                <w:b/>
                <w:bCs/>
                <w:color w:val="000000"/>
                <w:sz w:val="16"/>
                <w:szCs w:val="16"/>
              </w:rPr>
              <w:t xml:space="preserve"> </w:t>
            </w:r>
            <w:proofErr w:type="spellStart"/>
            <w:r w:rsidRPr="00965B88">
              <w:rPr>
                <w:rFonts w:ascii="Calibri" w:eastAsia="Times New Roman" w:hAnsi="Calibri"/>
                <w:b/>
                <w:bCs/>
                <w:color w:val="000000"/>
                <w:sz w:val="16"/>
                <w:szCs w:val="16"/>
              </w:rPr>
              <w:t>Incl</w:t>
            </w:r>
            <w:proofErr w:type="spellEnd"/>
            <w:r w:rsidRPr="00965B88">
              <w:rPr>
                <w:rFonts w:ascii="Calibri" w:eastAsia="Times New Roman" w:hAnsi="Calibri"/>
                <w:b/>
                <w:bCs/>
                <w:color w:val="000000"/>
                <w:sz w:val="16"/>
                <w:szCs w:val="16"/>
              </w:rPr>
              <w:t xml:space="preserve"> Freight</w:t>
            </w:r>
            <w:r w:rsidRPr="00965B88">
              <w:rPr>
                <w:rFonts w:ascii="Calibri" w:eastAsia="Times New Roman" w:hAnsi="Calibri"/>
                <w:b/>
                <w:bCs/>
                <w:color w:val="000000"/>
                <w:sz w:val="20"/>
                <w:szCs w:val="20"/>
              </w:rPr>
              <w:t xml:space="preserve"> </w:t>
            </w:r>
          </w:p>
        </w:tc>
        <w:tc>
          <w:tcPr>
            <w:tcW w:w="990" w:type="dxa"/>
            <w:tcBorders>
              <w:top w:val="nil"/>
              <w:left w:val="single" w:sz="2" w:space="0" w:color="auto"/>
              <w:bottom w:val="single" w:sz="2" w:space="0" w:color="A6A6A6"/>
              <w:right w:val="single" w:sz="2" w:space="0" w:color="A6A6A6"/>
            </w:tcBorders>
            <w:shd w:val="clear" w:color="000000" w:fill="FFFFFF"/>
            <w:vAlign w:val="center"/>
            <w:hideMark/>
          </w:tcPr>
          <w:p w:rsidR="00965B88" w:rsidRPr="00965B88" w:rsidRDefault="00965B88" w:rsidP="00965B88">
            <w:pPr>
              <w:jc w:val="center"/>
              <w:rPr>
                <w:rFonts w:ascii="Calibri" w:eastAsia="Times New Roman" w:hAnsi="Calibri"/>
                <w:color w:val="000000"/>
                <w:sz w:val="22"/>
                <w:szCs w:val="22"/>
              </w:rPr>
            </w:pPr>
            <w:r w:rsidRPr="00965B88">
              <w:rPr>
                <w:rFonts w:ascii="Calibri" w:eastAsia="Times New Roman" w:hAnsi="Calibri"/>
                <w:b/>
                <w:bCs/>
                <w:color w:val="000000"/>
                <w:sz w:val="20"/>
                <w:szCs w:val="20"/>
              </w:rPr>
              <w:t xml:space="preserve">Australian </w:t>
            </w:r>
            <w:r w:rsidRPr="00965B88">
              <w:rPr>
                <w:rFonts w:ascii="Calibri" w:eastAsia="Times New Roman" w:hAnsi="Calibri"/>
                <w:color w:val="000000"/>
                <w:sz w:val="22"/>
                <w:szCs w:val="22"/>
              </w:rPr>
              <w:t xml:space="preserve">eBook Agency Price </w:t>
            </w:r>
            <w:proofErr w:type="spellStart"/>
            <w:r w:rsidRPr="00965B88">
              <w:rPr>
                <w:rFonts w:ascii="Calibri" w:eastAsia="Times New Roman" w:hAnsi="Calibri"/>
                <w:color w:val="000000"/>
                <w:sz w:val="22"/>
                <w:szCs w:val="22"/>
              </w:rPr>
              <w:t>AUD</w:t>
            </w:r>
            <w:proofErr w:type="spellEnd"/>
            <w:r w:rsidRPr="00965B88">
              <w:rPr>
                <w:rFonts w:ascii="Calibri" w:eastAsia="Times New Roman" w:hAnsi="Calibri"/>
                <w:color w:val="000000"/>
                <w:sz w:val="22"/>
                <w:szCs w:val="22"/>
              </w:rPr>
              <w:t xml:space="preserve"> </w:t>
            </w:r>
          </w:p>
        </w:tc>
        <w:tc>
          <w:tcPr>
            <w:tcW w:w="810" w:type="dxa"/>
            <w:gridSpan w:val="2"/>
            <w:tcBorders>
              <w:top w:val="nil"/>
              <w:left w:val="nil"/>
              <w:bottom w:val="single" w:sz="2" w:space="0" w:color="A6A6A6"/>
              <w:right w:val="single" w:sz="2" w:space="0" w:color="A6A6A6"/>
            </w:tcBorders>
            <w:shd w:val="clear" w:color="000000" w:fill="FFFFFF"/>
            <w:vAlign w:val="center"/>
            <w:hideMark/>
          </w:tcPr>
          <w:p w:rsidR="00965B88" w:rsidRPr="00965B88" w:rsidRDefault="00965B88" w:rsidP="00965B88">
            <w:pPr>
              <w:jc w:val="center"/>
              <w:rPr>
                <w:rFonts w:ascii="Calibri" w:eastAsia="Times New Roman" w:hAnsi="Calibri"/>
                <w:color w:val="000000"/>
                <w:sz w:val="22"/>
                <w:szCs w:val="22"/>
              </w:rPr>
            </w:pPr>
            <w:r w:rsidRPr="00965B88">
              <w:rPr>
                <w:rFonts w:ascii="Calibri" w:eastAsia="Times New Roman" w:hAnsi="Calibri"/>
                <w:b/>
                <w:bCs/>
                <w:color w:val="000000"/>
                <w:sz w:val="20"/>
                <w:szCs w:val="20"/>
              </w:rPr>
              <w:t xml:space="preserve">UK </w:t>
            </w:r>
            <w:r w:rsidRPr="00965B88">
              <w:rPr>
                <w:rFonts w:ascii="Calibri" w:eastAsia="Times New Roman" w:hAnsi="Calibri"/>
                <w:color w:val="000000"/>
                <w:sz w:val="22"/>
                <w:szCs w:val="22"/>
              </w:rPr>
              <w:t xml:space="preserve">eBook Agency Price </w:t>
            </w:r>
            <w:proofErr w:type="spellStart"/>
            <w:r w:rsidRPr="00965B88">
              <w:rPr>
                <w:rFonts w:ascii="Calibri" w:eastAsia="Times New Roman" w:hAnsi="Calibri"/>
                <w:color w:val="000000"/>
                <w:sz w:val="22"/>
                <w:szCs w:val="22"/>
              </w:rPr>
              <w:t>AUD</w:t>
            </w:r>
            <w:proofErr w:type="spellEnd"/>
            <w:r w:rsidRPr="00965B88">
              <w:rPr>
                <w:rFonts w:ascii="Calibri" w:eastAsia="Times New Roman" w:hAnsi="Calibri"/>
                <w:color w:val="000000"/>
                <w:sz w:val="22"/>
                <w:szCs w:val="22"/>
              </w:rPr>
              <w:t xml:space="preserve"> </w:t>
            </w:r>
          </w:p>
        </w:tc>
        <w:tc>
          <w:tcPr>
            <w:tcW w:w="867" w:type="dxa"/>
            <w:tcBorders>
              <w:top w:val="nil"/>
              <w:left w:val="nil"/>
              <w:bottom w:val="single" w:sz="2" w:space="0" w:color="A6A6A6"/>
              <w:right w:val="single" w:sz="2" w:space="0" w:color="auto"/>
            </w:tcBorders>
            <w:shd w:val="clear" w:color="000000" w:fill="FFFFFF"/>
            <w:vAlign w:val="center"/>
            <w:hideMark/>
          </w:tcPr>
          <w:p w:rsidR="00965B88" w:rsidRPr="00965B88" w:rsidRDefault="00965B88" w:rsidP="00965B88">
            <w:pPr>
              <w:jc w:val="center"/>
              <w:rPr>
                <w:rFonts w:ascii="Calibri" w:eastAsia="Times New Roman" w:hAnsi="Calibri"/>
                <w:color w:val="000000"/>
                <w:sz w:val="22"/>
                <w:szCs w:val="22"/>
              </w:rPr>
            </w:pPr>
            <w:r w:rsidRPr="00965B88">
              <w:rPr>
                <w:rFonts w:ascii="Calibri" w:eastAsia="Times New Roman" w:hAnsi="Calibri"/>
                <w:b/>
                <w:bCs/>
                <w:color w:val="000000"/>
                <w:sz w:val="20"/>
                <w:szCs w:val="20"/>
              </w:rPr>
              <w:t xml:space="preserve">US </w:t>
            </w:r>
            <w:r w:rsidRPr="00965B88">
              <w:rPr>
                <w:rFonts w:ascii="Calibri" w:eastAsia="Times New Roman" w:hAnsi="Calibri"/>
                <w:color w:val="000000"/>
                <w:sz w:val="22"/>
                <w:szCs w:val="22"/>
              </w:rPr>
              <w:t xml:space="preserve">eBook Agency Price </w:t>
            </w:r>
            <w:proofErr w:type="spellStart"/>
            <w:r w:rsidRPr="00965B88">
              <w:rPr>
                <w:rFonts w:ascii="Calibri" w:eastAsia="Times New Roman" w:hAnsi="Calibri"/>
                <w:color w:val="000000"/>
                <w:sz w:val="22"/>
                <w:szCs w:val="22"/>
              </w:rPr>
              <w:t>AUD</w:t>
            </w:r>
            <w:proofErr w:type="spellEnd"/>
            <w:r w:rsidRPr="00965B88">
              <w:rPr>
                <w:rFonts w:ascii="Calibri" w:eastAsia="Times New Roman" w:hAnsi="Calibri"/>
                <w:color w:val="000000"/>
                <w:sz w:val="22"/>
                <w:szCs w:val="22"/>
              </w:rPr>
              <w:t xml:space="preserve"> </w:t>
            </w:r>
          </w:p>
        </w:tc>
      </w:tr>
      <w:tr w:rsidR="00965B88" w:rsidRPr="00965B88" w:rsidTr="00965B88">
        <w:trPr>
          <w:gridAfter w:val="5"/>
          <w:divId w:val="399596339"/>
          <w:wAfter w:w="5360" w:type="dxa"/>
          <w:trHeight w:val="276"/>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1</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18"/>
                <w:szCs w:val="18"/>
              </w:rPr>
            </w:pPr>
            <w:proofErr w:type="spellStart"/>
            <w:r w:rsidRPr="00965B88">
              <w:rPr>
                <w:rFonts w:ascii="Calibri" w:eastAsia="Times New Roman" w:hAnsi="Calibri"/>
                <w:color w:val="000000"/>
                <w:sz w:val="18"/>
                <w:szCs w:val="18"/>
              </w:rPr>
              <w:t>Grey:Fifty</w:t>
            </w:r>
            <w:proofErr w:type="spellEnd"/>
            <w:r w:rsidRPr="00965B88">
              <w:rPr>
                <w:rFonts w:ascii="Calibri" w:eastAsia="Times New Roman" w:hAnsi="Calibri"/>
                <w:color w:val="000000"/>
                <w:sz w:val="18"/>
                <w:szCs w:val="18"/>
              </w:rPr>
              <w:t xml:space="preserve"> Shades of Grey as Told by </w:t>
            </w:r>
            <w:proofErr w:type="spellStart"/>
            <w:r w:rsidRPr="00965B88">
              <w:rPr>
                <w:rFonts w:ascii="Calibri" w:eastAsia="Times New Roman" w:hAnsi="Calibri"/>
                <w:color w:val="000000"/>
                <w:sz w:val="18"/>
                <w:szCs w:val="18"/>
              </w:rPr>
              <w:t>Christian:Fifty</w:t>
            </w:r>
            <w:proofErr w:type="spellEnd"/>
            <w:r w:rsidRPr="00965B88">
              <w:rPr>
                <w:rFonts w:ascii="Calibri" w:eastAsia="Times New Roman" w:hAnsi="Calibri"/>
                <w:color w:val="000000"/>
                <w:sz w:val="18"/>
                <w:szCs w:val="18"/>
              </w:rPr>
              <w:t xml:space="preserve"> Shades</w:t>
            </w:r>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James, E. L.</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$19.99</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$21.60</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$28.64</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$10.99</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$10.38</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$11.04</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2</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 xml:space="preserve">Girl on the </w:t>
            </w:r>
            <w:proofErr w:type="spellStart"/>
            <w:r w:rsidRPr="00965B88">
              <w:rPr>
                <w:rFonts w:ascii="Calibri" w:eastAsia="Times New Roman" w:hAnsi="Calibri"/>
                <w:color w:val="000000"/>
                <w:sz w:val="20"/>
                <w:szCs w:val="20"/>
              </w:rPr>
              <w:t>Train,The</w:t>
            </w:r>
            <w:proofErr w:type="spellEnd"/>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Hawkins, Paula</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$32.99</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$35.12</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$16.14</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$10.99</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$14.54</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$16.56</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3</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Go Set A Watchman</w:t>
            </w:r>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Lee, Harper</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$45.00</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$51.33</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$50.26</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$16.99</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$16.61</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$17.94</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4</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 xml:space="preserve">Make </w:t>
            </w:r>
            <w:proofErr w:type="spellStart"/>
            <w:r w:rsidRPr="00965B88">
              <w:rPr>
                <w:rFonts w:ascii="Calibri" w:eastAsia="Times New Roman" w:hAnsi="Calibri"/>
                <w:color w:val="000000"/>
                <w:sz w:val="20"/>
                <w:szCs w:val="20"/>
              </w:rPr>
              <w:t>Me:Jack</w:t>
            </w:r>
            <w:proofErr w:type="spellEnd"/>
            <w:r w:rsidRPr="00965B88">
              <w:rPr>
                <w:rFonts w:ascii="Calibri" w:eastAsia="Times New Roman" w:hAnsi="Calibri"/>
                <w:color w:val="000000"/>
                <w:sz w:val="20"/>
                <w:szCs w:val="20"/>
              </w:rPr>
              <w:t xml:space="preserve"> </w:t>
            </w:r>
            <w:proofErr w:type="spellStart"/>
            <w:r w:rsidRPr="00965B88">
              <w:rPr>
                <w:rFonts w:ascii="Calibri" w:eastAsia="Times New Roman" w:hAnsi="Calibri"/>
                <w:color w:val="000000"/>
                <w:sz w:val="20"/>
                <w:szCs w:val="20"/>
              </w:rPr>
              <w:t>Reacher</w:t>
            </w:r>
            <w:proofErr w:type="spellEnd"/>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Child, Lee</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$32.99</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$40.52</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$52.05</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$17.99</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$18.69</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$20.70</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5</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Everyday Super Food</w:t>
            </w:r>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Oliver, Jamie</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$55.00</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$70.28</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$62.82</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N/A</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N/A</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N/A</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6</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Girl Online</w:t>
            </w:r>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proofErr w:type="spellStart"/>
            <w:r w:rsidRPr="00965B88">
              <w:rPr>
                <w:rFonts w:ascii="Calibri" w:eastAsia="Times New Roman" w:hAnsi="Calibri"/>
                <w:color w:val="000000"/>
                <w:sz w:val="20"/>
                <w:szCs w:val="20"/>
              </w:rPr>
              <w:t>Sugg</w:t>
            </w:r>
            <w:proofErr w:type="spellEnd"/>
            <w:r w:rsidRPr="00965B88">
              <w:rPr>
                <w:rFonts w:ascii="Calibri" w:eastAsia="Times New Roman" w:hAnsi="Calibri"/>
                <w:color w:val="000000"/>
                <w:sz w:val="20"/>
                <w:szCs w:val="20"/>
              </w:rPr>
              <w:t>, Zoe</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$19.99</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$21.60</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$32.30</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$14.99</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$10.38</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$13.80</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7</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 xml:space="preserve">Fifty Shades of </w:t>
            </w:r>
            <w:proofErr w:type="spellStart"/>
            <w:r w:rsidRPr="00965B88">
              <w:rPr>
                <w:rFonts w:ascii="Calibri" w:eastAsia="Times New Roman" w:hAnsi="Calibri"/>
                <w:color w:val="000000"/>
                <w:sz w:val="20"/>
                <w:szCs w:val="20"/>
              </w:rPr>
              <w:t>Grey:Fifty</w:t>
            </w:r>
            <w:proofErr w:type="spellEnd"/>
            <w:r w:rsidRPr="00965B88">
              <w:rPr>
                <w:rFonts w:ascii="Calibri" w:eastAsia="Times New Roman" w:hAnsi="Calibri"/>
                <w:color w:val="000000"/>
                <w:sz w:val="20"/>
                <w:szCs w:val="20"/>
              </w:rPr>
              <w:t xml:space="preserve"> Shades</w:t>
            </w:r>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James, E. L.</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$19.99</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$21.60</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$28.64</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$9.99</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$10.38</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$8.27</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8</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 xml:space="preserve">14th Deadly </w:t>
            </w:r>
            <w:proofErr w:type="spellStart"/>
            <w:r w:rsidRPr="00965B88">
              <w:rPr>
                <w:rFonts w:ascii="Calibri" w:eastAsia="Times New Roman" w:hAnsi="Calibri"/>
                <w:color w:val="000000"/>
                <w:sz w:val="20"/>
                <w:szCs w:val="20"/>
              </w:rPr>
              <w:t>Sin:Women's</w:t>
            </w:r>
            <w:proofErr w:type="spellEnd"/>
            <w:r w:rsidRPr="00965B88">
              <w:rPr>
                <w:rFonts w:ascii="Calibri" w:eastAsia="Times New Roman" w:hAnsi="Calibri"/>
                <w:color w:val="000000"/>
                <w:sz w:val="20"/>
                <w:szCs w:val="20"/>
              </w:rPr>
              <w:t xml:space="preserve"> Murder Club</w:t>
            </w:r>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Patterson, James</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$32.99</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$37.82</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$50.27</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$10.99</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$10.38</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$20.70</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6A6A6"/>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9</w:t>
            </w:r>
          </w:p>
        </w:tc>
        <w:tc>
          <w:tcPr>
            <w:tcW w:w="1916" w:type="dxa"/>
            <w:tcBorders>
              <w:top w:val="nil"/>
              <w:left w:val="single" w:sz="4" w:space="0" w:color="auto"/>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 xml:space="preserve">Magical </w:t>
            </w:r>
            <w:proofErr w:type="spellStart"/>
            <w:r w:rsidRPr="00965B88">
              <w:rPr>
                <w:rFonts w:ascii="Calibri" w:eastAsia="Times New Roman" w:hAnsi="Calibri"/>
                <w:color w:val="000000"/>
                <w:sz w:val="20"/>
                <w:szCs w:val="20"/>
              </w:rPr>
              <w:t>City,The</w:t>
            </w:r>
            <w:proofErr w:type="spellEnd"/>
          </w:p>
        </w:tc>
        <w:tc>
          <w:tcPr>
            <w:tcW w:w="144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Cullen, Lizzie Mary</w:t>
            </w:r>
          </w:p>
        </w:tc>
        <w:tc>
          <w:tcPr>
            <w:tcW w:w="1170" w:type="dxa"/>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$22.99</w:t>
            </w:r>
          </w:p>
        </w:tc>
        <w:tc>
          <w:tcPr>
            <w:tcW w:w="117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$27.01</w:t>
            </w:r>
          </w:p>
        </w:tc>
        <w:tc>
          <w:tcPr>
            <w:tcW w:w="810"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N/A</w:t>
            </w:r>
          </w:p>
        </w:tc>
        <w:tc>
          <w:tcPr>
            <w:tcW w:w="990" w:type="dxa"/>
            <w:tcBorders>
              <w:top w:val="nil"/>
              <w:left w:val="single" w:sz="4" w:space="0" w:color="auto"/>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N/A</w:t>
            </w:r>
          </w:p>
        </w:tc>
        <w:tc>
          <w:tcPr>
            <w:tcW w:w="810" w:type="dxa"/>
            <w:gridSpan w:val="2"/>
            <w:tcBorders>
              <w:top w:val="nil"/>
              <w:left w:val="nil"/>
              <w:bottom w:val="single" w:sz="4" w:space="0" w:color="A6A6A6"/>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N/A</w:t>
            </w:r>
          </w:p>
        </w:tc>
        <w:tc>
          <w:tcPr>
            <w:tcW w:w="867" w:type="dxa"/>
            <w:tcBorders>
              <w:top w:val="nil"/>
              <w:left w:val="nil"/>
              <w:bottom w:val="single" w:sz="4" w:space="0" w:color="A6A6A6"/>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N/A</w:t>
            </w:r>
          </w:p>
        </w:tc>
      </w:tr>
      <w:tr w:rsidR="00965B88" w:rsidRPr="00965B88" w:rsidTr="00965B88">
        <w:trPr>
          <w:gridAfter w:val="5"/>
          <w:divId w:val="399596339"/>
          <w:wAfter w:w="5360" w:type="dxa"/>
          <w:trHeight w:val="157"/>
        </w:trPr>
        <w:tc>
          <w:tcPr>
            <w:tcW w:w="419" w:type="dxa"/>
            <w:gridSpan w:val="2"/>
            <w:tcBorders>
              <w:top w:val="nil"/>
              <w:left w:val="single" w:sz="4" w:space="0" w:color="auto"/>
              <w:bottom w:val="single" w:sz="4" w:space="0" w:color="auto"/>
              <w:right w:val="nil"/>
            </w:tcBorders>
            <w:shd w:val="clear" w:color="000000" w:fill="FFFFFF"/>
            <w:noWrap/>
            <w:vAlign w:val="bottom"/>
            <w:hideMark/>
          </w:tcPr>
          <w:p w:rsidR="00965B88" w:rsidRPr="00965B88" w:rsidRDefault="00965B88" w:rsidP="00965B88">
            <w:pPr>
              <w:jc w:val="center"/>
              <w:rPr>
                <w:rFonts w:ascii="Calibri" w:eastAsia="Times New Roman" w:hAnsi="Calibri"/>
                <w:b/>
                <w:bCs/>
                <w:color w:val="000000"/>
                <w:sz w:val="20"/>
                <w:szCs w:val="20"/>
              </w:rPr>
            </w:pPr>
            <w:r w:rsidRPr="00965B88">
              <w:rPr>
                <w:rFonts w:ascii="Calibri" w:eastAsia="Times New Roman" w:hAnsi="Calibri"/>
                <w:b/>
                <w:bCs/>
                <w:color w:val="000000"/>
                <w:sz w:val="20"/>
                <w:szCs w:val="20"/>
              </w:rPr>
              <w:t>10</w:t>
            </w:r>
          </w:p>
        </w:tc>
        <w:tc>
          <w:tcPr>
            <w:tcW w:w="1916" w:type="dxa"/>
            <w:tcBorders>
              <w:top w:val="nil"/>
              <w:left w:val="single" w:sz="4" w:space="0" w:color="auto"/>
              <w:bottom w:val="single" w:sz="4" w:space="0" w:color="auto"/>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To Kill a Mockingbird</w:t>
            </w:r>
          </w:p>
        </w:tc>
        <w:tc>
          <w:tcPr>
            <w:tcW w:w="1440" w:type="dxa"/>
            <w:tcBorders>
              <w:top w:val="nil"/>
              <w:left w:val="nil"/>
              <w:bottom w:val="single" w:sz="4" w:space="0" w:color="auto"/>
              <w:right w:val="single" w:sz="4" w:space="0" w:color="auto"/>
            </w:tcBorders>
            <w:shd w:val="clear" w:color="000000" w:fill="FFFFFF"/>
            <w:noWrap/>
            <w:vAlign w:val="bottom"/>
            <w:hideMark/>
          </w:tcPr>
          <w:p w:rsidR="00965B88" w:rsidRPr="00965B88" w:rsidRDefault="00965B88" w:rsidP="00965B88">
            <w:pPr>
              <w:rPr>
                <w:rFonts w:ascii="Calibri" w:eastAsia="Times New Roman" w:hAnsi="Calibri"/>
                <w:color w:val="000000"/>
                <w:sz w:val="20"/>
                <w:szCs w:val="20"/>
              </w:rPr>
            </w:pPr>
            <w:r w:rsidRPr="00965B88">
              <w:rPr>
                <w:rFonts w:ascii="Calibri" w:eastAsia="Times New Roman" w:hAnsi="Calibri"/>
                <w:color w:val="000000"/>
                <w:sz w:val="20"/>
                <w:szCs w:val="20"/>
              </w:rPr>
              <w:t>Lee, Harper</w:t>
            </w:r>
          </w:p>
        </w:tc>
        <w:tc>
          <w:tcPr>
            <w:tcW w:w="1170" w:type="dxa"/>
            <w:tcBorders>
              <w:top w:val="nil"/>
              <w:left w:val="nil"/>
              <w:bottom w:val="single" w:sz="4" w:space="0" w:color="auto"/>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$14.99</w:t>
            </w:r>
          </w:p>
        </w:tc>
        <w:tc>
          <w:tcPr>
            <w:tcW w:w="1170" w:type="dxa"/>
            <w:gridSpan w:val="2"/>
            <w:tcBorders>
              <w:top w:val="nil"/>
              <w:left w:val="nil"/>
              <w:bottom w:val="single" w:sz="4" w:space="0" w:color="auto"/>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$21.60</w:t>
            </w:r>
          </w:p>
        </w:tc>
        <w:tc>
          <w:tcPr>
            <w:tcW w:w="810" w:type="dxa"/>
            <w:tcBorders>
              <w:top w:val="nil"/>
              <w:left w:val="nil"/>
              <w:bottom w:val="single" w:sz="4" w:space="0" w:color="auto"/>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$30.51</w:t>
            </w:r>
          </w:p>
        </w:tc>
        <w:tc>
          <w:tcPr>
            <w:tcW w:w="990" w:type="dxa"/>
            <w:tcBorders>
              <w:top w:val="nil"/>
              <w:left w:val="single" w:sz="4" w:space="0" w:color="auto"/>
              <w:bottom w:val="single" w:sz="4" w:space="0" w:color="auto"/>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$8.99</w:t>
            </w:r>
          </w:p>
        </w:tc>
        <w:tc>
          <w:tcPr>
            <w:tcW w:w="810" w:type="dxa"/>
            <w:gridSpan w:val="2"/>
            <w:tcBorders>
              <w:top w:val="nil"/>
              <w:left w:val="nil"/>
              <w:bottom w:val="single" w:sz="4" w:space="0" w:color="auto"/>
              <w:right w:val="single" w:sz="4" w:space="0" w:color="A6A6A6"/>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$10.38</w:t>
            </w:r>
          </w:p>
        </w:tc>
        <w:tc>
          <w:tcPr>
            <w:tcW w:w="867" w:type="dxa"/>
            <w:tcBorders>
              <w:top w:val="nil"/>
              <w:left w:val="nil"/>
              <w:bottom w:val="single" w:sz="4" w:space="0" w:color="auto"/>
              <w:right w:val="single" w:sz="4" w:space="0" w:color="auto"/>
            </w:tcBorders>
            <w:shd w:val="clear" w:color="000000" w:fill="FFFFFF"/>
            <w:noWrap/>
            <w:vAlign w:val="bottom"/>
            <w:hideMark/>
          </w:tcPr>
          <w:p w:rsidR="00965B88" w:rsidRPr="00965B88" w:rsidRDefault="00965B88" w:rsidP="00965B88">
            <w:pPr>
              <w:jc w:val="center"/>
              <w:rPr>
                <w:rFonts w:ascii="Calibri" w:eastAsia="Times New Roman" w:hAnsi="Calibri"/>
                <w:color w:val="000000"/>
                <w:sz w:val="20"/>
                <w:szCs w:val="20"/>
              </w:rPr>
            </w:pPr>
            <w:r w:rsidRPr="00965B88">
              <w:rPr>
                <w:rFonts w:ascii="Calibri" w:eastAsia="Times New Roman" w:hAnsi="Calibri"/>
                <w:color w:val="000000"/>
                <w:sz w:val="20"/>
                <w:szCs w:val="20"/>
              </w:rPr>
              <w:t>$15.18</w:t>
            </w:r>
          </w:p>
        </w:tc>
      </w:tr>
      <w:tr w:rsidR="00965B88" w:rsidRPr="00965B88" w:rsidTr="00965B88">
        <w:trPr>
          <w:divId w:val="399596339"/>
          <w:trHeight w:val="300"/>
        </w:trPr>
        <w:tc>
          <w:tcPr>
            <w:tcW w:w="320" w:type="dxa"/>
            <w:tcBorders>
              <w:top w:val="nil"/>
              <w:left w:val="nil"/>
              <w:bottom w:val="nil"/>
              <w:right w:val="nil"/>
            </w:tcBorders>
            <w:shd w:val="clear" w:color="auto" w:fill="auto"/>
            <w:noWrap/>
            <w:vAlign w:val="bottom"/>
            <w:hideMark/>
          </w:tcPr>
          <w:p w:rsidR="00965B88" w:rsidRPr="00965B88" w:rsidRDefault="00965B88" w:rsidP="00965B88">
            <w:pPr>
              <w:jc w:val="center"/>
              <w:rPr>
                <w:rFonts w:ascii="Calibri" w:eastAsia="Times New Roman" w:hAnsi="Calibri"/>
                <w:color w:val="000000"/>
                <w:sz w:val="22"/>
                <w:szCs w:val="22"/>
              </w:rPr>
            </w:pPr>
          </w:p>
        </w:tc>
        <w:tc>
          <w:tcPr>
            <w:tcW w:w="5480" w:type="dxa"/>
            <w:gridSpan w:val="5"/>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2832" w:type="dxa"/>
            <w:gridSpan w:val="4"/>
            <w:tcBorders>
              <w:top w:val="nil"/>
              <w:left w:val="single" w:sz="4" w:space="0" w:color="A6A6A6"/>
              <w:bottom w:val="nil"/>
              <w:right w:val="single" w:sz="4" w:space="0" w:color="A6A6A6"/>
            </w:tcBorders>
            <w:shd w:val="clear" w:color="auto" w:fill="auto"/>
            <w:noWrap/>
            <w:vAlign w:val="bottom"/>
            <w:hideMark/>
          </w:tcPr>
          <w:p w:rsidR="00965B88" w:rsidRPr="00965B88" w:rsidRDefault="00965B88" w:rsidP="00965B88">
            <w:pPr>
              <w:rPr>
                <w:rFonts w:ascii="Calibri" w:eastAsia="Times New Roman" w:hAnsi="Calibri"/>
                <w:color w:val="000000"/>
                <w:sz w:val="22"/>
                <w:szCs w:val="22"/>
              </w:rPr>
            </w:pPr>
            <w:r w:rsidRPr="00965B88">
              <w:rPr>
                <w:rFonts w:ascii="Calibri" w:eastAsia="Times New Roman"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965B88" w:rsidRPr="00965B88" w:rsidRDefault="00965B88" w:rsidP="00965B88">
            <w:pPr>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12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r>
      <w:tr w:rsidR="00965B88" w:rsidRPr="00965B88" w:rsidTr="00965B88">
        <w:trPr>
          <w:divId w:val="399596339"/>
          <w:trHeight w:val="300"/>
        </w:trPr>
        <w:tc>
          <w:tcPr>
            <w:tcW w:w="32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5480" w:type="dxa"/>
            <w:gridSpan w:val="5"/>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2832" w:type="dxa"/>
            <w:gridSpan w:val="4"/>
            <w:tcBorders>
              <w:top w:val="nil"/>
              <w:left w:val="single" w:sz="4" w:space="0" w:color="A6A6A6"/>
              <w:bottom w:val="nil"/>
              <w:right w:val="single" w:sz="4" w:space="0" w:color="A6A6A6"/>
            </w:tcBorders>
            <w:shd w:val="clear" w:color="auto" w:fill="auto"/>
            <w:noWrap/>
            <w:vAlign w:val="bottom"/>
            <w:hideMark/>
          </w:tcPr>
          <w:p w:rsidR="00965B88" w:rsidRPr="00965B88" w:rsidRDefault="00965B88" w:rsidP="00965B88">
            <w:pPr>
              <w:rPr>
                <w:rFonts w:ascii="Calibri" w:eastAsia="Times New Roman" w:hAnsi="Calibri"/>
                <w:color w:val="000000"/>
                <w:sz w:val="22"/>
                <w:szCs w:val="22"/>
                <w:u w:val="single"/>
              </w:rPr>
            </w:pPr>
            <w:r w:rsidRPr="00965B88">
              <w:rPr>
                <w:rFonts w:ascii="Calibri" w:eastAsia="Times New Roman" w:hAnsi="Calibri"/>
                <w:color w:val="000000"/>
                <w:sz w:val="22"/>
                <w:szCs w:val="22"/>
                <w:u w:val="single"/>
              </w:rPr>
              <w:t xml:space="preserve">notes </w:t>
            </w:r>
          </w:p>
        </w:tc>
        <w:tc>
          <w:tcPr>
            <w:tcW w:w="960" w:type="dxa"/>
            <w:gridSpan w:val="2"/>
            <w:tcBorders>
              <w:top w:val="nil"/>
              <w:left w:val="nil"/>
              <w:bottom w:val="nil"/>
              <w:right w:val="nil"/>
            </w:tcBorders>
            <w:shd w:val="clear" w:color="auto" w:fill="auto"/>
            <w:noWrap/>
            <w:vAlign w:val="bottom"/>
            <w:hideMark/>
          </w:tcPr>
          <w:p w:rsidR="00965B88" w:rsidRPr="00965B88" w:rsidRDefault="00965B88" w:rsidP="00965B88">
            <w:pPr>
              <w:rPr>
                <w:rFonts w:ascii="Calibri" w:eastAsia="Times New Roman" w:hAnsi="Calibri"/>
                <w:color w:val="000000"/>
                <w:sz w:val="22"/>
                <w:szCs w:val="22"/>
                <w:u w:val="single"/>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12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r>
      <w:tr w:rsidR="00965B88" w:rsidRPr="00965B88" w:rsidTr="00965B88">
        <w:trPr>
          <w:divId w:val="399596339"/>
          <w:trHeight w:val="300"/>
        </w:trPr>
        <w:tc>
          <w:tcPr>
            <w:tcW w:w="32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5480" w:type="dxa"/>
            <w:gridSpan w:val="5"/>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3792" w:type="dxa"/>
            <w:gridSpan w:val="6"/>
            <w:tcBorders>
              <w:top w:val="nil"/>
              <w:left w:val="nil"/>
              <w:bottom w:val="nil"/>
              <w:right w:val="nil"/>
            </w:tcBorders>
            <w:shd w:val="clear" w:color="auto" w:fill="auto"/>
            <w:noWrap/>
            <w:vAlign w:val="bottom"/>
            <w:hideMark/>
          </w:tcPr>
          <w:p w:rsidR="00965B88" w:rsidRPr="00965B88" w:rsidRDefault="00965B88" w:rsidP="00965B88">
            <w:pPr>
              <w:rPr>
                <w:rFonts w:ascii="Calibri" w:eastAsia="Times New Roman" w:hAnsi="Calibri"/>
                <w:color w:val="000000"/>
                <w:sz w:val="22"/>
                <w:szCs w:val="22"/>
              </w:rPr>
            </w:pPr>
            <w:proofErr w:type="spellStart"/>
            <w:r w:rsidRPr="00965B88">
              <w:rPr>
                <w:rFonts w:ascii="Calibri" w:eastAsia="Times New Roman" w:hAnsi="Calibri"/>
                <w:color w:val="000000"/>
                <w:sz w:val="22"/>
                <w:szCs w:val="22"/>
              </w:rPr>
              <w:t>oxforex</w:t>
            </w:r>
            <w:proofErr w:type="spellEnd"/>
            <w:r w:rsidRPr="00965B88">
              <w:rPr>
                <w:rFonts w:ascii="Calibri" w:eastAsia="Times New Roman" w:hAnsi="Calibri"/>
                <w:color w:val="000000"/>
                <w:sz w:val="22"/>
                <w:szCs w:val="22"/>
              </w:rPr>
              <w:t xml:space="preserve"> Exchange Rate 25/11/15</w:t>
            </w:r>
          </w:p>
        </w:tc>
        <w:tc>
          <w:tcPr>
            <w:tcW w:w="1060" w:type="dxa"/>
            <w:tcBorders>
              <w:top w:val="nil"/>
              <w:left w:val="nil"/>
              <w:bottom w:val="nil"/>
              <w:right w:val="nil"/>
            </w:tcBorders>
            <w:shd w:val="clear" w:color="auto" w:fill="auto"/>
            <w:noWrap/>
            <w:vAlign w:val="bottom"/>
            <w:hideMark/>
          </w:tcPr>
          <w:p w:rsidR="00965B88" w:rsidRPr="00965B88" w:rsidRDefault="00965B88" w:rsidP="00965B88">
            <w:pPr>
              <w:jc w:val="right"/>
              <w:rPr>
                <w:rFonts w:ascii="Calibri" w:eastAsia="Times New Roman" w:hAnsi="Calibri"/>
                <w:color w:val="000000"/>
                <w:sz w:val="22"/>
                <w:szCs w:val="22"/>
              </w:rPr>
            </w:pPr>
            <w:r w:rsidRPr="00965B88">
              <w:rPr>
                <w:rFonts w:ascii="Calibri" w:eastAsia="Times New Roman" w:hAnsi="Calibri"/>
                <w:color w:val="000000"/>
                <w:sz w:val="22"/>
                <w:szCs w:val="22"/>
              </w:rPr>
              <w:t>0.480904</w:t>
            </w:r>
          </w:p>
        </w:tc>
        <w:tc>
          <w:tcPr>
            <w:tcW w:w="1060" w:type="dxa"/>
            <w:tcBorders>
              <w:top w:val="nil"/>
              <w:left w:val="nil"/>
              <w:bottom w:val="nil"/>
              <w:right w:val="nil"/>
            </w:tcBorders>
            <w:shd w:val="clear" w:color="auto" w:fill="auto"/>
            <w:noWrap/>
            <w:vAlign w:val="bottom"/>
            <w:hideMark/>
          </w:tcPr>
          <w:p w:rsidR="00965B88" w:rsidRPr="00965B88" w:rsidRDefault="00965B88" w:rsidP="00965B88">
            <w:pPr>
              <w:jc w:val="right"/>
              <w:rPr>
                <w:rFonts w:ascii="Calibri" w:eastAsia="Times New Roman" w:hAnsi="Calibri"/>
                <w:color w:val="000000"/>
                <w:sz w:val="22"/>
                <w:szCs w:val="22"/>
              </w:rPr>
            </w:pPr>
            <w:r w:rsidRPr="00965B88">
              <w:rPr>
                <w:rFonts w:ascii="Calibri" w:eastAsia="Times New Roman" w:hAnsi="Calibri"/>
                <w:color w:val="000000"/>
                <w:sz w:val="22"/>
                <w:szCs w:val="22"/>
              </w:rPr>
              <w:t>0.724034</w:t>
            </w:r>
          </w:p>
        </w:tc>
        <w:tc>
          <w:tcPr>
            <w:tcW w:w="1120" w:type="dxa"/>
            <w:tcBorders>
              <w:top w:val="nil"/>
              <w:left w:val="nil"/>
              <w:bottom w:val="nil"/>
              <w:right w:val="nil"/>
            </w:tcBorders>
            <w:shd w:val="clear" w:color="auto" w:fill="auto"/>
            <w:noWrap/>
            <w:vAlign w:val="bottom"/>
            <w:hideMark/>
          </w:tcPr>
          <w:p w:rsidR="00965B88" w:rsidRPr="00965B88" w:rsidRDefault="00965B88" w:rsidP="00965B88">
            <w:pPr>
              <w:jc w:val="right"/>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c>
          <w:tcPr>
            <w:tcW w:w="1060" w:type="dxa"/>
            <w:tcBorders>
              <w:top w:val="nil"/>
              <w:left w:val="nil"/>
              <w:bottom w:val="nil"/>
              <w:right w:val="nil"/>
            </w:tcBorders>
            <w:shd w:val="clear" w:color="auto" w:fill="auto"/>
            <w:noWrap/>
            <w:vAlign w:val="bottom"/>
            <w:hideMark/>
          </w:tcPr>
          <w:p w:rsidR="00965B88" w:rsidRPr="00965B88" w:rsidRDefault="00965B88" w:rsidP="00965B88">
            <w:pPr>
              <w:rPr>
                <w:rFonts w:eastAsia="Times New Roman"/>
                <w:sz w:val="20"/>
                <w:szCs w:val="20"/>
              </w:rPr>
            </w:pPr>
          </w:p>
        </w:tc>
      </w:tr>
    </w:tbl>
    <w:p w:rsidR="00320540" w:rsidRPr="00320540" w:rsidRDefault="00FD67DC" w:rsidP="00320540">
      <w:pPr>
        <w:pStyle w:val="ListParagraph"/>
        <w:spacing w:after="120" w:line="300" w:lineRule="exact"/>
        <w:ind w:left="360"/>
        <w:jc w:val="both"/>
        <w:rPr>
          <w:rFonts w:asciiTheme="majorHAnsi" w:eastAsia="Times New Roman" w:hAnsiTheme="majorHAnsi"/>
          <w:b/>
          <w:sz w:val="20"/>
          <w:szCs w:val="20"/>
          <w:u w:val="single"/>
        </w:rPr>
      </w:pPr>
      <w:r>
        <w:rPr>
          <w:rFonts w:asciiTheme="majorHAnsi" w:eastAsia="Times New Roman" w:hAnsiTheme="majorHAnsi"/>
          <w:b/>
          <w:sz w:val="22"/>
          <w:szCs w:val="22"/>
        </w:rPr>
        <w:fldChar w:fldCharType="end"/>
      </w:r>
      <w:r w:rsidR="00320540" w:rsidRPr="00320540">
        <w:rPr>
          <w:rFonts w:asciiTheme="majorHAnsi" w:eastAsia="Times New Roman" w:hAnsiTheme="majorHAnsi"/>
          <w:b/>
          <w:sz w:val="20"/>
          <w:szCs w:val="20"/>
          <w:u w:val="single"/>
        </w:rPr>
        <w:t>Notes</w:t>
      </w:r>
    </w:p>
    <w:p w:rsidR="00320540" w:rsidRDefault="00320540" w:rsidP="00320540">
      <w:pPr>
        <w:pStyle w:val="ListParagraph"/>
        <w:spacing w:after="120" w:line="300" w:lineRule="exact"/>
        <w:ind w:left="360"/>
        <w:jc w:val="both"/>
        <w:rPr>
          <w:rFonts w:ascii="Calibri" w:eastAsia="Times New Roman" w:hAnsi="Calibri"/>
          <w:color w:val="000000"/>
          <w:sz w:val="20"/>
          <w:szCs w:val="20"/>
        </w:rPr>
      </w:pPr>
      <w:r w:rsidRPr="00320540">
        <w:rPr>
          <w:rFonts w:ascii="Calibri" w:eastAsia="Times New Roman" w:hAnsi="Calibri"/>
          <w:color w:val="000000"/>
          <w:sz w:val="20"/>
          <w:szCs w:val="20"/>
        </w:rPr>
        <w:t>Exchange rate Source Oxforex 25/11/</w:t>
      </w:r>
      <w:r>
        <w:rPr>
          <w:rFonts w:ascii="Calibri" w:eastAsia="Times New Roman" w:hAnsi="Calibri"/>
          <w:color w:val="000000"/>
          <w:sz w:val="20"/>
          <w:szCs w:val="20"/>
        </w:rPr>
        <w:t xml:space="preserve">2015  (UK 0.480904, </w:t>
      </w:r>
      <w:r w:rsidRPr="00320540">
        <w:rPr>
          <w:rFonts w:ascii="Calibri" w:eastAsia="Times New Roman" w:hAnsi="Calibri"/>
          <w:color w:val="000000"/>
          <w:sz w:val="20"/>
          <w:szCs w:val="20"/>
        </w:rPr>
        <w:t>US 0.724034)</w:t>
      </w:r>
    </w:p>
    <w:p w:rsidR="00320540" w:rsidRPr="00320540" w:rsidRDefault="00320540" w:rsidP="00320540">
      <w:pPr>
        <w:pStyle w:val="ListParagraph"/>
        <w:spacing w:after="120" w:line="300" w:lineRule="exact"/>
        <w:ind w:left="360"/>
        <w:jc w:val="both"/>
        <w:rPr>
          <w:rFonts w:asciiTheme="majorHAnsi" w:eastAsia="Times New Roman" w:hAnsiTheme="majorHAnsi"/>
          <w:b/>
          <w:sz w:val="22"/>
          <w:szCs w:val="22"/>
        </w:rPr>
      </w:pPr>
      <w:r w:rsidRPr="00320540">
        <w:rPr>
          <w:rFonts w:ascii="Calibri" w:eastAsia="Times New Roman" w:hAnsi="Calibri"/>
          <w:color w:val="000000"/>
          <w:sz w:val="20"/>
          <w:szCs w:val="20"/>
        </w:rPr>
        <w:t>Freight cost 30%</w:t>
      </w:r>
    </w:p>
    <w:p w:rsidR="00DB00A2" w:rsidRPr="00DB00A2" w:rsidRDefault="00DB00A2" w:rsidP="00DB00A2">
      <w:pPr>
        <w:pStyle w:val="ListParagraph"/>
        <w:spacing w:after="120" w:line="300" w:lineRule="exact"/>
        <w:ind w:left="360"/>
        <w:jc w:val="both"/>
        <w:rPr>
          <w:rFonts w:asciiTheme="majorHAnsi" w:eastAsia="Times New Roman" w:hAnsiTheme="majorHAnsi"/>
          <w:b/>
          <w:sz w:val="22"/>
          <w:szCs w:val="22"/>
        </w:rPr>
      </w:pPr>
    </w:p>
    <w:p w:rsidR="00FD309B" w:rsidRPr="00181359" w:rsidRDefault="00FD309B" w:rsidP="0064466A">
      <w:pPr>
        <w:pStyle w:val="ListParagraph"/>
        <w:numPr>
          <w:ilvl w:val="0"/>
          <w:numId w:val="2"/>
        </w:numPr>
        <w:spacing w:after="120" w:line="300" w:lineRule="exact"/>
        <w:ind w:left="360"/>
        <w:jc w:val="both"/>
        <w:rPr>
          <w:rFonts w:asciiTheme="majorHAnsi" w:eastAsia="Times New Roman" w:hAnsiTheme="majorHAnsi"/>
          <w:b/>
          <w:sz w:val="22"/>
          <w:szCs w:val="22"/>
        </w:rPr>
      </w:pPr>
      <w:r w:rsidRPr="00FD309B">
        <w:rPr>
          <w:rFonts w:asciiTheme="majorHAnsi" w:eastAsia="Times New Roman" w:hAnsiTheme="majorHAnsi"/>
          <w:b/>
          <w:sz w:val="22"/>
          <w:szCs w:val="22"/>
        </w:rPr>
        <w:t>The digital age has not lead to a marked decline in consumer demand for print books.</w:t>
      </w:r>
      <w:r>
        <w:rPr>
          <w:rFonts w:asciiTheme="majorHAnsi" w:eastAsia="Times New Roman" w:hAnsiTheme="majorHAnsi"/>
          <w:sz w:val="22"/>
          <w:szCs w:val="22"/>
        </w:rPr>
        <w:t xml:space="preserve">  At present, </w:t>
      </w:r>
      <w:r w:rsidR="00181359">
        <w:rPr>
          <w:rFonts w:asciiTheme="majorHAnsi" w:eastAsia="Times New Roman" w:hAnsiTheme="majorHAnsi"/>
          <w:sz w:val="22"/>
          <w:szCs w:val="22"/>
        </w:rPr>
        <w:t xml:space="preserve">total local </w:t>
      </w:r>
      <w:r>
        <w:rPr>
          <w:rFonts w:asciiTheme="majorHAnsi" w:eastAsia="Times New Roman" w:hAnsiTheme="majorHAnsi"/>
          <w:sz w:val="22"/>
          <w:szCs w:val="22"/>
        </w:rPr>
        <w:t xml:space="preserve">ebook sales represent </w:t>
      </w:r>
      <w:r w:rsidR="00181359">
        <w:rPr>
          <w:rFonts w:asciiTheme="majorHAnsi" w:eastAsia="Times New Roman" w:hAnsiTheme="majorHAnsi"/>
          <w:sz w:val="22"/>
          <w:szCs w:val="22"/>
        </w:rPr>
        <w:t>11</w:t>
      </w:r>
      <w:r>
        <w:rPr>
          <w:rFonts w:asciiTheme="majorHAnsi" w:eastAsia="Times New Roman" w:hAnsiTheme="majorHAnsi"/>
          <w:sz w:val="22"/>
          <w:szCs w:val="22"/>
        </w:rPr>
        <w:t xml:space="preserve">% of </w:t>
      </w:r>
      <w:r w:rsidR="00181359">
        <w:rPr>
          <w:rFonts w:asciiTheme="majorHAnsi" w:eastAsia="Times New Roman" w:hAnsiTheme="majorHAnsi"/>
          <w:sz w:val="22"/>
          <w:szCs w:val="22"/>
        </w:rPr>
        <w:t xml:space="preserve">our </w:t>
      </w:r>
      <w:r>
        <w:rPr>
          <w:rFonts w:asciiTheme="majorHAnsi" w:eastAsia="Times New Roman" w:hAnsiTheme="majorHAnsi"/>
          <w:sz w:val="22"/>
          <w:szCs w:val="22"/>
        </w:rPr>
        <w:t>overall</w:t>
      </w:r>
      <w:r w:rsidR="00181359">
        <w:rPr>
          <w:rFonts w:asciiTheme="majorHAnsi" w:eastAsia="Times New Roman" w:hAnsiTheme="majorHAnsi"/>
          <w:sz w:val="22"/>
          <w:szCs w:val="22"/>
        </w:rPr>
        <w:t xml:space="preserve"> local</w:t>
      </w:r>
      <w:r>
        <w:rPr>
          <w:rFonts w:asciiTheme="majorHAnsi" w:eastAsia="Times New Roman" w:hAnsiTheme="majorHAnsi"/>
          <w:sz w:val="22"/>
          <w:szCs w:val="22"/>
        </w:rPr>
        <w:t xml:space="preserve"> sales of titles across the Penguin Random House list.  Ebook technology has not enabled certain genres (including </w:t>
      </w:r>
      <w:r w:rsidR="0089351D">
        <w:rPr>
          <w:rFonts w:asciiTheme="majorHAnsi" w:eastAsia="Times New Roman" w:hAnsiTheme="majorHAnsi"/>
          <w:sz w:val="22"/>
          <w:szCs w:val="22"/>
        </w:rPr>
        <w:t>children’s</w:t>
      </w:r>
      <w:r>
        <w:rPr>
          <w:rFonts w:asciiTheme="majorHAnsi" w:eastAsia="Times New Roman" w:hAnsiTheme="majorHAnsi"/>
          <w:sz w:val="22"/>
          <w:szCs w:val="22"/>
        </w:rPr>
        <w:t xml:space="preserve"> and lifestyle and cook books) to be properly published in the digital format, leading to even higher consumer demand for print books across those genres.  With the low impact to overall sales that the digital era has resulted in, a technological based reason for a change in legislation is unfounded.</w:t>
      </w:r>
    </w:p>
    <w:p w:rsidR="00181359" w:rsidRPr="0004064A" w:rsidRDefault="0004064A" w:rsidP="0064466A">
      <w:pPr>
        <w:pStyle w:val="ListParagraph"/>
        <w:numPr>
          <w:ilvl w:val="0"/>
          <w:numId w:val="2"/>
        </w:numPr>
        <w:spacing w:after="120" w:line="300" w:lineRule="exact"/>
        <w:ind w:left="360"/>
        <w:jc w:val="both"/>
        <w:rPr>
          <w:rFonts w:asciiTheme="majorHAnsi" w:eastAsia="Times New Roman" w:hAnsiTheme="majorHAnsi"/>
          <w:b/>
          <w:sz w:val="22"/>
          <w:szCs w:val="22"/>
        </w:rPr>
      </w:pPr>
      <w:r>
        <w:rPr>
          <w:rFonts w:asciiTheme="majorHAnsi" w:eastAsia="Times New Roman" w:hAnsiTheme="majorHAnsi"/>
          <w:b/>
          <w:sz w:val="22"/>
          <w:szCs w:val="22"/>
        </w:rPr>
        <w:t>And if consumers do take up ebook alternatives, Australian pricing is already low.</w:t>
      </w:r>
      <w:r>
        <w:rPr>
          <w:rFonts w:asciiTheme="majorHAnsi" w:eastAsia="Times New Roman" w:hAnsiTheme="majorHAnsi"/>
          <w:sz w:val="22"/>
          <w:szCs w:val="22"/>
        </w:rPr>
        <w:t xml:space="preserve">  As stated above, the ebook take up in Australia is quite low.  However the average pricing of titles in this format is competitive in the Australian market.  The table below illustrates the pricing differences.  Again, the system is working effectively and there is no reason to change the PIR system.</w:t>
      </w:r>
    </w:p>
    <w:p w:rsidR="00FD67DC" w:rsidRPr="00320540" w:rsidRDefault="00FD67DC" w:rsidP="00320540">
      <w:pPr>
        <w:spacing w:after="120" w:line="300" w:lineRule="exact"/>
        <w:jc w:val="both"/>
        <w:rPr>
          <w:rFonts w:asciiTheme="majorHAnsi" w:eastAsia="Times New Roman" w:hAnsiTheme="majorHAnsi"/>
          <w:sz w:val="22"/>
          <w:szCs w:val="22"/>
        </w:rPr>
      </w:pPr>
    </w:p>
    <w:p w:rsidR="00FD67DC" w:rsidRDefault="00FD67DC" w:rsidP="0004064A">
      <w:pPr>
        <w:pStyle w:val="ListParagraph"/>
        <w:spacing w:after="120" w:line="300" w:lineRule="exact"/>
        <w:ind w:left="360"/>
        <w:jc w:val="both"/>
        <w:rPr>
          <w:rFonts w:asciiTheme="majorHAnsi" w:eastAsia="Times New Roman" w:hAnsiTheme="majorHAnsi"/>
          <w:sz w:val="22"/>
          <w:szCs w:val="22"/>
        </w:rPr>
      </w:pPr>
    </w:p>
    <w:p w:rsidR="00FD67DC" w:rsidRPr="0004064A" w:rsidRDefault="00320540" w:rsidP="0004064A">
      <w:pPr>
        <w:pStyle w:val="ListParagraph"/>
        <w:spacing w:after="120" w:line="300" w:lineRule="exact"/>
        <w:ind w:left="360"/>
        <w:jc w:val="both"/>
        <w:rPr>
          <w:rFonts w:asciiTheme="majorHAnsi" w:eastAsia="Times New Roman" w:hAnsiTheme="majorHAnsi"/>
          <w:sz w:val="22"/>
          <w:szCs w:val="22"/>
        </w:rPr>
      </w:pPr>
      <w:r>
        <w:rPr>
          <w:noProof/>
          <w:lang w:val="en-AU" w:eastAsia="en-AU"/>
        </w:rPr>
        <w:drawing>
          <wp:anchor distT="0" distB="0" distL="114300" distR="114300" simplePos="0" relativeHeight="251658240" behindDoc="0" locked="0" layoutInCell="1" allowOverlap="1" wp14:anchorId="70DD6361" wp14:editId="783A6F47">
            <wp:simplePos x="0" y="0"/>
            <wp:positionH relativeFrom="margin">
              <wp:posOffset>-581026</wp:posOffset>
            </wp:positionH>
            <wp:positionV relativeFrom="paragraph">
              <wp:posOffset>0</wp:posOffset>
            </wp:positionV>
            <wp:extent cx="6067425" cy="3400425"/>
            <wp:effectExtent l="0" t="0" r="9525"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64466A" w:rsidRDefault="0064466A" w:rsidP="0064466A">
      <w:pPr>
        <w:pStyle w:val="ListParagraph"/>
        <w:numPr>
          <w:ilvl w:val="0"/>
          <w:numId w:val="2"/>
        </w:numPr>
        <w:spacing w:after="120" w:line="300" w:lineRule="exact"/>
        <w:ind w:left="360"/>
        <w:jc w:val="both"/>
        <w:rPr>
          <w:rFonts w:asciiTheme="majorHAnsi" w:eastAsia="Times New Roman" w:hAnsiTheme="majorHAnsi"/>
          <w:sz w:val="22"/>
          <w:szCs w:val="22"/>
        </w:rPr>
      </w:pPr>
      <w:r w:rsidRPr="00F20914">
        <w:rPr>
          <w:rFonts w:asciiTheme="majorHAnsi" w:eastAsia="Times New Roman" w:hAnsiTheme="majorHAnsi"/>
          <w:b/>
          <w:sz w:val="22"/>
          <w:szCs w:val="22"/>
        </w:rPr>
        <w:t>Authors will have fewer publishing opportunities</w:t>
      </w:r>
      <w:r>
        <w:rPr>
          <w:rFonts w:asciiTheme="majorHAnsi" w:eastAsia="Times New Roman" w:hAnsiTheme="majorHAnsi"/>
          <w:b/>
          <w:sz w:val="22"/>
          <w:szCs w:val="22"/>
        </w:rPr>
        <w:t xml:space="preserve"> in Australia</w:t>
      </w:r>
      <w:r w:rsidRPr="00F20914">
        <w:rPr>
          <w:rFonts w:asciiTheme="majorHAnsi" w:eastAsia="Times New Roman" w:hAnsiTheme="majorHAnsi"/>
          <w:b/>
          <w:sz w:val="22"/>
          <w:szCs w:val="22"/>
        </w:rPr>
        <w:t>.</w:t>
      </w:r>
      <w:r>
        <w:rPr>
          <w:rFonts w:asciiTheme="majorHAnsi" w:eastAsia="Times New Roman" w:hAnsiTheme="majorHAnsi"/>
          <w:sz w:val="22"/>
          <w:szCs w:val="22"/>
        </w:rPr>
        <w:t xml:space="preserve">  </w:t>
      </w:r>
      <w:r w:rsidRPr="009308C8">
        <w:rPr>
          <w:rFonts w:asciiTheme="majorHAnsi" w:eastAsia="Times New Roman" w:hAnsiTheme="majorHAnsi"/>
          <w:sz w:val="22"/>
          <w:szCs w:val="22"/>
        </w:rPr>
        <w:t xml:space="preserve">The existence of </w:t>
      </w:r>
      <w:r>
        <w:rPr>
          <w:rFonts w:asciiTheme="majorHAnsi" w:eastAsia="Times New Roman" w:hAnsiTheme="majorHAnsi"/>
          <w:sz w:val="22"/>
          <w:szCs w:val="22"/>
        </w:rPr>
        <w:t>PIRs</w:t>
      </w:r>
      <w:r w:rsidRPr="009308C8">
        <w:rPr>
          <w:rFonts w:asciiTheme="majorHAnsi" w:eastAsia="Times New Roman" w:hAnsiTheme="majorHAnsi"/>
          <w:sz w:val="22"/>
          <w:szCs w:val="22"/>
        </w:rPr>
        <w:t xml:space="preserve"> ensures that publishers and authors can fully exploit their assets and receive a fair return on investment</w:t>
      </w:r>
      <w:r>
        <w:rPr>
          <w:rFonts w:asciiTheme="majorHAnsi" w:eastAsia="Times New Roman" w:hAnsiTheme="majorHAnsi"/>
          <w:sz w:val="22"/>
          <w:szCs w:val="22"/>
        </w:rPr>
        <w:t xml:space="preserve"> here and internationally</w:t>
      </w:r>
      <w:r w:rsidRPr="009308C8">
        <w:rPr>
          <w:rFonts w:asciiTheme="majorHAnsi" w:eastAsia="Times New Roman" w:hAnsiTheme="majorHAnsi"/>
          <w:sz w:val="22"/>
          <w:szCs w:val="22"/>
        </w:rPr>
        <w:t xml:space="preserve"> that encourages innovation and further investment in local content, ensuring that Australian consumers have more titles physically available to them at competitive prices, diversity of works are published and efficient investment is engaged in by publishers.</w:t>
      </w:r>
      <w:r>
        <w:rPr>
          <w:rFonts w:asciiTheme="majorHAnsi" w:eastAsia="Times New Roman" w:hAnsiTheme="majorHAnsi"/>
          <w:sz w:val="22"/>
          <w:szCs w:val="22"/>
        </w:rPr>
        <w:t xml:space="preserve">  Investment in local publishing must be funded by each local publishing company.  It takes time and significant investment to cultivate an Australian author into a success.  </w:t>
      </w:r>
    </w:p>
    <w:p w:rsidR="0064466A" w:rsidRPr="009308C8" w:rsidRDefault="0064466A" w:rsidP="0064466A">
      <w:pPr>
        <w:pStyle w:val="ListParagraph"/>
        <w:numPr>
          <w:ilvl w:val="0"/>
          <w:numId w:val="2"/>
        </w:numPr>
        <w:spacing w:after="120" w:line="300" w:lineRule="exact"/>
        <w:ind w:left="360"/>
        <w:jc w:val="both"/>
        <w:rPr>
          <w:rFonts w:asciiTheme="majorHAnsi" w:eastAsia="Times New Roman" w:hAnsiTheme="majorHAnsi"/>
          <w:sz w:val="22"/>
          <w:szCs w:val="22"/>
        </w:rPr>
      </w:pPr>
      <w:r>
        <w:rPr>
          <w:rFonts w:asciiTheme="majorHAnsi" w:eastAsia="Times New Roman" w:hAnsiTheme="majorHAnsi"/>
          <w:b/>
          <w:sz w:val="22"/>
          <w:szCs w:val="22"/>
        </w:rPr>
        <w:t>Authors will have fewer publishing opportunities globally.</w:t>
      </w:r>
      <w:r>
        <w:rPr>
          <w:rFonts w:asciiTheme="majorHAnsi" w:eastAsia="Times New Roman" w:hAnsiTheme="majorHAnsi"/>
          <w:sz w:val="22"/>
          <w:szCs w:val="22"/>
        </w:rPr>
        <w:t xml:space="preserve"> Given the difficulty faced by Australian authors in securing an overseas publisher, we may not see a future Richard Flanagan winning the Booker Prize.  This matters.  Not having an Australian voice in the global environment seriously undermines the local cultural landscape by diminishing the interest and access to our writers and our stories by global publishing businesses.  </w:t>
      </w:r>
    </w:p>
    <w:p w:rsidR="0064466A" w:rsidRPr="009308C8" w:rsidRDefault="0064466A" w:rsidP="0064466A">
      <w:pPr>
        <w:pStyle w:val="ListParagraph"/>
        <w:numPr>
          <w:ilvl w:val="0"/>
          <w:numId w:val="2"/>
        </w:numPr>
        <w:spacing w:after="120" w:line="300" w:lineRule="exact"/>
        <w:ind w:left="360"/>
        <w:jc w:val="both"/>
        <w:rPr>
          <w:rFonts w:asciiTheme="majorHAnsi" w:eastAsia="Times New Roman" w:hAnsiTheme="majorHAnsi"/>
          <w:sz w:val="22"/>
          <w:szCs w:val="22"/>
        </w:rPr>
      </w:pPr>
      <w:r w:rsidRPr="00B94673">
        <w:rPr>
          <w:rFonts w:asciiTheme="majorHAnsi" w:eastAsia="Times New Roman" w:hAnsiTheme="majorHAnsi"/>
          <w:b/>
          <w:sz w:val="22"/>
          <w:szCs w:val="22"/>
        </w:rPr>
        <w:t>The major beneficiary to a change in PIRs would be global retailers</w:t>
      </w:r>
      <w:r>
        <w:rPr>
          <w:rFonts w:asciiTheme="majorHAnsi" w:eastAsia="Times New Roman" w:hAnsiTheme="majorHAnsi"/>
          <w:b/>
          <w:sz w:val="22"/>
          <w:szCs w:val="22"/>
        </w:rPr>
        <w:t>, not Australian consumers</w:t>
      </w:r>
      <w:r w:rsidRPr="00B94673">
        <w:rPr>
          <w:rFonts w:asciiTheme="majorHAnsi" w:eastAsia="Times New Roman" w:hAnsiTheme="majorHAnsi"/>
          <w:b/>
          <w:sz w:val="22"/>
          <w:szCs w:val="22"/>
        </w:rPr>
        <w:t xml:space="preserve">.  </w:t>
      </w:r>
      <w:r w:rsidRPr="009308C8">
        <w:rPr>
          <w:rFonts w:asciiTheme="majorHAnsi" w:eastAsia="Times New Roman" w:hAnsiTheme="majorHAnsi"/>
          <w:sz w:val="22"/>
          <w:szCs w:val="22"/>
        </w:rPr>
        <w:t xml:space="preserve">The primary benefit of any lifting of parallel importation rules would sit with major retailers rather than individual Australian consumers, undermining the stated policy aims of </w:t>
      </w:r>
      <w:r>
        <w:rPr>
          <w:rFonts w:asciiTheme="majorHAnsi" w:eastAsia="Times New Roman" w:hAnsiTheme="majorHAnsi"/>
          <w:sz w:val="22"/>
          <w:szCs w:val="22"/>
        </w:rPr>
        <w:t>the Australian Government to improve the overall wellbeing of Australian society</w:t>
      </w:r>
      <w:r w:rsidRPr="009308C8">
        <w:rPr>
          <w:rFonts w:asciiTheme="majorHAnsi" w:eastAsia="Times New Roman" w:hAnsiTheme="majorHAnsi"/>
          <w:sz w:val="22"/>
          <w:szCs w:val="22"/>
        </w:rPr>
        <w:t>.</w:t>
      </w:r>
    </w:p>
    <w:p w:rsidR="0064466A" w:rsidRDefault="0064466A" w:rsidP="0064466A">
      <w:pPr>
        <w:pStyle w:val="ListParagraph"/>
        <w:numPr>
          <w:ilvl w:val="0"/>
          <w:numId w:val="2"/>
        </w:numPr>
        <w:spacing w:after="120" w:line="300" w:lineRule="exact"/>
        <w:ind w:left="360"/>
        <w:jc w:val="both"/>
        <w:rPr>
          <w:rFonts w:asciiTheme="majorHAnsi" w:eastAsia="Times New Roman" w:hAnsiTheme="majorHAnsi"/>
          <w:sz w:val="22"/>
          <w:szCs w:val="22"/>
        </w:rPr>
      </w:pPr>
      <w:r w:rsidRPr="00B94673">
        <w:rPr>
          <w:rFonts w:asciiTheme="majorHAnsi" w:eastAsia="Times New Roman" w:hAnsiTheme="majorHAnsi"/>
          <w:b/>
          <w:sz w:val="22"/>
          <w:szCs w:val="22"/>
        </w:rPr>
        <w:lastRenderedPageBreak/>
        <w:t>A removal of parallel importation restrictions is likely to move the market to overseas supply</w:t>
      </w:r>
      <w:r w:rsidRPr="009308C8">
        <w:rPr>
          <w:rFonts w:asciiTheme="majorHAnsi" w:eastAsia="Times New Roman" w:hAnsiTheme="majorHAnsi"/>
          <w:sz w:val="22"/>
          <w:szCs w:val="22"/>
        </w:rPr>
        <w:t xml:space="preserve"> (where suppliers do not face the impost of GST and Australia’s high postage costs).  Independent and smaller book retailers would be disadvantaged in their ability to compete with major retailers in the importation of commercial quantities of books given the lack of a sale or return </w:t>
      </w:r>
      <w:r>
        <w:rPr>
          <w:rFonts w:asciiTheme="majorHAnsi" w:eastAsia="Times New Roman" w:hAnsiTheme="majorHAnsi"/>
          <w:sz w:val="22"/>
          <w:szCs w:val="22"/>
        </w:rPr>
        <w:t>options</w:t>
      </w:r>
      <w:r w:rsidRPr="009308C8">
        <w:rPr>
          <w:rFonts w:asciiTheme="majorHAnsi" w:eastAsia="Times New Roman" w:hAnsiTheme="majorHAnsi"/>
          <w:sz w:val="22"/>
          <w:szCs w:val="22"/>
        </w:rPr>
        <w:t xml:space="preserve"> in the importation model.</w:t>
      </w:r>
      <w:r>
        <w:rPr>
          <w:rFonts w:asciiTheme="majorHAnsi" w:eastAsia="Times New Roman" w:hAnsiTheme="majorHAnsi"/>
          <w:sz w:val="22"/>
          <w:szCs w:val="22"/>
        </w:rPr>
        <w:t xml:space="preserve">  Only large retailers will be able to bear the stock risk inherent in firm sale acquisition models.</w:t>
      </w:r>
    </w:p>
    <w:p w:rsidR="0064466A" w:rsidRDefault="0064466A" w:rsidP="0064466A">
      <w:pPr>
        <w:pStyle w:val="ListParagraph"/>
        <w:numPr>
          <w:ilvl w:val="0"/>
          <w:numId w:val="2"/>
        </w:numPr>
        <w:spacing w:after="120" w:line="300" w:lineRule="exact"/>
        <w:ind w:left="360"/>
        <w:jc w:val="both"/>
        <w:rPr>
          <w:rFonts w:asciiTheme="majorHAnsi" w:eastAsia="Times New Roman" w:hAnsiTheme="majorHAnsi"/>
          <w:sz w:val="22"/>
          <w:szCs w:val="22"/>
        </w:rPr>
      </w:pPr>
      <w:r w:rsidRPr="00B94673">
        <w:rPr>
          <w:rFonts w:asciiTheme="majorHAnsi" w:eastAsia="Times New Roman" w:hAnsiTheme="majorHAnsi"/>
          <w:b/>
          <w:sz w:val="22"/>
          <w:szCs w:val="22"/>
        </w:rPr>
        <w:t xml:space="preserve">PIRs </w:t>
      </w:r>
      <w:r>
        <w:rPr>
          <w:rFonts w:asciiTheme="majorHAnsi" w:eastAsia="Times New Roman" w:hAnsiTheme="majorHAnsi"/>
          <w:b/>
          <w:sz w:val="22"/>
          <w:szCs w:val="22"/>
        </w:rPr>
        <w:t>enable Australian publishers to compete:</w:t>
      </w:r>
      <w:r>
        <w:rPr>
          <w:rFonts w:asciiTheme="majorHAnsi" w:eastAsia="Times New Roman" w:hAnsiTheme="majorHAnsi"/>
          <w:sz w:val="22"/>
          <w:szCs w:val="22"/>
        </w:rPr>
        <w:t xml:space="preserve">   </w:t>
      </w:r>
    </w:p>
    <w:p w:rsidR="0064466A" w:rsidRPr="009308C8" w:rsidRDefault="0064466A" w:rsidP="0064466A">
      <w:pPr>
        <w:pStyle w:val="ListParagraph"/>
        <w:numPr>
          <w:ilvl w:val="1"/>
          <w:numId w:val="2"/>
        </w:numPr>
        <w:spacing w:after="120" w:line="300" w:lineRule="exact"/>
        <w:jc w:val="both"/>
        <w:rPr>
          <w:rFonts w:asciiTheme="majorHAnsi" w:eastAsia="Times New Roman" w:hAnsiTheme="majorHAnsi"/>
          <w:sz w:val="22"/>
          <w:szCs w:val="22"/>
        </w:rPr>
      </w:pPr>
      <w:r>
        <w:rPr>
          <w:rFonts w:asciiTheme="majorHAnsi" w:eastAsia="Times New Roman" w:hAnsiTheme="majorHAnsi"/>
          <w:sz w:val="22"/>
          <w:szCs w:val="22"/>
        </w:rPr>
        <w:t>b</w:t>
      </w:r>
      <w:r w:rsidRPr="009308C8">
        <w:rPr>
          <w:rFonts w:asciiTheme="majorHAnsi" w:eastAsia="Times New Roman" w:hAnsiTheme="majorHAnsi"/>
          <w:sz w:val="22"/>
          <w:szCs w:val="22"/>
        </w:rPr>
        <w:t xml:space="preserve">arriers to entry for publishing in the local market are low and </w:t>
      </w:r>
      <w:r>
        <w:rPr>
          <w:rFonts w:asciiTheme="majorHAnsi" w:eastAsia="Times New Roman" w:hAnsiTheme="majorHAnsi"/>
          <w:sz w:val="22"/>
          <w:szCs w:val="22"/>
        </w:rPr>
        <w:t>PIRs</w:t>
      </w:r>
      <w:r w:rsidRPr="009308C8">
        <w:rPr>
          <w:rFonts w:asciiTheme="majorHAnsi" w:eastAsia="Times New Roman" w:hAnsiTheme="majorHAnsi"/>
          <w:sz w:val="22"/>
          <w:szCs w:val="22"/>
        </w:rPr>
        <w:t xml:space="preserve">, even in their relatively small application now, assist the local industry in investing in local marketing and publication of titles, in the knowledge that international distributors (who have not borne these costs) cannot take unfair advantage of expenditure and effort by the local industry. This provides benefits to consumers by encouraging the release of a wide variety – a depth and breadth - of titles in the Australian market at competitive prices and is in line with the </w:t>
      </w:r>
      <w:r>
        <w:rPr>
          <w:rFonts w:asciiTheme="majorHAnsi" w:eastAsia="Times New Roman" w:hAnsiTheme="majorHAnsi"/>
          <w:sz w:val="22"/>
          <w:szCs w:val="22"/>
        </w:rPr>
        <w:t>Australian Government’s stated aim of encouraging innovation, investment and creative works</w:t>
      </w:r>
      <w:r w:rsidRPr="009308C8">
        <w:rPr>
          <w:rFonts w:asciiTheme="majorHAnsi" w:eastAsia="Times New Roman" w:hAnsiTheme="majorHAnsi"/>
          <w:sz w:val="22"/>
          <w:szCs w:val="22"/>
        </w:rPr>
        <w:t>.</w:t>
      </w:r>
    </w:p>
    <w:p w:rsidR="0064466A" w:rsidRPr="009308C8" w:rsidRDefault="0064466A" w:rsidP="0064466A">
      <w:pPr>
        <w:pStyle w:val="ListParagraph"/>
        <w:numPr>
          <w:ilvl w:val="1"/>
          <w:numId w:val="2"/>
        </w:numPr>
        <w:spacing w:after="120" w:line="300" w:lineRule="exact"/>
        <w:jc w:val="both"/>
        <w:rPr>
          <w:rFonts w:asciiTheme="majorHAnsi" w:eastAsia="Times New Roman" w:hAnsiTheme="majorHAnsi"/>
          <w:sz w:val="22"/>
          <w:szCs w:val="22"/>
        </w:rPr>
      </w:pPr>
      <w:r w:rsidRPr="009308C8">
        <w:rPr>
          <w:rFonts w:asciiTheme="majorHAnsi" w:eastAsia="Times New Roman" w:hAnsiTheme="majorHAnsi"/>
          <w:sz w:val="22"/>
          <w:szCs w:val="22"/>
        </w:rPr>
        <w:t>competition is already a key attribute of the local publishing market, and one that is present all the way through the value chain. In publishing, competition and consumer choice are present in abundance, existing restrictions do not impede competition or productivity, but provide measures to ensure that both local and international distributors can compete fairly:</w:t>
      </w:r>
    </w:p>
    <w:p w:rsidR="0064466A" w:rsidRPr="009308C8" w:rsidRDefault="0064466A" w:rsidP="0064466A">
      <w:pPr>
        <w:pStyle w:val="ListParagraph"/>
        <w:numPr>
          <w:ilvl w:val="0"/>
          <w:numId w:val="8"/>
        </w:numPr>
        <w:spacing w:after="120" w:line="300" w:lineRule="exact"/>
        <w:jc w:val="both"/>
        <w:rPr>
          <w:rFonts w:asciiTheme="majorHAnsi" w:eastAsia="Times New Roman" w:hAnsiTheme="majorHAnsi"/>
          <w:sz w:val="22"/>
          <w:szCs w:val="22"/>
          <w:lang w:val="en-GB"/>
        </w:rPr>
      </w:pPr>
      <w:r w:rsidRPr="009308C8">
        <w:rPr>
          <w:rFonts w:asciiTheme="majorHAnsi" w:eastAsia="Times New Roman" w:hAnsiTheme="majorHAnsi"/>
          <w:sz w:val="22"/>
          <w:szCs w:val="22"/>
          <w:lang w:val="en-GB"/>
        </w:rPr>
        <w:t>Consumers may order, for private use, any edition of any book in the world from anywhere in the world</w:t>
      </w:r>
      <w:r>
        <w:rPr>
          <w:rFonts w:asciiTheme="majorHAnsi" w:eastAsia="Times New Roman" w:hAnsiTheme="majorHAnsi"/>
          <w:sz w:val="22"/>
          <w:szCs w:val="22"/>
          <w:lang w:val="en-GB"/>
        </w:rPr>
        <w:t>;</w:t>
      </w:r>
    </w:p>
    <w:p w:rsidR="0064466A" w:rsidRPr="009308C8" w:rsidRDefault="0064466A" w:rsidP="0064466A">
      <w:pPr>
        <w:pStyle w:val="ListParagraph"/>
        <w:numPr>
          <w:ilvl w:val="0"/>
          <w:numId w:val="8"/>
        </w:numPr>
        <w:spacing w:after="120" w:line="300" w:lineRule="exact"/>
        <w:jc w:val="both"/>
        <w:rPr>
          <w:rFonts w:asciiTheme="majorHAnsi" w:eastAsia="Times New Roman" w:hAnsiTheme="majorHAnsi"/>
          <w:sz w:val="22"/>
          <w:szCs w:val="22"/>
          <w:lang w:val="en-GB"/>
        </w:rPr>
      </w:pPr>
      <w:r>
        <w:rPr>
          <w:rFonts w:asciiTheme="majorHAnsi" w:eastAsia="Times New Roman" w:hAnsiTheme="majorHAnsi"/>
          <w:sz w:val="22"/>
          <w:szCs w:val="22"/>
          <w:lang w:val="en-GB"/>
        </w:rPr>
        <w:t>If p</w:t>
      </w:r>
      <w:r w:rsidRPr="009308C8">
        <w:rPr>
          <w:rFonts w:asciiTheme="majorHAnsi" w:eastAsia="Times New Roman" w:hAnsiTheme="majorHAnsi"/>
          <w:sz w:val="22"/>
          <w:szCs w:val="22"/>
          <w:lang w:val="en-GB"/>
        </w:rPr>
        <w:t>ublishers don’t meet current deadlines to supply, retailers may order that title in volume from anywhere in the world</w:t>
      </w:r>
      <w:r>
        <w:rPr>
          <w:rFonts w:asciiTheme="majorHAnsi" w:eastAsia="Times New Roman" w:hAnsiTheme="majorHAnsi"/>
          <w:sz w:val="22"/>
          <w:szCs w:val="22"/>
          <w:lang w:val="en-GB"/>
        </w:rPr>
        <w:t>;</w:t>
      </w:r>
    </w:p>
    <w:p w:rsidR="0064466A" w:rsidRPr="009308C8" w:rsidRDefault="0064466A" w:rsidP="0064466A">
      <w:pPr>
        <w:pStyle w:val="ListParagraph"/>
        <w:numPr>
          <w:ilvl w:val="0"/>
          <w:numId w:val="8"/>
        </w:numPr>
        <w:spacing w:after="120" w:line="300" w:lineRule="exact"/>
        <w:jc w:val="both"/>
        <w:rPr>
          <w:rFonts w:asciiTheme="majorHAnsi" w:eastAsia="Times New Roman" w:hAnsiTheme="majorHAnsi"/>
          <w:sz w:val="22"/>
          <w:szCs w:val="22"/>
          <w:lang w:val="en-GB"/>
        </w:rPr>
      </w:pPr>
      <w:r w:rsidRPr="009308C8">
        <w:rPr>
          <w:rFonts w:asciiTheme="majorHAnsi" w:eastAsia="Times New Roman" w:hAnsiTheme="majorHAnsi"/>
          <w:sz w:val="22"/>
          <w:szCs w:val="22"/>
          <w:lang w:val="en-GB"/>
        </w:rPr>
        <w:t>Online purchasing is a freely available service. The opening of channels to support this, such as government initiatives to extend broadband internet access, will contribute to online shopping becom</w:t>
      </w:r>
      <w:r>
        <w:rPr>
          <w:rFonts w:asciiTheme="majorHAnsi" w:eastAsia="Times New Roman" w:hAnsiTheme="majorHAnsi"/>
          <w:sz w:val="22"/>
          <w:szCs w:val="22"/>
          <w:lang w:val="en-GB"/>
        </w:rPr>
        <w:t>ing more accessible than ever;</w:t>
      </w:r>
    </w:p>
    <w:p w:rsidR="0064466A" w:rsidRPr="009308C8" w:rsidRDefault="0064466A" w:rsidP="0064466A">
      <w:pPr>
        <w:pStyle w:val="ListParagraph"/>
        <w:numPr>
          <w:ilvl w:val="0"/>
          <w:numId w:val="8"/>
        </w:numPr>
        <w:spacing w:after="120" w:line="300" w:lineRule="exact"/>
        <w:jc w:val="both"/>
        <w:rPr>
          <w:rFonts w:asciiTheme="majorHAnsi" w:eastAsia="Times New Roman" w:hAnsiTheme="majorHAnsi"/>
          <w:sz w:val="22"/>
          <w:szCs w:val="22"/>
        </w:rPr>
      </w:pPr>
      <w:r w:rsidRPr="009308C8">
        <w:rPr>
          <w:rFonts w:asciiTheme="majorHAnsi" w:eastAsia="Times New Roman" w:hAnsiTheme="majorHAnsi"/>
          <w:sz w:val="22"/>
          <w:szCs w:val="22"/>
          <w:lang w:val="en-GB"/>
        </w:rPr>
        <w:t>Overseas sources are not subject to GST and as such present considerable value to the consumer that Australian distributors cannot compete</w:t>
      </w:r>
      <w:r w:rsidRPr="009308C8">
        <w:rPr>
          <w:rFonts w:asciiTheme="majorHAnsi" w:eastAsia="Times New Roman" w:hAnsiTheme="majorHAnsi"/>
          <w:sz w:val="22"/>
          <w:szCs w:val="22"/>
        </w:rPr>
        <w:t xml:space="preserve"> with.</w:t>
      </w:r>
    </w:p>
    <w:p w:rsidR="00F20914" w:rsidRDefault="00E95A60" w:rsidP="0064466A">
      <w:pPr>
        <w:pStyle w:val="ListParagraph"/>
        <w:numPr>
          <w:ilvl w:val="1"/>
          <w:numId w:val="2"/>
        </w:numPr>
        <w:spacing w:after="120" w:line="300" w:lineRule="exact"/>
        <w:jc w:val="both"/>
        <w:rPr>
          <w:rFonts w:asciiTheme="majorHAnsi" w:eastAsia="Times New Roman" w:hAnsiTheme="majorHAnsi"/>
          <w:sz w:val="22"/>
          <w:szCs w:val="22"/>
        </w:rPr>
      </w:pPr>
      <w:r>
        <w:rPr>
          <w:rFonts w:asciiTheme="majorHAnsi" w:eastAsia="Times New Roman" w:hAnsiTheme="majorHAnsi"/>
          <w:sz w:val="22"/>
          <w:szCs w:val="22"/>
        </w:rPr>
        <w:t>B</w:t>
      </w:r>
      <w:r w:rsidR="00F20914" w:rsidRPr="009308C8">
        <w:rPr>
          <w:rFonts w:asciiTheme="majorHAnsi" w:eastAsia="Times New Roman" w:hAnsiTheme="majorHAnsi"/>
          <w:sz w:val="22"/>
          <w:szCs w:val="22"/>
        </w:rPr>
        <w:t xml:space="preserve">oth the US and UK, the two major English language markets, have parallel importation restrictions in place. In order for Australian publishers and writers to compete effectively in the core business of selling publishing rights to these markets, a level playing field must </w:t>
      </w:r>
      <w:r w:rsidR="00F20914" w:rsidRPr="009308C8">
        <w:rPr>
          <w:rFonts w:asciiTheme="majorHAnsi" w:eastAsia="Times New Roman" w:hAnsiTheme="majorHAnsi"/>
          <w:sz w:val="22"/>
          <w:szCs w:val="22"/>
        </w:rPr>
        <w:lastRenderedPageBreak/>
        <w:t>be preserved. </w:t>
      </w:r>
      <w:r w:rsidR="00266EBE">
        <w:rPr>
          <w:rFonts w:asciiTheme="majorHAnsi" w:eastAsia="Times New Roman" w:hAnsiTheme="majorHAnsi"/>
          <w:sz w:val="22"/>
          <w:szCs w:val="22"/>
        </w:rPr>
        <w:t xml:space="preserve"> A diversity </w:t>
      </w:r>
      <w:r w:rsidR="0064466A">
        <w:rPr>
          <w:rFonts w:asciiTheme="majorHAnsi" w:eastAsia="Times New Roman" w:hAnsiTheme="majorHAnsi"/>
          <w:sz w:val="22"/>
          <w:szCs w:val="22"/>
        </w:rPr>
        <w:t>of supply into our market also enables revenue to properly develop local talent.</w:t>
      </w:r>
    </w:p>
    <w:p w:rsidR="0064466A" w:rsidRPr="0092053A" w:rsidRDefault="0064466A" w:rsidP="0064466A">
      <w:pPr>
        <w:pStyle w:val="ListParagraph"/>
        <w:numPr>
          <w:ilvl w:val="0"/>
          <w:numId w:val="2"/>
        </w:numPr>
        <w:spacing w:after="120" w:line="300" w:lineRule="exact"/>
        <w:ind w:left="360"/>
        <w:jc w:val="both"/>
        <w:rPr>
          <w:rFonts w:asciiTheme="majorHAnsi" w:eastAsia="Times New Roman" w:hAnsiTheme="majorHAnsi"/>
          <w:sz w:val="22"/>
          <w:szCs w:val="22"/>
        </w:rPr>
      </w:pPr>
      <w:r>
        <w:rPr>
          <w:rFonts w:asciiTheme="majorHAnsi" w:eastAsia="Times New Roman" w:hAnsiTheme="majorHAnsi"/>
          <w:b/>
          <w:sz w:val="22"/>
          <w:szCs w:val="22"/>
        </w:rPr>
        <w:t xml:space="preserve">Scale required to ensure successful books.  </w:t>
      </w:r>
      <w:r>
        <w:rPr>
          <w:rFonts w:asciiTheme="majorHAnsi" w:eastAsia="Times New Roman" w:hAnsiTheme="majorHAnsi"/>
          <w:sz w:val="22"/>
          <w:szCs w:val="22"/>
        </w:rPr>
        <w:t>Australian publishing companies rely on scale given our relatively small market.  We need to publish a broad range of titles to manage the risk of investing in Australian authors and to supply the human and system infrastructure to market, sell and distribute books in Australia.  The PIR system allows Australian publishers to use revenue from its bestselling books as the basis for reinvestment in local content.  Without PIRs, these best-selling titles would be the primary target for large importers, significantly reducing available revenue to local companies</w:t>
      </w:r>
      <w:r w:rsidRPr="0092053A">
        <w:rPr>
          <w:rFonts w:asciiTheme="majorHAnsi" w:eastAsia="Times New Roman" w:hAnsiTheme="majorHAnsi"/>
          <w:sz w:val="22"/>
          <w:szCs w:val="22"/>
        </w:rPr>
        <w:t>.</w:t>
      </w:r>
      <w:r w:rsidR="0092053A" w:rsidRPr="0092053A">
        <w:rPr>
          <w:rFonts w:asciiTheme="majorHAnsi" w:hAnsiTheme="majorHAnsi"/>
          <w:sz w:val="22"/>
          <w:szCs w:val="22"/>
          <w:lang w:val="en-AU"/>
        </w:rPr>
        <w:t xml:space="preserve"> Currently 20% of the titles we publish locally generate 70% of our local publishing revenue.  Of our cash advance investment in local publishing, currently 30% of our investment is not earned back through local sales. This recognises the potential of the author and is central to their ability to commit to writing. But paying advances is highly risky for the publisher.  </w:t>
      </w:r>
    </w:p>
    <w:p w:rsidR="00EB64F2" w:rsidRPr="00AD494D" w:rsidRDefault="00EB64F2" w:rsidP="00EB64F2">
      <w:pPr>
        <w:spacing w:before="120" w:after="240"/>
        <w:jc w:val="both"/>
        <w:rPr>
          <w:rFonts w:asciiTheme="majorHAnsi" w:hAnsiTheme="majorHAnsi"/>
          <w:b/>
          <w:sz w:val="28"/>
          <w:szCs w:val="28"/>
        </w:rPr>
      </w:pPr>
      <w:r w:rsidRPr="00AD494D">
        <w:rPr>
          <w:rFonts w:asciiTheme="majorHAnsi" w:hAnsiTheme="majorHAnsi"/>
          <w:b/>
          <w:sz w:val="28"/>
          <w:szCs w:val="28"/>
        </w:rPr>
        <w:t>Efficiency of PIRs</w:t>
      </w:r>
    </w:p>
    <w:p w:rsidR="009308C8" w:rsidRPr="009308C8" w:rsidRDefault="00AD494D" w:rsidP="009308C8">
      <w:pPr>
        <w:spacing w:after="120"/>
        <w:jc w:val="both"/>
        <w:rPr>
          <w:rFonts w:asciiTheme="majorHAnsi" w:eastAsia="Times New Roman" w:hAnsiTheme="majorHAnsi"/>
          <w:sz w:val="22"/>
          <w:szCs w:val="22"/>
          <w:lang w:val="en-GB"/>
        </w:rPr>
      </w:pPr>
      <w:r>
        <w:rPr>
          <w:rFonts w:asciiTheme="majorHAnsi" w:eastAsia="Times New Roman" w:hAnsiTheme="majorHAnsi"/>
          <w:sz w:val="22"/>
          <w:szCs w:val="22"/>
          <w:lang w:val="en-GB"/>
        </w:rPr>
        <w:t>The current PIRs have a relatively</w:t>
      </w:r>
      <w:r w:rsidR="009308C8" w:rsidRPr="009308C8">
        <w:rPr>
          <w:rFonts w:asciiTheme="majorHAnsi" w:eastAsia="Times New Roman" w:hAnsiTheme="majorHAnsi"/>
          <w:sz w:val="22"/>
          <w:szCs w:val="22"/>
          <w:lang w:val="en-GB"/>
        </w:rPr>
        <w:t xml:space="preserve"> low impact on the market</w:t>
      </w:r>
      <w:r w:rsidR="00E95A60">
        <w:rPr>
          <w:rFonts w:asciiTheme="majorHAnsi" w:eastAsia="Times New Roman" w:hAnsiTheme="majorHAnsi"/>
          <w:sz w:val="22"/>
          <w:szCs w:val="22"/>
          <w:lang w:val="en-GB"/>
        </w:rPr>
        <w:t xml:space="preserve"> and the benefits are not outweighed by an unnecessary cost to Australian society</w:t>
      </w:r>
      <w:r w:rsidR="009308C8" w:rsidRPr="009308C8">
        <w:rPr>
          <w:rFonts w:asciiTheme="majorHAnsi" w:eastAsia="Times New Roman" w:hAnsiTheme="majorHAnsi"/>
          <w:sz w:val="22"/>
          <w:szCs w:val="22"/>
          <w:lang w:val="en-GB"/>
        </w:rPr>
        <w:t xml:space="preserve">.  </w:t>
      </w:r>
    </w:p>
    <w:p w:rsidR="00AD494D" w:rsidRPr="00F60F85" w:rsidRDefault="00F60F85" w:rsidP="009308C8">
      <w:pPr>
        <w:pStyle w:val="ListParagraph"/>
        <w:numPr>
          <w:ilvl w:val="0"/>
          <w:numId w:val="2"/>
        </w:numPr>
        <w:spacing w:after="120" w:line="300" w:lineRule="exact"/>
        <w:ind w:left="360"/>
        <w:jc w:val="both"/>
        <w:rPr>
          <w:rFonts w:asciiTheme="majorHAnsi" w:eastAsia="Times New Roman" w:hAnsiTheme="majorHAnsi"/>
          <w:sz w:val="22"/>
          <w:szCs w:val="22"/>
        </w:rPr>
      </w:pPr>
      <w:r w:rsidRPr="00F60F85">
        <w:rPr>
          <w:rFonts w:asciiTheme="majorHAnsi" w:eastAsia="Times New Roman" w:hAnsiTheme="majorHAnsi"/>
          <w:b/>
          <w:sz w:val="22"/>
          <w:szCs w:val="22"/>
        </w:rPr>
        <w:t>Books will not be cheaper if PIRs are abolished</w:t>
      </w:r>
      <w:r>
        <w:rPr>
          <w:rFonts w:asciiTheme="majorHAnsi" w:eastAsia="Times New Roman" w:hAnsiTheme="majorHAnsi"/>
          <w:sz w:val="22"/>
          <w:szCs w:val="22"/>
        </w:rPr>
        <w:t xml:space="preserve">.  Refer table </w:t>
      </w:r>
      <w:r w:rsidR="0092053A">
        <w:rPr>
          <w:rFonts w:asciiTheme="majorHAnsi" w:eastAsia="Times New Roman" w:hAnsiTheme="majorHAnsi"/>
          <w:sz w:val="22"/>
          <w:szCs w:val="22"/>
        </w:rPr>
        <w:t>above</w:t>
      </w:r>
      <w:r>
        <w:rPr>
          <w:rFonts w:asciiTheme="majorHAnsi" w:eastAsia="Times New Roman" w:hAnsiTheme="majorHAnsi"/>
          <w:sz w:val="22"/>
          <w:szCs w:val="22"/>
        </w:rPr>
        <w:t>.</w:t>
      </w:r>
    </w:p>
    <w:p w:rsidR="00E95A60" w:rsidRPr="00E95A60" w:rsidRDefault="005152FF" w:rsidP="00E2573E">
      <w:pPr>
        <w:pStyle w:val="ListParagraph"/>
        <w:numPr>
          <w:ilvl w:val="0"/>
          <w:numId w:val="5"/>
        </w:numPr>
        <w:spacing w:before="120" w:after="240" w:line="300" w:lineRule="exact"/>
        <w:jc w:val="both"/>
        <w:rPr>
          <w:rFonts w:asciiTheme="majorHAnsi" w:hAnsiTheme="majorHAnsi"/>
          <w:sz w:val="22"/>
          <w:szCs w:val="22"/>
        </w:rPr>
      </w:pPr>
      <w:r w:rsidRPr="00E95A60">
        <w:rPr>
          <w:rFonts w:asciiTheme="majorHAnsi" w:eastAsia="Times New Roman" w:hAnsiTheme="majorHAnsi"/>
          <w:b/>
          <w:sz w:val="22"/>
          <w:szCs w:val="22"/>
        </w:rPr>
        <w:t xml:space="preserve">Books will not be available </w:t>
      </w:r>
      <w:r w:rsidR="00CF3656" w:rsidRPr="00E95A60">
        <w:rPr>
          <w:rFonts w:asciiTheme="majorHAnsi" w:eastAsia="Times New Roman" w:hAnsiTheme="majorHAnsi"/>
          <w:b/>
          <w:sz w:val="22"/>
          <w:szCs w:val="22"/>
        </w:rPr>
        <w:t>in Australia in a shorter time period</w:t>
      </w:r>
      <w:r w:rsidRPr="00E95A60">
        <w:rPr>
          <w:rFonts w:asciiTheme="majorHAnsi" w:eastAsia="Times New Roman" w:hAnsiTheme="majorHAnsi"/>
          <w:b/>
          <w:sz w:val="22"/>
          <w:szCs w:val="22"/>
        </w:rPr>
        <w:t xml:space="preserve"> if PIRs are abolished</w:t>
      </w:r>
      <w:r w:rsidRPr="00E95A60">
        <w:rPr>
          <w:rFonts w:asciiTheme="majorHAnsi" w:eastAsia="Times New Roman" w:hAnsiTheme="majorHAnsi"/>
          <w:sz w:val="22"/>
          <w:szCs w:val="22"/>
        </w:rPr>
        <w:t xml:space="preserve">.  </w:t>
      </w:r>
      <w:r w:rsidR="00CF3656" w:rsidRPr="00E95A60">
        <w:rPr>
          <w:rFonts w:asciiTheme="majorHAnsi" w:eastAsia="Times New Roman" w:hAnsiTheme="majorHAnsi"/>
          <w:sz w:val="22"/>
          <w:szCs w:val="22"/>
        </w:rPr>
        <w:t xml:space="preserve">The </w:t>
      </w:r>
      <w:r w:rsidR="00CF3656" w:rsidRPr="00E95A60">
        <w:rPr>
          <w:rFonts w:asciiTheme="majorHAnsi" w:eastAsia="Times New Roman" w:hAnsiTheme="majorHAnsi"/>
          <w:i/>
          <w:sz w:val="22"/>
          <w:szCs w:val="22"/>
        </w:rPr>
        <w:t>Speed to Market Initiative</w:t>
      </w:r>
      <w:r w:rsidR="00CF3656" w:rsidRPr="00E95A60">
        <w:rPr>
          <w:rFonts w:asciiTheme="majorHAnsi" w:eastAsia="Times New Roman" w:hAnsiTheme="majorHAnsi"/>
          <w:sz w:val="22"/>
          <w:szCs w:val="22"/>
        </w:rPr>
        <w:t xml:space="preserve">, voluntarily entered into by publishers and retailers in 2012 already ensures speed of supply of commercial quantities of titles into the Australian market and the resupply of titles to retailers, further ensuring Australian consumers have equal access to books published in any market.  Publishers will only invest in new technologies to further enhance this speed to market in a stable regulatory environment that supports local investment.  </w:t>
      </w:r>
    </w:p>
    <w:p w:rsidR="00CF3656" w:rsidRPr="00E95A60" w:rsidRDefault="005A2E44" w:rsidP="00E2573E">
      <w:pPr>
        <w:pStyle w:val="ListParagraph"/>
        <w:numPr>
          <w:ilvl w:val="0"/>
          <w:numId w:val="5"/>
        </w:numPr>
        <w:spacing w:before="120" w:after="240" w:line="300" w:lineRule="exact"/>
        <w:jc w:val="both"/>
        <w:rPr>
          <w:rFonts w:asciiTheme="majorHAnsi" w:hAnsiTheme="majorHAnsi"/>
          <w:sz w:val="22"/>
          <w:szCs w:val="22"/>
        </w:rPr>
      </w:pPr>
      <w:r w:rsidRPr="00E95A60">
        <w:rPr>
          <w:rFonts w:asciiTheme="majorHAnsi" w:eastAsia="Times New Roman" w:hAnsiTheme="majorHAnsi"/>
          <w:b/>
          <w:sz w:val="22"/>
          <w:szCs w:val="22"/>
        </w:rPr>
        <w:t>Consumers already have access to books fr</w:t>
      </w:r>
      <w:r w:rsidR="005152FF" w:rsidRPr="00E95A60">
        <w:rPr>
          <w:rFonts w:asciiTheme="majorHAnsi" w:eastAsia="Times New Roman" w:hAnsiTheme="majorHAnsi"/>
          <w:b/>
          <w:sz w:val="22"/>
          <w:szCs w:val="22"/>
        </w:rPr>
        <w:t>o</w:t>
      </w:r>
      <w:r w:rsidRPr="00E95A60">
        <w:rPr>
          <w:rFonts w:asciiTheme="majorHAnsi" w:eastAsia="Times New Roman" w:hAnsiTheme="majorHAnsi"/>
          <w:b/>
          <w:sz w:val="22"/>
          <w:szCs w:val="22"/>
        </w:rPr>
        <w:t>m other markets.</w:t>
      </w:r>
      <w:r w:rsidRPr="00E95A60">
        <w:rPr>
          <w:rFonts w:asciiTheme="majorHAnsi" w:eastAsia="Times New Roman" w:hAnsiTheme="majorHAnsi"/>
          <w:sz w:val="22"/>
          <w:szCs w:val="22"/>
        </w:rPr>
        <w:t xml:space="preserve">  </w:t>
      </w:r>
      <w:r w:rsidR="00CF3656" w:rsidRPr="00E95A60">
        <w:rPr>
          <w:rFonts w:asciiTheme="majorHAnsi" w:eastAsia="Times New Roman" w:hAnsiTheme="majorHAnsi"/>
          <w:sz w:val="22"/>
          <w:szCs w:val="22"/>
        </w:rPr>
        <w:t>PIRs</w:t>
      </w:r>
      <w:r w:rsidR="00D62CC1" w:rsidRPr="00E95A60">
        <w:rPr>
          <w:rFonts w:asciiTheme="majorHAnsi" w:eastAsia="Times New Roman" w:hAnsiTheme="majorHAnsi"/>
          <w:sz w:val="22"/>
          <w:szCs w:val="22"/>
        </w:rPr>
        <w:t xml:space="preserve"> relate only to commercial quantities of books and do not inhibit individual consumers’ equality of access to books available in other markets.</w:t>
      </w:r>
      <w:r w:rsidR="00CF3656" w:rsidRPr="00E95A60">
        <w:rPr>
          <w:rFonts w:asciiTheme="majorHAnsi" w:hAnsiTheme="majorHAnsi"/>
          <w:sz w:val="22"/>
          <w:szCs w:val="22"/>
        </w:rPr>
        <w:t xml:space="preserve"> Australian consumers can, and do, price compare and purchase goods from other jurisdictions including through online retailers.  PIRs represent an efficient restriction in the balance between ensuring a healthy local publishing environment and enabling consumers the freedom to source product from other jurisdictions.</w:t>
      </w:r>
    </w:p>
    <w:p w:rsidR="00A56C8C" w:rsidRPr="00A56C8C" w:rsidRDefault="00A56C8C" w:rsidP="00CF3656">
      <w:pPr>
        <w:pStyle w:val="ListParagraph"/>
        <w:numPr>
          <w:ilvl w:val="0"/>
          <w:numId w:val="2"/>
        </w:numPr>
        <w:spacing w:after="120"/>
        <w:ind w:left="360"/>
        <w:jc w:val="both"/>
        <w:rPr>
          <w:rFonts w:asciiTheme="majorHAnsi" w:hAnsiTheme="majorHAnsi"/>
          <w:sz w:val="22"/>
          <w:szCs w:val="22"/>
        </w:rPr>
      </w:pPr>
      <w:r w:rsidRPr="00A56C8C">
        <w:rPr>
          <w:rFonts w:asciiTheme="majorHAnsi" w:hAnsiTheme="majorHAnsi"/>
          <w:b/>
          <w:sz w:val="22"/>
          <w:szCs w:val="22"/>
        </w:rPr>
        <w:t>PIRs are an efficient tool to ensure diversity of product offering</w:t>
      </w:r>
      <w:r>
        <w:rPr>
          <w:rFonts w:asciiTheme="majorHAnsi" w:hAnsiTheme="majorHAnsi"/>
          <w:sz w:val="22"/>
          <w:szCs w:val="22"/>
        </w:rPr>
        <w:t xml:space="preserve">.  Given their low impact on other aspects of the market, PIRs are an effective and efficient mechanism to ensure that the diversity of publishing that Australian consumers currently enjoy is maintained.  </w:t>
      </w:r>
      <w:r w:rsidR="0064466A">
        <w:rPr>
          <w:rFonts w:asciiTheme="majorHAnsi" w:hAnsiTheme="majorHAnsi"/>
          <w:sz w:val="22"/>
          <w:szCs w:val="22"/>
        </w:rPr>
        <w:t xml:space="preserve">They ensure a diverse retail offering in the Australian market.  </w:t>
      </w:r>
      <w:r>
        <w:rPr>
          <w:rFonts w:asciiTheme="majorHAnsi" w:hAnsiTheme="majorHAnsi"/>
          <w:sz w:val="22"/>
          <w:szCs w:val="22"/>
        </w:rPr>
        <w:t xml:space="preserve">Without PIRs, Australian publishers would not want to bear </w:t>
      </w:r>
      <w:r>
        <w:rPr>
          <w:rFonts w:asciiTheme="majorHAnsi" w:hAnsiTheme="majorHAnsi"/>
          <w:sz w:val="22"/>
          <w:szCs w:val="22"/>
        </w:rPr>
        <w:lastRenderedPageBreak/>
        <w:t>the inventory holding risk and cost that is required to offer a diverse product range.</w:t>
      </w:r>
      <w:r w:rsidR="0064466A">
        <w:rPr>
          <w:rFonts w:asciiTheme="majorHAnsi" w:hAnsiTheme="majorHAnsi"/>
          <w:sz w:val="22"/>
          <w:szCs w:val="22"/>
        </w:rPr>
        <w:t xml:space="preserve">  </w:t>
      </w:r>
    </w:p>
    <w:p w:rsidR="009308C8" w:rsidRPr="00CF3656" w:rsidRDefault="00CF3656" w:rsidP="00CF3656">
      <w:pPr>
        <w:pStyle w:val="ListParagraph"/>
        <w:numPr>
          <w:ilvl w:val="0"/>
          <w:numId w:val="2"/>
        </w:numPr>
        <w:spacing w:after="120"/>
        <w:ind w:left="360"/>
        <w:jc w:val="both"/>
        <w:rPr>
          <w:rFonts w:asciiTheme="majorHAnsi" w:hAnsiTheme="majorHAnsi"/>
          <w:sz w:val="22"/>
          <w:szCs w:val="22"/>
        </w:rPr>
      </w:pPr>
      <w:r>
        <w:rPr>
          <w:rFonts w:asciiTheme="majorHAnsi" w:eastAsia="Times New Roman" w:hAnsiTheme="majorHAnsi"/>
          <w:b/>
          <w:sz w:val="22"/>
          <w:szCs w:val="22"/>
        </w:rPr>
        <w:t>PIRs are an e</w:t>
      </w:r>
      <w:r w:rsidRPr="00CF3656">
        <w:rPr>
          <w:rFonts w:asciiTheme="majorHAnsi" w:eastAsia="Times New Roman" w:hAnsiTheme="majorHAnsi"/>
          <w:b/>
          <w:sz w:val="22"/>
          <w:szCs w:val="22"/>
        </w:rPr>
        <w:t xml:space="preserve">fficient </w:t>
      </w:r>
      <w:r>
        <w:rPr>
          <w:rFonts w:asciiTheme="majorHAnsi" w:eastAsia="Times New Roman" w:hAnsiTheme="majorHAnsi"/>
          <w:b/>
          <w:sz w:val="22"/>
          <w:szCs w:val="22"/>
        </w:rPr>
        <w:t xml:space="preserve">way to create a </w:t>
      </w:r>
      <w:r w:rsidRPr="00CF3656">
        <w:rPr>
          <w:rFonts w:asciiTheme="majorHAnsi" w:eastAsia="Times New Roman" w:hAnsiTheme="majorHAnsi"/>
          <w:b/>
          <w:sz w:val="22"/>
          <w:szCs w:val="22"/>
        </w:rPr>
        <w:t xml:space="preserve">level playing field.  </w:t>
      </w:r>
      <w:r w:rsidR="009308C8" w:rsidRPr="00CF3656">
        <w:rPr>
          <w:rFonts w:asciiTheme="majorHAnsi" w:eastAsia="Times New Roman" w:hAnsiTheme="majorHAnsi"/>
          <w:sz w:val="22"/>
          <w:szCs w:val="22"/>
        </w:rPr>
        <w:t xml:space="preserve">Any lifting of </w:t>
      </w:r>
      <w:r w:rsidR="00E95A60">
        <w:rPr>
          <w:rFonts w:asciiTheme="majorHAnsi" w:eastAsia="Times New Roman" w:hAnsiTheme="majorHAnsi"/>
          <w:sz w:val="22"/>
          <w:szCs w:val="22"/>
        </w:rPr>
        <w:t xml:space="preserve">PIRs </w:t>
      </w:r>
      <w:r w:rsidR="009308C8" w:rsidRPr="00CF3656">
        <w:rPr>
          <w:rFonts w:asciiTheme="majorHAnsi" w:eastAsia="Times New Roman" w:hAnsiTheme="majorHAnsi"/>
          <w:sz w:val="22"/>
          <w:szCs w:val="22"/>
        </w:rPr>
        <w:t>would provide a playing field that absolutely disadvantages local authors, denying them the basic power to control the management of their asset.  The foremost benefit of any lifting of parallel importation rules would most likely sit with major retailers rather than individual Australians (be they authors or consumers).</w:t>
      </w:r>
    </w:p>
    <w:p w:rsidR="00EB64F2" w:rsidRPr="00AD494D" w:rsidRDefault="00AD494D" w:rsidP="00EB64F2">
      <w:pPr>
        <w:spacing w:before="120" w:after="240"/>
        <w:jc w:val="both"/>
        <w:rPr>
          <w:rFonts w:asciiTheme="majorHAnsi" w:hAnsiTheme="majorHAnsi"/>
          <w:b/>
          <w:sz w:val="28"/>
          <w:szCs w:val="28"/>
        </w:rPr>
      </w:pPr>
      <w:r w:rsidRPr="00AD494D">
        <w:rPr>
          <w:rFonts w:asciiTheme="majorHAnsi" w:hAnsiTheme="majorHAnsi"/>
          <w:b/>
          <w:sz w:val="28"/>
          <w:szCs w:val="28"/>
        </w:rPr>
        <w:t>Adaptability</w:t>
      </w:r>
      <w:r>
        <w:rPr>
          <w:rFonts w:asciiTheme="majorHAnsi" w:hAnsiTheme="majorHAnsi"/>
          <w:b/>
          <w:sz w:val="28"/>
          <w:szCs w:val="28"/>
        </w:rPr>
        <w:t xml:space="preserve"> of publishers within the current PIR system</w:t>
      </w:r>
    </w:p>
    <w:p w:rsidR="00D04B2E" w:rsidRPr="009308C8" w:rsidRDefault="00CF3656" w:rsidP="00D04B2E">
      <w:pPr>
        <w:pStyle w:val="ListParagraph"/>
        <w:numPr>
          <w:ilvl w:val="0"/>
          <w:numId w:val="5"/>
        </w:numPr>
        <w:spacing w:before="120" w:after="240"/>
        <w:jc w:val="both"/>
        <w:rPr>
          <w:rFonts w:asciiTheme="majorHAnsi" w:hAnsiTheme="majorHAnsi"/>
          <w:sz w:val="22"/>
          <w:szCs w:val="22"/>
        </w:rPr>
      </w:pPr>
      <w:r>
        <w:rPr>
          <w:rFonts w:asciiTheme="majorHAnsi" w:hAnsiTheme="majorHAnsi"/>
          <w:b/>
          <w:sz w:val="22"/>
          <w:szCs w:val="22"/>
        </w:rPr>
        <w:t xml:space="preserve">Online presence within the PIR environment already assist consumer price comparison.  </w:t>
      </w:r>
      <w:r w:rsidR="00D04B2E" w:rsidRPr="009308C8">
        <w:rPr>
          <w:rFonts w:asciiTheme="majorHAnsi" w:hAnsiTheme="majorHAnsi"/>
          <w:sz w:val="22"/>
          <w:szCs w:val="22"/>
        </w:rPr>
        <w:t>As stated above, Australian consumers can, and do, price compare and purchase goods from other jurisdictions including through online retailers.  This practice is only increasing with the increase take up of online retailing by Australian consumers.  The current PIR regime does not limit Australian consumers’ ability to access the best books at the best price.</w:t>
      </w:r>
    </w:p>
    <w:p w:rsidR="00AD494D" w:rsidRPr="009308C8" w:rsidRDefault="00CF3656" w:rsidP="00AD494D">
      <w:pPr>
        <w:pStyle w:val="ListParagraph"/>
        <w:numPr>
          <w:ilvl w:val="0"/>
          <w:numId w:val="5"/>
        </w:numPr>
        <w:spacing w:after="120" w:line="300" w:lineRule="exact"/>
        <w:jc w:val="both"/>
        <w:rPr>
          <w:rFonts w:asciiTheme="majorHAnsi" w:eastAsia="Times New Roman" w:hAnsiTheme="majorHAnsi"/>
          <w:sz w:val="22"/>
          <w:szCs w:val="22"/>
        </w:rPr>
      </w:pPr>
      <w:r w:rsidRPr="00CF3656">
        <w:rPr>
          <w:rFonts w:asciiTheme="majorHAnsi" w:eastAsia="Times New Roman" w:hAnsiTheme="majorHAnsi"/>
          <w:b/>
          <w:sz w:val="22"/>
          <w:szCs w:val="22"/>
        </w:rPr>
        <w:t>Australian publishers respond to the Australian consumer desire to have speedy access to product.</w:t>
      </w:r>
      <w:r>
        <w:rPr>
          <w:rFonts w:asciiTheme="majorHAnsi" w:eastAsia="Times New Roman" w:hAnsiTheme="majorHAnsi"/>
          <w:sz w:val="22"/>
          <w:szCs w:val="22"/>
        </w:rPr>
        <w:t xml:space="preserve">  </w:t>
      </w:r>
      <w:r w:rsidR="00E95A60">
        <w:rPr>
          <w:rFonts w:asciiTheme="majorHAnsi" w:eastAsia="Times New Roman" w:hAnsiTheme="majorHAnsi"/>
          <w:sz w:val="22"/>
          <w:szCs w:val="22"/>
        </w:rPr>
        <w:t>S</w:t>
      </w:r>
      <w:r w:rsidRPr="00AD494D">
        <w:rPr>
          <w:rFonts w:asciiTheme="majorHAnsi" w:eastAsia="Times New Roman" w:hAnsiTheme="majorHAnsi"/>
          <w:sz w:val="22"/>
          <w:szCs w:val="22"/>
          <w:lang w:val="en-GB"/>
        </w:rPr>
        <w:t xml:space="preserve">elf-regulation introduced by collaboration between </w:t>
      </w:r>
      <w:r w:rsidR="00E95A60">
        <w:rPr>
          <w:rFonts w:asciiTheme="majorHAnsi" w:eastAsia="Times New Roman" w:hAnsiTheme="majorHAnsi"/>
          <w:sz w:val="22"/>
          <w:szCs w:val="22"/>
          <w:lang w:val="en-GB"/>
        </w:rPr>
        <w:t>retailers and publishers has significantly reduced</w:t>
      </w:r>
      <w:r w:rsidRPr="00AD494D">
        <w:rPr>
          <w:rFonts w:asciiTheme="majorHAnsi" w:eastAsia="Times New Roman" w:hAnsiTheme="majorHAnsi"/>
          <w:sz w:val="22"/>
          <w:szCs w:val="22"/>
          <w:lang w:val="en-GB"/>
        </w:rPr>
        <w:t xml:space="preserve"> the legislated deadline to import titles for local publication. </w:t>
      </w:r>
      <w:r w:rsidR="00E95A60">
        <w:rPr>
          <w:rFonts w:asciiTheme="majorHAnsi" w:eastAsia="Times New Roman" w:hAnsiTheme="majorHAnsi"/>
          <w:sz w:val="22"/>
          <w:szCs w:val="22"/>
          <w:lang w:val="en-GB"/>
        </w:rPr>
        <w:t xml:space="preserve">With the ability of consumers to access titles online, there is real commercial </w:t>
      </w:r>
      <w:r w:rsidR="004C0C8C">
        <w:rPr>
          <w:rFonts w:asciiTheme="majorHAnsi" w:eastAsia="Times New Roman" w:hAnsiTheme="majorHAnsi"/>
          <w:sz w:val="22"/>
          <w:szCs w:val="22"/>
          <w:lang w:val="en-GB"/>
        </w:rPr>
        <w:t>imperative</w:t>
      </w:r>
      <w:r w:rsidR="00E95A60">
        <w:rPr>
          <w:rFonts w:asciiTheme="majorHAnsi" w:eastAsia="Times New Roman" w:hAnsiTheme="majorHAnsi"/>
          <w:sz w:val="22"/>
          <w:szCs w:val="22"/>
          <w:lang w:val="en-GB"/>
        </w:rPr>
        <w:t xml:space="preserve"> for publishers to </w:t>
      </w:r>
      <w:r w:rsidR="004C0C8C">
        <w:rPr>
          <w:rFonts w:asciiTheme="majorHAnsi" w:eastAsia="Times New Roman" w:hAnsiTheme="majorHAnsi"/>
          <w:sz w:val="22"/>
          <w:szCs w:val="22"/>
          <w:lang w:val="en-GB"/>
        </w:rPr>
        <w:t>arrange simultaneous publication of global titles.</w:t>
      </w:r>
    </w:p>
    <w:p w:rsidR="00EB64F2" w:rsidRPr="00AD494D" w:rsidRDefault="00EB64F2" w:rsidP="00EB64F2">
      <w:pPr>
        <w:spacing w:before="120" w:after="240"/>
        <w:jc w:val="both"/>
        <w:rPr>
          <w:rFonts w:asciiTheme="majorHAnsi" w:hAnsiTheme="majorHAnsi"/>
          <w:b/>
          <w:sz w:val="28"/>
          <w:szCs w:val="28"/>
        </w:rPr>
      </w:pPr>
      <w:r w:rsidRPr="00AD494D">
        <w:rPr>
          <w:rFonts w:asciiTheme="majorHAnsi" w:hAnsiTheme="majorHAnsi"/>
          <w:b/>
          <w:sz w:val="28"/>
          <w:szCs w:val="28"/>
        </w:rPr>
        <w:t>Accountability</w:t>
      </w:r>
      <w:r w:rsidR="00AD494D">
        <w:rPr>
          <w:rFonts w:asciiTheme="majorHAnsi" w:hAnsiTheme="majorHAnsi"/>
          <w:b/>
          <w:sz w:val="28"/>
          <w:szCs w:val="28"/>
        </w:rPr>
        <w:t xml:space="preserve"> </w:t>
      </w:r>
      <w:r w:rsidR="00A56C8C">
        <w:rPr>
          <w:rFonts w:asciiTheme="majorHAnsi" w:hAnsiTheme="majorHAnsi"/>
          <w:b/>
          <w:sz w:val="28"/>
          <w:szCs w:val="28"/>
        </w:rPr>
        <w:t>and the policy of PIRs</w:t>
      </w:r>
    </w:p>
    <w:p w:rsidR="00EB64F2" w:rsidRDefault="00A56C8C" w:rsidP="00AD494D">
      <w:pPr>
        <w:pStyle w:val="ListParagraph"/>
        <w:numPr>
          <w:ilvl w:val="0"/>
          <w:numId w:val="7"/>
        </w:numPr>
        <w:spacing w:before="120" w:after="240"/>
        <w:jc w:val="both"/>
        <w:rPr>
          <w:rFonts w:asciiTheme="majorHAnsi" w:hAnsiTheme="majorHAnsi"/>
          <w:sz w:val="22"/>
          <w:szCs w:val="22"/>
        </w:rPr>
      </w:pPr>
      <w:r w:rsidRPr="00A56C8C">
        <w:rPr>
          <w:rFonts w:asciiTheme="majorHAnsi" w:hAnsiTheme="majorHAnsi"/>
          <w:b/>
          <w:sz w:val="22"/>
          <w:szCs w:val="22"/>
        </w:rPr>
        <w:t xml:space="preserve">The reasons for changing the current system </w:t>
      </w:r>
      <w:r>
        <w:rPr>
          <w:rFonts w:asciiTheme="majorHAnsi" w:hAnsiTheme="majorHAnsi"/>
          <w:b/>
          <w:sz w:val="22"/>
          <w:szCs w:val="22"/>
        </w:rPr>
        <w:t>are not base</w:t>
      </w:r>
      <w:r w:rsidRPr="00A56C8C">
        <w:rPr>
          <w:rFonts w:asciiTheme="majorHAnsi" w:hAnsiTheme="majorHAnsi"/>
          <w:b/>
          <w:sz w:val="22"/>
          <w:szCs w:val="22"/>
        </w:rPr>
        <w:t>d</w:t>
      </w:r>
      <w:r>
        <w:rPr>
          <w:rFonts w:asciiTheme="majorHAnsi" w:hAnsiTheme="majorHAnsi"/>
          <w:b/>
          <w:sz w:val="22"/>
          <w:szCs w:val="22"/>
        </w:rPr>
        <w:t xml:space="preserve"> </w:t>
      </w:r>
      <w:r w:rsidRPr="00A56C8C">
        <w:rPr>
          <w:rFonts w:asciiTheme="majorHAnsi" w:hAnsiTheme="majorHAnsi"/>
          <w:b/>
          <w:sz w:val="22"/>
          <w:szCs w:val="22"/>
        </w:rPr>
        <w:t xml:space="preserve">on contemporary </w:t>
      </w:r>
      <w:r>
        <w:rPr>
          <w:rFonts w:asciiTheme="majorHAnsi" w:hAnsiTheme="majorHAnsi"/>
          <w:b/>
          <w:sz w:val="22"/>
          <w:szCs w:val="22"/>
        </w:rPr>
        <w:t xml:space="preserve">evidence related to </w:t>
      </w:r>
      <w:r w:rsidRPr="00A56C8C">
        <w:rPr>
          <w:rFonts w:asciiTheme="majorHAnsi" w:hAnsiTheme="majorHAnsi"/>
          <w:b/>
          <w:sz w:val="22"/>
          <w:szCs w:val="22"/>
        </w:rPr>
        <w:t>the publishing industry.</w:t>
      </w:r>
      <w:r>
        <w:rPr>
          <w:rFonts w:asciiTheme="majorHAnsi" w:hAnsiTheme="majorHAnsi"/>
          <w:sz w:val="22"/>
          <w:szCs w:val="22"/>
        </w:rPr>
        <w:t xml:space="preserve">  </w:t>
      </w:r>
      <w:r w:rsidR="00AD494D" w:rsidRPr="00AD494D">
        <w:rPr>
          <w:rFonts w:asciiTheme="majorHAnsi" w:hAnsiTheme="majorHAnsi"/>
          <w:sz w:val="22"/>
          <w:szCs w:val="22"/>
        </w:rPr>
        <w:t>We refer to our comments above regarding pricing and the speed of access to goods by consumers.</w:t>
      </w:r>
    </w:p>
    <w:p w:rsidR="00CF36AE" w:rsidRPr="00AD494D" w:rsidRDefault="00CF36AE" w:rsidP="00AD494D">
      <w:pPr>
        <w:pStyle w:val="ListParagraph"/>
        <w:numPr>
          <w:ilvl w:val="0"/>
          <w:numId w:val="7"/>
        </w:numPr>
        <w:spacing w:before="120" w:after="240"/>
        <w:jc w:val="both"/>
        <w:rPr>
          <w:rFonts w:asciiTheme="majorHAnsi" w:hAnsiTheme="majorHAnsi"/>
          <w:sz w:val="22"/>
          <w:szCs w:val="22"/>
        </w:rPr>
      </w:pPr>
      <w:r>
        <w:rPr>
          <w:rFonts w:asciiTheme="majorHAnsi" w:hAnsiTheme="majorHAnsi"/>
          <w:b/>
          <w:sz w:val="22"/>
          <w:szCs w:val="22"/>
        </w:rPr>
        <w:t>Consumers can and do vote with their clicks.</w:t>
      </w:r>
      <w:r>
        <w:rPr>
          <w:rFonts w:asciiTheme="majorHAnsi" w:hAnsiTheme="majorHAnsi"/>
          <w:sz w:val="22"/>
          <w:szCs w:val="22"/>
        </w:rPr>
        <w:t xml:space="preserve">  </w:t>
      </w:r>
      <w:r>
        <w:rPr>
          <w:rFonts w:asciiTheme="majorHAnsi" w:hAnsiTheme="majorHAnsi"/>
          <w:b/>
          <w:sz w:val="22"/>
          <w:szCs w:val="22"/>
        </w:rPr>
        <w:t xml:space="preserve"> </w:t>
      </w:r>
      <w:r w:rsidRPr="00CF36AE">
        <w:rPr>
          <w:rFonts w:asciiTheme="majorHAnsi" w:hAnsiTheme="majorHAnsi"/>
          <w:sz w:val="22"/>
          <w:szCs w:val="22"/>
        </w:rPr>
        <w:t xml:space="preserve">The ability for consumers to shop online means that </w:t>
      </w:r>
      <w:r>
        <w:rPr>
          <w:rFonts w:asciiTheme="majorHAnsi" w:hAnsiTheme="majorHAnsi"/>
          <w:sz w:val="22"/>
          <w:szCs w:val="22"/>
        </w:rPr>
        <w:t>p</w:t>
      </w:r>
      <w:r w:rsidRPr="00CF36AE">
        <w:rPr>
          <w:rFonts w:asciiTheme="majorHAnsi" w:hAnsiTheme="majorHAnsi"/>
          <w:sz w:val="22"/>
          <w:szCs w:val="22"/>
        </w:rPr>
        <w:t>ublishers have transparent</w:t>
      </w:r>
      <w:r>
        <w:rPr>
          <w:rFonts w:asciiTheme="majorHAnsi" w:hAnsiTheme="majorHAnsi"/>
          <w:sz w:val="22"/>
          <w:szCs w:val="22"/>
        </w:rPr>
        <w:t xml:space="preserve"> drivers to ensure speed to market and price demands are met in the Australian market</w:t>
      </w:r>
    </w:p>
    <w:p w:rsidR="00EB64F2" w:rsidRPr="009308C8" w:rsidRDefault="00EB64F2" w:rsidP="008979BF">
      <w:pPr>
        <w:spacing w:before="120" w:after="240"/>
        <w:jc w:val="both"/>
        <w:rPr>
          <w:rFonts w:asciiTheme="majorHAnsi" w:hAnsiTheme="majorHAnsi"/>
          <w:b/>
          <w:sz w:val="22"/>
          <w:szCs w:val="22"/>
        </w:rPr>
      </w:pPr>
    </w:p>
    <w:p w:rsidR="005A2E44" w:rsidRDefault="005A2E44">
      <w:pPr>
        <w:rPr>
          <w:rFonts w:asciiTheme="majorHAnsi" w:hAnsiTheme="majorHAnsi"/>
          <w:b/>
          <w:sz w:val="22"/>
          <w:szCs w:val="22"/>
        </w:rPr>
      </w:pPr>
    </w:p>
    <w:p w:rsidR="00CF36AE" w:rsidRPr="00E95A60" w:rsidRDefault="00CF36AE" w:rsidP="008979BF">
      <w:pPr>
        <w:spacing w:before="120" w:after="240"/>
        <w:jc w:val="both"/>
        <w:rPr>
          <w:rFonts w:asciiTheme="majorHAnsi" w:hAnsiTheme="majorHAnsi"/>
          <w:sz w:val="28"/>
          <w:szCs w:val="28"/>
        </w:rPr>
      </w:pPr>
    </w:p>
    <w:sectPr w:rsidR="00CF36AE" w:rsidRPr="00E95A60" w:rsidSect="00F47E7A">
      <w:headerReference w:type="even" r:id="rId14"/>
      <w:headerReference w:type="default" r:id="rId15"/>
      <w:footerReference w:type="even" r:id="rId16"/>
      <w:footerReference w:type="default" r:id="rId17"/>
      <w:pgSz w:w="11900" w:h="16840"/>
      <w:pgMar w:top="2880" w:right="2160" w:bottom="1440" w:left="2160" w:header="810" w:footer="4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1A" w:rsidRDefault="00BC031A" w:rsidP="004E08BE">
      <w:r>
        <w:separator/>
      </w:r>
    </w:p>
  </w:endnote>
  <w:endnote w:type="continuationSeparator" w:id="0">
    <w:p w:rsidR="00BC031A" w:rsidRDefault="00BC031A" w:rsidP="004E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A" w:rsidRDefault="00F47E7A" w:rsidP="009830B9">
    <w:pPr>
      <w:pStyle w:val="Footer"/>
      <w:tabs>
        <w:tab w:val="clear" w:pos="4320"/>
        <w:tab w:val="clear" w:pos="8640"/>
        <w:tab w:val="center" w:pos="3960"/>
        <w:tab w:val="right" w:pos="792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A" w:rsidRDefault="00F47E7A" w:rsidP="00531FCD">
    <w:pPr>
      <w:spacing w:before="120"/>
      <w:rPr>
        <w:rFonts w:ascii="Arial" w:hAnsi="Arial"/>
        <w:sz w:val="14"/>
        <w:szCs w:val="14"/>
      </w:rPr>
    </w:pPr>
    <w:r>
      <w:rPr>
        <w:rFonts w:ascii="Arial" w:hAnsi="Arial"/>
        <w:sz w:val="14"/>
        <w:szCs w:val="14"/>
      </w:rPr>
      <w:t>707 Collins Street</w:t>
    </w:r>
    <w:r w:rsidRPr="005D133C">
      <w:rPr>
        <w:rFonts w:ascii="Arial" w:hAnsi="Arial"/>
        <w:sz w:val="14"/>
        <w:szCs w:val="14"/>
      </w:rPr>
      <w:t xml:space="preserve">, </w:t>
    </w:r>
    <w:r w:rsidR="00AE348D">
      <w:rPr>
        <w:rFonts w:ascii="Arial" w:hAnsi="Arial"/>
        <w:sz w:val="14"/>
        <w:szCs w:val="14"/>
      </w:rPr>
      <w:t>Melbourne</w:t>
    </w:r>
    <w:r w:rsidR="000676B5">
      <w:rPr>
        <w:rFonts w:ascii="Arial" w:hAnsi="Arial"/>
        <w:sz w:val="14"/>
        <w:szCs w:val="14"/>
      </w:rPr>
      <w:t>,</w:t>
    </w:r>
    <w:r w:rsidR="00AE348D">
      <w:rPr>
        <w:rFonts w:ascii="Arial" w:hAnsi="Arial"/>
        <w:sz w:val="14"/>
        <w:szCs w:val="14"/>
      </w:rPr>
      <w:t xml:space="preserve"> VIC </w:t>
    </w:r>
    <w:r w:rsidR="00A277DC">
      <w:rPr>
        <w:rFonts w:ascii="Arial" w:hAnsi="Arial"/>
        <w:sz w:val="14"/>
        <w:szCs w:val="14"/>
      </w:rPr>
      <w:t xml:space="preserve"> </w:t>
    </w:r>
    <w:r>
      <w:rPr>
        <w:rFonts w:ascii="Arial" w:hAnsi="Arial"/>
        <w:sz w:val="14"/>
        <w:szCs w:val="14"/>
      </w:rPr>
      <w:t>3008</w:t>
    </w:r>
  </w:p>
  <w:p w:rsidR="006730FE" w:rsidRDefault="00F47E7A" w:rsidP="006730FE">
    <w:pPr>
      <w:spacing w:line="200" w:lineRule="exact"/>
      <w:rPr>
        <w:rFonts w:ascii="Arial" w:hAnsi="Arial"/>
        <w:sz w:val="14"/>
        <w:szCs w:val="14"/>
      </w:rPr>
    </w:pPr>
    <w:proofErr w:type="spellStart"/>
    <w:r>
      <w:rPr>
        <w:rFonts w:ascii="Arial" w:hAnsi="Arial"/>
        <w:sz w:val="14"/>
        <w:szCs w:val="14"/>
      </w:rPr>
      <w:t>penguin</w:t>
    </w:r>
    <w:r w:rsidR="00AE348D">
      <w:rPr>
        <w:rFonts w:ascii="Arial" w:hAnsi="Arial"/>
        <w:sz w:val="14"/>
        <w:szCs w:val="14"/>
      </w:rPr>
      <w:t>randomhouse</w:t>
    </w:r>
    <w:r>
      <w:rPr>
        <w:rFonts w:ascii="Arial" w:hAnsi="Arial"/>
        <w:sz w:val="14"/>
        <w:szCs w:val="14"/>
      </w:rPr>
      <w:t>.com.au</w:t>
    </w:r>
    <w:proofErr w:type="spellEnd"/>
  </w:p>
  <w:p w:rsidR="006730FE" w:rsidRDefault="006730FE" w:rsidP="006730FE">
    <w:pPr>
      <w:spacing w:line="200" w:lineRule="exact"/>
      <w:rPr>
        <w:rFonts w:ascii="Arial" w:hAnsi="Arial"/>
        <w:sz w:val="14"/>
        <w:szCs w:val="14"/>
      </w:rPr>
    </w:pPr>
  </w:p>
  <w:p w:rsidR="00F47E7A" w:rsidRPr="00AE348D" w:rsidRDefault="00AE348D" w:rsidP="00AE348D">
    <w:pPr>
      <w:spacing w:line="300" w:lineRule="exact"/>
      <w:rPr>
        <w:rFonts w:ascii="Arial" w:hAnsi="Arial" w:cs="Arial"/>
        <w:sz w:val="14"/>
        <w:szCs w:val="14"/>
      </w:rPr>
    </w:pPr>
    <w:r w:rsidRPr="00AE348D">
      <w:rPr>
        <w:rFonts w:ascii="Arial" w:hAnsi="Arial" w:cs="Arial"/>
        <w:sz w:val="14"/>
        <w:szCs w:val="14"/>
      </w:rPr>
      <w:t>Penguin Australia Pty Ltd ABN 21 162 605 745, Random House Australia Pty Ltd ABN 28 004 815 703</w:t>
    </w:r>
    <w:r w:rsidR="006730F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1A" w:rsidRDefault="00BC031A" w:rsidP="004E08BE">
      <w:r>
        <w:separator/>
      </w:r>
    </w:p>
  </w:footnote>
  <w:footnote w:type="continuationSeparator" w:id="0">
    <w:p w:rsidR="00BC031A" w:rsidRDefault="00BC031A" w:rsidP="004E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A" w:rsidRDefault="00F47E7A" w:rsidP="004E08BE">
    <w:pPr>
      <w:pStyle w:val="Header"/>
    </w:pPr>
    <w:r>
      <w:t>[Type text]</w:t>
    </w:r>
    <w:r>
      <w:tab/>
      <w:t>[Type text]</w:t>
    </w:r>
    <w:r>
      <w:tab/>
      <w:t>[Type text]</w:t>
    </w:r>
  </w:p>
  <w:p w:rsidR="00F47E7A" w:rsidRDefault="00F47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A" w:rsidRPr="007A5616" w:rsidRDefault="00F47E7A" w:rsidP="000112AF">
    <w:pPr>
      <w:pStyle w:val="Header"/>
      <w:tabs>
        <w:tab w:val="clear" w:pos="4320"/>
        <w:tab w:val="clear" w:pos="8640"/>
        <w:tab w:val="left" w:pos="90"/>
      </w:tabs>
      <w:ind w:left="-1260"/>
      <w:rPr>
        <w:sz w:val="20"/>
        <w:szCs w:val="20"/>
      </w:rPr>
    </w:pPr>
    <w:r>
      <w:rPr>
        <w:sz w:val="20"/>
        <w:szCs w:val="20"/>
      </w:rPr>
      <w:t xml:space="preserve">         </w:t>
    </w:r>
    <w:r w:rsidR="00AE348D">
      <w:rPr>
        <w:noProof/>
        <w:sz w:val="20"/>
        <w:szCs w:val="20"/>
        <w:lang w:val="en-AU" w:eastAsia="en-AU"/>
      </w:rPr>
      <w:drawing>
        <wp:inline distT="0" distB="0" distL="0" distR="0" wp14:anchorId="1135A588" wp14:editId="1BD7B5B6">
          <wp:extent cx="1905000" cy="546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_Australia.pdf"/>
                  <pic:cNvPicPr/>
                </pic:nvPicPr>
                <pic:blipFill>
                  <a:blip r:embed="rId1">
                    <a:extLst>
                      <a:ext uri="{28A0092B-C50C-407E-A947-70E740481C1C}">
                        <a14:useLocalDpi xmlns:a14="http://schemas.microsoft.com/office/drawing/2010/main" val="0"/>
                      </a:ext>
                    </a:extLst>
                  </a:blip>
                  <a:stretch>
                    <a:fillRect/>
                  </a:stretch>
                </pic:blipFill>
                <pic:spPr>
                  <a:xfrm>
                    <a:off x="0" y="0"/>
                    <a:ext cx="1905000" cy="546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D22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37537"/>
    <w:multiLevelType w:val="hybridMultilevel"/>
    <w:tmpl w:val="176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90F24"/>
    <w:multiLevelType w:val="hybridMultilevel"/>
    <w:tmpl w:val="08424D3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32C66"/>
    <w:multiLevelType w:val="hybridMultilevel"/>
    <w:tmpl w:val="534040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250A1"/>
    <w:multiLevelType w:val="hybridMultilevel"/>
    <w:tmpl w:val="D20CD0CC"/>
    <w:lvl w:ilvl="0" w:tplc="04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A8C5550"/>
    <w:multiLevelType w:val="hybridMultilevel"/>
    <w:tmpl w:val="5388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7E781D"/>
    <w:multiLevelType w:val="hybridMultilevel"/>
    <w:tmpl w:val="9F981018"/>
    <w:lvl w:ilvl="0" w:tplc="04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EFC4CF2"/>
    <w:multiLevelType w:val="hybridMultilevel"/>
    <w:tmpl w:val="B556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AC"/>
    <w:rsid w:val="000112AF"/>
    <w:rsid w:val="00031AE1"/>
    <w:rsid w:val="0004064A"/>
    <w:rsid w:val="00056779"/>
    <w:rsid w:val="000676B5"/>
    <w:rsid w:val="00072D66"/>
    <w:rsid w:val="00077BB5"/>
    <w:rsid w:val="00095770"/>
    <w:rsid w:val="00157AED"/>
    <w:rsid w:val="00181359"/>
    <w:rsid w:val="001A0501"/>
    <w:rsid w:val="001D0E8D"/>
    <w:rsid w:val="00253079"/>
    <w:rsid w:val="00266EBE"/>
    <w:rsid w:val="00284EF4"/>
    <w:rsid w:val="002B4078"/>
    <w:rsid w:val="002C59AE"/>
    <w:rsid w:val="00320540"/>
    <w:rsid w:val="003315FD"/>
    <w:rsid w:val="00364E4C"/>
    <w:rsid w:val="003701E7"/>
    <w:rsid w:val="00393B66"/>
    <w:rsid w:val="003E7312"/>
    <w:rsid w:val="0042733A"/>
    <w:rsid w:val="0043436D"/>
    <w:rsid w:val="00457984"/>
    <w:rsid w:val="004C0C8C"/>
    <w:rsid w:val="004D50D4"/>
    <w:rsid w:val="004D73F2"/>
    <w:rsid w:val="004E08BE"/>
    <w:rsid w:val="004F54D4"/>
    <w:rsid w:val="00504222"/>
    <w:rsid w:val="005152FF"/>
    <w:rsid w:val="00516794"/>
    <w:rsid w:val="0051773B"/>
    <w:rsid w:val="00531FCD"/>
    <w:rsid w:val="00551B30"/>
    <w:rsid w:val="0056657F"/>
    <w:rsid w:val="005A2E44"/>
    <w:rsid w:val="005D133C"/>
    <w:rsid w:val="006440F7"/>
    <w:rsid w:val="0064466A"/>
    <w:rsid w:val="006730FE"/>
    <w:rsid w:val="00684E3E"/>
    <w:rsid w:val="006E2A9D"/>
    <w:rsid w:val="006F5AE6"/>
    <w:rsid w:val="00701841"/>
    <w:rsid w:val="00723809"/>
    <w:rsid w:val="00740AAE"/>
    <w:rsid w:val="00753D80"/>
    <w:rsid w:val="00775E77"/>
    <w:rsid w:val="007A5616"/>
    <w:rsid w:val="007A607F"/>
    <w:rsid w:val="007C0032"/>
    <w:rsid w:val="00802BAC"/>
    <w:rsid w:val="00852B07"/>
    <w:rsid w:val="0089351D"/>
    <w:rsid w:val="008979BF"/>
    <w:rsid w:val="00907AA1"/>
    <w:rsid w:val="0092053A"/>
    <w:rsid w:val="00922964"/>
    <w:rsid w:val="009308C8"/>
    <w:rsid w:val="00965B88"/>
    <w:rsid w:val="00970E0B"/>
    <w:rsid w:val="009830B9"/>
    <w:rsid w:val="009B2952"/>
    <w:rsid w:val="00A2387A"/>
    <w:rsid w:val="00A277DC"/>
    <w:rsid w:val="00A52854"/>
    <w:rsid w:val="00A56C8C"/>
    <w:rsid w:val="00A77745"/>
    <w:rsid w:val="00AB199B"/>
    <w:rsid w:val="00AD494D"/>
    <w:rsid w:val="00AE348D"/>
    <w:rsid w:val="00AE36DC"/>
    <w:rsid w:val="00AF7947"/>
    <w:rsid w:val="00B64288"/>
    <w:rsid w:val="00B709A6"/>
    <w:rsid w:val="00B94673"/>
    <w:rsid w:val="00BC031A"/>
    <w:rsid w:val="00C23FEC"/>
    <w:rsid w:val="00C30614"/>
    <w:rsid w:val="00C969DC"/>
    <w:rsid w:val="00CF3656"/>
    <w:rsid w:val="00CF36AE"/>
    <w:rsid w:val="00D04B2E"/>
    <w:rsid w:val="00D433EF"/>
    <w:rsid w:val="00D62CC1"/>
    <w:rsid w:val="00D64DEF"/>
    <w:rsid w:val="00D83321"/>
    <w:rsid w:val="00D962A4"/>
    <w:rsid w:val="00DA2C90"/>
    <w:rsid w:val="00DA7FAD"/>
    <w:rsid w:val="00DB00A2"/>
    <w:rsid w:val="00DF105A"/>
    <w:rsid w:val="00DF2B94"/>
    <w:rsid w:val="00E350B5"/>
    <w:rsid w:val="00E95A60"/>
    <w:rsid w:val="00EB64F2"/>
    <w:rsid w:val="00EF5CB0"/>
    <w:rsid w:val="00F20914"/>
    <w:rsid w:val="00F24A79"/>
    <w:rsid w:val="00F443AC"/>
    <w:rsid w:val="00F47E7A"/>
    <w:rsid w:val="00F549D6"/>
    <w:rsid w:val="00F60F85"/>
    <w:rsid w:val="00FC7E30"/>
    <w:rsid w:val="00FD309B"/>
    <w:rsid w:val="00FD67DC"/>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BE"/>
    <w:pPr>
      <w:tabs>
        <w:tab w:val="center" w:pos="4320"/>
        <w:tab w:val="right" w:pos="8640"/>
      </w:tabs>
    </w:pPr>
    <w:rPr>
      <w:lang w:val="x-none"/>
    </w:rPr>
  </w:style>
  <w:style w:type="character" w:customStyle="1" w:styleId="HeaderChar">
    <w:name w:val="Header Char"/>
    <w:link w:val="Header"/>
    <w:uiPriority w:val="99"/>
    <w:rsid w:val="004E08BE"/>
    <w:rPr>
      <w:sz w:val="24"/>
      <w:szCs w:val="24"/>
      <w:lang w:eastAsia="en-US"/>
    </w:rPr>
  </w:style>
  <w:style w:type="paragraph" w:styleId="Footer">
    <w:name w:val="footer"/>
    <w:basedOn w:val="Normal"/>
    <w:link w:val="FooterChar"/>
    <w:uiPriority w:val="99"/>
    <w:unhideWhenUsed/>
    <w:rsid w:val="004E08BE"/>
    <w:pPr>
      <w:tabs>
        <w:tab w:val="center" w:pos="4320"/>
        <w:tab w:val="right" w:pos="8640"/>
      </w:tabs>
    </w:pPr>
    <w:rPr>
      <w:lang w:val="x-none"/>
    </w:rPr>
  </w:style>
  <w:style w:type="character" w:customStyle="1" w:styleId="FooterChar">
    <w:name w:val="Footer Char"/>
    <w:link w:val="Footer"/>
    <w:uiPriority w:val="99"/>
    <w:rsid w:val="004E08BE"/>
    <w:rPr>
      <w:sz w:val="24"/>
      <w:szCs w:val="24"/>
      <w:lang w:eastAsia="en-US"/>
    </w:rPr>
  </w:style>
  <w:style w:type="paragraph" w:styleId="BalloonText">
    <w:name w:val="Balloon Text"/>
    <w:basedOn w:val="Normal"/>
    <w:link w:val="BalloonTextChar"/>
    <w:uiPriority w:val="99"/>
    <w:semiHidden/>
    <w:unhideWhenUsed/>
    <w:rsid w:val="004E08BE"/>
    <w:rPr>
      <w:rFonts w:ascii="Lucida Grande" w:hAnsi="Lucida Grande"/>
      <w:sz w:val="18"/>
      <w:szCs w:val="18"/>
      <w:lang w:val="x-none"/>
    </w:rPr>
  </w:style>
  <w:style w:type="character" w:customStyle="1" w:styleId="BalloonTextChar">
    <w:name w:val="Balloon Text Char"/>
    <w:link w:val="BalloonText"/>
    <w:uiPriority w:val="99"/>
    <w:semiHidden/>
    <w:rsid w:val="004E08BE"/>
    <w:rPr>
      <w:rFonts w:ascii="Lucida Grande" w:hAnsi="Lucida Grande" w:cs="Lucida Grande"/>
      <w:sz w:val="18"/>
      <w:szCs w:val="18"/>
      <w:lang w:eastAsia="en-US"/>
    </w:rPr>
  </w:style>
  <w:style w:type="paragraph" w:styleId="ListParagraph">
    <w:name w:val="List Paragraph"/>
    <w:basedOn w:val="Normal"/>
    <w:uiPriority w:val="34"/>
    <w:qFormat/>
    <w:rsid w:val="00897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BE"/>
    <w:pPr>
      <w:tabs>
        <w:tab w:val="center" w:pos="4320"/>
        <w:tab w:val="right" w:pos="8640"/>
      </w:tabs>
    </w:pPr>
    <w:rPr>
      <w:lang w:val="x-none"/>
    </w:rPr>
  </w:style>
  <w:style w:type="character" w:customStyle="1" w:styleId="HeaderChar">
    <w:name w:val="Header Char"/>
    <w:link w:val="Header"/>
    <w:uiPriority w:val="99"/>
    <w:rsid w:val="004E08BE"/>
    <w:rPr>
      <w:sz w:val="24"/>
      <w:szCs w:val="24"/>
      <w:lang w:eastAsia="en-US"/>
    </w:rPr>
  </w:style>
  <w:style w:type="paragraph" w:styleId="Footer">
    <w:name w:val="footer"/>
    <w:basedOn w:val="Normal"/>
    <w:link w:val="FooterChar"/>
    <w:uiPriority w:val="99"/>
    <w:unhideWhenUsed/>
    <w:rsid w:val="004E08BE"/>
    <w:pPr>
      <w:tabs>
        <w:tab w:val="center" w:pos="4320"/>
        <w:tab w:val="right" w:pos="8640"/>
      </w:tabs>
    </w:pPr>
    <w:rPr>
      <w:lang w:val="x-none"/>
    </w:rPr>
  </w:style>
  <w:style w:type="character" w:customStyle="1" w:styleId="FooterChar">
    <w:name w:val="Footer Char"/>
    <w:link w:val="Footer"/>
    <w:uiPriority w:val="99"/>
    <w:rsid w:val="004E08BE"/>
    <w:rPr>
      <w:sz w:val="24"/>
      <w:szCs w:val="24"/>
      <w:lang w:eastAsia="en-US"/>
    </w:rPr>
  </w:style>
  <w:style w:type="paragraph" w:styleId="BalloonText">
    <w:name w:val="Balloon Text"/>
    <w:basedOn w:val="Normal"/>
    <w:link w:val="BalloonTextChar"/>
    <w:uiPriority w:val="99"/>
    <w:semiHidden/>
    <w:unhideWhenUsed/>
    <w:rsid w:val="004E08BE"/>
    <w:rPr>
      <w:rFonts w:ascii="Lucida Grande" w:hAnsi="Lucida Grande"/>
      <w:sz w:val="18"/>
      <w:szCs w:val="18"/>
      <w:lang w:val="x-none"/>
    </w:rPr>
  </w:style>
  <w:style w:type="character" w:customStyle="1" w:styleId="BalloonTextChar">
    <w:name w:val="Balloon Text Char"/>
    <w:link w:val="BalloonText"/>
    <w:uiPriority w:val="99"/>
    <w:semiHidden/>
    <w:rsid w:val="004E08BE"/>
    <w:rPr>
      <w:rFonts w:ascii="Lucida Grande" w:hAnsi="Lucida Grande" w:cs="Lucida Grande"/>
      <w:sz w:val="18"/>
      <w:szCs w:val="18"/>
      <w:lang w:eastAsia="en-US"/>
    </w:rPr>
  </w:style>
  <w:style w:type="paragraph" w:styleId="ListParagraph">
    <w:name w:val="List Paragraph"/>
    <w:basedOn w:val="Normal"/>
    <w:uiPriority w:val="34"/>
    <w:qFormat/>
    <w:rsid w:val="00897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480">
      <w:bodyDiv w:val="1"/>
      <w:marLeft w:val="0"/>
      <w:marRight w:val="0"/>
      <w:marTop w:val="0"/>
      <w:marBottom w:val="0"/>
      <w:divBdr>
        <w:top w:val="none" w:sz="0" w:space="0" w:color="auto"/>
        <w:left w:val="none" w:sz="0" w:space="0" w:color="auto"/>
        <w:bottom w:val="none" w:sz="0" w:space="0" w:color="auto"/>
        <w:right w:val="none" w:sz="0" w:space="0" w:color="auto"/>
      </w:divBdr>
    </w:div>
    <w:div w:id="153957825">
      <w:bodyDiv w:val="1"/>
      <w:marLeft w:val="0"/>
      <w:marRight w:val="0"/>
      <w:marTop w:val="0"/>
      <w:marBottom w:val="0"/>
      <w:divBdr>
        <w:top w:val="none" w:sz="0" w:space="0" w:color="auto"/>
        <w:left w:val="none" w:sz="0" w:space="0" w:color="auto"/>
        <w:bottom w:val="none" w:sz="0" w:space="0" w:color="auto"/>
        <w:right w:val="none" w:sz="0" w:space="0" w:color="auto"/>
      </w:divBdr>
    </w:div>
    <w:div w:id="399596339">
      <w:bodyDiv w:val="1"/>
      <w:marLeft w:val="0"/>
      <w:marRight w:val="0"/>
      <w:marTop w:val="0"/>
      <w:marBottom w:val="0"/>
      <w:divBdr>
        <w:top w:val="none" w:sz="0" w:space="0" w:color="auto"/>
        <w:left w:val="none" w:sz="0" w:space="0" w:color="auto"/>
        <w:bottom w:val="none" w:sz="0" w:space="0" w:color="auto"/>
        <w:right w:val="none" w:sz="0" w:space="0" w:color="auto"/>
      </w:divBdr>
    </w:div>
    <w:div w:id="452941565">
      <w:bodyDiv w:val="1"/>
      <w:marLeft w:val="0"/>
      <w:marRight w:val="0"/>
      <w:marTop w:val="0"/>
      <w:marBottom w:val="0"/>
      <w:divBdr>
        <w:top w:val="none" w:sz="0" w:space="0" w:color="auto"/>
        <w:left w:val="none" w:sz="0" w:space="0" w:color="auto"/>
        <w:bottom w:val="none" w:sz="0" w:space="0" w:color="auto"/>
        <w:right w:val="none" w:sz="0" w:space="0" w:color="auto"/>
      </w:divBdr>
    </w:div>
    <w:div w:id="513344346">
      <w:bodyDiv w:val="1"/>
      <w:marLeft w:val="0"/>
      <w:marRight w:val="0"/>
      <w:marTop w:val="0"/>
      <w:marBottom w:val="0"/>
      <w:divBdr>
        <w:top w:val="none" w:sz="0" w:space="0" w:color="auto"/>
        <w:left w:val="none" w:sz="0" w:space="0" w:color="auto"/>
        <w:bottom w:val="none" w:sz="0" w:space="0" w:color="auto"/>
        <w:right w:val="none" w:sz="0" w:space="0" w:color="auto"/>
      </w:divBdr>
    </w:div>
    <w:div w:id="1295405793">
      <w:bodyDiv w:val="1"/>
      <w:marLeft w:val="0"/>
      <w:marRight w:val="0"/>
      <w:marTop w:val="0"/>
      <w:marBottom w:val="0"/>
      <w:divBdr>
        <w:top w:val="none" w:sz="0" w:space="0" w:color="auto"/>
        <w:left w:val="none" w:sz="0" w:space="0" w:color="auto"/>
        <w:bottom w:val="none" w:sz="0" w:space="0" w:color="auto"/>
        <w:right w:val="none" w:sz="0" w:space="0" w:color="auto"/>
      </w:divBdr>
    </w:div>
    <w:div w:id="1401171172">
      <w:bodyDiv w:val="1"/>
      <w:marLeft w:val="0"/>
      <w:marRight w:val="0"/>
      <w:marTop w:val="0"/>
      <w:marBottom w:val="0"/>
      <w:divBdr>
        <w:top w:val="none" w:sz="0" w:space="0" w:color="auto"/>
        <w:left w:val="none" w:sz="0" w:space="0" w:color="auto"/>
        <w:bottom w:val="none" w:sz="0" w:space="0" w:color="auto"/>
        <w:right w:val="none" w:sz="0" w:space="0" w:color="auto"/>
      </w:divBdr>
    </w:div>
    <w:div w:id="1692955896">
      <w:bodyDiv w:val="1"/>
      <w:marLeft w:val="0"/>
      <w:marRight w:val="0"/>
      <w:marTop w:val="0"/>
      <w:marBottom w:val="0"/>
      <w:divBdr>
        <w:top w:val="none" w:sz="0" w:space="0" w:color="auto"/>
        <w:left w:val="none" w:sz="0" w:space="0" w:color="auto"/>
        <w:bottom w:val="none" w:sz="0" w:space="0" w:color="auto"/>
        <w:right w:val="none" w:sz="0" w:space="0" w:color="auto"/>
      </w:divBdr>
    </w:div>
    <w:div w:id="2039893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umcmaal\AppData\Local\Microsoft\Windows\Temporary%20Internet%20Files\Content.Outlook\66U0INF0\Data%20for%20Briony%20(002).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 Progression</a:t>
            </a:r>
            <a:r>
              <a:rPr lang="en-US" baseline="0"/>
              <a:t> of Average Selling Price </a:t>
            </a:r>
            <a:endParaRPr lang="en-US"/>
          </a:p>
        </c:rich>
      </c:tx>
      <c:layout>
        <c:manualLayout>
          <c:xMode val="edge"/>
          <c:yMode val="edge"/>
          <c:x val="0.26603905281070633"/>
          <c:y val="0"/>
        </c:manualLayout>
      </c:layout>
      <c:overlay val="0"/>
      <c:spPr>
        <a:noFill/>
        <a:ln>
          <a:noFill/>
        </a:ln>
        <a:effectLst/>
      </c:spPr>
    </c:title>
    <c:autoTitleDeleted val="0"/>
    <c:plotArea>
      <c:layout>
        <c:manualLayout>
          <c:layoutTarget val="inner"/>
          <c:xMode val="edge"/>
          <c:yMode val="edge"/>
          <c:x val="0.11049926451501255"/>
          <c:y val="9.4035598491365044E-2"/>
          <c:w val="0.8721123046432383"/>
          <c:h val="0.7549085776042701"/>
        </c:manualLayout>
      </c:layout>
      <c:lineChart>
        <c:grouping val="standard"/>
        <c:varyColors val="0"/>
        <c:ser>
          <c:idx val="0"/>
          <c:order val="0"/>
          <c:tx>
            <c:strRef>
              <c:f>'\Users\ugriech\Desktop\Forecasts\Parrallel\[Copy of Book3.xlsx]Sheet4'!$C$4</c:f>
              <c:strCache>
                <c:ptCount val="1"/>
                <c:pt idx="0">
                  <c:v>UK Market Bookscan ASP with tax add (no freight)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'\Users\ugriech\Desktop\Forecasts\Parrallel\[Copy of Book3.xlsx]Sheet4'!$B$5:$B$14</c:f>
              <c:strCache>
                <c:ptCount val="10"/>
                <c:pt idx="0">
                  <c:v>Jan </c:v>
                </c:pt>
                <c:pt idx="1">
                  <c:v>Feb</c:v>
                </c:pt>
                <c:pt idx="2">
                  <c:v>Mar</c:v>
                </c:pt>
                <c:pt idx="3">
                  <c:v>Apr</c:v>
                </c:pt>
                <c:pt idx="4">
                  <c:v>May</c:v>
                </c:pt>
                <c:pt idx="5">
                  <c:v>Jun</c:v>
                </c:pt>
                <c:pt idx="6">
                  <c:v>Jul</c:v>
                </c:pt>
                <c:pt idx="7">
                  <c:v>Aug</c:v>
                </c:pt>
                <c:pt idx="8">
                  <c:v>Sep</c:v>
                </c:pt>
                <c:pt idx="9">
                  <c:v>Oct</c:v>
                </c:pt>
              </c:strCache>
            </c:strRef>
          </c:cat>
          <c:val>
            <c:numRef>
              <c:f>'\Users\ugriech\Desktop\Forecasts\Parrallel\[Copy of Book3.xlsx]Sheet4'!$C$5:$C$14</c:f>
              <c:numCache>
                <c:formatCode>General</c:formatCode>
                <c:ptCount val="10"/>
                <c:pt idx="0">
                  <c:v>16.10773260172423</c:v>
                </c:pt>
                <c:pt idx="1">
                  <c:v>16.897704318612792</c:v>
                </c:pt>
                <c:pt idx="2">
                  <c:v>16.58629469249556</c:v>
                </c:pt>
                <c:pt idx="3">
                  <c:v>16.596367382059753</c:v>
                </c:pt>
                <c:pt idx="4">
                  <c:v>16.932788352946957</c:v>
                </c:pt>
                <c:pt idx="5">
                  <c:v>17.524924537955997</c:v>
                </c:pt>
                <c:pt idx="6">
                  <c:v>18.188186664879098</c:v>
                </c:pt>
                <c:pt idx="7">
                  <c:v>18.472999199291529</c:v>
                </c:pt>
                <c:pt idx="8">
                  <c:v>18.914745483817914</c:v>
                </c:pt>
                <c:pt idx="9">
                  <c:v>18.618730712127029</c:v>
                </c:pt>
              </c:numCache>
            </c:numRef>
          </c:val>
          <c:smooth val="0"/>
        </c:ser>
        <c:ser>
          <c:idx val="1"/>
          <c:order val="1"/>
          <c:tx>
            <c:strRef>
              <c:f>'\Users\ugriech\Desktop\Forecasts\Parrallel\[Copy of Book3.xlsx]Sheet4'!$D$4</c:f>
              <c:strCache>
                <c:ptCount val="1"/>
                <c:pt idx="0">
                  <c:v>Australian Market Bookscan ASP (AUD)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'\Users\ugriech\Desktop\Forecasts\Parrallel\[Copy of Book3.xlsx]Sheet4'!$B$5:$B$14</c:f>
              <c:strCache>
                <c:ptCount val="10"/>
                <c:pt idx="0">
                  <c:v>Jan </c:v>
                </c:pt>
                <c:pt idx="1">
                  <c:v>Feb</c:v>
                </c:pt>
                <c:pt idx="2">
                  <c:v>Mar</c:v>
                </c:pt>
                <c:pt idx="3">
                  <c:v>Apr</c:v>
                </c:pt>
                <c:pt idx="4">
                  <c:v>May</c:v>
                </c:pt>
                <c:pt idx="5">
                  <c:v>Jun</c:v>
                </c:pt>
                <c:pt idx="6">
                  <c:v>Jul</c:v>
                </c:pt>
                <c:pt idx="7">
                  <c:v>Aug</c:v>
                </c:pt>
                <c:pt idx="8">
                  <c:v>Sep</c:v>
                </c:pt>
                <c:pt idx="9">
                  <c:v>Oct</c:v>
                </c:pt>
              </c:strCache>
            </c:strRef>
          </c:cat>
          <c:val>
            <c:numRef>
              <c:f>'\Users\ugriech\Desktop\Forecasts\Parrallel\[Copy of Book3.xlsx]Sheet4'!$D$5:$D$14</c:f>
              <c:numCache>
                <c:formatCode>General</c:formatCode>
                <c:ptCount val="10"/>
                <c:pt idx="0">
                  <c:v>16.908466334279733</c:v>
                </c:pt>
                <c:pt idx="1">
                  <c:v>16.887099047019511</c:v>
                </c:pt>
                <c:pt idx="2">
                  <c:v>16.883093991056494</c:v>
                </c:pt>
                <c:pt idx="3">
                  <c:v>16.934869373627809</c:v>
                </c:pt>
                <c:pt idx="4">
                  <c:v>16.997864908052673</c:v>
                </c:pt>
                <c:pt idx="5">
                  <c:v>17.02083650583203</c:v>
                </c:pt>
                <c:pt idx="6">
                  <c:v>17.050404013566933</c:v>
                </c:pt>
                <c:pt idx="7">
                  <c:v>17.077844283633492</c:v>
                </c:pt>
                <c:pt idx="8">
                  <c:v>17.11</c:v>
                </c:pt>
                <c:pt idx="9">
                  <c:v>17.183999999999997</c:v>
                </c:pt>
              </c:numCache>
            </c:numRef>
          </c:val>
          <c:smooth val="0"/>
        </c:ser>
        <c:ser>
          <c:idx val="2"/>
          <c:order val="2"/>
          <c:tx>
            <c:strRef>
              <c:f>'\Users\ugriech\Desktop\Forecasts\Parrallel\[Copy of Book3.xlsx]Sheet4'!$E$4</c:f>
              <c:strCache>
                <c:ptCount val="1"/>
                <c:pt idx="0">
                  <c:v>PRH eBook ASP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'\Users\ugriech\Desktop\Forecasts\Parrallel\[Copy of Book3.xlsx]Sheet4'!$B$5:$B$14</c:f>
              <c:strCache>
                <c:ptCount val="10"/>
                <c:pt idx="0">
                  <c:v>Jan </c:v>
                </c:pt>
                <c:pt idx="1">
                  <c:v>Feb</c:v>
                </c:pt>
                <c:pt idx="2">
                  <c:v>Mar</c:v>
                </c:pt>
                <c:pt idx="3">
                  <c:v>Apr</c:v>
                </c:pt>
                <c:pt idx="4">
                  <c:v>May</c:v>
                </c:pt>
                <c:pt idx="5">
                  <c:v>Jun</c:v>
                </c:pt>
                <c:pt idx="6">
                  <c:v>Jul</c:v>
                </c:pt>
                <c:pt idx="7">
                  <c:v>Aug</c:v>
                </c:pt>
                <c:pt idx="8">
                  <c:v>Sep</c:v>
                </c:pt>
                <c:pt idx="9">
                  <c:v>Oct</c:v>
                </c:pt>
              </c:strCache>
            </c:strRef>
          </c:cat>
          <c:val>
            <c:numRef>
              <c:f>'\Users\ugriech\Desktop\Forecasts\Parrallel\[Copy of Book3.xlsx]Sheet4'!$E$5:$E$14</c:f>
              <c:numCache>
                <c:formatCode>General</c:formatCode>
                <c:ptCount val="10"/>
                <c:pt idx="0">
                  <c:v>13.171359494921829</c:v>
                </c:pt>
                <c:pt idx="1">
                  <c:v>13.197652238938451</c:v>
                </c:pt>
                <c:pt idx="2">
                  <c:v>13.54826263264092</c:v>
                </c:pt>
                <c:pt idx="3">
                  <c:v>14.070636949160807</c:v>
                </c:pt>
                <c:pt idx="4">
                  <c:v>14.25059747459966</c:v>
                </c:pt>
                <c:pt idx="5">
                  <c:v>14.146638606256253</c:v>
                </c:pt>
                <c:pt idx="6">
                  <c:v>14.677609920590134</c:v>
                </c:pt>
                <c:pt idx="7">
                  <c:v>14.542505618683839</c:v>
                </c:pt>
                <c:pt idx="8">
                  <c:v>14.378649510655604</c:v>
                </c:pt>
                <c:pt idx="9">
                  <c:v>13.458869566429657</c:v>
                </c:pt>
              </c:numCache>
            </c:numRef>
          </c:val>
          <c:smooth val="0"/>
        </c:ser>
        <c:dLbls>
          <c:showLegendKey val="0"/>
          <c:showVal val="0"/>
          <c:showCatName val="0"/>
          <c:showSerName val="0"/>
          <c:showPercent val="0"/>
          <c:showBubbleSize val="0"/>
        </c:dLbls>
        <c:marker val="1"/>
        <c:smooth val="0"/>
        <c:axId val="140471296"/>
        <c:axId val="140477952"/>
      </c:lineChart>
      <c:catAx>
        <c:axId val="140471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 </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477952"/>
        <c:crosses val="autoZero"/>
        <c:auto val="1"/>
        <c:lblAlgn val="ctr"/>
        <c:lblOffset val="100"/>
        <c:noMultiLvlLbl val="0"/>
      </c:catAx>
      <c:valAx>
        <c:axId val="14047795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AUD</a:t>
                </a:r>
              </a:p>
            </c:rich>
          </c:tx>
          <c:layout/>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471296"/>
        <c:crosses val="autoZero"/>
        <c:crossBetween val="between"/>
      </c:valAx>
      <c:spPr>
        <a:noFill/>
        <a:ln>
          <a:noFill/>
        </a:ln>
        <a:effectLst/>
      </c:spPr>
    </c:plotArea>
    <c:legend>
      <c:legendPos val="b"/>
      <c:layout>
        <c:manualLayout>
          <c:xMode val="edge"/>
          <c:yMode val="edge"/>
          <c:x val="0.5196520764574758"/>
          <c:y val="0.66510627348052087"/>
          <c:w val="0.43786614585264755"/>
          <c:h val="0.15816787607431423"/>
        </c:manualLayout>
      </c:layout>
      <c:overlay val="0"/>
      <c:spPr>
        <a:solidFill>
          <a:sysClr val="window" lastClr="FFFFFF"/>
        </a:solidFill>
        <a:ln>
          <a:solidFill>
            <a:sysClr val="window" lastClr="FFFFFF">
              <a:lumMod val="75000"/>
            </a:sys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7C1FED8EA1C4486F923BC68166619" ma:contentTypeVersion="14" ma:contentTypeDescription="Create a new document." ma:contentTypeScope="" ma:versionID="e49b716943ed299bb1d0e060c1753424">
  <xsd:schema xmlns:xsd="http://www.w3.org/2001/XMLSchema" xmlns:xs="http://www.w3.org/2001/XMLSchema" xmlns:p="http://schemas.microsoft.com/office/2006/metadata/properties" xmlns:ns1="http://schemas.microsoft.com/sharepoint/v3" xmlns:ns3="66550162-2491-48b6-a0e8-924c0642c671" xmlns:ns4="6d2cbb85-090c-41df-a871-6e9d6e6d424a" xmlns:ns5="f8961e2b-1acc-4931-93ab-5d4c954bc6bf" targetNamespace="http://schemas.microsoft.com/office/2006/metadata/properties" ma:root="true" ma:fieldsID="8d358a08f21c88b916dc35a02c04c601" ns1:_="" ns3:_="" ns4:_="" ns5:_="">
    <xsd:import namespace="http://schemas.microsoft.com/sharepoint/v3"/>
    <xsd:import namespace="66550162-2491-48b6-a0e8-924c0642c671"/>
    <xsd:import namespace="6d2cbb85-090c-41df-a871-6e9d6e6d424a"/>
    <xsd:import namespace="f8961e2b-1acc-4931-93ab-5d4c954bc6bf"/>
    <xsd:element name="properties">
      <xsd:complexType>
        <xsd:sequence>
          <xsd:element name="documentManagement">
            <xsd:complexType>
              <xsd:all>
                <xsd:element ref="ns3:_dlc_DocId" minOccurs="0"/>
                <xsd:element ref="ns3:_dlc_DocIdUrl" minOccurs="0"/>
                <xsd:element ref="ns3:_dlc_DocIdPersistId" minOccurs="0"/>
                <xsd:element ref="ns1:PublishingStartDate" minOccurs="0"/>
                <xsd:element ref="ns1:PublishingExpirationDate" minOccurs="0"/>
                <xsd:element ref="ns4:Associated_x0020_Business" minOccurs="0"/>
                <xsd:element ref="ns4:Asset_x0020_Type" minOccurs="0"/>
                <xsd:element ref="ns4:Associated_x0020_Program" minOccurs="0"/>
                <xsd:element ref="ns3:Date1" minOccurs="0"/>
                <xsd:element ref="ns5:Associated_x0020_Br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50162-2491-48b6-a0e8-924c0642c6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1" ma:index="17" nillable="true" ma:displayName="Date" ma:format="DateTime" ma:internalName="Date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2cbb85-090c-41df-a871-6e9d6e6d424a" elementFormDefault="qualified">
    <xsd:import namespace="http://schemas.microsoft.com/office/2006/documentManagement/types"/>
    <xsd:import namespace="http://schemas.microsoft.com/office/infopath/2007/PartnerControls"/>
    <xsd:element name="Associated_x0020_Business" ma:index="13" nillable="true" ma:displayName="Associated Business" ma:internalName="Associated_x0020_Business">
      <xsd:complexType>
        <xsd:complexContent>
          <xsd:extension base="dms:MultiChoice">
            <xsd:sequence>
              <xsd:element name="Value" maxOccurs="unbounded" minOccurs="0" nillable="true">
                <xsd:simpleType>
                  <xsd:restriction base="dms:Choice">
                    <xsd:enumeration value="Bookworld"/>
                    <xsd:enumeration value="Dorling Kindersley"/>
                    <xsd:enumeration value="Penguin AU"/>
                    <xsd:enumeration value="Penguin NZ"/>
                    <xsd:enumeration value="Random House AU"/>
                    <xsd:enumeration value="Random House NZ"/>
                    <xsd:enumeration value="PRH APAC"/>
                    <xsd:enumeration value="UBD"/>
                  </xsd:restriction>
                </xsd:simpleType>
              </xsd:element>
            </xsd:sequence>
          </xsd:extension>
        </xsd:complexContent>
      </xsd:complexType>
    </xsd:element>
    <xsd:element name="Asset_x0020_Type" ma:index="14" nillable="true" ma:displayName="Asset Type" ma:format="Dropdown" ma:indexed="true" ma:internalName="Asset_x0020_Type">
      <xsd:simpleType>
        <xsd:restriction base="dms:Choice">
          <xsd:enumeration value="Brand Illustrations"/>
          <xsd:enumeration value="Communications"/>
          <xsd:enumeration value="Desktop Background"/>
          <xsd:enumeration value="Email Signature Template"/>
          <xsd:enumeration value="Corporate Guideline"/>
          <xsd:enumeration value="Help and How To"/>
          <xsd:enumeration value="Logo"/>
          <xsd:enumeration value="Fax Template"/>
          <xsd:enumeration value="Letterhead Template"/>
          <xsd:enumeration value="Memo and Press Release Template"/>
          <xsd:enumeration value="PowerPoint Template"/>
          <xsd:enumeration value="Screensaver"/>
        </xsd:restriction>
      </xsd:simpleType>
    </xsd:element>
    <xsd:element name="Associated_x0020_Program" ma:index="15" nillable="true" ma:displayName="Associated Program" ma:internalName="Associated_x0020_Program">
      <xsd:complexType>
        <xsd:complexContent>
          <xsd:extension base="dms:MultiChoice">
            <xsd:sequence>
              <xsd:element name="Value" maxOccurs="unbounded" minOccurs="0" nillable="true">
                <xsd:simpleType>
                  <xsd:restriction base="dms:Choice">
                    <xsd:enumeration value="Illustrator"/>
                    <xsd:enumeration value="Outlook"/>
                    <xsd:enumeration value="Photoshop"/>
                    <xsd:enumeration value="PowerPoint"/>
                    <xsd:enumeration value="Wor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61e2b-1acc-4931-93ab-5d4c954bc6bf" elementFormDefault="qualified">
    <xsd:import namespace="http://schemas.microsoft.com/office/2006/documentManagement/types"/>
    <xsd:import namespace="http://schemas.microsoft.com/office/infopath/2007/PartnerControls"/>
    <xsd:element name="Associated_x0020_Brand" ma:index="18" nillable="true" ma:displayName="Associated Brand" ma:default="Corporate PRH" ma:format="RadioButtons" ma:indexed="true" ma:internalName="Associated_x0020_Brand">
      <xsd:simpleType>
        <xsd:restriction base="dms:Choice">
          <xsd:enumeration value="Corporate PRH"/>
          <xsd:enumeration value="Penguin Books"/>
          <xsd:enumeration value="Penguin Young Readers"/>
          <xsd:enumeration value="Lantern Books"/>
          <xsd:enumeration value="Random Hou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sset_x0020_Type xmlns="6d2cbb85-090c-41df-a871-6e9d6e6d424a">Letterhead Template</Asset_x0020_Type>
    <Associated_x0020_Business xmlns="6d2cbb85-090c-41df-a871-6e9d6e6d424a">
      <Value>Penguin AU</Value>
    </Associated_x0020_Business>
    <PublishingStartDate xmlns="http://schemas.microsoft.com/sharepoint/v3" xsi:nil="true"/>
    <PublishingExpirationDate xmlns="http://schemas.microsoft.com/sharepoint/v3" xsi:nil="true"/>
    <_dlc_DocId xmlns="66550162-2491-48b6-a0e8-924c0642c671">ZSZ4NRSEFYZJ-667-569</_dlc_DocId>
    <Date1 xmlns="66550162-2491-48b6-a0e8-924c0642c671">2014-06-03T22:00:00+00:00</Date1>
    <_dlc_DocIdUrl xmlns="66550162-2491-48b6-a0e8-924c0642c671">
      <Url>http://intranet.pearson.com.au/Penguin/PenguinBrand/_layouts/DocIdRedir.aspx?ID=ZSZ4NRSEFYZJ-667-569</Url>
      <Description>ZSZ4NRSEFYZJ-667-569</Description>
    </_dlc_DocIdUrl>
    <Associated_x0020_Program xmlns="6d2cbb85-090c-41df-a871-6e9d6e6d424a">
      <Value>Word</Value>
    </Associated_x0020_Program>
    <Associated_x0020_Brand xmlns="f8961e2b-1acc-4931-93ab-5d4c954bc6bf">Corporate PRH</Associated_x0020_Bran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9F35-7186-4D35-AED7-9BB7117F6B36}">
  <ds:schemaRefs>
    <ds:schemaRef ds:uri="http://schemas.microsoft.com/sharepoint/v3/contenttype/forms"/>
  </ds:schemaRefs>
</ds:datastoreItem>
</file>

<file path=customXml/itemProps2.xml><?xml version="1.0" encoding="utf-8"?>
<ds:datastoreItem xmlns:ds="http://schemas.openxmlformats.org/officeDocument/2006/customXml" ds:itemID="{C8B0FE45-B0CF-4D0F-B1D5-059E32800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50162-2491-48b6-a0e8-924c0642c671"/>
    <ds:schemaRef ds:uri="6d2cbb85-090c-41df-a871-6e9d6e6d424a"/>
    <ds:schemaRef ds:uri="f8961e2b-1acc-4931-93ab-5d4c954b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B00D9-4627-43E4-88FC-D66C71FC87AB}">
  <ds:schemaRefs>
    <ds:schemaRef ds:uri="http://schemas.microsoft.com/sharepoint/events"/>
  </ds:schemaRefs>
</ds:datastoreItem>
</file>

<file path=customXml/itemProps4.xml><?xml version="1.0" encoding="utf-8"?>
<ds:datastoreItem xmlns:ds="http://schemas.openxmlformats.org/officeDocument/2006/customXml" ds:itemID="{8A02E694-0537-4F71-831A-8D3E8997CB93}">
  <ds:schemaRefs>
    <ds:schemaRef ds:uri="http://purl.org/dc/elements/1.1/"/>
    <ds:schemaRef ds:uri="http://schemas.microsoft.com/office/2006/documentManagement/types"/>
    <ds:schemaRef ds:uri="66550162-2491-48b6-a0e8-924c0642c671"/>
    <ds:schemaRef ds:uri="http://schemas.microsoft.com/office/2006/metadata/properties"/>
    <ds:schemaRef ds:uri="f8961e2b-1acc-4931-93ab-5d4c954bc6bf"/>
    <ds:schemaRef ds:uri="http://www.w3.org/XML/1998/namespace"/>
    <ds:schemaRef ds:uri="http://schemas.microsoft.com/office/infopath/2007/PartnerControls"/>
    <ds:schemaRef ds:uri="http://schemas.openxmlformats.org/package/2006/metadata/core-properties"/>
    <ds:schemaRef ds:uri="http://purl.org/dc/terms/"/>
    <ds:schemaRef ds:uri="6d2cbb85-090c-41df-a871-6e9d6e6d424a"/>
    <ds:schemaRef ds:uri="http://schemas.microsoft.com/sharepoint/v3"/>
    <ds:schemaRef ds:uri="http://purl.org/dc/dcmitype/"/>
  </ds:schemaRefs>
</ds:datastoreItem>
</file>

<file path=customXml/itemProps5.xml><?xml version="1.0" encoding="utf-8"?>
<ds:datastoreItem xmlns:ds="http://schemas.openxmlformats.org/officeDocument/2006/customXml" ds:itemID="{E950938F-732C-4C9E-9112-735179EF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2383</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Submission 75 - Penguin Random House Australia - Intellectual Property Arrangements - Public inquiry</vt:lpstr>
    </vt:vector>
  </TitlesOfParts>
  <Company>Penguin Random House Australia</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Penguin Random House Australia - Intellectual Property Arrangements - Public inquiry</dc:title>
  <dc:creator>Penguin Random House Australia</dc:creator>
  <cp:lastModifiedBy>Productivity Commission</cp:lastModifiedBy>
  <cp:revision>4</cp:revision>
  <cp:lastPrinted>2015-11-26T05:48:00Z</cp:lastPrinted>
  <dcterms:created xsi:type="dcterms:W3CDTF">2015-11-30T03:55:00Z</dcterms:created>
  <dcterms:modified xsi:type="dcterms:W3CDTF">2015-12-09T01:45:00Z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vt:lpwstr>
  </property>
  <property fmtid="{D5CDD505-2E9C-101B-9397-08002B2CF9AE}" pid="3" name="_dlc_DocIdItemGuid">
    <vt:lpwstr>afafd736-171e-47dc-adb2-e9a95c000f7d</vt:lpwstr>
  </property>
  <property fmtid="{D5CDD505-2E9C-101B-9397-08002B2CF9AE}" pid="4" name="ContentTypeId">
    <vt:lpwstr>0x0101007FD7C1FED8EA1C4486F923BC68166619</vt:lpwstr>
  </property>
</Properties>
</file>