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7F01" w14:textId="77777777" w:rsidR="00B33A3D" w:rsidRDefault="00B33A3D" w:rsidP="00BF759F">
      <w:pPr>
        <w:pStyle w:val="Heading2"/>
        <w:jc w:val="center"/>
      </w:pPr>
    </w:p>
    <w:p w14:paraId="147EFD37" w14:textId="77777777" w:rsidR="00B33A3D" w:rsidRDefault="00B33A3D" w:rsidP="00BF759F">
      <w:pPr>
        <w:pStyle w:val="Heading2"/>
        <w:jc w:val="center"/>
      </w:pPr>
      <w:r>
        <w:rPr>
          <w:noProof/>
          <w:lang w:eastAsia="en-AU"/>
        </w:rPr>
        <w:drawing>
          <wp:inline distT="0" distB="0" distL="0" distR="0" wp14:anchorId="4ED28801" wp14:editId="7DB85EC2">
            <wp:extent cx="1447800" cy="128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G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447800" cy="1282700"/>
                    </a:xfrm>
                    <a:prstGeom prst="rect">
                      <a:avLst/>
                    </a:prstGeom>
                  </pic:spPr>
                </pic:pic>
              </a:graphicData>
            </a:graphic>
          </wp:inline>
        </w:drawing>
      </w:r>
    </w:p>
    <w:p w14:paraId="66C4F521" w14:textId="77777777" w:rsidR="00B33A3D" w:rsidRDefault="00B33A3D" w:rsidP="00BF759F">
      <w:pPr>
        <w:pStyle w:val="Heading2"/>
        <w:jc w:val="center"/>
      </w:pPr>
    </w:p>
    <w:p w14:paraId="2CFCDE23" w14:textId="77777777" w:rsidR="00B33A3D" w:rsidRDefault="00B33A3D" w:rsidP="00BF759F">
      <w:pPr>
        <w:pStyle w:val="Heading2"/>
        <w:jc w:val="center"/>
      </w:pPr>
    </w:p>
    <w:p w14:paraId="7BE2B4CF" w14:textId="77777777" w:rsidR="00B33A3D" w:rsidRDefault="00B33A3D" w:rsidP="00BF759F">
      <w:pPr>
        <w:pStyle w:val="Heading2"/>
        <w:jc w:val="center"/>
      </w:pPr>
    </w:p>
    <w:p w14:paraId="433F7012" w14:textId="77777777" w:rsidR="00B33A3D" w:rsidRDefault="00B33A3D" w:rsidP="00BF759F">
      <w:pPr>
        <w:pStyle w:val="Heading2"/>
        <w:jc w:val="center"/>
      </w:pPr>
      <w:r>
        <w:rPr>
          <w:noProof/>
          <w:lang w:eastAsia="en-AU"/>
        </w:rPr>
        <w:drawing>
          <wp:inline distT="0" distB="0" distL="0" distR="0" wp14:anchorId="251834DC" wp14:editId="2CB0A37B">
            <wp:extent cx="1498600" cy="317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CS-web.jpg"/>
                    <pic:cNvPicPr/>
                  </pic:nvPicPr>
                  <pic:blipFill>
                    <a:blip r:embed="rId10">
                      <a:extLst>
                        <a:ext uri="{28A0092B-C50C-407E-A947-70E740481C1C}">
                          <a14:useLocalDpi xmlns:a14="http://schemas.microsoft.com/office/drawing/2010/main" val="0"/>
                        </a:ext>
                      </a:extLst>
                    </a:blip>
                    <a:stretch>
                      <a:fillRect/>
                    </a:stretch>
                  </pic:blipFill>
                  <pic:spPr>
                    <a:xfrm>
                      <a:off x="0" y="0"/>
                      <a:ext cx="1498600" cy="317500"/>
                    </a:xfrm>
                    <a:prstGeom prst="rect">
                      <a:avLst/>
                    </a:prstGeom>
                  </pic:spPr>
                </pic:pic>
              </a:graphicData>
            </a:graphic>
          </wp:inline>
        </w:drawing>
      </w:r>
    </w:p>
    <w:p w14:paraId="73BB3A94" w14:textId="77777777" w:rsidR="00B33A3D" w:rsidRDefault="00B33A3D" w:rsidP="00BF759F">
      <w:pPr>
        <w:pStyle w:val="Heading2"/>
        <w:jc w:val="center"/>
      </w:pPr>
    </w:p>
    <w:p w14:paraId="70C32A03" w14:textId="77777777" w:rsidR="00B33A3D" w:rsidRDefault="00B33A3D" w:rsidP="00BF759F">
      <w:pPr>
        <w:pStyle w:val="Heading2"/>
        <w:jc w:val="center"/>
      </w:pPr>
    </w:p>
    <w:p w14:paraId="0A2FA4D0" w14:textId="77777777" w:rsidR="00B33A3D" w:rsidRDefault="00B33A3D" w:rsidP="00BF759F">
      <w:pPr>
        <w:pStyle w:val="Heading2"/>
        <w:jc w:val="center"/>
      </w:pPr>
    </w:p>
    <w:p w14:paraId="039723B0" w14:textId="6C4C17C8" w:rsidR="00B33A3D" w:rsidRDefault="00BF759F" w:rsidP="00910FC7">
      <w:pPr>
        <w:pStyle w:val="Heading2"/>
        <w:jc w:val="center"/>
        <w:rPr>
          <w:sz w:val="32"/>
          <w:szCs w:val="32"/>
        </w:rPr>
      </w:pPr>
      <w:r w:rsidRPr="00B33A3D">
        <w:rPr>
          <w:sz w:val="32"/>
          <w:szCs w:val="32"/>
        </w:rPr>
        <w:t>A</w:t>
      </w:r>
      <w:r w:rsidR="00B20949" w:rsidRPr="00B33A3D">
        <w:rPr>
          <w:sz w:val="32"/>
          <w:szCs w:val="32"/>
        </w:rPr>
        <w:t>DG</w:t>
      </w:r>
      <w:r w:rsidRPr="00B33A3D">
        <w:rPr>
          <w:sz w:val="32"/>
          <w:szCs w:val="32"/>
        </w:rPr>
        <w:t xml:space="preserve"> AND A</w:t>
      </w:r>
      <w:r w:rsidR="00B20949" w:rsidRPr="00B33A3D">
        <w:rPr>
          <w:sz w:val="32"/>
          <w:szCs w:val="32"/>
        </w:rPr>
        <w:t>SDACS</w:t>
      </w:r>
      <w:r w:rsidR="00EA66CF" w:rsidRPr="00B33A3D">
        <w:rPr>
          <w:sz w:val="32"/>
          <w:szCs w:val="32"/>
        </w:rPr>
        <w:t xml:space="preserve"> </w:t>
      </w:r>
      <w:r w:rsidR="00910FC7">
        <w:rPr>
          <w:sz w:val="32"/>
          <w:szCs w:val="32"/>
        </w:rPr>
        <w:t>SUBMISSION TO PRODUCTIVITY COMMISSION</w:t>
      </w:r>
      <w:r w:rsidR="00912D9E">
        <w:rPr>
          <w:sz w:val="32"/>
          <w:szCs w:val="32"/>
        </w:rPr>
        <w:t>’S</w:t>
      </w:r>
      <w:r w:rsidR="00910FC7">
        <w:rPr>
          <w:sz w:val="32"/>
          <w:szCs w:val="32"/>
        </w:rPr>
        <w:t xml:space="preserve"> INQUIRY INTO AUSTRALIA’S INTELLECTUAL PROPERTY SYSTEM</w:t>
      </w:r>
    </w:p>
    <w:p w14:paraId="52337454" w14:textId="77777777" w:rsidR="00E57057" w:rsidRDefault="00E57057" w:rsidP="00E57057"/>
    <w:p w14:paraId="1B02A990" w14:textId="088B0833" w:rsidR="00E57057" w:rsidRPr="00E57057" w:rsidRDefault="0024750F" w:rsidP="00E57057">
      <w:pPr>
        <w:jc w:val="center"/>
      </w:pPr>
      <w:r>
        <w:rPr>
          <w:b/>
        </w:rPr>
        <w:t>26 November 2015</w:t>
      </w:r>
    </w:p>
    <w:p w14:paraId="5840DB59" w14:textId="77777777" w:rsidR="00B33A3D" w:rsidRDefault="00B33A3D" w:rsidP="00BF759F">
      <w:pPr>
        <w:jc w:val="both"/>
      </w:pPr>
    </w:p>
    <w:p w14:paraId="4B2BB8F4" w14:textId="77777777" w:rsidR="00B33A3D" w:rsidRDefault="00B33A3D" w:rsidP="00BF759F">
      <w:pPr>
        <w:jc w:val="both"/>
      </w:pPr>
    </w:p>
    <w:p w14:paraId="67633763" w14:textId="77777777" w:rsidR="00B33A3D" w:rsidRDefault="00B33A3D" w:rsidP="00BF759F">
      <w:pPr>
        <w:jc w:val="both"/>
      </w:pPr>
    </w:p>
    <w:p w14:paraId="6450CD7E" w14:textId="77777777" w:rsidR="00B33A3D" w:rsidRDefault="00B33A3D" w:rsidP="00BF759F">
      <w:pPr>
        <w:jc w:val="both"/>
      </w:pPr>
    </w:p>
    <w:p w14:paraId="0AE856A2" w14:textId="77777777" w:rsidR="00B33A3D" w:rsidRDefault="00B33A3D" w:rsidP="00BF759F">
      <w:pPr>
        <w:jc w:val="both"/>
      </w:pPr>
    </w:p>
    <w:p w14:paraId="0E5041FF" w14:textId="77777777" w:rsidR="00B33A3D" w:rsidRDefault="00B33A3D" w:rsidP="00BF759F">
      <w:pPr>
        <w:jc w:val="both"/>
      </w:pPr>
    </w:p>
    <w:p w14:paraId="38008F81" w14:textId="77777777" w:rsidR="00B33A3D" w:rsidRDefault="00B33A3D" w:rsidP="00BF759F">
      <w:pPr>
        <w:jc w:val="both"/>
      </w:pPr>
    </w:p>
    <w:p w14:paraId="02089DE1" w14:textId="77777777" w:rsidR="00B33A3D" w:rsidRDefault="00B33A3D" w:rsidP="00BF759F">
      <w:pPr>
        <w:jc w:val="both"/>
      </w:pPr>
    </w:p>
    <w:p w14:paraId="1F9D81B4" w14:textId="77777777" w:rsidR="00B33A3D" w:rsidRDefault="00B33A3D" w:rsidP="00B33A3D">
      <w:pPr>
        <w:jc w:val="center"/>
      </w:pPr>
      <w:r>
        <w:t xml:space="preserve">AUSTRALIAN DIRECTORS GUILD &amp; </w:t>
      </w:r>
    </w:p>
    <w:p w14:paraId="78859C5F" w14:textId="77777777" w:rsidR="00B33A3D" w:rsidRDefault="00B33A3D" w:rsidP="00B33A3D">
      <w:pPr>
        <w:jc w:val="center"/>
      </w:pPr>
      <w:r>
        <w:t>AUSTRALIAN SCREEN DIRECTORS AUTHORSHIP COLLECTION SOCIETY</w:t>
      </w:r>
    </w:p>
    <w:p w14:paraId="38CCF261" w14:textId="77777777" w:rsidR="00B33A3D" w:rsidRDefault="00B33A3D" w:rsidP="00B33A3D">
      <w:pPr>
        <w:jc w:val="center"/>
      </w:pPr>
      <w:r>
        <w:t>PO BOX 211, ROZELLE. NSW. 2039.</w:t>
      </w:r>
    </w:p>
    <w:p w14:paraId="7B8ABB73" w14:textId="7B378453" w:rsidR="00B33A3D" w:rsidRDefault="008D3282" w:rsidP="00B33A3D">
      <w:pPr>
        <w:jc w:val="center"/>
      </w:pPr>
      <w:hyperlink r:id="rId11" w:history="1">
        <w:r w:rsidR="00910FC7" w:rsidRPr="0087074B">
          <w:rPr>
            <w:rStyle w:val="Hyperlink"/>
          </w:rPr>
          <w:t>www.adg.org.au</w:t>
        </w:r>
      </w:hyperlink>
      <w:r w:rsidR="00910FC7">
        <w:t xml:space="preserve"> and </w:t>
      </w:r>
      <w:hyperlink r:id="rId12" w:history="1">
        <w:r w:rsidR="00910FC7" w:rsidRPr="0087074B">
          <w:rPr>
            <w:rStyle w:val="Hyperlink"/>
          </w:rPr>
          <w:t>www.asdacs.org.au</w:t>
        </w:r>
      </w:hyperlink>
      <w:r w:rsidR="00910FC7">
        <w:t xml:space="preserve"> </w:t>
      </w:r>
    </w:p>
    <w:p w14:paraId="7C224448" w14:textId="77777777" w:rsidR="00910FC7" w:rsidRDefault="00910FC7">
      <w:r>
        <w:br w:type="page"/>
      </w:r>
    </w:p>
    <w:p w14:paraId="2280EEAC" w14:textId="5529A461" w:rsidR="00910FC7" w:rsidRDefault="00910FC7" w:rsidP="00910FC7">
      <w:pPr>
        <w:pStyle w:val="Heading1"/>
        <w:numPr>
          <w:ilvl w:val="0"/>
          <w:numId w:val="8"/>
        </w:numPr>
      </w:pPr>
      <w:r>
        <w:lastRenderedPageBreak/>
        <w:t>Who are we</w:t>
      </w:r>
      <w:r w:rsidR="009D73A2">
        <w:t>?</w:t>
      </w:r>
    </w:p>
    <w:p w14:paraId="386A0327" w14:textId="75B336D2" w:rsidR="00910FC7" w:rsidRDefault="00555C89" w:rsidP="00912D9E">
      <w:pPr>
        <w:jc w:val="both"/>
      </w:pPr>
      <w:r>
        <w:br/>
      </w:r>
      <w:r w:rsidR="00912D9E">
        <w:t>The Australian Directors Guild (</w:t>
      </w:r>
      <w:r w:rsidR="00912D9E">
        <w:rPr>
          <w:b/>
        </w:rPr>
        <w:t>ADG</w:t>
      </w:r>
      <w:r w:rsidR="00912D9E">
        <w:t xml:space="preserve">) is the industry association and union representing the interests of film and television directors, writers/directors, documentary film makers and animators throughout Australia.  Formed in 1982, it has over 700 members nationally and has recently been registered as an association of employees under the </w:t>
      </w:r>
      <w:r w:rsidR="00912D9E" w:rsidRPr="00912D9E">
        <w:rPr>
          <w:i/>
        </w:rPr>
        <w:t>Fair Work (Registered Organisations) Act (Cth)</w:t>
      </w:r>
      <w:r w:rsidR="00912D9E">
        <w:t xml:space="preserve"> 2009.</w:t>
      </w:r>
      <w:bookmarkStart w:id="0" w:name="_GoBack"/>
      <w:bookmarkEnd w:id="0"/>
    </w:p>
    <w:p w14:paraId="01A27F8A" w14:textId="42F9D6EC" w:rsidR="00912D9E" w:rsidRDefault="00912D9E" w:rsidP="00912D9E">
      <w:pPr>
        <w:jc w:val="both"/>
      </w:pPr>
      <w:r>
        <w:t>The Australian Screen Directors Authorship Collecting Society (</w:t>
      </w:r>
      <w:r>
        <w:rPr>
          <w:b/>
        </w:rPr>
        <w:t>ASDACS</w:t>
      </w:r>
      <w:r>
        <w:t xml:space="preserve">) </w:t>
      </w:r>
      <w:r w:rsidR="00B7108B">
        <w:t xml:space="preserve">is a collecting society </w:t>
      </w:r>
      <w:r>
        <w:t>representing the interests of film and television directors, documentary filmmakers and animators throughout Australia</w:t>
      </w:r>
      <w:r w:rsidR="005D3C34">
        <w:t xml:space="preserve"> and New Zealand</w:t>
      </w:r>
      <w:r>
        <w:t>.  It was established in November 1995 in response to support from the French collecting society, SACD</w:t>
      </w:r>
      <w:r w:rsidR="005D3C34">
        <w:t>,</w:t>
      </w:r>
      <w:r>
        <w:t xml:space="preserve"> which had collected the director’s share for Australian directors for income arising from private copying schemes. </w:t>
      </w:r>
      <w:r w:rsidR="00B7108B">
        <w:t xml:space="preserve"> </w:t>
      </w:r>
      <w:r>
        <w:t>The purpose of ASDACS is to collect, administer and distribute income for Australian screen directors arising from secondary use rights.</w:t>
      </w:r>
    </w:p>
    <w:p w14:paraId="7888E2C1" w14:textId="08FD444B" w:rsidR="00910FC7" w:rsidRDefault="00910FC7" w:rsidP="00910FC7">
      <w:pPr>
        <w:pStyle w:val="Heading1"/>
        <w:numPr>
          <w:ilvl w:val="0"/>
          <w:numId w:val="8"/>
        </w:numPr>
      </w:pPr>
      <w:r>
        <w:t xml:space="preserve">The </w:t>
      </w:r>
      <w:r w:rsidR="00412D0A">
        <w:t xml:space="preserve">Productivity Commission </w:t>
      </w:r>
      <w:r>
        <w:t>Inquiry</w:t>
      </w:r>
    </w:p>
    <w:p w14:paraId="59EE8A13" w14:textId="67603387" w:rsidR="00910FC7" w:rsidRDefault="00555C89" w:rsidP="00910FC7">
      <w:pPr>
        <w:jc w:val="both"/>
      </w:pPr>
      <w:r>
        <w:br/>
      </w:r>
      <w:r w:rsidR="00910FC7">
        <w:t xml:space="preserve">On 18 August 2015, the Australian Government announced </w:t>
      </w:r>
      <w:r w:rsidR="00B7108B">
        <w:t>the</w:t>
      </w:r>
      <w:r w:rsidR="00910FC7">
        <w:t xml:space="preserve"> Productivity Commission </w:t>
      </w:r>
      <w:r w:rsidR="009D73A2">
        <w:t>I</w:t>
      </w:r>
      <w:r w:rsidR="00910FC7">
        <w:t xml:space="preserve">nquiry into Australia's intellectual property system (the </w:t>
      </w:r>
      <w:r w:rsidR="00910FC7">
        <w:rPr>
          <w:b/>
        </w:rPr>
        <w:t>Inquiry</w:t>
      </w:r>
      <w:r w:rsidR="00910FC7">
        <w:t>).</w:t>
      </w:r>
      <w:r w:rsidR="00910FC7">
        <w:rPr>
          <w:rStyle w:val="FootnoteReference"/>
        </w:rPr>
        <w:footnoteReference w:id="1"/>
      </w:r>
      <w:r w:rsidR="00910FC7">
        <w:t xml:space="preserve">  The </w:t>
      </w:r>
      <w:r w:rsidR="00E57057">
        <w:t xml:space="preserve">relevant </w:t>
      </w:r>
      <w:r w:rsidR="00910FC7">
        <w:t>scope of the Inquiry</w:t>
      </w:r>
      <w:r w:rsidR="00572EF7">
        <w:t xml:space="preserve"> (</w:t>
      </w:r>
      <w:r w:rsidR="00B7108B">
        <w:t xml:space="preserve">the </w:t>
      </w:r>
      <w:r w:rsidR="00572EF7">
        <w:rPr>
          <w:b/>
        </w:rPr>
        <w:t>Terms of Reference</w:t>
      </w:r>
      <w:r w:rsidR="00572EF7">
        <w:t>)</w:t>
      </w:r>
      <w:r w:rsidR="00164C0A">
        <w:t xml:space="preserve"> is </w:t>
      </w:r>
      <w:r w:rsidR="00910FC7">
        <w:t>as follows:</w:t>
      </w:r>
    </w:p>
    <w:p w14:paraId="54878DE6" w14:textId="5644D9E1" w:rsidR="00164C0A" w:rsidRPr="00E57057" w:rsidRDefault="00164C0A" w:rsidP="00164C0A">
      <w:pPr>
        <w:ind w:left="720"/>
        <w:jc w:val="both"/>
      </w:pPr>
      <w:r w:rsidRPr="00E57057">
        <w:t>The Australian Government wishes to ensure that the intellectual property system provides appropriate incentives for innovation, investment and the production of creative works while ensuring it does not unreasonably impede further innovation, competition, investment and access to goods and services. In undertaking the inquiry the Commission should:</w:t>
      </w:r>
    </w:p>
    <w:p w14:paraId="24B103B0" w14:textId="10EC54B8" w:rsidR="00164C0A" w:rsidRPr="00E57057" w:rsidRDefault="00E57057" w:rsidP="00E57057">
      <w:pPr>
        <w:pStyle w:val="ListParagraph"/>
        <w:numPr>
          <w:ilvl w:val="0"/>
          <w:numId w:val="14"/>
        </w:numPr>
        <w:jc w:val="both"/>
      </w:pPr>
      <w:r w:rsidRPr="00E57057">
        <w:t>E</w:t>
      </w:r>
      <w:r w:rsidR="00164C0A" w:rsidRPr="00E57057">
        <w:t>xamine the effect of the scope and duration of protection afforded by Australia’s intellectual property system on:</w:t>
      </w:r>
    </w:p>
    <w:p w14:paraId="35E72C83" w14:textId="77777777" w:rsidR="00164C0A" w:rsidRPr="00E57057" w:rsidRDefault="00164C0A" w:rsidP="00E57057">
      <w:pPr>
        <w:pStyle w:val="ListParagraph"/>
        <w:numPr>
          <w:ilvl w:val="1"/>
          <w:numId w:val="14"/>
        </w:numPr>
        <w:jc w:val="both"/>
      </w:pPr>
      <w:r w:rsidRPr="00E57057">
        <w:t>research and innovation, including freedom to build on existing innovation;</w:t>
      </w:r>
    </w:p>
    <w:p w14:paraId="00A37290" w14:textId="77777777" w:rsidR="00164C0A" w:rsidRPr="00E57057" w:rsidRDefault="00164C0A" w:rsidP="00E57057">
      <w:pPr>
        <w:pStyle w:val="ListParagraph"/>
        <w:numPr>
          <w:ilvl w:val="1"/>
          <w:numId w:val="14"/>
        </w:numPr>
        <w:jc w:val="both"/>
      </w:pPr>
      <w:r w:rsidRPr="00E57057">
        <w:t>access to and cost of goods and services; and</w:t>
      </w:r>
    </w:p>
    <w:p w14:paraId="196EB10B" w14:textId="77777777" w:rsidR="00164C0A" w:rsidRPr="00E57057" w:rsidRDefault="00164C0A" w:rsidP="00E57057">
      <w:pPr>
        <w:pStyle w:val="ListParagraph"/>
        <w:numPr>
          <w:ilvl w:val="1"/>
          <w:numId w:val="14"/>
        </w:numPr>
        <w:jc w:val="both"/>
      </w:pPr>
      <w:r w:rsidRPr="00E57057">
        <w:t>competition, trade and investment.</w:t>
      </w:r>
    </w:p>
    <w:p w14:paraId="468AA559" w14:textId="5F55A02C" w:rsidR="00164C0A" w:rsidRPr="00E57057" w:rsidRDefault="00E57057" w:rsidP="00E57057">
      <w:pPr>
        <w:pStyle w:val="ListParagraph"/>
        <w:numPr>
          <w:ilvl w:val="0"/>
          <w:numId w:val="14"/>
        </w:numPr>
        <w:jc w:val="both"/>
      </w:pPr>
      <w:r w:rsidRPr="00E57057">
        <w:t>R</w:t>
      </w:r>
      <w:r w:rsidR="00164C0A" w:rsidRPr="00E57057">
        <w:t>ecommend changes to the current system that would improve the overall wellbeing of Australian society, which t</w:t>
      </w:r>
      <w:r w:rsidR="005D3C34">
        <w:t xml:space="preserve">akes into </w:t>
      </w:r>
      <w:r w:rsidR="00164C0A" w:rsidRPr="00E57057">
        <w:t>account Australia’s international trade obligations, including changes that would:</w:t>
      </w:r>
    </w:p>
    <w:p w14:paraId="4FF62F12" w14:textId="77777777" w:rsidR="00164C0A" w:rsidRPr="00E57057" w:rsidRDefault="00164C0A" w:rsidP="00E57057">
      <w:pPr>
        <w:pStyle w:val="ListParagraph"/>
        <w:numPr>
          <w:ilvl w:val="1"/>
          <w:numId w:val="14"/>
        </w:numPr>
        <w:jc w:val="both"/>
      </w:pPr>
      <w:r w:rsidRPr="00E57057">
        <w:t>encourage creativity, investment and new innovation by individuals, businesses and through collaboration while not unduly restricting access to technologies and creative works;</w:t>
      </w:r>
    </w:p>
    <w:p w14:paraId="32789EB4" w14:textId="77777777" w:rsidR="00164C0A" w:rsidRPr="00E57057" w:rsidRDefault="00164C0A" w:rsidP="00E57057">
      <w:pPr>
        <w:pStyle w:val="ListParagraph"/>
        <w:numPr>
          <w:ilvl w:val="1"/>
          <w:numId w:val="14"/>
        </w:numPr>
        <w:jc w:val="both"/>
      </w:pPr>
      <w:r w:rsidRPr="00E57057">
        <w:t>allow access to an increased range of quality and value goods and services;</w:t>
      </w:r>
    </w:p>
    <w:p w14:paraId="586D3F13" w14:textId="77777777" w:rsidR="00164C0A" w:rsidRPr="00E57057" w:rsidRDefault="00164C0A" w:rsidP="00E57057">
      <w:pPr>
        <w:pStyle w:val="ListParagraph"/>
        <w:numPr>
          <w:ilvl w:val="1"/>
          <w:numId w:val="14"/>
        </w:numPr>
        <w:jc w:val="both"/>
      </w:pPr>
      <w:r w:rsidRPr="00E57057">
        <w:t>provide greater certainty to individuals and businesses as to whether they are likely to infringe the intellectual property rights of others; and</w:t>
      </w:r>
    </w:p>
    <w:p w14:paraId="72199404" w14:textId="77777777" w:rsidR="00164C0A" w:rsidRPr="00E57057" w:rsidRDefault="00164C0A" w:rsidP="00E57057">
      <w:pPr>
        <w:pStyle w:val="ListParagraph"/>
        <w:numPr>
          <w:ilvl w:val="1"/>
          <w:numId w:val="14"/>
        </w:numPr>
        <w:jc w:val="both"/>
      </w:pPr>
      <w:r w:rsidRPr="00E57057">
        <w:t>reduce the compliance and administrative costs associated with intellectual property rules.</w:t>
      </w:r>
    </w:p>
    <w:p w14:paraId="27690110" w14:textId="77777777" w:rsidR="005E17D3" w:rsidRDefault="005E17D3" w:rsidP="00164C0A">
      <w:pPr>
        <w:ind w:left="720"/>
        <w:jc w:val="both"/>
      </w:pPr>
    </w:p>
    <w:p w14:paraId="70A59F07" w14:textId="77777777" w:rsidR="00B7108B" w:rsidRDefault="00B7108B" w:rsidP="00164C0A">
      <w:pPr>
        <w:ind w:left="720"/>
        <w:jc w:val="both"/>
      </w:pPr>
    </w:p>
    <w:p w14:paraId="5A504EAB" w14:textId="6ED5EF31" w:rsidR="00164C0A" w:rsidRPr="00E57057" w:rsidRDefault="00164C0A" w:rsidP="00164C0A">
      <w:pPr>
        <w:ind w:left="720"/>
        <w:jc w:val="both"/>
      </w:pPr>
      <w:r w:rsidRPr="00E57057">
        <w:lastRenderedPageBreak/>
        <w:t>In undertaking the inquiry and proposing changes, the Commission is to have regard to:</w:t>
      </w:r>
    </w:p>
    <w:p w14:paraId="55E6E1A4" w14:textId="77777777" w:rsidR="00164C0A" w:rsidRPr="00E57057" w:rsidRDefault="00164C0A" w:rsidP="00164C0A">
      <w:pPr>
        <w:pStyle w:val="ListParagraph"/>
        <w:numPr>
          <w:ilvl w:val="0"/>
          <w:numId w:val="12"/>
        </w:numPr>
        <w:jc w:val="both"/>
      </w:pPr>
      <w:r w:rsidRPr="00E57057">
        <w:t>Australia’s international arrangements, including obligations accepted under bilateral, multilateral and regional trade agreements to which Australia is a party;</w:t>
      </w:r>
    </w:p>
    <w:p w14:paraId="156B4385" w14:textId="77777777" w:rsidR="00164C0A" w:rsidRPr="00E57057" w:rsidRDefault="00164C0A" w:rsidP="00164C0A">
      <w:pPr>
        <w:pStyle w:val="ListParagraph"/>
        <w:numPr>
          <w:ilvl w:val="0"/>
          <w:numId w:val="12"/>
        </w:numPr>
        <w:jc w:val="both"/>
      </w:pPr>
      <w:r w:rsidRPr="00E57057">
        <w:t>the IP arrangements of Australia’s top intellectual property trading partners and the experiences of these and other advanced economies in reforming their IP systems to ensure those systems meet the needs of the modern economy;</w:t>
      </w:r>
    </w:p>
    <w:p w14:paraId="4F0A1138" w14:textId="77777777" w:rsidR="00164C0A" w:rsidRPr="00E57057" w:rsidRDefault="00164C0A" w:rsidP="00164C0A">
      <w:pPr>
        <w:pStyle w:val="ListParagraph"/>
        <w:numPr>
          <w:ilvl w:val="0"/>
          <w:numId w:val="12"/>
        </w:numPr>
        <w:jc w:val="both"/>
      </w:pPr>
      <w:r w:rsidRPr="00E57057">
        <w:t>the relative contribution of imported and domestically produced intellectual property to the Australian economy, for example to Australia’s terms of trade and other economic impacts of IP protection, including on inward investment;</w:t>
      </w:r>
    </w:p>
    <w:p w14:paraId="50436B42" w14:textId="77777777" w:rsidR="00164C0A" w:rsidRPr="00E57057" w:rsidRDefault="00164C0A" w:rsidP="00164C0A">
      <w:pPr>
        <w:pStyle w:val="ListParagraph"/>
        <w:numPr>
          <w:ilvl w:val="0"/>
          <w:numId w:val="12"/>
        </w:numPr>
        <w:jc w:val="both"/>
      </w:pPr>
      <w:r w:rsidRPr="00E57057">
        <w:t>the Government’s desire to retain appropriate incentives for innovation and investment, including innovation that builds on existing work, and production of creative works;</w:t>
      </w:r>
    </w:p>
    <w:p w14:paraId="45769B9E" w14:textId="77777777" w:rsidR="00164C0A" w:rsidRPr="00E57057" w:rsidRDefault="00164C0A" w:rsidP="00164C0A">
      <w:pPr>
        <w:pStyle w:val="ListParagraph"/>
        <w:numPr>
          <w:ilvl w:val="0"/>
          <w:numId w:val="12"/>
        </w:numPr>
        <w:jc w:val="both"/>
      </w:pPr>
      <w:r w:rsidRPr="00E57057">
        <w:t>the economy-wide and distributional consequences of recommendations on changes to the existing intellectual property system, including on trade and competition;</w:t>
      </w:r>
    </w:p>
    <w:p w14:paraId="723CD1AA" w14:textId="77777777" w:rsidR="00164C0A" w:rsidRPr="00E57057" w:rsidRDefault="00164C0A" w:rsidP="00164C0A">
      <w:pPr>
        <w:pStyle w:val="ListParagraph"/>
        <w:numPr>
          <w:ilvl w:val="0"/>
          <w:numId w:val="12"/>
        </w:numPr>
        <w:jc w:val="both"/>
      </w:pPr>
      <w:r w:rsidRPr="00E57057">
        <w:t>ensuring the intellectual property system will be efficient, effective and robust through time, in light of economic and technological changes;</w:t>
      </w:r>
    </w:p>
    <w:p w14:paraId="22445BB9" w14:textId="77777777" w:rsidR="00164C0A" w:rsidRPr="00E57057" w:rsidRDefault="00164C0A" w:rsidP="00164C0A">
      <w:pPr>
        <w:pStyle w:val="ListParagraph"/>
        <w:numPr>
          <w:ilvl w:val="0"/>
          <w:numId w:val="12"/>
        </w:numPr>
        <w:jc w:val="both"/>
      </w:pPr>
      <w:r w:rsidRPr="00E57057">
        <w:t>how proposed changes fit with, or may require changes to, other existing regulation or forms of assistance (such as research subsidies) currently providing incentives for the development of intellectual property;</w:t>
      </w:r>
    </w:p>
    <w:p w14:paraId="337F9084" w14:textId="77777777" w:rsidR="00164C0A" w:rsidRPr="00E57057" w:rsidRDefault="00164C0A" w:rsidP="00164C0A">
      <w:pPr>
        <w:pStyle w:val="ListParagraph"/>
        <w:numPr>
          <w:ilvl w:val="0"/>
          <w:numId w:val="12"/>
        </w:numPr>
        <w:jc w:val="both"/>
      </w:pPr>
      <w:r w:rsidRPr="00E57057">
        <w:t>the findings and recommendations of the Harper Competition Policy Review in the context of the Australian Government’s response, including recommendations related to parallel import restrictions in the Copyright Act 1968 and the parallel importation defence under the Trade Marks Act 1995; and</w:t>
      </w:r>
    </w:p>
    <w:p w14:paraId="47510264" w14:textId="3FD7D64B" w:rsidR="00910FC7" w:rsidRDefault="00164C0A" w:rsidP="00164C0A">
      <w:pPr>
        <w:pStyle w:val="ListParagraph"/>
        <w:numPr>
          <w:ilvl w:val="0"/>
          <w:numId w:val="12"/>
        </w:numPr>
        <w:jc w:val="both"/>
      </w:pPr>
      <w:r w:rsidRPr="00E57057">
        <w:t>the findings and recommendations of the Advisory Council on Intellectual Property’s Review of the Innovation Patent System; the Senate Economics References Committee’s inquiry into Australia’s innovation system; and the Australian Law Reform Commission’s Copyright and the Digital Economy report.</w:t>
      </w:r>
    </w:p>
    <w:p w14:paraId="7320F279" w14:textId="663C7A38" w:rsidR="00D004A3" w:rsidRDefault="00D004A3" w:rsidP="00D004A3">
      <w:pPr>
        <w:jc w:val="both"/>
      </w:pPr>
      <w:r>
        <w:t xml:space="preserve">The Productivity Commission released its Issues Paper entitled </w:t>
      </w:r>
      <w:r>
        <w:rPr>
          <w:i/>
        </w:rPr>
        <w:t xml:space="preserve">Intellectual Property Arrangements </w:t>
      </w:r>
      <w:r>
        <w:t xml:space="preserve">in October 2015 (the </w:t>
      </w:r>
      <w:r>
        <w:rPr>
          <w:b/>
        </w:rPr>
        <w:t>Issues Paper</w:t>
      </w:r>
      <w:r>
        <w:t>).</w:t>
      </w:r>
    </w:p>
    <w:p w14:paraId="28F8DFF9" w14:textId="108B10F1" w:rsidR="00EC184B" w:rsidRDefault="00B7108B" w:rsidP="00D004A3">
      <w:pPr>
        <w:jc w:val="both"/>
      </w:pPr>
      <w:r>
        <w:t>The ADG and ASDACS</w:t>
      </w:r>
      <w:r w:rsidR="00EC184B">
        <w:t xml:space="preserve"> submission to the Productivity Commission on the Issues Paper is set out below, covering</w:t>
      </w:r>
      <w:r>
        <w:t xml:space="preserve"> the following areas</w:t>
      </w:r>
      <w:r w:rsidR="00EC184B">
        <w:t>:</w:t>
      </w:r>
    </w:p>
    <w:p w14:paraId="382CDF13" w14:textId="70A01E44" w:rsidR="00EC184B" w:rsidRDefault="00EC184B" w:rsidP="00EC184B">
      <w:pPr>
        <w:pStyle w:val="ListParagraph"/>
        <w:numPr>
          <w:ilvl w:val="0"/>
          <w:numId w:val="22"/>
        </w:numPr>
        <w:jc w:val="both"/>
      </w:pPr>
      <w:r>
        <w:t>The importance of intellectual property (</w:t>
      </w:r>
      <w:r w:rsidRPr="00EC184B">
        <w:rPr>
          <w:b/>
        </w:rPr>
        <w:t>IP</w:t>
      </w:r>
      <w:r>
        <w:t>)</w:t>
      </w:r>
      <w:r w:rsidR="00554246">
        <w:t>, and more specifically copyright</w:t>
      </w:r>
      <w:r w:rsidR="00B7108B">
        <w:t xml:space="preserve"> </w:t>
      </w:r>
    </w:p>
    <w:p w14:paraId="310D3622" w14:textId="463E7D66" w:rsidR="00EC184B" w:rsidRDefault="00EC184B" w:rsidP="00EC184B">
      <w:pPr>
        <w:pStyle w:val="ListParagraph"/>
        <w:numPr>
          <w:ilvl w:val="0"/>
          <w:numId w:val="22"/>
        </w:numPr>
        <w:jc w:val="both"/>
      </w:pPr>
      <w:r>
        <w:t>The lack of incentives for creativity for screen directors in the form of copyright</w:t>
      </w:r>
      <w:r w:rsidR="00B7108B">
        <w:t xml:space="preserve"> under the present IP arrangements</w:t>
      </w:r>
    </w:p>
    <w:p w14:paraId="6FD5B070" w14:textId="665D9AF4" w:rsidR="00EC184B" w:rsidRPr="00D004A3" w:rsidRDefault="00EC184B" w:rsidP="00EC184B">
      <w:pPr>
        <w:pStyle w:val="ListParagraph"/>
        <w:numPr>
          <w:ilvl w:val="0"/>
          <w:numId w:val="22"/>
        </w:numPr>
        <w:jc w:val="both"/>
      </w:pPr>
      <w:r>
        <w:t>The need for copyright reform to recognise directors as authors of audio-visual works</w:t>
      </w:r>
      <w:r w:rsidR="00B7108B">
        <w:t xml:space="preserve"> and ensure fair remuneration for their creative contribution.</w:t>
      </w:r>
    </w:p>
    <w:p w14:paraId="0ED6CD3D" w14:textId="0967DD44" w:rsidR="002D4ABE" w:rsidRDefault="00D004A3" w:rsidP="00E57057">
      <w:pPr>
        <w:pStyle w:val="Heading1"/>
        <w:numPr>
          <w:ilvl w:val="0"/>
          <w:numId w:val="8"/>
        </w:numPr>
      </w:pPr>
      <w:r>
        <w:t>The importance of</w:t>
      </w:r>
      <w:r w:rsidR="00554246">
        <w:t xml:space="preserve"> copyright</w:t>
      </w:r>
      <w:r w:rsidR="007C70E2">
        <w:t xml:space="preserve"> </w:t>
      </w:r>
    </w:p>
    <w:p w14:paraId="666E1DDC" w14:textId="44E706B2" w:rsidR="00554246" w:rsidRDefault="00555C89" w:rsidP="00554246">
      <w:pPr>
        <w:jc w:val="both"/>
      </w:pPr>
      <w:r>
        <w:br/>
      </w:r>
      <w:r w:rsidR="00572EF7">
        <w:t xml:space="preserve">At the outset, we </w:t>
      </w:r>
      <w:r w:rsidR="007C70E2">
        <w:t xml:space="preserve">support the submission of the Australian Copyright Council </w:t>
      </w:r>
      <w:r w:rsidR="00554246">
        <w:t>(</w:t>
      </w:r>
      <w:r w:rsidR="00554246">
        <w:rPr>
          <w:b/>
        </w:rPr>
        <w:t>ACC</w:t>
      </w:r>
      <w:r w:rsidR="00554246">
        <w:t xml:space="preserve">) </w:t>
      </w:r>
      <w:r w:rsidR="007C70E2">
        <w:t xml:space="preserve">in terms of the importance of </w:t>
      </w:r>
      <w:r w:rsidR="00EC184B">
        <w:t>IP</w:t>
      </w:r>
      <w:r w:rsidR="00B7108B">
        <w:t>, in particular copyright</w:t>
      </w:r>
      <w:r w:rsidR="00D004A3">
        <w:t xml:space="preserve"> </w:t>
      </w:r>
      <w:r w:rsidR="007C70E2">
        <w:t>in Australia, both to creators and users.</w:t>
      </w:r>
      <w:r w:rsidR="00554246">
        <w:t xml:space="preserve">  Copyright is a significant contributor to the Australian economy, with copyright industries assessed as the fourth </w:t>
      </w:r>
      <w:r w:rsidR="00554246">
        <w:lastRenderedPageBreak/>
        <w:t>largest industry by PwC in a recent report.</w:t>
      </w:r>
      <w:r w:rsidR="00554246">
        <w:rPr>
          <w:rStyle w:val="FootnoteReference"/>
        </w:rPr>
        <w:footnoteReference w:id="2"/>
      </w:r>
      <w:r w:rsidR="00554246">
        <w:t xml:space="preserve">   Based on methodology designed by the World Intellectual Property Organization (</w:t>
      </w:r>
      <w:r w:rsidR="00554246">
        <w:rPr>
          <w:b/>
        </w:rPr>
        <w:t>WIPO</w:t>
      </w:r>
      <w:r w:rsidR="00554246">
        <w:t>) and utilising Australian Bureau of Statistics’ data, the longitudinal study commissioned by the ACC highlighted that copyright industries make a significant contribution to the Australian economy, including through:</w:t>
      </w:r>
      <w:r w:rsidR="00554246">
        <w:rPr>
          <w:rStyle w:val="FootnoteReference"/>
        </w:rPr>
        <w:footnoteReference w:id="3"/>
      </w:r>
    </w:p>
    <w:p w14:paraId="2684108B" w14:textId="41EA09F5" w:rsidR="00554246" w:rsidRDefault="00554246" w:rsidP="00554246">
      <w:pPr>
        <w:pStyle w:val="ListParagraph"/>
        <w:numPr>
          <w:ilvl w:val="1"/>
          <w:numId w:val="8"/>
        </w:numPr>
        <w:jc w:val="both"/>
      </w:pPr>
      <w:r>
        <w:t>Employing over 1 million people, which constituted 8.7 per cent of the Australian workforce</w:t>
      </w:r>
    </w:p>
    <w:p w14:paraId="27CB4AF9" w14:textId="74DF0871" w:rsidR="00554246" w:rsidRDefault="00554246" w:rsidP="00554246">
      <w:pPr>
        <w:pStyle w:val="ListParagraph"/>
        <w:numPr>
          <w:ilvl w:val="1"/>
          <w:numId w:val="8"/>
        </w:numPr>
        <w:jc w:val="both"/>
      </w:pPr>
      <w:r>
        <w:t>Generating economic value of $111.4 billion, the equivalent of 7.1 per cent of gross domestic product (</w:t>
      </w:r>
      <w:r w:rsidRPr="00554246">
        <w:rPr>
          <w:b/>
        </w:rPr>
        <w:t>GDP</w:t>
      </w:r>
      <w:r>
        <w:t>)</w:t>
      </w:r>
    </w:p>
    <w:p w14:paraId="6E9E4E65" w14:textId="3AB1751F" w:rsidR="00554246" w:rsidRDefault="00554246" w:rsidP="00554246">
      <w:pPr>
        <w:pStyle w:val="ListParagraph"/>
        <w:numPr>
          <w:ilvl w:val="1"/>
          <w:numId w:val="8"/>
        </w:numPr>
        <w:jc w:val="both"/>
      </w:pPr>
      <w:r>
        <w:t>Creating over $4.8 billion in exports, equal to 1.8 per cent of Australia’s total exports.</w:t>
      </w:r>
    </w:p>
    <w:p w14:paraId="0A1F3162" w14:textId="2F611276" w:rsidR="00E57057" w:rsidRDefault="002D4ABE" w:rsidP="00E57057">
      <w:pPr>
        <w:pStyle w:val="Heading1"/>
        <w:numPr>
          <w:ilvl w:val="0"/>
          <w:numId w:val="8"/>
        </w:numPr>
      </w:pPr>
      <w:r>
        <w:t>In</w:t>
      </w:r>
      <w:r w:rsidR="00E57057">
        <w:t>centives</w:t>
      </w:r>
      <w:r>
        <w:t xml:space="preserve"> for creativity</w:t>
      </w:r>
      <w:r w:rsidR="00D004A3">
        <w:t xml:space="preserve"> - copyright</w:t>
      </w:r>
    </w:p>
    <w:p w14:paraId="7B4BAB5E" w14:textId="27F6223B" w:rsidR="00D004A3" w:rsidRPr="00D004A3" w:rsidRDefault="00D004A3" w:rsidP="00D004A3">
      <w:pPr>
        <w:ind w:left="360"/>
      </w:pPr>
      <w:r w:rsidRPr="00D004A3">
        <w:br/>
        <w:t>To what extent does copyright encourage additional creative works, and does the current law remain ‘fit for purpose’?</w:t>
      </w:r>
      <w:r w:rsidRPr="00D004A3">
        <w:rPr>
          <w:rStyle w:val="FootnoteReference"/>
        </w:rPr>
        <w:footnoteReference w:id="4"/>
      </w:r>
    </w:p>
    <w:p w14:paraId="6442A334" w14:textId="2E78A66B" w:rsidR="002D4ABE" w:rsidRDefault="002D4ABE" w:rsidP="002D4ABE">
      <w:r>
        <w:t>We applaud the Australian Government’s statement that:</w:t>
      </w:r>
      <w:r>
        <w:rPr>
          <w:rStyle w:val="FootnoteReference"/>
        </w:rPr>
        <w:footnoteReference w:id="5"/>
      </w:r>
    </w:p>
    <w:p w14:paraId="12F7D066" w14:textId="34D9DF81" w:rsidR="002D4ABE" w:rsidRPr="002D4ABE" w:rsidRDefault="002D4ABE" w:rsidP="002D4ABE">
      <w:pPr>
        <w:ind w:left="720"/>
      </w:pPr>
      <w:r w:rsidRPr="00E57057">
        <w:t>The Australian Government wishes to ensure that the intellectual property system provides appropriate incentives for innovation, investment and the production of creative works</w:t>
      </w:r>
      <w:r>
        <w:t>.</w:t>
      </w:r>
      <w:r w:rsidR="00555C89">
        <w:t>.</w:t>
      </w:r>
      <w:r>
        <w:t>.</w:t>
      </w:r>
    </w:p>
    <w:p w14:paraId="0FC54A4C" w14:textId="56A19DF4" w:rsidR="00726D94" w:rsidRDefault="00EC184B" w:rsidP="00726D94">
      <w:pPr>
        <w:spacing w:after="0"/>
        <w:jc w:val="both"/>
        <w:rPr>
          <w:rFonts w:cs="Arial"/>
          <w:szCs w:val="21"/>
        </w:rPr>
      </w:pPr>
      <w:bookmarkStart w:id="1" w:name="_Toc416936722"/>
      <w:r>
        <w:rPr>
          <w:rFonts w:cs="Arial"/>
          <w:szCs w:val="21"/>
        </w:rPr>
        <w:t xml:space="preserve">Indeed, </w:t>
      </w:r>
      <w:r w:rsidR="00726D94">
        <w:rPr>
          <w:rFonts w:cs="Arial"/>
          <w:szCs w:val="21"/>
        </w:rPr>
        <w:t xml:space="preserve">Australian screen directors make vital contributions to culture, diversity and economic growth in Australia.  Directors are creative and talented individuals which form the basis of all film, television and dramatic productions. Their work brings people together </w:t>
      </w:r>
      <w:r w:rsidR="00B513AF">
        <w:rPr>
          <w:rFonts w:cs="Arial"/>
          <w:szCs w:val="21"/>
        </w:rPr>
        <w:t>in the form of entertainment, in addition to</w:t>
      </w:r>
      <w:r w:rsidR="00726D94">
        <w:rPr>
          <w:rFonts w:cs="Arial"/>
          <w:szCs w:val="21"/>
        </w:rPr>
        <w:t xml:space="preserve"> educat</w:t>
      </w:r>
      <w:r w:rsidR="00B513AF">
        <w:rPr>
          <w:rFonts w:cs="Arial"/>
          <w:szCs w:val="21"/>
        </w:rPr>
        <w:t>ing and building</w:t>
      </w:r>
      <w:r w:rsidR="00726D94">
        <w:rPr>
          <w:rFonts w:cs="Arial"/>
          <w:szCs w:val="21"/>
        </w:rPr>
        <w:t xml:space="preserve"> empathy in </w:t>
      </w:r>
      <w:r w:rsidR="00B513AF">
        <w:rPr>
          <w:rFonts w:cs="Arial"/>
          <w:szCs w:val="21"/>
        </w:rPr>
        <w:t>the</w:t>
      </w:r>
      <w:r w:rsidR="00726D94">
        <w:rPr>
          <w:rFonts w:cs="Arial"/>
          <w:szCs w:val="21"/>
        </w:rPr>
        <w:t xml:space="preserve"> community</w:t>
      </w:r>
      <w:r w:rsidR="00B513AF">
        <w:rPr>
          <w:rFonts w:cs="Arial"/>
          <w:szCs w:val="21"/>
        </w:rPr>
        <w:t>.  Furthermore it instil</w:t>
      </w:r>
      <w:r w:rsidR="005D3C34">
        <w:rPr>
          <w:rFonts w:cs="Arial"/>
          <w:szCs w:val="21"/>
        </w:rPr>
        <w:t>l</w:t>
      </w:r>
      <w:r w:rsidR="00B513AF">
        <w:rPr>
          <w:rFonts w:cs="Arial"/>
          <w:szCs w:val="21"/>
        </w:rPr>
        <w:t>s</w:t>
      </w:r>
      <w:r w:rsidR="00726D94">
        <w:rPr>
          <w:rFonts w:cs="Arial"/>
          <w:szCs w:val="21"/>
        </w:rPr>
        <w:t xml:space="preserve"> an appreciation of history, Australian culture and </w:t>
      </w:r>
      <w:r w:rsidR="00B513AF">
        <w:rPr>
          <w:rFonts w:cs="Arial"/>
          <w:szCs w:val="21"/>
        </w:rPr>
        <w:t xml:space="preserve">our community’s </w:t>
      </w:r>
      <w:r w:rsidR="00726D94">
        <w:rPr>
          <w:rFonts w:cs="Arial"/>
          <w:szCs w:val="21"/>
        </w:rPr>
        <w:t xml:space="preserve">perspective on other cultures. </w:t>
      </w:r>
    </w:p>
    <w:p w14:paraId="1EBFFEA2" w14:textId="77777777" w:rsidR="00726D94" w:rsidRDefault="00726D94" w:rsidP="00726D94">
      <w:pPr>
        <w:spacing w:after="0"/>
        <w:jc w:val="both"/>
        <w:rPr>
          <w:rFonts w:cs="Arial"/>
          <w:szCs w:val="21"/>
        </w:rPr>
      </w:pPr>
    </w:p>
    <w:p w14:paraId="65014E05" w14:textId="28240E35" w:rsidR="00726D94" w:rsidRDefault="00726D94" w:rsidP="00726D94">
      <w:pPr>
        <w:pStyle w:val="Heading3"/>
        <w:jc w:val="both"/>
      </w:pPr>
      <w:r>
        <w:t xml:space="preserve">Australian </w:t>
      </w:r>
      <w:r w:rsidR="00277E46">
        <w:t>television</w:t>
      </w:r>
      <w:r>
        <w:t xml:space="preserve"> and film contribution to economy</w:t>
      </w:r>
      <w:bookmarkEnd w:id="1"/>
    </w:p>
    <w:p w14:paraId="7E1B036F" w14:textId="577EED9E" w:rsidR="00726D94" w:rsidRDefault="00726D94" w:rsidP="00726D94">
      <w:pPr>
        <w:spacing w:after="0"/>
        <w:jc w:val="both"/>
        <w:rPr>
          <w:rFonts w:cs="Arial"/>
          <w:szCs w:val="21"/>
        </w:rPr>
      </w:pPr>
      <w:r>
        <w:rPr>
          <w:rFonts w:cs="Arial"/>
          <w:szCs w:val="21"/>
        </w:rPr>
        <w:t xml:space="preserve">The Australian screen industry contributed </w:t>
      </w:r>
      <w:r w:rsidRPr="00501A11">
        <w:rPr>
          <w:rFonts w:cs="Arial"/>
          <w:szCs w:val="21"/>
        </w:rPr>
        <w:t xml:space="preserve">a total of $5.8 billion in GDP, </w:t>
      </w:r>
      <w:r>
        <w:rPr>
          <w:rFonts w:cs="Arial"/>
          <w:szCs w:val="21"/>
        </w:rPr>
        <w:t>supported 46,600 full time jobs</w:t>
      </w:r>
      <w:r w:rsidRPr="00501A11">
        <w:rPr>
          <w:rFonts w:cs="Arial"/>
          <w:szCs w:val="21"/>
        </w:rPr>
        <w:t xml:space="preserve"> and contributed almost $2 billion in tax revenues for the Australian economy - according to the 2012/13 report by Deloitte Access Economics released </w:t>
      </w:r>
      <w:r>
        <w:rPr>
          <w:rFonts w:cs="Arial"/>
          <w:szCs w:val="21"/>
        </w:rPr>
        <w:t>in February 2015:</w:t>
      </w:r>
      <w:r>
        <w:rPr>
          <w:rStyle w:val="FootnoteReference"/>
          <w:rFonts w:cs="Arial"/>
          <w:szCs w:val="21"/>
        </w:rPr>
        <w:footnoteReference w:id="6"/>
      </w:r>
    </w:p>
    <w:p w14:paraId="6D5FAF8F" w14:textId="77777777" w:rsidR="00726D94" w:rsidRDefault="00726D94" w:rsidP="00726D94">
      <w:pPr>
        <w:spacing w:after="0"/>
        <w:jc w:val="both"/>
        <w:rPr>
          <w:rFonts w:cs="Arial"/>
          <w:szCs w:val="21"/>
        </w:rPr>
      </w:pPr>
    </w:p>
    <w:p w14:paraId="0ADEF312" w14:textId="343F52BE" w:rsidR="00726D94" w:rsidRPr="00501A11" w:rsidRDefault="00726D94" w:rsidP="00726D94">
      <w:pPr>
        <w:spacing w:after="0"/>
        <w:jc w:val="center"/>
        <w:rPr>
          <w:rFonts w:cs="Arial"/>
          <w:szCs w:val="21"/>
        </w:rPr>
      </w:pPr>
      <w:r>
        <w:rPr>
          <w:noProof/>
          <w:lang w:eastAsia="en-AU"/>
        </w:rPr>
        <w:lastRenderedPageBreak/>
        <w:drawing>
          <wp:inline distT="0" distB="0" distL="0" distR="0" wp14:anchorId="6E9F0149" wp14:editId="4B23B764">
            <wp:extent cx="4927600" cy="3016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1699" t="12051" r="5634" b="19894"/>
                    <a:stretch>
                      <a:fillRect/>
                    </a:stretch>
                  </pic:blipFill>
                  <pic:spPr bwMode="auto">
                    <a:xfrm>
                      <a:off x="0" y="0"/>
                      <a:ext cx="4927600" cy="3016250"/>
                    </a:xfrm>
                    <a:prstGeom prst="rect">
                      <a:avLst/>
                    </a:prstGeom>
                    <a:noFill/>
                    <a:ln>
                      <a:noFill/>
                    </a:ln>
                  </pic:spPr>
                </pic:pic>
              </a:graphicData>
            </a:graphic>
          </wp:inline>
        </w:drawing>
      </w:r>
    </w:p>
    <w:p w14:paraId="261F9F3B" w14:textId="77777777" w:rsidR="00726D94" w:rsidRDefault="00726D94" w:rsidP="00726D94">
      <w:pPr>
        <w:jc w:val="both"/>
      </w:pPr>
    </w:p>
    <w:p w14:paraId="262C5BEC" w14:textId="72EEB1BD" w:rsidR="00726D94" w:rsidRDefault="00726D94" w:rsidP="00726D94">
      <w:pPr>
        <w:jc w:val="both"/>
      </w:pPr>
      <w:r>
        <w:t>As the ADG argued in its submission to the 2011 National Cultural Policy, more than any aspect of Australian life, screen culture dominates the cultural landscape and the director plays a key role in this regard.  Quoting the ABS,</w:t>
      </w:r>
      <w:r>
        <w:rPr>
          <w:rStyle w:val="FootnoteReference"/>
        </w:rPr>
        <w:footnoteReference w:id="7"/>
      </w:r>
      <w:r>
        <w:t xml:space="preserve"> 87 percent of Australians watched or listened to television for an average of under three hours a day totalling Australians aged over 15 years spending an average of 42 million hours watching or listening </w:t>
      </w:r>
      <w:r w:rsidR="004E3BC4">
        <w:t>to television</w:t>
      </w:r>
      <w:r>
        <w:t xml:space="preserve"> each day.</w:t>
      </w:r>
    </w:p>
    <w:p w14:paraId="0ECF3D23" w14:textId="7AF7D1EF" w:rsidR="00726D94" w:rsidRDefault="00726D94" w:rsidP="00726D94">
      <w:pPr>
        <w:pStyle w:val="Heading3"/>
        <w:jc w:val="both"/>
      </w:pPr>
      <w:bookmarkStart w:id="2" w:name="_Toc415061760"/>
      <w:bookmarkStart w:id="3" w:name="_Toc416936723"/>
      <w:r>
        <w:t>The critical role of directors</w:t>
      </w:r>
      <w:bookmarkEnd w:id="2"/>
      <w:bookmarkEnd w:id="3"/>
    </w:p>
    <w:p w14:paraId="3F69175F" w14:textId="54BC5111" w:rsidR="00726D94" w:rsidRDefault="00726D94" w:rsidP="00726D94">
      <w:pPr>
        <w:jc w:val="both"/>
      </w:pPr>
      <w:r>
        <w:t>Australian screen directors are critical to the creation of cinematographic films.  They make creative decisions about what will appear on the screen through input into creative elements such as the development of the script, the cinematography and its style, the casting and the acting style, the production design, the makeup and costumes, the lighting, the music and soundtrack, the editing and the grading of the final print.</w:t>
      </w:r>
    </w:p>
    <w:p w14:paraId="3DB25F12" w14:textId="08A9631A" w:rsidR="00726D94" w:rsidRDefault="00726D94" w:rsidP="00726D94">
      <w:pPr>
        <w:jc w:val="both"/>
      </w:pPr>
      <w:r>
        <w:t xml:space="preserve">The director also generally determines where the camera will be placed, </w:t>
      </w:r>
      <w:r w:rsidR="005D3C34">
        <w:t xml:space="preserve">the type of </w:t>
      </w:r>
      <w:r>
        <w:t xml:space="preserve">shot </w:t>
      </w:r>
      <w:r w:rsidR="005D3C34">
        <w:t>that will be constructed</w:t>
      </w:r>
      <w:r>
        <w:t>, whether the actors will be fully visible or obscured and plans how the shots will be cut together.  The director also controls the rhythms of the film.  In short, the talents and skills of a director bring the story a distinctive visual style and the unique ability to convey “their message” to the audience.</w:t>
      </w:r>
    </w:p>
    <w:p w14:paraId="02D8DDA9" w14:textId="4132990E" w:rsidR="00726D94" w:rsidRDefault="00726D94" w:rsidP="00726D94">
      <w:pPr>
        <w:pStyle w:val="Heading3"/>
        <w:jc w:val="both"/>
      </w:pPr>
      <w:r>
        <w:t>Lack of financial incentives for directors</w:t>
      </w:r>
    </w:p>
    <w:p w14:paraId="7731B2F5" w14:textId="7558217E" w:rsidR="00412D0A" w:rsidRDefault="00726D94" w:rsidP="00726D94">
      <w:pPr>
        <w:jc w:val="both"/>
      </w:pPr>
      <w:r>
        <w:t xml:space="preserve">Yet in contrast to this unique creative talent, </w:t>
      </w:r>
      <w:r w:rsidR="005D3C34">
        <w:t xml:space="preserve">an </w:t>
      </w:r>
      <w:r>
        <w:t xml:space="preserve">overwhelming </w:t>
      </w:r>
      <w:r w:rsidR="005D3C34">
        <w:t xml:space="preserve">amount of </w:t>
      </w:r>
      <w:r>
        <w:t xml:space="preserve">Australian </w:t>
      </w:r>
      <w:r w:rsidR="00063E65">
        <w:t xml:space="preserve">screen </w:t>
      </w:r>
      <w:r>
        <w:t xml:space="preserve">directors are financially struggling particularly in relation to their counterparts in film production.  </w:t>
      </w:r>
    </w:p>
    <w:p w14:paraId="1537FE3D" w14:textId="48AB464F" w:rsidR="00726D94" w:rsidRDefault="00726D94" w:rsidP="00726D94">
      <w:pPr>
        <w:jc w:val="both"/>
      </w:pPr>
      <w:r>
        <w:t>In a survey conducted in 2015 of the ADG’s full members:</w:t>
      </w:r>
      <w:r w:rsidRPr="00726D94">
        <w:rPr>
          <w:rStyle w:val="FootnoteReference"/>
        </w:rPr>
        <w:t xml:space="preserve"> </w:t>
      </w:r>
      <w:r>
        <w:rPr>
          <w:rStyle w:val="FootnoteReference"/>
        </w:rPr>
        <w:footnoteReference w:id="8"/>
      </w:r>
    </w:p>
    <w:p w14:paraId="0CFDA1B2" w14:textId="7CEC42AD" w:rsidR="00726D94" w:rsidRDefault="00726D94" w:rsidP="00726D94">
      <w:pPr>
        <w:pStyle w:val="ListParagraph"/>
        <w:numPr>
          <w:ilvl w:val="0"/>
          <w:numId w:val="16"/>
        </w:numPr>
        <w:jc w:val="both"/>
      </w:pPr>
      <w:r>
        <w:t>50 percent earn less than $25,000 a year</w:t>
      </w:r>
    </w:p>
    <w:p w14:paraId="36E6F4E3" w14:textId="0EC6DD63" w:rsidR="00726D94" w:rsidRDefault="00726D94" w:rsidP="00726D94">
      <w:pPr>
        <w:pStyle w:val="ListParagraph"/>
        <w:numPr>
          <w:ilvl w:val="0"/>
          <w:numId w:val="16"/>
        </w:numPr>
        <w:jc w:val="both"/>
      </w:pPr>
      <w:r>
        <w:t>19 percent earn between $25,000-$50,000 a year</w:t>
      </w:r>
    </w:p>
    <w:p w14:paraId="30AB7ACF" w14:textId="77777777" w:rsidR="00726D94" w:rsidRDefault="00726D94" w:rsidP="00726D94">
      <w:pPr>
        <w:pStyle w:val="ListParagraph"/>
        <w:numPr>
          <w:ilvl w:val="0"/>
          <w:numId w:val="16"/>
        </w:numPr>
        <w:jc w:val="both"/>
      </w:pPr>
      <w:r>
        <w:t>11 percent earn between $50,000 - $70,000 a year</w:t>
      </w:r>
    </w:p>
    <w:p w14:paraId="7EF5FAEB" w14:textId="123D9C04" w:rsidR="00726D94" w:rsidRDefault="00726D94" w:rsidP="00726D94">
      <w:pPr>
        <w:pStyle w:val="ListParagraph"/>
        <w:numPr>
          <w:ilvl w:val="0"/>
          <w:numId w:val="16"/>
        </w:numPr>
        <w:jc w:val="both"/>
      </w:pPr>
      <w:r>
        <w:lastRenderedPageBreak/>
        <w:t>Over 35 percent of these member directors have worked in the Australian film industry for more than 20 years and another 25 percent for more than 10 years.</w:t>
      </w:r>
      <w:r>
        <w:rPr>
          <w:rStyle w:val="FootnoteReference"/>
        </w:rPr>
        <w:footnoteReference w:id="9"/>
      </w:r>
    </w:p>
    <w:p w14:paraId="6DB50E5A" w14:textId="5F95714D" w:rsidR="00412D0A" w:rsidRPr="00947CB1" w:rsidRDefault="00412D0A" w:rsidP="00412D0A">
      <w:pPr>
        <w:jc w:val="both"/>
      </w:pPr>
      <w:r>
        <w:t xml:space="preserve">The lack of financial incentives for Australian screen directors is </w:t>
      </w:r>
      <w:r w:rsidR="00B513AF">
        <w:t xml:space="preserve">compounded </w:t>
      </w:r>
      <w:r>
        <w:t>by their lack of copyright ownership</w:t>
      </w:r>
      <w:r w:rsidR="00B513AF">
        <w:t xml:space="preserve"> and thus bargaining power</w:t>
      </w:r>
      <w:r>
        <w:t xml:space="preserve">, </w:t>
      </w:r>
      <w:r w:rsidR="00B513AF">
        <w:t xml:space="preserve">which is further </w:t>
      </w:r>
      <w:r>
        <w:t>discussed below.</w:t>
      </w:r>
    </w:p>
    <w:p w14:paraId="0C7DB14F" w14:textId="03288366" w:rsidR="00063E65" w:rsidRPr="00991D66" w:rsidRDefault="00A00F7F" w:rsidP="00063E65">
      <w:pPr>
        <w:pStyle w:val="Heading3"/>
      </w:pPr>
      <w:bookmarkStart w:id="4" w:name="_Toc416936726"/>
      <w:r>
        <w:t>Lack of</w:t>
      </w:r>
      <w:r w:rsidR="00063E65">
        <w:t xml:space="preserve"> copyright</w:t>
      </w:r>
      <w:bookmarkEnd w:id="4"/>
      <w:r w:rsidR="00B513AF">
        <w:t xml:space="preserve"> ownership</w:t>
      </w:r>
    </w:p>
    <w:p w14:paraId="4D07CCFC" w14:textId="77777777" w:rsidR="00063E65" w:rsidRDefault="00063E65" w:rsidP="00063E65">
      <w:pPr>
        <w:spacing w:after="0"/>
        <w:jc w:val="both"/>
        <w:rPr>
          <w:rFonts w:cs="Arial"/>
          <w:sz w:val="14"/>
          <w:szCs w:val="21"/>
        </w:rPr>
      </w:pPr>
    </w:p>
    <w:p w14:paraId="3F4FBC9C" w14:textId="77777777" w:rsidR="00063E65" w:rsidRPr="008B7AF0" w:rsidRDefault="00063E65" w:rsidP="00063E65">
      <w:pPr>
        <w:ind w:left="720"/>
        <w:jc w:val="both"/>
      </w:pPr>
      <w:r>
        <w:t>The director has ultimate responsibility for creating the cinematographic film (which is the subject of copyright protection) using the individual creative contributions of, in most cases, a variety of people. Some of those other contributors will have separate copyright in underlying work (such as the script or the score).  The director has no separate copyright in any underlying work and, currently no copyright in the film. Despite directors sharing the responsibility of making the film with the producer, their creative contribution is nowhere recognised.</w:t>
      </w:r>
      <w:r>
        <w:rPr>
          <w:rStyle w:val="FootnoteReference"/>
        </w:rPr>
        <w:footnoteReference w:id="10"/>
      </w:r>
    </w:p>
    <w:p w14:paraId="44458D29" w14:textId="77777777" w:rsidR="00B513AF" w:rsidRDefault="00063E65" w:rsidP="00063E65">
      <w:pPr>
        <w:spacing w:after="0"/>
        <w:jc w:val="both"/>
        <w:rPr>
          <w:rFonts w:cs="Arial"/>
          <w:szCs w:val="21"/>
        </w:rPr>
      </w:pPr>
      <w:r>
        <w:rPr>
          <w:rFonts w:cs="Arial"/>
          <w:szCs w:val="21"/>
        </w:rPr>
        <w:t xml:space="preserve">In Australia, a cinematographic film is protected as “other subject matter”.  In contrast to many other jurisdictions, including most of Europe and the United Kingdom, South America and Hong Kong, the Australian </w:t>
      </w:r>
      <w:r w:rsidRPr="00063E65">
        <w:rPr>
          <w:rFonts w:cs="Arial"/>
          <w:i/>
          <w:szCs w:val="21"/>
        </w:rPr>
        <w:t>Copyright Act (Cth) 1968</w:t>
      </w:r>
      <w:r>
        <w:rPr>
          <w:rFonts w:cs="Arial"/>
          <w:szCs w:val="21"/>
        </w:rPr>
        <w:t xml:space="preserve"> (the </w:t>
      </w:r>
      <w:r>
        <w:rPr>
          <w:rFonts w:cs="Arial"/>
          <w:b/>
          <w:szCs w:val="21"/>
        </w:rPr>
        <w:t>Act</w:t>
      </w:r>
      <w:r>
        <w:rPr>
          <w:rFonts w:cs="Arial"/>
          <w:szCs w:val="21"/>
        </w:rPr>
        <w:t xml:space="preserve">) does not currently recognise directors as makers of films or as copyright owners in film.  </w:t>
      </w:r>
    </w:p>
    <w:p w14:paraId="6B77B8F3" w14:textId="77777777" w:rsidR="00B513AF" w:rsidRDefault="00B513AF" w:rsidP="00063E65">
      <w:pPr>
        <w:spacing w:after="0"/>
        <w:jc w:val="both"/>
        <w:rPr>
          <w:rFonts w:cs="Arial"/>
          <w:szCs w:val="21"/>
        </w:rPr>
      </w:pPr>
    </w:p>
    <w:p w14:paraId="2CFBFBE8" w14:textId="55B31D55" w:rsidR="00063E65" w:rsidRDefault="00B513AF" w:rsidP="00063E65">
      <w:pPr>
        <w:spacing w:after="0"/>
        <w:jc w:val="both"/>
        <w:rPr>
          <w:rFonts w:cs="Arial"/>
          <w:szCs w:val="21"/>
        </w:rPr>
      </w:pPr>
      <w:r>
        <w:rPr>
          <w:rFonts w:cs="Arial"/>
          <w:szCs w:val="21"/>
        </w:rPr>
        <w:t>Rather under the Act t</w:t>
      </w:r>
      <w:r w:rsidR="00063E65">
        <w:rPr>
          <w:rFonts w:cs="Arial"/>
          <w:szCs w:val="21"/>
        </w:rPr>
        <w:t>he ‘maker’ of a film is the person by whom the arrangements necessary for the making of the film were undertaken.</w:t>
      </w:r>
      <w:r w:rsidR="00063E65">
        <w:rPr>
          <w:rStyle w:val="FootnoteReference"/>
          <w:rFonts w:cs="Arial"/>
          <w:szCs w:val="21"/>
        </w:rPr>
        <w:footnoteReference w:id="11"/>
      </w:r>
      <w:r w:rsidR="00063E65">
        <w:rPr>
          <w:rFonts w:cs="Arial"/>
          <w:szCs w:val="21"/>
        </w:rPr>
        <w:t xml:space="preserve">  This is usually the producer.  The maker of the film is normally the copyright owner of the film who has exclusive rights to:</w:t>
      </w:r>
    </w:p>
    <w:p w14:paraId="59FBAB40" w14:textId="77777777" w:rsidR="00063E65" w:rsidRDefault="00063E65" w:rsidP="00063E65">
      <w:pPr>
        <w:spacing w:after="0"/>
        <w:jc w:val="both"/>
        <w:rPr>
          <w:rFonts w:cs="Arial"/>
          <w:szCs w:val="21"/>
        </w:rPr>
      </w:pPr>
    </w:p>
    <w:p w14:paraId="26E5AA64" w14:textId="77777777" w:rsidR="00063E65" w:rsidRDefault="00063E65" w:rsidP="00063E65">
      <w:pPr>
        <w:pStyle w:val="ColorfulList-Accent11"/>
        <w:numPr>
          <w:ilvl w:val="0"/>
          <w:numId w:val="17"/>
        </w:numPr>
        <w:spacing w:after="0"/>
        <w:jc w:val="both"/>
        <w:rPr>
          <w:rFonts w:cs="Arial"/>
          <w:szCs w:val="21"/>
          <w:lang w:val="en-AU"/>
        </w:rPr>
      </w:pPr>
      <w:r>
        <w:rPr>
          <w:rFonts w:cs="Arial"/>
          <w:szCs w:val="21"/>
          <w:lang w:val="en-AU"/>
        </w:rPr>
        <w:t>Make a copy of the film</w:t>
      </w:r>
    </w:p>
    <w:p w14:paraId="53C686A2" w14:textId="77777777" w:rsidR="00063E65" w:rsidRDefault="00063E65" w:rsidP="00063E65">
      <w:pPr>
        <w:pStyle w:val="ColorfulList-Accent11"/>
        <w:numPr>
          <w:ilvl w:val="0"/>
          <w:numId w:val="17"/>
        </w:numPr>
        <w:spacing w:after="0"/>
        <w:jc w:val="both"/>
        <w:rPr>
          <w:rFonts w:cs="Arial"/>
          <w:szCs w:val="21"/>
          <w:lang w:val="en-AU"/>
        </w:rPr>
      </w:pPr>
      <w:r>
        <w:rPr>
          <w:rFonts w:cs="Arial"/>
          <w:szCs w:val="21"/>
          <w:lang w:val="en-AU"/>
        </w:rPr>
        <w:t>Cause the film to be shown or heard in public</w:t>
      </w:r>
    </w:p>
    <w:p w14:paraId="0227D98F" w14:textId="68276E7F" w:rsidR="00063E65" w:rsidRDefault="00063E65" w:rsidP="00063E65">
      <w:pPr>
        <w:pStyle w:val="ColorfulList-Accent11"/>
        <w:numPr>
          <w:ilvl w:val="0"/>
          <w:numId w:val="17"/>
        </w:numPr>
        <w:spacing w:after="0"/>
        <w:jc w:val="both"/>
        <w:rPr>
          <w:rFonts w:cs="Arial"/>
          <w:szCs w:val="21"/>
          <w:lang w:val="en-AU"/>
        </w:rPr>
      </w:pPr>
      <w:r>
        <w:rPr>
          <w:rFonts w:cs="Arial"/>
          <w:szCs w:val="21"/>
          <w:lang w:val="en-AU"/>
        </w:rPr>
        <w:t>Communicate the film to the public including via broadcast and online.</w:t>
      </w:r>
    </w:p>
    <w:p w14:paraId="4DD1FB38" w14:textId="77777777" w:rsidR="00063E65" w:rsidRDefault="00063E65" w:rsidP="00063E65">
      <w:pPr>
        <w:spacing w:after="0"/>
        <w:jc w:val="both"/>
        <w:rPr>
          <w:rFonts w:cs="Arial"/>
          <w:szCs w:val="21"/>
        </w:rPr>
      </w:pPr>
    </w:p>
    <w:p w14:paraId="008B1177" w14:textId="0E5DB522" w:rsidR="00063E65" w:rsidRDefault="00063E65" w:rsidP="00063E65">
      <w:pPr>
        <w:spacing w:after="0"/>
        <w:jc w:val="both"/>
      </w:pPr>
      <w:r>
        <w:rPr>
          <w:rFonts w:cs="Arial"/>
          <w:szCs w:val="21"/>
        </w:rPr>
        <w:t xml:space="preserve">Such exclusive rights enable the copyright owner, </w:t>
      </w:r>
      <w:r w:rsidR="00B513AF">
        <w:rPr>
          <w:rFonts w:cs="Arial"/>
          <w:szCs w:val="21"/>
        </w:rPr>
        <w:t xml:space="preserve">namely </w:t>
      </w:r>
      <w:r>
        <w:rPr>
          <w:rFonts w:cs="Arial"/>
          <w:szCs w:val="21"/>
        </w:rPr>
        <w:t xml:space="preserve">the producer, to control the use of the work in a way that provides the primary economic returns and are called the ‘primary economic rights’. </w:t>
      </w:r>
      <w:r w:rsidR="000A0EC7">
        <w:rPr>
          <w:rFonts w:cs="Arial"/>
          <w:szCs w:val="21"/>
        </w:rPr>
        <w:t xml:space="preserve"> </w:t>
      </w:r>
      <w:r w:rsidR="000A0EC7">
        <w:t>Other key creators in films including producers, script writers and musicians have an entitlement to ongoing economic rights in their films and television programs.</w:t>
      </w:r>
    </w:p>
    <w:p w14:paraId="4E93923B" w14:textId="77777777" w:rsidR="000A0EC7" w:rsidRDefault="000A0EC7" w:rsidP="00063E65">
      <w:pPr>
        <w:spacing w:after="0"/>
        <w:jc w:val="both"/>
        <w:rPr>
          <w:rFonts w:cs="Arial"/>
          <w:szCs w:val="21"/>
        </w:rPr>
      </w:pPr>
    </w:p>
    <w:p w14:paraId="7229B900" w14:textId="77777777" w:rsidR="00063E65" w:rsidRDefault="00063E65" w:rsidP="00063E65">
      <w:pPr>
        <w:pStyle w:val="Heading3"/>
      </w:pPr>
      <w:bookmarkStart w:id="5" w:name="_Toc416936727"/>
      <w:r>
        <w:t>Retransmission rights</w:t>
      </w:r>
      <w:bookmarkEnd w:id="5"/>
    </w:p>
    <w:p w14:paraId="19475567" w14:textId="77777777" w:rsidR="00B513AF" w:rsidRDefault="00B513AF" w:rsidP="00063E65">
      <w:pPr>
        <w:spacing w:after="0"/>
        <w:jc w:val="both"/>
        <w:rPr>
          <w:rFonts w:cs="Arial"/>
          <w:szCs w:val="21"/>
        </w:rPr>
      </w:pPr>
      <w:r>
        <w:rPr>
          <w:rFonts w:cs="Arial"/>
          <w:szCs w:val="21"/>
        </w:rPr>
        <w:t>Put simply, Australian screen d</w:t>
      </w:r>
      <w:r w:rsidR="00063E65">
        <w:rPr>
          <w:rFonts w:cs="Arial"/>
          <w:szCs w:val="21"/>
        </w:rPr>
        <w:t xml:space="preserve">irectors do not have economic rights by virtue of the Act </w:t>
      </w:r>
      <w:r w:rsidR="00063E65" w:rsidRPr="00905F9A">
        <w:rPr>
          <w:rFonts w:cs="Arial"/>
          <w:i/>
          <w:szCs w:val="21"/>
        </w:rPr>
        <w:t>except in relation to</w:t>
      </w:r>
      <w:r w:rsidR="00063E65">
        <w:rPr>
          <w:rFonts w:cs="Arial"/>
          <w:i/>
          <w:szCs w:val="21"/>
        </w:rPr>
        <w:t xml:space="preserve"> limited</w:t>
      </w:r>
      <w:r w:rsidR="00063E65" w:rsidRPr="00905F9A">
        <w:rPr>
          <w:rFonts w:cs="Arial"/>
          <w:i/>
          <w:szCs w:val="21"/>
        </w:rPr>
        <w:t xml:space="preserve"> retransmission rights</w:t>
      </w:r>
      <w:r w:rsidR="00063E65">
        <w:rPr>
          <w:rFonts w:cs="Arial"/>
          <w:szCs w:val="21"/>
        </w:rPr>
        <w:t>.  In 2005, the Australian Government agreed to look at the issue of extending a share of copyright in films to directors</w:t>
      </w:r>
      <w:r w:rsidR="00063E65">
        <w:rPr>
          <w:rStyle w:val="FootnoteReference"/>
          <w:rFonts w:cs="Arial"/>
          <w:szCs w:val="21"/>
        </w:rPr>
        <w:footnoteReference w:id="12"/>
      </w:r>
      <w:r w:rsidR="00063E65">
        <w:rPr>
          <w:rFonts w:cs="Arial"/>
          <w:szCs w:val="21"/>
        </w:rPr>
        <w:t xml:space="preserve"> and enacted the </w:t>
      </w:r>
      <w:r w:rsidR="00063E65">
        <w:rPr>
          <w:rFonts w:cs="Arial"/>
          <w:i/>
          <w:szCs w:val="21"/>
        </w:rPr>
        <w:t>Copyright Amendment (Film Directors’ Rights) Bill 2005</w:t>
      </w:r>
      <w:r w:rsidR="00063E65">
        <w:rPr>
          <w:rFonts w:cs="Arial"/>
          <w:szCs w:val="21"/>
        </w:rPr>
        <w:t xml:space="preserve"> symbolically recognising</w:t>
      </w:r>
      <w:r w:rsidR="00063E65" w:rsidRPr="00B9571B">
        <w:rPr>
          <w:rFonts w:cs="Arial"/>
          <w:szCs w:val="21"/>
        </w:rPr>
        <w:t xml:space="preserve"> directors as copyright owners for the purposes of the statutory retransmission scheme</w:t>
      </w:r>
      <w:r w:rsidR="00063E65">
        <w:rPr>
          <w:rFonts w:cs="Arial"/>
          <w:szCs w:val="21"/>
        </w:rPr>
        <w:t>.</w:t>
      </w:r>
      <w:r w:rsidR="00063E65">
        <w:rPr>
          <w:rStyle w:val="FootnoteReference"/>
          <w:rFonts w:cs="Arial"/>
          <w:szCs w:val="21"/>
        </w:rPr>
        <w:footnoteReference w:id="13"/>
      </w:r>
      <w:r w:rsidR="00063E65">
        <w:rPr>
          <w:rFonts w:cs="Arial"/>
          <w:szCs w:val="21"/>
        </w:rPr>
        <w:t xml:space="preserve">  This is an entitlement</w:t>
      </w:r>
      <w:r w:rsidR="00063E65" w:rsidRPr="00B9571B">
        <w:rPr>
          <w:rFonts w:cs="Arial"/>
          <w:szCs w:val="21"/>
        </w:rPr>
        <w:t xml:space="preserve"> to royalties when a free-</w:t>
      </w:r>
      <w:r w:rsidR="00063E65" w:rsidRPr="00B9571B">
        <w:rPr>
          <w:rFonts w:cs="Arial"/>
          <w:szCs w:val="21"/>
        </w:rPr>
        <w:lastRenderedPageBreak/>
        <w:t>to-air television broadcast is retransmi</w:t>
      </w:r>
      <w:r w:rsidR="00063E65">
        <w:rPr>
          <w:rFonts w:cs="Arial"/>
          <w:szCs w:val="21"/>
        </w:rPr>
        <w:t>tted across a different network.  D</w:t>
      </w:r>
      <w:r w:rsidR="00063E65" w:rsidRPr="00B9571B">
        <w:rPr>
          <w:rFonts w:cs="Arial"/>
          <w:szCs w:val="21"/>
        </w:rPr>
        <w:t>irectors are not entitled to a share of these royalties if they have not retained their right to receive royalty income in their contracts</w:t>
      </w:r>
      <w:r w:rsidR="00063E65">
        <w:rPr>
          <w:rFonts w:cs="Arial"/>
          <w:szCs w:val="21"/>
        </w:rPr>
        <w:t xml:space="preserve"> or where the film is a ‘commissioned’ film</w:t>
      </w:r>
      <w:r w:rsidR="00063E65" w:rsidRPr="00B9571B">
        <w:rPr>
          <w:rFonts w:cs="Arial"/>
          <w:szCs w:val="21"/>
        </w:rPr>
        <w:t xml:space="preserve">. </w:t>
      </w:r>
      <w:r w:rsidR="00063E65">
        <w:rPr>
          <w:rFonts w:cs="Arial"/>
          <w:szCs w:val="21"/>
        </w:rPr>
        <w:t xml:space="preserve"> </w:t>
      </w:r>
      <w:r w:rsidR="00063E65" w:rsidRPr="00B9571B">
        <w:rPr>
          <w:rFonts w:cs="Arial"/>
          <w:szCs w:val="21"/>
        </w:rPr>
        <w:t xml:space="preserve">This is different to the position in other territories, where the right is unalienable. </w:t>
      </w:r>
    </w:p>
    <w:p w14:paraId="125B15A8" w14:textId="77777777" w:rsidR="00B513AF" w:rsidRDefault="00B513AF" w:rsidP="00063E65">
      <w:pPr>
        <w:spacing w:after="0"/>
        <w:jc w:val="both"/>
        <w:rPr>
          <w:rFonts w:cs="Arial"/>
          <w:szCs w:val="21"/>
        </w:rPr>
      </w:pPr>
    </w:p>
    <w:p w14:paraId="45AB2CBD" w14:textId="69A2EFD8" w:rsidR="00063E65" w:rsidRDefault="00063E65" w:rsidP="00063E65">
      <w:pPr>
        <w:spacing w:after="0"/>
        <w:jc w:val="both"/>
        <w:rPr>
          <w:rFonts w:cs="Arial"/>
          <w:szCs w:val="21"/>
        </w:rPr>
      </w:pPr>
      <w:r>
        <w:rPr>
          <w:rFonts w:cs="Arial"/>
          <w:szCs w:val="21"/>
        </w:rPr>
        <w:t xml:space="preserve">At a practical level, an assignment of </w:t>
      </w:r>
      <w:r w:rsidR="00412D0A">
        <w:rPr>
          <w:rFonts w:cs="Arial"/>
          <w:szCs w:val="21"/>
        </w:rPr>
        <w:t xml:space="preserve">retransmission </w:t>
      </w:r>
      <w:r>
        <w:rPr>
          <w:rFonts w:cs="Arial"/>
          <w:szCs w:val="21"/>
        </w:rPr>
        <w:t>copyright by Australian directors i</w:t>
      </w:r>
      <w:r w:rsidR="00D004A3">
        <w:rPr>
          <w:rFonts w:cs="Arial"/>
          <w:szCs w:val="21"/>
        </w:rPr>
        <w:t>s commonplace industry practice due to the inequality of bargaining power.</w:t>
      </w:r>
      <w:r w:rsidR="00B513AF">
        <w:rPr>
          <w:rFonts w:cs="Arial"/>
          <w:szCs w:val="21"/>
        </w:rPr>
        <w:t xml:space="preserve">  Furthermore, there is ongoing dispute about the shares of retransmission rights that accrue to screen directors under the Act if directors are able to even get appropriate contractual clauses in their agreements.</w:t>
      </w:r>
      <w:r w:rsidR="00B513AF">
        <w:rPr>
          <w:rStyle w:val="FootnoteReference"/>
          <w:rFonts w:cs="Arial"/>
          <w:szCs w:val="21"/>
        </w:rPr>
        <w:footnoteReference w:id="14"/>
      </w:r>
    </w:p>
    <w:p w14:paraId="1F9E31DE" w14:textId="77777777" w:rsidR="00063E65" w:rsidRPr="00626AE4" w:rsidRDefault="00063E65" w:rsidP="00063E65">
      <w:pPr>
        <w:spacing w:after="0"/>
        <w:jc w:val="both"/>
        <w:rPr>
          <w:rFonts w:cs="Arial"/>
          <w:szCs w:val="21"/>
        </w:rPr>
      </w:pPr>
    </w:p>
    <w:p w14:paraId="12EBD8C2" w14:textId="77777777" w:rsidR="00063E65" w:rsidRDefault="00063E65" w:rsidP="00063E65">
      <w:pPr>
        <w:pStyle w:val="Heading3"/>
      </w:pPr>
      <w:bookmarkStart w:id="6" w:name="_Toc416936728"/>
      <w:r>
        <w:t>Moral rights</w:t>
      </w:r>
      <w:bookmarkEnd w:id="6"/>
    </w:p>
    <w:p w14:paraId="7CE74C69" w14:textId="77777777" w:rsidR="00063E65" w:rsidRDefault="00063E65" w:rsidP="00063E65">
      <w:pPr>
        <w:spacing w:after="0"/>
        <w:jc w:val="both"/>
        <w:rPr>
          <w:rFonts w:cs="Arial"/>
          <w:szCs w:val="21"/>
        </w:rPr>
      </w:pPr>
      <w:r>
        <w:rPr>
          <w:rFonts w:cs="Arial"/>
          <w:szCs w:val="21"/>
        </w:rPr>
        <w:t>Rather paradoxically directors are granted moral rights in films under Part IX of the Act.  This means that directors must be attributed in relation to the use of their film and may take certain action in response to the derogatory treatment of their work.  There is a clear asymmetry between moral rights and economic rights in copyright – the former provided to the producer, director and screenwriter while the latter only provided to the producer.</w:t>
      </w:r>
    </w:p>
    <w:p w14:paraId="506B525A" w14:textId="77777777" w:rsidR="00063E65" w:rsidRDefault="00063E65" w:rsidP="00063E65">
      <w:pPr>
        <w:spacing w:after="0"/>
        <w:jc w:val="both"/>
        <w:rPr>
          <w:rFonts w:cs="Arial"/>
          <w:szCs w:val="21"/>
        </w:rPr>
      </w:pPr>
    </w:p>
    <w:p w14:paraId="20C889E3" w14:textId="64411F0E" w:rsidR="000A0EC7" w:rsidRDefault="000A0EC7" w:rsidP="00063E65">
      <w:pPr>
        <w:spacing w:after="0"/>
        <w:jc w:val="both"/>
        <w:rPr>
          <w:rFonts w:cs="Arial"/>
          <w:szCs w:val="21"/>
        </w:rPr>
      </w:pPr>
      <w:r>
        <w:rPr>
          <w:rFonts w:cs="Arial"/>
          <w:szCs w:val="21"/>
        </w:rPr>
        <w:t>It should be noted that moral rights</w:t>
      </w:r>
      <w:r>
        <w:rPr>
          <w:rStyle w:val="FootnoteReference"/>
          <w:rFonts w:cs="Arial"/>
          <w:szCs w:val="21"/>
        </w:rPr>
        <w:footnoteReference w:id="15"/>
      </w:r>
      <w:r>
        <w:rPr>
          <w:rFonts w:cs="Arial"/>
          <w:szCs w:val="21"/>
        </w:rPr>
        <w:t xml:space="preserve"> do not have a direct economic impact for screen directors.  However, as personal rights that are inalienable (for example, the right against false attribution of authorship) they are critical to enhancing respect for screen directors and their contribution.  At a practical level there are a number of ongoing challenges to directors’ moral rights – including the fact that many television productions are transitioning credits to internet websites rather than at the beginning or end of the television show itself.  </w:t>
      </w:r>
    </w:p>
    <w:p w14:paraId="73D37DE5" w14:textId="7A790530" w:rsidR="00A00F7F" w:rsidRDefault="00A00F7F" w:rsidP="00A00F7F">
      <w:pPr>
        <w:pStyle w:val="Heading1"/>
        <w:numPr>
          <w:ilvl w:val="0"/>
          <w:numId w:val="8"/>
        </w:numPr>
      </w:pPr>
      <w:r>
        <w:t xml:space="preserve">Changes to the current </w:t>
      </w:r>
      <w:r w:rsidR="00EC184B">
        <w:t xml:space="preserve">copyright </w:t>
      </w:r>
      <w:r w:rsidR="00412D0A">
        <w:t>s</w:t>
      </w:r>
      <w:r>
        <w:t>ystem</w:t>
      </w:r>
    </w:p>
    <w:p w14:paraId="38ED6875" w14:textId="77777777" w:rsidR="00D004A3" w:rsidRDefault="00D004A3" w:rsidP="00A00F7F">
      <w:pPr>
        <w:spacing w:after="0"/>
        <w:jc w:val="both"/>
      </w:pPr>
    </w:p>
    <w:p w14:paraId="58ED6850" w14:textId="0C898C12" w:rsidR="00D004A3" w:rsidRDefault="00D004A3" w:rsidP="00D004A3">
      <w:pPr>
        <w:spacing w:after="0"/>
        <w:ind w:left="360"/>
        <w:jc w:val="both"/>
      </w:pPr>
      <w:r w:rsidRPr="00D004A3">
        <w:t>To be efficient and effective in the modern era, what (if any) changes should be made to Australia’s copyright regime?</w:t>
      </w:r>
      <w:r>
        <w:rPr>
          <w:rStyle w:val="FootnoteReference"/>
        </w:rPr>
        <w:footnoteReference w:id="16"/>
      </w:r>
    </w:p>
    <w:p w14:paraId="7595460B" w14:textId="55893A2C" w:rsidR="00D004A3" w:rsidRDefault="00D004A3" w:rsidP="00A00F7F">
      <w:pPr>
        <w:spacing w:after="0"/>
        <w:jc w:val="both"/>
        <w:rPr>
          <w:rFonts w:cstheme="minorHAnsi"/>
        </w:rPr>
      </w:pPr>
    </w:p>
    <w:p w14:paraId="71F88D0F" w14:textId="654BA426" w:rsidR="00A00F7F" w:rsidRPr="00A00F7F" w:rsidRDefault="00A00F7F" w:rsidP="00A00F7F">
      <w:pPr>
        <w:spacing w:after="0"/>
        <w:jc w:val="both"/>
        <w:rPr>
          <w:rFonts w:cstheme="minorHAnsi"/>
        </w:rPr>
      </w:pPr>
      <w:r>
        <w:rPr>
          <w:rFonts w:cstheme="minorHAnsi"/>
        </w:rPr>
        <w:t xml:space="preserve">As the Australian Prime Minister has </w:t>
      </w:r>
      <w:r w:rsidR="00D004A3">
        <w:rPr>
          <w:rFonts w:cstheme="minorHAnsi"/>
        </w:rPr>
        <w:t>recently stated</w:t>
      </w:r>
      <w:r>
        <w:rPr>
          <w:rFonts w:cstheme="minorHAnsi"/>
        </w:rPr>
        <w:t xml:space="preserve"> ‘there has never been a more exciting time to be alive than today’.  This is certainly true for members of Australia’s creative industries as the arts and digital technologies converge to create a new landscape that is providing new ways for artists</w:t>
      </w:r>
      <w:r w:rsidR="00BE63B5">
        <w:rPr>
          <w:rFonts w:cstheme="minorHAnsi"/>
        </w:rPr>
        <w:t xml:space="preserve">, including screen directors </w:t>
      </w:r>
      <w:r>
        <w:rPr>
          <w:rFonts w:cstheme="minorHAnsi"/>
        </w:rPr>
        <w:t>to engage with their audiences.  T</w:t>
      </w:r>
      <w:r>
        <w:rPr>
          <w:rFonts w:eastAsia="Times New Roman"/>
        </w:rPr>
        <w:t xml:space="preserve">he new distribution channels of the National Broadband Network </w:t>
      </w:r>
      <w:r w:rsidR="00BE63B5">
        <w:rPr>
          <w:rFonts w:eastAsia="Times New Roman"/>
        </w:rPr>
        <w:t>(</w:t>
      </w:r>
      <w:r w:rsidR="00BE63B5">
        <w:rPr>
          <w:rFonts w:eastAsia="Times New Roman"/>
          <w:b/>
        </w:rPr>
        <w:t>nbn</w:t>
      </w:r>
      <w:r w:rsidR="00BE63B5">
        <w:rPr>
          <w:rFonts w:eastAsia="Times New Roman"/>
        </w:rPr>
        <w:t xml:space="preserve">) </w:t>
      </w:r>
      <w:r>
        <w:rPr>
          <w:rFonts w:eastAsia="Times New Roman"/>
        </w:rPr>
        <w:t>will redefine how copyright and authorship is interpreted</w:t>
      </w:r>
      <w:r w:rsidR="00BE63B5">
        <w:rPr>
          <w:rFonts w:eastAsia="Times New Roman"/>
        </w:rPr>
        <w:t xml:space="preserve"> in the future</w:t>
      </w:r>
      <w:r>
        <w:rPr>
          <w:rFonts w:eastAsia="Times New Roman"/>
        </w:rPr>
        <w:t>.</w:t>
      </w:r>
    </w:p>
    <w:p w14:paraId="674871C2" w14:textId="77777777" w:rsidR="00A00F7F" w:rsidRDefault="00A00F7F" w:rsidP="00A00F7F">
      <w:pPr>
        <w:spacing w:after="0"/>
        <w:jc w:val="both"/>
        <w:rPr>
          <w:rFonts w:cstheme="minorHAnsi"/>
        </w:rPr>
      </w:pPr>
    </w:p>
    <w:p w14:paraId="44103756" w14:textId="35551484" w:rsidR="00A00F7F" w:rsidRDefault="00A00F7F" w:rsidP="00A00F7F">
      <w:pPr>
        <w:spacing w:after="0"/>
        <w:jc w:val="both"/>
        <w:rPr>
          <w:rFonts w:cstheme="minorHAnsi"/>
        </w:rPr>
      </w:pPr>
      <w:r>
        <w:rPr>
          <w:rFonts w:cstheme="minorHAnsi"/>
        </w:rPr>
        <w:t>As</w:t>
      </w:r>
      <w:r w:rsidR="00C3727E">
        <w:rPr>
          <w:rFonts w:cstheme="minorHAnsi"/>
        </w:rPr>
        <w:t xml:space="preserve"> stated above, dire</w:t>
      </w:r>
      <w:r>
        <w:rPr>
          <w:rFonts w:cstheme="minorHAnsi"/>
        </w:rPr>
        <w:t xml:space="preserve">ctors of films and </w:t>
      </w:r>
      <w:r w:rsidR="004E3BC4">
        <w:rPr>
          <w:rFonts w:cstheme="minorHAnsi"/>
        </w:rPr>
        <w:t>television</w:t>
      </w:r>
      <w:r w:rsidRPr="0046641D">
        <w:rPr>
          <w:rFonts w:cstheme="minorHAnsi"/>
        </w:rPr>
        <w:t xml:space="preserve"> program</w:t>
      </w:r>
      <w:r>
        <w:rPr>
          <w:rFonts w:cstheme="minorHAnsi"/>
        </w:rPr>
        <w:t xml:space="preserve">s are </w:t>
      </w:r>
      <w:r w:rsidRPr="0046641D">
        <w:rPr>
          <w:rFonts w:cstheme="minorHAnsi"/>
        </w:rPr>
        <w:t xml:space="preserve">at the very centre of an enormously creative process </w:t>
      </w:r>
      <w:r>
        <w:rPr>
          <w:rFonts w:cstheme="minorHAnsi"/>
        </w:rPr>
        <w:t xml:space="preserve">into which </w:t>
      </w:r>
      <w:r w:rsidRPr="0046641D">
        <w:rPr>
          <w:rFonts w:cstheme="minorHAnsi"/>
        </w:rPr>
        <w:t xml:space="preserve">many people invest </w:t>
      </w:r>
      <w:r>
        <w:rPr>
          <w:rFonts w:cstheme="minorHAnsi"/>
        </w:rPr>
        <w:t>huge amounts of time and energy</w:t>
      </w:r>
      <w:r w:rsidRPr="0046641D">
        <w:rPr>
          <w:rFonts w:cstheme="minorHAnsi"/>
        </w:rPr>
        <w:t>.</w:t>
      </w:r>
      <w:r>
        <w:rPr>
          <w:rFonts w:cstheme="minorHAnsi"/>
        </w:rPr>
        <w:t xml:space="preserve">  However,</w:t>
      </w:r>
      <w:r w:rsidRPr="0046641D">
        <w:rPr>
          <w:rFonts w:cstheme="minorHAnsi"/>
        </w:rPr>
        <w:t xml:space="preserve"> for the most part, </w:t>
      </w:r>
      <w:r>
        <w:rPr>
          <w:rFonts w:cstheme="minorHAnsi"/>
        </w:rPr>
        <w:t xml:space="preserve">Australian </w:t>
      </w:r>
      <w:r w:rsidRPr="0046641D">
        <w:rPr>
          <w:rFonts w:cstheme="minorHAnsi"/>
        </w:rPr>
        <w:t>directors</w:t>
      </w:r>
      <w:r>
        <w:rPr>
          <w:rFonts w:cstheme="minorHAnsi"/>
        </w:rPr>
        <w:t xml:space="preserve"> (in contrast to their overseas counterparts</w:t>
      </w:r>
      <w:r w:rsidR="00BE63B5">
        <w:rPr>
          <w:rFonts w:cstheme="minorHAnsi"/>
        </w:rPr>
        <w:t xml:space="preserve"> and other creators in the screen industry</w:t>
      </w:r>
      <w:r>
        <w:rPr>
          <w:rFonts w:cstheme="minorHAnsi"/>
        </w:rPr>
        <w:t>)</w:t>
      </w:r>
      <w:r w:rsidRPr="0046641D">
        <w:rPr>
          <w:rFonts w:cstheme="minorHAnsi"/>
        </w:rPr>
        <w:t xml:space="preserve"> receive very little by way of ongoing income from the works </w:t>
      </w:r>
      <w:r>
        <w:rPr>
          <w:rFonts w:cstheme="minorHAnsi"/>
        </w:rPr>
        <w:t>t</w:t>
      </w:r>
      <w:r w:rsidRPr="0046641D">
        <w:rPr>
          <w:rFonts w:cstheme="minorHAnsi"/>
        </w:rPr>
        <w:t>hey are often the driving creative force</w:t>
      </w:r>
      <w:r w:rsidR="005D3C34">
        <w:rPr>
          <w:rFonts w:cstheme="minorHAnsi"/>
        </w:rPr>
        <w:t xml:space="preserve"> of</w:t>
      </w:r>
      <w:r w:rsidRPr="0046641D">
        <w:rPr>
          <w:rFonts w:cstheme="minorHAnsi"/>
        </w:rPr>
        <w:t>.</w:t>
      </w:r>
    </w:p>
    <w:p w14:paraId="4628E4F7" w14:textId="77777777" w:rsidR="00EC184B" w:rsidRDefault="00EC184B" w:rsidP="00A00F7F">
      <w:pPr>
        <w:spacing w:after="0"/>
        <w:jc w:val="both"/>
        <w:rPr>
          <w:rFonts w:cstheme="minorHAnsi"/>
        </w:rPr>
      </w:pPr>
    </w:p>
    <w:p w14:paraId="29E4BE02" w14:textId="4741F20E" w:rsidR="00EC184B" w:rsidRPr="00EC184B" w:rsidRDefault="00EC184B" w:rsidP="00A00F7F">
      <w:pPr>
        <w:spacing w:after="0"/>
        <w:jc w:val="both"/>
        <w:rPr>
          <w:rFonts w:cstheme="minorHAnsi"/>
        </w:rPr>
      </w:pPr>
      <w:r w:rsidRPr="00EC184B">
        <w:rPr>
          <w:rFonts w:cstheme="minorHAnsi"/>
          <w:b/>
          <w:color w:val="44546A" w:themeColor="text2"/>
        </w:rPr>
        <w:lastRenderedPageBreak/>
        <w:t>Appendix A</w:t>
      </w:r>
      <w:r>
        <w:rPr>
          <w:rFonts w:cstheme="minorHAnsi"/>
          <w:b/>
        </w:rPr>
        <w:t xml:space="preserve"> </w:t>
      </w:r>
      <w:r>
        <w:rPr>
          <w:rFonts w:cstheme="minorHAnsi"/>
        </w:rPr>
        <w:t xml:space="preserve">provides a table of the huge number of overseas territories in which directors have copyright </w:t>
      </w:r>
      <w:r w:rsidR="00BE63B5">
        <w:rPr>
          <w:rFonts w:cstheme="minorHAnsi"/>
        </w:rPr>
        <w:t xml:space="preserve">ownership </w:t>
      </w:r>
      <w:r>
        <w:rPr>
          <w:rFonts w:cstheme="minorHAnsi"/>
        </w:rPr>
        <w:t>in their films.  This is in direct contrast to Australia.</w:t>
      </w:r>
    </w:p>
    <w:p w14:paraId="7AE72246" w14:textId="77777777" w:rsidR="00F914CC" w:rsidRDefault="00F914CC" w:rsidP="00A00F7F">
      <w:pPr>
        <w:spacing w:after="0"/>
        <w:jc w:val="both"/>
        <w:rPr>
          <w:rFonts w:cstheme="minorHAnsi"/>
        </w:rPr>
      </w:pPr>
    </w:p>
    <w:p w14:paraId="34F3B027" w14:textId="79562B6B" w:rsidR="00A00F7F" w:rsidRPr="009D73A2" w:rsidRDefault="00D004A3" w:rsidP="00A00F7F">
      <w:pPr>
        <w:spacing w:after="0"/>
        <w:jc w:val="both"/>
        <w:rPr>
          <w:rFonts w:cs="Arial"/>
          <w:szCs w:val="24"/>
        </w:rPr>
      </w:pPr>
      <w:r>
        <w:rPr>
          <w:rFonts w:cs="Arial"/>
          <w:szCs w:val="24"/>
        </w:rPr>
        <w:t xml:space="preserve">In a nutshell, </w:t>
      </w:r>
      <w:r w:rsidR="00F914CC" w:rsidRPr="009E0D5B">
        <w:rPr>
          <w:rFonts w:cs="Arial"/>
          <w:szCs w:val="24"/>
        </w:rPr>
        <w:t xml:space="preserve">Australian screen directors are denied any ongoing return in the films and </w:t>
      </w:r>
      <w:r w:rsidR="00BE63B5">
        <w:rPr>
          <w:rFonts w:cs="Arial"/>
          <w:szCs w:val="24"/>
        </w:rPr>
        <w:t>television</w:t>
      </w:r>
      <w:r w:rsidR="00F914CC" w:rsidRPr="009E0D5B">
        <w:rPr>
          <w:rFonts w:cs="Arial"/>
          <w:szCs w:val="24"/>
        </w:rPr>
        <w:t xml:space="preserve"> they make because of an out</w:t>
      </w:r>
      <w:r w:rsidR="005D3C34">
        <w:rPr>
          <w:rFonts w:cs="Arial"/>
          <w:szCs w:val="24"/>
        </w:rPr>
        <w:t xml:space="preserve"> </w:t>
      </w:r>
      <w:r w:rsidR="00F914CC" w:rsidRPr="009E0D5B">
        <w:rPr>
          <w:rFonts w:cs="Arial"/>
          <w:szCs w:val="24"/>
        </w:rPr>
        <w:t>dated and unfair interpretation of Australia’s copyright law</w:t>
      </w:r>
      <w:r>
        <w:rPr>
          <w:rFonts w:cs="Arial"/>
          <w:szCs w:val="24"/>
        </w:rPr>
        <w:t>s</w:t>
      </w:r>
      <w:r w:rsidR="00F914CC" w:rsidRPr="009E0D5B">
        <w:rPr>
          <w:rFonts w:cs="Arial"/>
          <w:szCs w:val="24"/>
        </w:rPr>
        <w:t xml:space="preserve">. </w:t>
      </w:r>
      <w:r>
        <w:rPr>
          <w:rFonts w:cs="Arial"/>
          <w:szCs w:val="24"/>
        </w:rPr>
        <w:t xml:space="preserve"> </w:t>
      </w:r>
      <w:r w:rsidR="00A00F7F" w:rsidRPr="0046641D">
        <w:rPr>
          <w:rFonts w:cstheme="minorHAnsi"/>
        </w:rPr>
        <w:t xml:space="preserve">For close to 50 years, the directors </w:t>
      </w:r>
      <w:r w:rsidR="00A00F7F">
        <w:rPr>
          <w:rFonts w:cstheme="minorHAnsi"/>
        </w:rPr>
        <w:t xml:space="preserve">of </w:t>
      </w:r>
      <w:r w:rsidR="00A00F7F" w:rsidRPr="0046641D">
        <w:rPr>
          <w:rFonts w:cs="Arial"/>
        </w:rPr>
        <w:t>Australian</w:t>
      </w:r>
      <w:r w:rsidR="00A00F7F" w:rsidRPr="0046641D">
        <w:rPr>
          <w:rFonts w:cstheme="minorHAnsi"/>
        </w:rPr>
        <w:t xml:space="preserve"> </w:t>
      </w:r>
      <w:r w:rsidR="00A00F7F">
        <w:rPr>
          <w:rFonts w:cstheme="minorHAnsi"/>
        </w:rPr>
        <w:t xml:space="preserve">film and </w:t>
      </w:r>
      <w:r w:rsidR="00BE63B5">
        <w:rPr>
          <w:rFonts w:cstheme="minorHAnsi"/>
        </w:rPr>
        <w:t>television</w:t>
      </w:r>
      <w:r w:rsidR="00A00F7F" w:rsidRPr="0046641D">
        <w:rPr>
          <w:rFonts w:cstheme="minorHAnsi"/>
        </w:rPr>
        <w:t xml:space="preserve"> have been d</w:t>
      </w:r>
      <w:r w:rsidR="00A00F7F">
        <w:rPr>
          <w:rFonts w:cstheme="minorHAnsi"/>
        </w:rPr>
        <w:t>enied any meaningful ‘ownership’</w:t>
      </w:r>
      <w:r w:rsidR="00A00F7F" w:rsidRPr="0046641D">
        <w:rPr>
          <w:rFonts w:cstheme="minorHAnsi"/>
        </w:rPr>
        <w:t xml:space="preserve"> of the films they make</w:t>
      </w:r>
      <w:r w:rsidR="005D3C34">
        <w:rPr>
          <w:rFonts w:cstheme="minorHAnsi"/>
        </w:rPr>
        <w:t xml:space="preserve">. </w:t>
      </w:r>
      <w:r w:rsidR="00A00F7F" w:rsidRPr="0046641D">
        <w:rPr>
          <w:rFonts w:cstheme="minorHAnsi"/>
        </w:rPr>
        <w:t xml:space="preserve">This has been reinforced </w:t>
      </w:r>
      <w:r w:rsidR="005D3C34">
        <w:rPr>
          <w:rFonts w:cstheme="minorHAnsi"/>
        </w:rPr>
        <w:t>by</w:t>
      </w:r>
      <w:r w:rsidR="00A00F7F" w:rsidRPr="0046641D">
        <w:rPr>
          <w:rFonts w:cstheme="minorHAnsi"/>
        </w:rPr>
        <w:t xml:space="preserve"> industry practice</w:t>
      </w:r>
      <w:r w:rsidR="005D3C34">
        <w:rPr>
          <w:rFonts w:cstheme="minorHAnsi"/>
        </w:rPr>
        <w:t>,</w:t>
      </w:r>
      <w:r w:rsidR="00A00F7F" w:rsidRPr="0046641D">
        <w:rPr>
          <w:rFonts w:cstheme="minorHAnsi"/>
        </w:rPr>
        <w:t xml:space="preserve"> which provides the majority of economic rights to producers as </w:t>
      </w:r>
      <w:r w:rsidR="00A00F7F">
        <w:rPr>
          <w:rFonts w:cstheme="minorHAnsi"/>
        </w:rPr>
        <w:t>the deemed ‘</w:t>
      </w:r>
      <w:r w:rsidR="00A00F7F" w:rsidRPr="0046641D">
        <w:rPr>
          <w:rFonts w:cstheme="minorHAnsi"/>
        </w:rPr>
        <w:t>makers</w:t>
      </w:r>
      <w:r w:rsidR="00A00F7F">
        <w:rPr>
          <w:rFonts w:cstheme="minorHAnsi"/>
        </w:rPr>
        <w:t>’</w:t>
      </w:r>
      <w:r w:rsidR="00A00F7F" w:rsidRPr="0046641D">
        <w:rPr>
          <w:rFonts w:cstheme="minorHAnsi"/>
        </w:rPr>
        <w:t xml:space="preserve"> of the film.  </w:t>
      </w:r>
    </w:p>
    <w:p w14:paraId="03B98623" w14:textId="77777777" w:rsidR="00A00F7F" w:rsidRDefault="00A00F7F" w:rsidP="00A00F7F">
      <w:pPr>
        <w:spacing w:after="0"/>
        <w:jc w:val="both"/>
        <w:rPr>
          <w:rFonts w:cstheme="minorHAnsi"/>
        </w:rPr>
      </w:pPr>
    </w:p>
    <w:p w14:paraId="7F5BA881" w14:textId="62B22516" w:rsidR="00A00F7F" w:rsidRPr="009F4E7D" w:rsidRDefault="00C3727E" w:rsidP="00A00F7F">
      <w:pPr>
        <w:spacing w:after="0"/>
        <w:jc w:val="both"/>
        <w:rPr>
          <w:rFonts w:cstheme="minorHAnsi"/>
        </w:rPr>
      </w:pPr>
      <w:r>
        <w:rPr>
          <w:rFonts w:cstheme="minorHAnsi"/>
        </w:rPr>
        <w:t>As outlined above</w:t>
      </w:r>
      <w:r w:rsidR="00A00F7F" w:rsidRPr="0046641D">
        <w:rPr>
          <w:rFonts w:cstheme="minorHAnsi"/>
        </w:rPr>
        <w:t>, a cinematographic film is protected under the</w:t>
      </w:r>
      <w:r w:rsidR="00A00F7F">
        <w:rPr>
          <w:rFonts w:cstheme="minorHAnsi"/>
        </w:rPr>
        <w:t xml:space="preserve"> Act</w:t>
      </w:r>
      <w:r w:rsidR="00A00F7F" w:rsidRPr="0046641D">
        <w:rPr>
          <w:rFonts w:cstheme="minorHAnsi"/>
        </w:rPr>
        <w:t xml:space="preserve"> </w:t>
      </w:r>
      <w:r w:rsidR="00A00F7F">
        <w:rPr>
          <w:rFonts w:cstheme="minorHAnsi"/>
        </w:rPr>
        <w:t>as ‘other subject matter’</w:t>
      </w:r>
      <w:r w:rsidR="00A00F7F" w:rsidRPr="0046641D">
        <w:rPr>
          <w:rFonts w:cstheme="minorHAnsi"/>
        </w:rPr>
        <w:t xml:space="preserve">.  The Act does not recognise directors as ‘makers’ of films or as copyright owners in film and as a consequence they </w:t>
      </w:r>
      <w:r w:rsidR="00A00F7F" w:rsidRPr="0046641D">
        <w:rPr>
          <w:rFonts w:cs="Arial"/>
        </w:rPr>
        <w:t xml:space="preserve">do not have economic rights except, in </w:t>
      </w:r>
      <w:r w:rsidR="00A00F7F">
        <w:rPr>
          <w:rFonts w:cs="Arial"/>
        </w:rPr>
        <w:t>the very limited case of</w:t>
      </w:r>
      <w:r w:rsidR="00A00F7F" w:rsidRPr="0046641D">
        <w:rPr>
          <w:rFonts w:cs="Arial"/>
        </w:rPr>
        <w:t xml:space="preserve"> retransmission</w:t>
      </w:r>
      <w:r w:rsidR="00A00F7F">
        <w:rPr>
          <w:rFonts w:cs="Arial"/>
        </w:rPr>
        <w:t xml:space="preserve"> of</w:t>
      </w:r>
      <w:r w:rsidR="00A00F7F" w:rsidRPr="0046641D">
        <w:rPr>
          <w:rFonts w:cs="Arial"/>
        </w:rPr>
        <w:t xml:space="preserve"> rights.</w:t>
      </w:r>
      <w:r w:rsidR="00A00F7F">
        <w:rPr>
          <w:rFonts w:cs="Arial"/>
        </w:rPr>
        <w:t xml:space="preserve">  This is in stark contrast to the fact that Australian directors do have moral rights in the film.</w:t>
      </w:r>
    </w:p>
    <w:p w14:paraId="7A5C5B1D" w14:textId="77777777" w:rsidR="00A00F7F" w:rsidRPr="0046641D" w:rsidRDefault="00A00F7F" w:rsidP="00A00F7F">
      <w:pPr>
        <w:spacing w:after="0"/>
        <w:jc w:val="both"/>
        <w:rPr>
          <w:rFonts w:cs="Arial"/>
        </w:rPr>
      </w:pPr>
    </w:p>
    <w:p w14:paraId="47E63B01" w14:textId="79CC9783" w:rsidR="00F914CC" w:rsidRDefault="00F914CC" w:rsidP="00F914CC">
      <w:pPr>
        <w:spacing w:after="0"/>
        <w:jc w:val="both"/>
        <w:rPr>
          <w:rFonts w:cs="Arial"/>
          <w:szCs w:val="24"/>
        </w:rPr>
      </w:pPr>
      <w:r w:rsidRPr="009E0D5B">
        <w:rPr>
          <w:rFonts w:cs="Arial"/>
          <w:szCs w:val="24"/>
        </w:rPr>
        <w:t xml:space="preserve">Despite past victories </w:t>
      </w:r>
      <w:r w:rsidR="004B2C33">
        <w:rPr>
          <w:rFonts w:cs="Arial"/>
          <w:szCs w:val="24"/>
        </w:rPr>
        <w:t>that</w:t>
      </w:r>
      <w:r w:rsidRPr="009E0D5B">
        <w:rPr>
          <w:rFonts w:cs="Arial"/>
          <w:szCs w:val="24"/>
        </w:rPr>
        <w:t xml:space="preserve"> have returned a small stream of retransmission royalty payments, Australian directors continue to face strong opposition for fair pay for their creative work.  They often receive no benefit from the growing digital market and have no body of work to derive future incomes from in contrast to directors from other parts of the world</w:t>
      </w:r>
      <w:r>
        <w:rPr>
          <w:rFonts w:cs="Arial"/>
          <w:szCs w:val="24"/>
        </w:rPr>
        <w:t xml:space="preserve"> including </w:t>
      </w:r>
      <w:r w:rsidR="00BE63B5">
        <w:rPr>
          <w:rFonts w:cs="Arial"/>
          <w:szCs w:val="24"/>
        </w:rPr>
        <w:t>notably, t</w:t>
      </w:r>
      <w:r>
        <w:rPr>
          <w:rFonts w:cs="Arial"/>
          <w:szCs w:val="24"/>
        </w:rPr>
        <w:t>he United Kingdom.</w:t>
      </w:r>
    </w:p>
    <w:p w14:paraId="37F7C1B4" w14:textId="77777777" w:rsidR="00EC184B" w:rsidRDefault="00EC184B" w:rsidP="00F914CC">
      <w:pPr>
        <w:spacing w:after="0"/>
        <w:jc w:val="both"/>
        <w:rPr>
          <w:rFonts w:cs="Arial"/>
          <w:szCs w:val="24"/>
        </w:rPr>
      </w:pPr>
    </w:p>
    <w:p w14:paraId="36CEF314" w14:textId="2D5558B8" w:rsidR="00EC184B" w:rsidRPr="009E0D5B" w:rsidRDefault="00EC184B" w:rsidP="00F914CC">
      <w:pPr>
        <w:spacing w:after="0"/>
        <w:jc w:val="both"/>
        <w:rPr>
          <w:rFonts w:cs="Arial"/>
          <w:szCs w:val="24"/>
        </w:rPr>
      </w:pPr>
      <w:r>
        <w:rPr>
          <w:rFonts w:cs="Arial"/>
          <w:szCs w:val="24"/>
        </w:rPr>
        <w:t>Therefore, the key issues for Australian screen directors are as follows:</w:t>
      </w:r>
    </w:p>
    <w:p w14:paraId="6672757F" w14:textId="77777777" w:rsidR="00F914CC" w:rsidRPr="009E0D5B" w:rsidRDefault="00F914CC" w:rsidP="00F914CC">
      <w:pPr>
        <w:spacing w:after="0"/>
        <w:rPr>
          <w:rFonts w:cs="Arial"/>
          <w:sz w:val="18"/>
          <w:szCs w:val="20"/>
        </w:rPr>
      </w:pPr>
    </w:p>
    <w:p w14:paraId="6CADFF84" w14:textId="77777777" w:rsidR="00F914CC" w:rsidRPr="009E0D5B" w:rsidRDefault="00F914CC" w:rsidP="00F914CC">
      <w:pPr>
        <w:numPr>
          <w:ilvl w:val="0"/>
          <w:numId w:val="18"/>
        </w:numPr>
        <w:spacing w:after="120" w:line="240" w:lineRule="auto"/>
        <w:rPr>
          <w:b/>
          <w:szCs w:val="24"/>
        </w:rPr>
      </w:pPr>
      <w:r w:rsidRPr="009E0D5B">
        <w:rPr>
          <w:b/>
          <w:bCs/>
          <w:szCs w:val="24"/>
        </w:rPr>
        <w:t>Parity</w:t>
      </w:r>
    </w:p>
    <w:p w14:paraId="6A3058A5" w14:textId="77777777" w:rsidR="00F914CC" w:rsidRPr="009E0D5B" w:rsidRDefault="00F914CC" w:rsidP="00F914CC">
      <w:pPr>
        <w:pStyle w:val="ListParagraph"/>
        <w:numPr>
          <w:ilvl w:val="0"/>
          <w:numId w:val="19"/>
        </w:numPr>
        <w:spacing w:after="0" w:line="240" w:lineRule="auto"/>
        <w:rPr>
          <w:szCs w:val="24"/>
        </w:rPr>
      </w:pPr>
      <w:r w:rsidRPr="009E0D5B">
        <w:rPr>
          <w:szCs w:val="24"/>
        </w:rPr>
        <w:t>Australia is well behind the rest of the world in recognition of directors' rights</w:t>
      </w:r>
    </w:p>
    <w:p w14:paraId="5BC5AF25" w14:textId="395327C1" w:rsidR="00F914CC" w:rsidRDefault="00F914CC" w:rsidP="00F914CC">
      <w:pPr>
        <w:pStyle w:val="ListParagraph"/>
        <w:numPr>
          <w:ilvl w:val="0"/>
          <w:numId w:val="19"/>
        </w:numPr>
        <w:spacing w:before="100" w:beforeAutospacing="1" w:after="100" w:afterAutospacing="1" w:line="240" w:lineRule="auto"/>
        <w:rPr>
          <w:szCs w:val="24"/>
        </w:rPr>
      </w:pPr>
      <w:r w:rsidRPr="009E0D5B">
        <w:rPr>
          <w:szCs w:val="24"/>
        </w:rPr>
        <w:t xml:space="preserve">Currently, directors in more than 35 international territories including most of Europe, </w:t>
      </w:r>
      <w:r>
        <w:rPr>
          <w:szCs w:val="24"/>
        </w:rPr>
        <w:t>the United Kingdom, S</w:t>
      </w:r>
      <w:r w:rsidRPr="009E0D5B">
        <w:rPr>
          <w:szCs w:val="24"/>
        </w:rPr>
        <w:t>outh America and Hong Kong receive ongoing economic returns for the films they make</w:t>
      </w:r>
      <w:r w:rsidR="00EC184B">
        <w:rPr>
          <w:szCs w:val="24"/>
        </w:rPr>
        <w:t xml:space="preserve"> </w:t>
      </w:r>
    </w:p>
    <w:p w14:paraId="49DD0C49" w14:textId="77777777" w:rsidR="00F914CC" w:rsidRPr="009E0D5B" w:rsidRDefault="00F914CC" w:rsidP="00F914CC">
      <w:pPr>
        <w:pStyle w:val="ListParagraph"/>
        <w:numPr>
          <w:ilvl w:val="0"/>
          <w:numId w:val="19"/>
        </w:numPr>
        <w:spacing w:before="100" w:beforeAutospacing="1" w:after="100" w:afterAutospacing="1" w:line="240" w:lineRule="auto"/>
        <w:rPr>
          <w:szCs w:val="24"/>
        </w:rPr>
      </w:pPr>
      <w:r w:rsidRPr="009E0D5B">
        <w:rPr>
          <w:szCs w:val="24"/>
        </w:rPr>
        <w:t>U.S. directors benefit from strong union negotiated agreements with residuals</w:t>
      </w:r>
    </w:p>
    <w:p w14:paraId="402D314C" w14:textId="77777777" w:rsidR="00F914CC" w:rsidRDefault="00F914CC" w:rsidP="00F914CC">
      <w:pPr>
        <w:pStyle w:val="ListParagraph"/>
        <w:numPr>
          <w:ilvl w:val="0"/>
          <w:numId w:val="19"/>
        </w:numPr>
        <w:spacing w:before="100" w:beforeAutospacing="1" w:after="0" w:line="240" w:lineRule="auto"/>
        <w:rPr>
          <w:szCs w:val="24"/>
        </w:rPr>
      </w:pPr>
      <w:r w:rsidRPr="009E0D5B">
        <w:rPr>
          <w:szCs w:val="24"/>
        </w:rPr>
        <w:t>Other key creators in Australia including producers, script writers and musicians have an entitlement to ongoing returns; directors do not</w:t>
      </w:r>
    </w:p>
    <w:p w14:paraId="20C91637" w14:textId="77777777" w:rsidR="00F914CC" w:rsidRPr="009E0D5B" w:rsidRDefault="00F914CC" w:rsidP="00F914CC">
      <w:pPr>
        <w:pStyle w:val="ListParagraph"/>
        <w:numPr>
          <w:ilvl w:val="0"/>
          <w:numId w:val="19"/>
        </w:numPr>
        <w:spacing w:before="100" w:beforeAutospacing="1" w:after="0" w:line="240" w:lineRule="auto"/>
        <w:rPr>
          <w:szCs w:val="24"/>
        </w:rPr>
      </w:pPr>
      <w:r>
        <w:rPr>
          <w:szCs w:val="24"/>
        </w:rPr>
        <w:t>Australian directors get royalty payments collected overseas, and need to reciprocate</w:t>
      </w:r>
    </w:p>
    <w:p w14:paraId="5D65FB25" w14:textId="77777777" w:rsidR="00F914CC" w:rsidRPr="009E0D5B" w:rsidRDefault="00F914CC" w:rsidP="00F914CC">
      <w:pPr>
        <w:numPr>
          <w:ilvl w:val="0"/>
          <w:numId w:val="18"/>
        </w:numPr>
        <w:spacing w:before="120" w:after="120" w:line="240" w:lineRule="auto"/>
        <w:rPr>
          <w:b/>
          <w:szCs w:val="24"/>
        </w:rPr>
      </w:pPr>
      <w:r w:rsidRPr="009E0D5B">
        <w:rPr>
          <w:b/>
          <w:bCs/>
          <w:szCs w:val="24"/>
        </w:rPr>
        <w:t>Remuneration</w:t>
      </w:r>
    </w:p>
    <w:p w14:paraId="2C609901" w14:textId="4AAE23E3" w:rsidR="00F914CC" w:rsidRPr="009E0D5B" w:rsidRDefault="00F914CC" w:rsidP="00F914CC">
      <w:pPr>
        <w:pStyle w:val="ListParagraph"/>
        <w:numPr>
          <w:ilvl w:val="0"/>
          <w:numId w:val="20"/>
        </w:numPr>
        <w:spacing w:after="0"/>
        <w:rPr>
          <w:rFonts w:cs="Arial"/>
          <w:b/>
          <w:szCs w:val="24"/>
        </w:rPr>
      </w:pPr>
      <w:r w:rsidRPr="009E0D5B">
        <w:rPr>
          <w:rFonts w:cs="Arial"/>
          <w:szCs w:val="24"/>
        </w:rPr>
        <w:t xml:space="preserve">Half of all members of the ADG </w:t>
      </w:r>
      <w:r w:rsidRPr="009E0D5B">
        <w:rPr>
          <w:szCs w:val="24"/>
        </w:rPr>
        <w:t>make less than $25,000 a year despite most having worked in the industry for more than 10 years</w:t>
      </w:r>
      <w:r w:rsidR="00EC184B">
        <w:rPr>
          <w:szCs w:val="24"/>
        </w:rPr>
        <w:t xml:space="preserve"> (as referred to above)</w:t>
      </w:r>
    </w:p>
    <w:p w14:paraId="10DA77AF" w14:textId="563C3F8C" w:rsidR="00F914CC" w:rsidRPr="009E0D5B" w:rsidRDefault="00F914CC" w:rsidP="00F914CC">
      <w:pPr>
        <w:pStyle w:val="ListParagraph"/>
        <w:numPr>
          <w:ilvl w:val="0"/>
          <w:numId w:val="20"/>
        </w:numPr>
        <w:spacing w:before="100" w:beforeAutospacing="1" w:after="0" w:line="240" w:lineRule="auto"/>
        <w:rPr>
          <w:szCs w:val="24"/>
        </w:rPr>
      </w:pPr>
      <w:r w:rsidRPr="009E0D5B">
        <w:rPr>
          <w:szCs w:val="24"/>
        </w:rPr>
        <w:t xml:space="preserve">At a time when funding for the Arts has been </w:t>
      </w:r>
      <w:r w:rsidR="00EC184B">
        <w:rPr>
          <w:szCs w:val="24"/>
        </w:rPr>
        <w:t>significantly reduced</w:t>
      </w:r>
      <w:r w:rsidRPr="009E0D5B">
        <w:rPr>
          <w:szCs w:val="24"/>
        </w:rPr>
        <w:t>, directors urgently need secure ongoing income streams through royalty payments</w:t>
      </w:r>
    </w:p>
    <w:p w14:paraId="282E3085" w14:textId="77777777" w:rsidR="00F914CC" w:rsidRPr="00CF3410" w:rsidRDefault="00F914CC" w:rsidP="00F914CC">
      <w:pPr>
        <w:pStyle w:val="ListParagraph"/>
        <w:numPr>
          <w:ilvl w:val="0"/>
          <w:numId w:val="20"/>
        </w:numPr>
        <w:spacing w:before="100" w:beforeAutospacing="1" w:after="100" w:afterAutospacing="1" w:line="240" w:lineRule="auto"/>
        <w:rPr>
          <w:szCs w:val="24"/>
        </w:rPr>
      </w:pPr>
      <w:r w:rsidRPr="009E0D5B">
        <w:rPr>
          <w:szCs w:val="24"/>
        </w:rPr>
        <w:t>Many Australian directors are forced to work overseas with the flow on impact of less productions, less mentoring and less jobs in Australia – all necessary for a fully functioning creative ecosystem in film and television</w:t>
      </w:r>
    </w:p>
    <w:p w14:paraId="0F081DC9" w14:textId="77777777" w:rsidR="00F914CC" w:rsidRPr="009E0D5B" w:rsidRDefault="00F914CC" w:rsidP="00CF345D">
      <w:pPr>
        <w:keepNext/>
        <w:numPr>
          <w:ilvl w:val="0"/>
          <w:numId w:val="18"/>
        </w:numPr>
        <w:spacing w:before="120" w:after="120" w:line="240" w:lineRule="auto"/>
        <w:ind w:hanging="357"/>
        <w:rPr>
          <w:b/>
          <w:bCs/>
          <w:szCs w:val="24"/>
        </w:rPr>
      </w:pPr>
      <w:r w:rsidRPr="009E0D5B">
        <w:rPr>
          <w:b/>
          <w:bCs/>
          <w:szCs w:val="24"/>
        </w:rPr>
        <w:t xml:space="preserve">Landscape </w:t>
      </w:r>
    </w:p>
    <w:p w14:paraId="456B55BA" w14:textId="605EBBBE" w:rsidR="00F914CC" w:rsidRPr="009E0D5B" w:rsidRDefault="00F914CC" w:rsidP="00CF345D">
      <w:pPr>
        <w:pStyle w:val="ListParagraph"/>
        <w:keepNext/>
        <w:numPr>
          <w:ilvl w:val="0"/>
          <w:numId w:val="21"/>
        </w:numPr>
        <w:spacing w:after="0"/>
        <w:ind w:hanging="357"/>
        <w:rPr>
          <w:rFonts w:cs="Arial"/>
          <w:szCs w:val="24"/>
        </w:rPr>
      </w:pPr>
      <w:r w:rsidRPr="009E0D5B">
        <w:rPr>
          <w:rFonts w:cs="Arial"/>
          <w:szCs w:val="24"/>
        </w:rPr>
        <w:t>The work of directors is the foundation of Australia’s screen industry which</w:t>
      </w:r>
      <w:r w:rsidR="00EC184B">
        <w:rPr>
          <w:rFonts w:cs="Arial"/>
          <w:szCs w:val="24"/>
        </w:rPr>
        <w:t>, as stated above,</w:t>
      </w:r>
      <w:r w:rsidRPr="009E0D5B">
        <w:rPr>
          <w:rFonts w:cs="Arial"/>
          <w:szCs w:val="24"/>
        </w:rPr>
        <w:t xml:space="preserve"> contributed $5.8 billion in GDP, supported 46,600 full time jobs and contributed almost $2 billion in tax revenues in 2012-2013</w:t>
      </w:r>
    </w:p>
    <w:p w14:paraId="41C492C4" w14:textId="77777777" w:rsidR="00F914CC" w:rsidRPr="009E0D5B" w:rsidRDefault="00F914CC" w:rsidP="00F914CC">
      <w:pPr>
        <w:pStyle w:val="ListParagraph"/>
        <w:numPr>
          <w:ilvl w:val="0"/>
          <w:numId w:val="21"/>
        </w:numPr>
        <w:spacing w:after="0"/>
        <w:rPr>
          <w:rFonts w:cs="Arial"/>
          <w:szCs w:val="24"/>
        </w:rPr>
      </w:pPr>
      <w:r w:rsidRPr="009E0D5B">
        <w:rPr>
          <w:szCs w:val="24"/>
        </w:rPr>
        <w:t>The accelerating pace of digital distribution and production has disrupted traditional business models which no longer provide fair ongoing returns for directors</w:t>
      </w:r>
    </w:p>
    <w:p w14:paraId="707A1D77" w14:textId="362C950C" w:rsidR="00F914CC" w:rsidRPr="009E0D5B" w:rsidRDefault="00F914CC" w:rsidP="00F914CC">
      <w:pPr>
        <w:pStyle w:val="Heading2"/>
      </w:pPr>
    </w:p>
    <w:p w14:paraId="5C28AD0E" w14:textId="012AABC4" w:rsidR="00F914CC" w:rsidRDefault="00EC184B" w:rsidP="00F914CC">
      <w:pPr>
        <w:spacing w:after="0"/>
        <w:jc w:val="both"/>
        <w:rPr>
          <w:rFonts w:cs="Arial"/>
          <w:szCs w:val="21"/>
        </w:rPr>
      </w:pPr>
      <w:r>
        <w:rPr>
          <w:rFonts w:cs="Arial"/>
          <w:szCs w:val="24"/>
        </w:rPr>
        <w:t xml:space="preserve">In our view, </w:t>
      </w:r>
      <w:r w:rsidR="00CF345D">
        <w:rPr>
          <w:rFonts w:cs="Arial"/>
          <w:szCs w:val="24"/>
        </w:rPr>
        <w:t>a</w:t>
      </w:r>
      <w:r w:rsidR="00F914CC" w:rsidRPr="009E0D5B">
        <w:rPr>
          <w:rFonts w:cs="Arial"/>
          <w:szCs w:val="24"/>
        </w:rPr>
        <w:t xml:space="preserve"> simple amendment to </w:t>
      </w:r>
      <w:r w:rsidR="00CF345D">
        <w:rPr>
          <w:rFonts w:cs="Arial"/>
          <w:szCs w:val="24"/>
        </w:rPr>
        <w:t>the</w:t>
      </w:r>
      <w:r w:rsidR="00F914CC">
        <w:rPr>
          <w:rFonts w:cs="Arial"/>
          <w:szCs w:val="24"/>
        </w:rPr>
        <w:t xml:space="preserve"> A</w:t>
      </w:r>
      <w:r w:rsidR="00F914CC" w:rsidRPr="009E0D5B">
        <w:rPr>
          <w:rFonts w:cs="Arial"/>
          <w:szCs w:val="24"/>
        </w:rPr>
        <w:t>ct so the definition of “maker” of a film specifically refers to directors</w:t>
      </w:r>
      <w:r w:rsidR="00BE63B5">
        <w:rPr>
          <w:rFonts w:cs="Arial"/>
          <w:szCs w:val="24"/>
        </w:rPr>
        <w:t xml:space="preserve"> will enable </w:t>
      </w:r>
      <w:r w:rsidR="00F914CC" w:rsidRPr="009E0D5B">
        <w:rPr>
          <w:rFonts w:cs="Arial"/>
          <w:szCs w:val="24"/>
        </w:rPr>
        <w:t xml:space="preserve">directors </w:t>
      </w:r>
      <w:r w:rsidR="00BE63B5">
        <w:rPr>
          <w:rFonts w:cs="Arial"/>
          <w:szCs w:val="24"/>
        </w:rPr>
        <w:t>to</w:t>
      </w:r>
      <w:r w:rsidR="00F914CC" w:rsidRPr="009E0D5B">
        <w:rPr>
          <w:rFonts w:cs="Arial"/>
          <w:szCs w:val="24"/>
        </w:rPr>
        <w:t xml:space="preserve"> share copyright in films and </w:t>
      </w:r>
      <w:r w:rsidR="00BE63B5">
        <w:rPr>
          <w:rFonts w:cs="Arial"/>
          <w:szCs w:val="24"/>
        </w:rPr>
        <w:t>television</w:t>
      </w:r>
      <w:r w:rsidR="00F914CC" w:rsidRPr="009E0D5B">
        <w:rPr>
          <w:rFonts w:cs="Arial"/>
          <w:szCs w:val="24"/>
        </w:rPr>
        <w:t xml:space="preserve"> productions with producers.</w:t>
      </w:r>
      <w:r w:rsidR="00BE63B5">
        <w:rPr>
          <w:rStyle w:val="FootnoteReference"/>
          <w:rFonts w:cs="Arial"/>
          <w:szCs w:val="24"/>
        </w:rPr>
        <w:footnoteReference w:id="17"/>
      </w:r>
      <w:r w:rsidR="00F914CC">
        <w:rPr>
          <w:rFonts w:cs="Arial"/>
          <w:szCs w:val="24"/>
        </w:rPr>
        <w:t xml:space="preserve">  </w:t>
      </w:r>
      <w:r w:rsidR="00F914CC" w:rsidRPr="0046641D">
        <w:rPr>
          <w:rFonts w:cs="Arial"/>
          <w:szCs w:val="24"/>
        </w:rPr>
        <w:t>This simple yet effective amendment will ensure</w:t>
      </w:r>
      <w:r w:rsidR="00F914CC" w:rsidRPr="0046641D">
        <w:rPr>
          <w:rFonts w:cs="Arial"/>
          <w:szCs w:val="21"/>
        </w:rPr>
        <w:t xml:space="preserve"> </w:t>
      </w:r>
      <w:r w:rsidR="00F914CC">
        <w:rPr>
          <w:rFonts w:cs="Arial"/>
          <w:szCs w:val="21"/>
        </w:rPr>
        <w:t xml:space="preserve">that directors are able to meaningfully participate in the opportunities of the digital revolution, strengthening their creative recognition </w:t>
      </w:r>
      <w:r w:rsidR="00F914CC" w:rsidRPr="0046641D">
        <w:rPr>
          <w:rFonts w:cs="Arial"/>
          <w:szCs w:val="21"/>
        </w:rPr>
        <w:t xml:space="preserve">and </w:t>
      </w:r>
      <w:r w:rsidR="00F914CC">
        <w:rPr>
          <w:rFonts w:cs="Arial"/>
          <w:szCs w:val="21"/>
        </w:rPr>
        <w:t xml:space="preserve">in turn, </w:t>
      </w:r>
      <w:r w:rsidR="00F914CC" w:rsidRPr="0046641D">
        <w:rPr>
          <w:rFonts w:cs="Arial"/>
          <w:szCs w:val="21"/>
        </w:rPr>
        <w:t>the screen industry in Australia.</w:t>
      </w:r>
    </w:p>
    <w:p w14:paraId="17C952F9" w14:textId="3C77D4BA" w:rsidR="00F914CC" w:rsidRPr="009E0D5B" w:rsidRDefault="00F914CC" w:rsidP="00F914CC">
      <w:pPr>
        <w:spacing w:after="0"/>
        <w:jc w:val="both"/>
        <w:rPr>
          <w:rFonts w:cs="Arial"/>
          <w:szCs w:val="24"/>
        </w:rPr>
      </w:pPr>
    </w:p>
    <w:p w14:paraId="4734BA77" w14:textId="4C81094B" w:rsidR="00787188" w:rsidRDefault="00F914CC" w:rsidP="00F914CC">
      <w:pPr>
        <w:spacing w:after="0"/>
        <w:jc w:val="both"/>
        <w:rPr>
          <w:rFonts w:cs="Arial"/>
          <w:szCs w:val="24"/>
        </w:rPr>
      </w:pPr>
      <w:r w:rsidRPr="009E0D5B">
        <w:rPr>
          <w:rFonts w:cs="Arial"/>
          <w:szCs w:val="24"/>
        </w:rPr>
        <w:t>This change will ensure a sustainable future for directors with improved recognition of their creative contribution in film and television in line with producers, screen writers and composers.</w:t>
      </w:r>
      <w:r>
        <w:rPr>
          <w:rFonts w:cs="Arial"/>
          <w:szCs w:val="24"/>
        </w:rPr>
        <w:t xml:space="preserve"> </w:t>
      </w:r>
      <w:r w:rsidR="00EC184B">
        <w:rPr>
          <w:rFonts w:cs="Arial"/>
          <w:szCs w:val="24"/>
        </w:rPr>
        <w:t>Th</w:t>
      </w:r>
      <w:r w:rsidR="00BE63B5">
        <w:rPr>
          <w:rFonts w:cs="Arial"/>
          <w:szCs w:val="24"/>
        </w:rPr>
        <w:t>e</w:t>
      </w:r>
      <w:r w:rsidR="00EC184B">
        <w:rPr>
          <w:rFonts w:cs="Arial"/>
          <w:szCs w:val="24"/>
        </w:rPr>
        <w:t xml:space="preserve"> proposed solution is in line with the United Kingdom amendments </w:t>
      </w:r>
      <w:r w:rsidR="00787188">
        <w:rPr>
          <w:rFonts w:cs="Arial"/>
          <w:szCs w:val="24"/>
        </w:rPr>
        <w:t xml:space="preserve">to its copyright legislation </w:t>
      </w:r>
      <w:r w:rsidR="00EC184B">
        <w:rPr>
          <w:rFonts w:cs="Arial"/>
          <w:szCs w:val="24"/>
        </w:rPr>
        <w:t>in 1996</w:t>
      </w:r>
      <w:r w:rsidR="00787188">
        <w:rPr>
          <w:rFonts w:cs="Arial"/>
          <w:szCs w:val="24"/>
        </w:rPr>
        <w:t xml:space="preserve"> where directors were deemed to be makers of the film and thus share in copyright with producers</w:t>
      </w:r>
      <w:r w:rsidR="00EC184B">
        <w:rPr>
          <w:rFonts w:cs="Arial"/>
          <w:szCs w:val="24"/>
        </w:rPr>
        <w:t>.</w:t>
      </w:r>
    </w:p>
    <w:p w14:paraId="1F209EA0" w14:textId="77777777" w:rsidR="00787188" w:rsidRDefault="00787188" w:rsidP="00F914CC">
      <w:pPr>
        <w:spacing w:after="0"/>
        <w:jc w:val="both"/>
        <w:rPr>
          <w:rFonts w:cs="Arial"/>
          <w:szCs w:val="24"/>
        </w:rPr>
      </w:pPr>
    </w:p>
    <w:p w14:paraId="65691B7E" w14:textId="0A30A2D0" w:rsidR="00F914CC" w:rsidRDefault="00787188" w:rsidP="00F914CC">
      <w:pPr>
        <w:spacing w:after="0"/>
        <w:jc w:val="both"/>
        <w:rPr>
          <w:rFonts w:cs="Arial"/>
          <w:szCs w:val="24"/>
        </w:rPr>
      </w:pPr>
      <w:r>
        <w:rPr>
          <w:rFonts w:cs="Arial"/>
          <w:szCs w:val="24"/>
        </w:rPr>
        <w:t xml:space="preserve">Our proposal </w:t>
      </w:r>
      <w:r w:rsidR="00BE63B5">
        <w:rPr>
          <w:rFonts w:cs="Arial"/>
          <w:szCs w:val="24"/>
        </w:rPr>
        <w:t xml:space="preserve">for directors’ entitlement to fair remuneration </w:t>
      </w:r>
      <w:r>
        <w:rPr>
          <w:rFonts w:cs="Arial"/>
          <w:szCs w:val="24"/>
        </w:rPr>
        <w:t>is</w:t>
      </w:r>
      <w:r w:rsidR="00EC184B">
        <w:rPr>
          <w:rFonts w:cs="Arial"/>
          <w:szCs w:val="24"/>
        </w:rPr>
        <w:t xml:space="preserve"> also</w:t>
      </w:r>
      <w:r w:rsidR="00F914CC" w:rsidRPr="009E0D5B">
        <w:rPr>
          <w:rFonts w:cs="Arial"/>
          <w:szCs w:val="24"/>
        </w:rPr>
        <w:t xml:space="preserve"> supported worldwide through the international authors’ body, Writers and Directors Worldwide.</w:t>
      </w:r>
      <w:r w:rsidR="0051609E">
        <w:rPr>
          <w:rStyle w:val="FootnoteReference"/>
          <w:rFonts w:cs="Arial"/>
          <w:szCs w:val="24"/>
        </w:rPr>
        <w:footnoteReference w:id="18"/>
      </w:r>
    </w:p>
    <w:p w14:paraId="14C46204" w14:textId="77777777" w:rsidR="001D1AB7" w:rsidRDefault="001D1AB7" w:rsidP="00F914CC">
      <w:pPr>
        <w:spacing w:after="0"/>
        <w:jc w:val="both"/>
        <w:rPr>
          <w:rFonts w:cs="Arial"/>
          <w:szCs w:val="24"/>
        </w:rPr>
      </w:pPr>
    </w:p>
    <w:p w14:paraId="4CF0F012" w14:textId="18980A68" w:rsidR="001D1AB7" w:rsidRDefault="001D1AB7" w:rsidP="001D1AB7">
      <w:pPr>
        <w:spacing w:after="0"/>
        <w:jc w:val="center"/>
        <w:rPr>
          <w:rFonts w:cs="Arial"/>
          <w:szCs w:val="24"/>
        </w:rPr>
      </w:pPr>
      <w:r>
        <w:rPr>
          <w:rFonts w:cs="Arial"/>
          <w:szCs w:val="24"/>
        </w:rPr>
        <w:t>************************</w:t>
      </w:r>
    </w:p>
    <w:p w14:paraId="20D618DB" w14:textId="4BF84D4E" w:rsidR="00256059" w:rsidRDefault="00256059" w:rsidP="00256059">
      <w:pPr>
        <w:pStyle w:val="Heading1"/>
        <w:numPr>
          <w:ilvl w:val="0"/>
          <w:numId w:val="8"/>
        </w:numPr>
      </w:pPr>
      <w:r>
        <w:t>Conclusion</w:t>
      </w:r>
    </w:p>
    <w:p w14:paraId="50843D8F" w14:textId="77777777" w:rsidR="00256059" w:rsidRDefault="00256059" w:rsidP="00256059">
      <w:pPr>
        <w:spacing w:after="0"/>
        <w:jc w:val="both"/>
      </w:pPr>
    </w:p>
    <w:p w14:paraId="667869ED" w14:textId="75040D89" w:rsidR="001D1AB7" w:rsidRDefault="001D1AB7" w:rsidP="001D1AB7">
      <w:pPr>
        <w:spacing w:after="0"/>
        <w:jc w:val="both"/>
        <w:rPr>
          <w:rFonts w:cs="Arial"/>
          <w:szCs w:val="24"/>
        </w:rPr>
      </w:pPr>
      <w:r>
        <w:rPr>
          <w:rFonts w:cs="Arial"/>
          <w:szCs w:val="24"/>
        </w:rPr>
        <w:t>In conclusion, the ADG and ASDACS believes that copyright, a critical form of IP, has the potential to provide appropriate incentives for innovation, investment and the production of creative works.  As such, screen directors who make vital contributions to culture, diversity and economic growth in Australia as a result of their work in the screen industry should be extended broader copyright ownership in their film and television productions.  This will encourage further creativity and innovatio</w:t>
      </w:r>
      <w:r w:rsidR="00543A9D">
        <w:rPr>
          <w:rFonts w:cs="Arial"/>
          <w:szCs w:val="24"/>
        </w:rPr>
        <w:t>n by these talented individuals, and thus benefitting consumers of screen internationally.</w:t>
      </w:r>
    </w:p>
    <w:p w14:paraId="34C20199" w14:textId="77777777" w:rsidR="00EC184B" w:rsidRDefault="00EC184B" w:rsidP="00F914CC">
      <w:pPr>
        <w:spacing w:after="0"/>
        <w:jc w:val="both"/>
        <w:rPr>
          <w:rFonts w:cs="Arial"/>
          <w:szCs w:val="24"/>
        </w:rPr>
      </w:pPr>
    </w:p>
    <w:p w14:paraId="11C40B79" w14:textId="77777777" w:rsidR="00EC184B" w:rsidRDefault="00EC184B" w:rsidP="00F914CC">
      <w:pPr>
        <w:spacing w:after="0"/>
        <w:jc w:val="both"/>
        <w:rPr>
          <w:rFonts w:cs="Arial"/>
          <w:szCs w:val="24"/>
        </w:rPr>
      </w:pPr>
    </w:p>
    <w:p w14:paraId="277A3448" w14:textId="278F4D93" w:rsidR="00CF345D" w:rsidRDefault="00CF345D" w:rsidP="00CF345D">
      <w:pPr>
        <w:rPr>
          <w:rFonts w:cs="Arial"/>
          <w:szCs w:val="21"/>
        </w:rPr>
        <w:sectPr w:rsidR="00CF345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789F5ABE" w14:textId="79BD1F0D" w:rsidR="00CF345D" w:rsidRDefault="00CF345D" w:rsidP="00CF345D">
      <w:pPr>
        <w:jc w:val="center"/>
        <w:rPr>
          <w:rFonts w:asciiTheme="majorHAnsi" w:eastAsiaTheme="majorEastAsia" w:hAnsiTheme="majorHAnsi" w:cstheme="majorBidi"/>
          <w:color w:val="2E74B5" w:themeColor="accent1" w:themeShade="BF"/>
          <w:sz w:val="32"/>
          <w:szCs w:val="32"/>
        </w:rPr>
      </w:pPr>
      <w:r w:rsidRPr="00CF345D">
        <w:rPr>
          <w:rFonts w:asciiTheme="majorHAnsi" w:eastAsiaTheme="majorEastAsia" w:hAnsiTheme="majorHAnsi" w:cstheme="majorBidi"/>
          <w:b/>
          <w:color w:val="2E74B5" w:themeColor="accent1" w:themeShade="BF"/>
          <w:sz w:val="32"/>
          <w:szCs w:val="32"/>
        </w:rPr>
        <w:lastRenderedPageBreak/>
        <w:t>Appendix A</w:t>
      </w:r>
      <w:r w:rsidRPr="00CF345D">
        <w:rPr>
          <w:rFonts w:asciiTheme="majorHAnsi" w:eastAsiaTheme="majorEastAsia" w:hAnsiTheme="majorHAnsi" w:cstheme="majorBidi"/>
          <w:b/>
          <w:color w:val="2E74B5" w:themeColor="accent1" w:themeShade="BF"/>
          <w:sz w:val="32"/>
          <w:szCs w:val="32"/>
        </w:rPr>
        <w:br/>
      </w:r>
      <w:r>
        <w:rPr>
          <w:rFonts w:asciiTheme="majorHAnsi" w:eastAsiaTheme="majorEastAsia" w:hAnsiTheme="majorHAnsi" w:cstheme="majorBidi"/>
          <w:color w:val="2E74B5" w:themeColor="accent1" w:themeShade="BF"/>
          <w:sz w:val="32"/>
          <w:szCs w:val="32"/>
        </w:rPr>
        <w:t>L</w:t>
      </w:r>
      <w:r w:rsidRPr="00CF345D">
        <w:rPr>
          <w:rFonts w:asciiTheme="majorHAnsi" w:eastAsiaTheme="majorEastAsia" w:hAnsiTheme="majorHAnsi" w:cstheme="majorBidi"/>
          <w:color w:val="2E74B5" w:themeColor="accent1" w:themeShade="BF"/>
          <w:sz w:val="32"/>
          <w:szCs w:val="32"/>
        </w:rPr>
        <w:t>ist of Territories with Directors’ Copyright in audio-visual work/ cinematographic film</w:t>
      </w:r>
    </w:p>
    <w:tbl>
      <w:tblPr>
        <w:tblStyle w:val="TableGrid"/>
        <w:tblW w:w="0" w:type="auto"/>
        <w:tblLayout w:type="fixed"/>
        <w:tblLook w:val="04A0" w:firstRow="1" w:lastRow="0" w:firstColumn="1" w:lastColumn="0" w:noHBand="0" w:noVBand="1"/>
      </w:tblPr>
      <w:tblGrid>
        <w:gridCol w:w="3823"/>
        <w:gridCol w:w="5953"/>
        <w:gridCol w:w="2065"/>
        <w:gridCol w:w="1099"/>
        <w:gridCol w:w="1008"/>
      </w:tblGrid>
      <w:tr w:rsidR="00CF345D" w:rsidRPr="00541AE7" w14:paraId="24336A60" w14:textId="77777777" w:rsidTr="000A4140">
        <w:trPr>
          <w:tblHeader/>
        </w:trPr>
        <w:tc>
          <w:tcPr>
            <w:tcW w:w="3823" w:type="dxa"/>
            <w:shd w:val="clear" w:color="auto" w:fill="ACB9CA" w:themeFill="text2" w:themeFillTint="66"/>
          </w:tcPr>
          <w:p w14:paraId="23E7CF92" w14:textId="77777777" w:rsidR="00CF345D" w:rsidRPr="00541AE7" w:rsidRDefault="00CF345D" w:rsidP="000A4140">
            <w:pPr>
              <w:jc w:val="center"/>
              <w:rPr>
                <w:rFonts w:asciiTheme="majorHAnsi" w:hAnsiTheme="majorHAnsi"/>
                <w:b/>
                <w:color w:val="FFFFFF" w:themeColor="background1"/>
                <w:sz w:val="20"/>
                <w:szCs w:val="20"/>
              </w:rPr>
            </w:pPr>
            <w:r w:rsidRPr="00541AE7">
              <w:rPr>
                <w:rFonts w:asciiTheme="majorHAnsi" w:hAnsiTheme="majorHAnsi"/>
                <w:b/>
                <w:color w:val="FFFFFF" w:themeColor="background1"/>
                <w:sz w:val="20"/>
                <w:szCs w:val="20"/>
              </w:rPr>
              <w:t>Country</w:t>
            </w:r>
          </w:p>
        </w:tc>
        <w:tc>
          <w:tcPr>
            <w:tcW w:w="5953" w:type="dxa"/>
            <w:shd w:val="clear" w:color="auto" w:fill="ACB9CA" w:themeFill="text2" w:themeFillTint="66"/>
          </w:tcPr>
          <w:p w14:paraId="0F12D06F" w14:textId="77777777" w:rsidR="00CF345D" w:rsidRPr="00541AE7" w:rsidRDefault="00CF345D" w:rsidP="000A4140">
            <w:pPr>
              <w:jc w:val="center"/>
              <w:rPr>
                <w:rFonts w:asciiTheme="majorHAnsi" w:hAnsiTheme="majorHAnsi"/>
                <w:b/>
                <w:color w:val="FFFFFF" w:themeColor="background1"/>
                <w:sz w:val="20"/>
                <w:szCs w:val="20"/>
              </w:rPr>
            </w:pPr>
            <w:r w:rsidRPr="00541AE7">
              <w:rPr>
                <w:rFonts w:asciiTheme="majorHAnsi" w:hAnsiTheme="majorHAnsi"/>
                <w:b/>
                <w:color w:val="FFFFFF" w:themeColor="background1"/>
                <w:sz w:val="20"/>
                <w:szCs w:val="20"/>
              </w:rPr>
              <w:t>Director</w:t>
            </w:r>
          </w:p>
        </w:tc>
        <w:tc>
          <w:tcPr>
            <w:tcW w:w="2065" w:type="dxa"/>
            <w:shd w:val="clear" w:color="auto" w:fill="ACB9CA" w:themeFill="text2" w:themeFillTint="66"/>
          </w:tcPr>
          <w:p w14:paraId="5FD2F53C" w14:textId="77777777" w:rsidR="00CF345D" w:rsidRPr="00541AE7" w:rsidRDefault="00CF345D" w:rsidP="000A4140">
            <w:pPr>
              <w:jc w:val="center"/>
              <w:rPr>
                <w:rFonts w:asciiTheme="majorHAnsi" w:hAnsiTheme="majorHAnsi"/>
                <w:b/>
                <w:color w:val="FFFFFF" w:themeColor="background1"/>
                <w:sz w:val="20"/>
                <w:szCs w:val="20"/>
              </w:rPr>
            </w:pPr>
            <w:r w:rsidRPr="00541AE7">
              <w:rPr>
                <w:rFonts w:asciiTheme="majorHAnsi" w:hAnsiTheme="majorHAnsi"/>
                <w:b/>
                <w:color w:val="FFFFFF" w:themeColor="background1"/>
                <w:sz w:val="20"/>
                <w:szCs w:val="20"/>
              </w:rPr>
              <w:t>Scriptwriter</w:t>
            </w:r>
          </w:p>
        </w:tc>
        <w:tc>
          <w:tcPr>
            <w:tcW w:w="1099" w:type="dxa"/>
            <w:shd w:val="clear" w:color="auto" w:fill="ACB9CA" w:themeFill="text2" w:themeFillTint="66"/>
          </w:tcPr>
          <w:p w14:paraId="3B16E081" w14:textId="77777777" w:rsidR="00CF345D" w:rsidRPr="00541AE7" w:rsidRDefault="00CF345D" w:rsidP="000A4140">
            <w:pPr>
              <w:jc w:val="center"/>
              <w:rPr>
                <w:rFonts w:asciiTheme="majorHAnsi" w:hAnsiTheme="majorHAnsi"/>
                <w:b/>
                <w:color w:val="FFFFFF" w:themeColor="background1"/>
                <w:sz w:val="20"/>
                <w:szCs w:val="20"/>
              </w:rPr>
            </w:pPr>
            <w:r w:rsidRPr="00541AE7">
              <w:rPr>
                <w:rFonts w:asciiTheme="majorHAnsi" w:hAnsiTheme="majorHAnsi"/>
                <w:b/>
                <w:color w:val="FFFFFF" w:themeColor="background1"/>
                <w:sz w:val="20"/>
                <w:szCs w:val="20"/>
              </w:rPr>
              <w:t>Music Composer</w:t>
            </w:r>
          </w:p>
        </w:tc>
        <w:tc>
          <w:tcPr>
            <w:tcW w:w="1008" w:type="dxa"/>
            <w:shd w:val="clear" w:color="auto" w:fill="ACB9CA" w:themeFill="text2" w:themeFillTint="66"/>
          </w:tcPr>
          <w:p w14:paraId="77AF894E" w14:textId="77777777" w:rsidR="00CF345D" w:rsidRPr="00541AE7" w:rsidRDefault="00CF345D" w:rsidP="000A4140">
            <w:pPr>
              <w:jc w:val="center"/>
              <w:rPr>
                <w:rFonts w:asciiTheme="majorHAnsi" w:hAnsiTheme="majorHAnsi"/>
                <w:b/>
                <w:color w:val="FFFFFF" w:themeColor="background1"/>
                <w:sz w:val="20"/>
                <w:szCs w:val="20"/>
              </w:rPr>
            </w:pPr>
            <w:r w:rsidRPr="00541AE7">
              <w:rPr>
                <w:rFonts w:asciiTheme="majorHAnsi" w:hAnsiTheme="majorHAnsi"/>
                <w:b/>
                <w:color w:val="FFFFFF" w:themeColor="background1"/>
                <w:sz w:val="20"/>
                <w:szCs w:val="20"/>
              </w:rPr>
              <w:t>Producer</w:t>
            </w:r>
          </w:p>
        </w:tc>
      </w:tr>
      <w:tr w:rsidR="00CF345D" w:rsidRPr="00541AE7" w14:paraId="690ABB69" w14:textId="77777777" w:rsidTr="000A4140">
        <w:trPr>
          <w:trHeight w:val="480"/>
        </w:trPr>
        <w:tc>
          <w:tcPr>
            <w:tcW w:w="3823" w:type="dxa"/>
          </w:tcPr>
          <w:p w14:paraId="6384B439" w14:textId="77777777" w:rsidR="00CF345D" w:rsidRPr="00541AE7" w:rsidRDefault="00CF345D" w:rsidP="000A4140">
            <w:pPr>
              <w:rPr>
                <w:rFonts w:asciiTheme="majorHAnsi" w:hAnsiTheme="majorHAnsi"/>
                <w:b/>
                <w:sz w:val="20"/>
                <w:szCs w:val="20"/>
                <w:u w:val="single"/>
              </w:rPr>
            </w:pPr>
            <w:r w:rsidRPr="00541AE7">
              <w:rPr>
                <w:rFonts w:asciiTheme="majorHAnsi" w:hAnsiTheme="majorHAnsi"/>
                <w:b/>
                <w:sz w:val="20"/>
                <w:szCs w:val="20"/>
                <w:u w:val="single"/>
              </w:rPr>
              <w:t>Europe</w:t>
            </w:r>
          </w:p>
        </w:tc>
        <w:tc>
          <w:tcPr>
            <w:tcW w:w="5953" w:type="dxa"/>
          </w:tcPr>
          <w:p w14:paraId="7502D641" w14:textId="77777777" w:rsidR="00CF345D" w:rsidRPr="00541AE7" w:rsidRDefault="00CF345D" w:rsidP="000A4140">
            <w:pPr>
              <w:rPr>
                <w:rFonts w:asciiTheme="majorHAnsi" w:hAnsiTheme="majorHAnsi"/>
                <w:sz w:val="20"/>
                <w:szCs w:val="20"/>
              </w:rPr>
            </w:pPr>
          </w:p>
        </w:tc>
        <w:tc>
          <w:tcPr>
            <w:tcW w:w="2065" w:type="dxa"/>
          </w:tcPr>
          <w:p w14:paraId="08E27CDE" w14:textId="77777777" w:rsidR="00CF345D" w:rsidRPr="00541AE7" w:rsidRDefault="00CF345D" w:rsidP="000A4140">
            <w:pPr>
              <w:rPr>
                <w:rFonts w:asciiTheme="majorHAnsi" w:hAnsiTheme="majorHAnsi"/>
                <w:sz w:val="20"/>
                <w:szCs w:val="20"/>
              </w:rPr>
            </w:pPr>
          </w:p>
        </w:tc>
        <w:tc>
          <w:tcPr>
            <w:tcW w:w="1099" w:type="dxa"/>
          </w:tcPr>
          <w:p w14:paraId="73DD10DC" w14:textId="77777777" w:rsidR="00CF345D" w:rsidRPr="00541AE7" w:rsidRDefault="00CF345D" w:rsidP="000A4140">
            <w:pPr>
              <w:rPr>
                <w:rFonts w:asciiTheme="majorHAnsi" w:hAnsiTheme="majorHAnsi"/>
                <w:sz w:val="20"/>
                <w:szCs w:val="20"/>
              </w:rPr>
            </w:pPr>
          </w:p>
        </w:tc>
        <w:tc>
          <w:tcPr>
            <w:tcW w:w="1008" w:type="dxa"/>
          </w:tcPr>
          <w:p w14:paraId="02DCBB51" w14:textId="77777777" w:rsidR="00CF345D" w:rsidRPr="00541AE7" w:rsidRDefault="00CF345D" w:rsidP="000A4140">
            <w:pPr>
              <w:rPr>
                <w:rFonts w:asciiTheme="majorHAnsi" w:hAnsiTheme="majorHAnsi"/>
                <w:sz w:val="20"/>
                <w:szCs w:val="20"/>
              </w:rPr>
            </w:pPr>
          </w:p>
        </w:tc>
      </w:tr>
      <w:tr w:rsidR="00CF345D" w:rsidRPr="00541AE7" w14:paraId="373DFC34" w14:textId="77777777" w:rsidTr="000A4140">
        <w:tc>
          <w:tcPr>
            <w:tcW w:w="3823" w:type="dxa"/>
          </w:tcPr>
          <w:p w14:paraId="5BC492B2"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Austria</w:t>
            </w:r>
          </w:p>
        </w:tc>
        <w:tc>
          <w:tcPr>
            <w:tcW w:w="5953" w:type="dxa"/>
            <w:shd w:val="clear" w:color="auto" w:fill="92D050"/>
          </w:tcPr>
          <w:p w14:paraId="1F3CA88F" w14:textId="77777777" w:rsidR="00CF345D" w:rsidRPr="00541AE7" w:rsidRDefault="00CF345D" w:rsidP="000A4140">
            <w:pPr>
              <w:rPr>
                <w:rFonts w:asciiTheme="majorHAnsi" w:hAnsiTheme="majorHAnsi"/>
                <w:sz w:val="20"/>
                <w:szCs w:val="20"/>
              </w:rPr>
            </w:pPr>
          </w:p>
        </w:tc>
        <w:tc>
          <w:tcPr>
            <w:tcW w:w="2065" w:type="dxa"/>
            <w:shd w:val="clear" w:color="auto" w:fill="FFFF00"/>
          </w:tcPr>
          <w:p w14:paraId="751B2D05" w14:textId="77777777" w:rsidR="00CF345D" w:rsidRPr="00541AE7" w:rsidRDefault="00CF345D" w:rsidP="000A4140">
            <w:pPr>
              <w:rPr>
                <w:rFonts w:asciiTheme="majorHAnsi" w:hAnsiTheme="majorHAnsi"/>
                <w:sz w:val="20"/>
                <w:szCs w:val="20"/>
              </w:rPr>
            </w:pPr>
          </w:p>
        </w:tc>
        <w:tc>
          <w:tcPr>
            <w:tcW w:w="1099" w:type="dxa"/>
            <w:shd w:val="clear" w:color="auto" w:fill="FFFF00"/>
          </w:tcPr>
          <w:p w14:paraId="2E9B0610" w14:textId="77777777" w:rsidR="00CF345D" w:rsidRPr="00541AE7" w:rsidRDefault="00CF345D" w:rsidP="000A4140">
            <w:pPr>
              <w:rPr>
                <w:rFonts w:asciiTheme="majorHAnsi" w:hAnsiTheme="majorHAnsi"/>
                <w:sz w:val="20"/>
                <w:szCs w:val="20"/>
              </w:rPr>
            </w:pPr>
          </w:p>
        </w:tc>
        <w:tc>
          <w:tcPr>
            <w:tcW w:w="1008" w:type="dxa"/>
          </w:tcPr>
          <w:p w14:paraId="0C44675C" w14:textId="77777777" w:rsidR="00CF345D" w:rsidRPr="00541AE7" w:rsidRDefault="00CF345D" w:rsidP="000A4140">
            <w:pPr>
              <w:rPr>
                <w:rFonts w:asciiTheme="majorHAnsi" w:hAnsiTheme="majorHAnsi"/>
                <w:sz w:val="20"/>
                <w:szCs w:val="20"/>
              </w:rPr>
            </w:pPr>
          </w:p>
        </w:tc>
      </w:tr>
      <w:tr w:rsidR="00CF345D" w:rsidRPr="00541AE7" w14:paraId="6ABEF790" w14:textId="77777777" w:rsidTr="000A4140">
        <w:tc>
          <w:tcPr>
            <w:tcW w:w="3823" w:type="dxa"/>
          </w:tcPr>
          <w:p w14:paraId="6001312D"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Belgium</w:t>
            </w:r>
          </w:p>
        </w:tc>
        <w:tc>
          <w:tcPr>
            <w:tcW w:w="5953" w:type="dxa"/>
            <w:shd w:val="clear" w:color="auto" w:fill="92D050"/>
          </w:tcPr>
          <w:p w14:paraId="28C886D5" w14:textId="77777777" w:rsidR="00CF345D" w:rsidRPr="00541AE7" w:rsidRDefault="00CF345D" w:rsidP="000A4140">
            <w:pPr>
              <w:rPr>
                <w:rFonts w:asciiTheme="majorHAnsi" w:hAnsiTheme="majorHAnsi"/>
                <w:sz w:val="20"/>
                <w:szCs w:val="20"/>
              </w:rPr>
            </w:pPr>
          </w:p>
        </w:tc>
        <w:tc>
          <w:tcPr>
            <w:tcW w:w="2065" w:type="dxa"/>
            <w:shd w:val="clear" w:color="auto" w:fill="92D050"/>
          </w:tcPr>
          <w:p w14:paraId="2FE95A0B" w14:textId="77777777" w:rsidR="00CF345D" w:rsidRPr="00541AE7" w:rsidRDefault="00CF345D" w:rsidP="000A4140">
            <w:pPr>
              <w:rPr>
                <w:rFonts w:asciiTheme="majorHAnsi" w:hAnsiTheme="majorHAnsi"/>
                <w:sz w:val="20"/>
                <w:szCs w:val="20"/>
              </w:rPr>
            </w:pPr>
          </w:p>
        </w:tc>
        <w:tc>
          <w:tcPr>
            <w:tcW w:w="1099" w:type="dxa"/>
            <w:shd w:val="clear" w:color="auto" w:fill="92D050"/>
          </w:tcPr>
          <w:p w14:paraId="26302879" w14:textId="77777777" w:rsidR="00CF345D" w:rsidRPr="00541AE7" w:rsidRDefault="00CF345D" w:rsidP="000A4140">
            <w:pPr>
              <w:rPr>
                <w:rFonts w:asciiTheme="majorHAnsi" w:hAnsiTheme="majorHAnsi"/>
                <w:sz w:val="20"/>
                <w:szCs w:val="20"/>
              </w:rPr>
            </w:pPr>
          </w:p>
        </w:tc>
        <w:tc>
          <w:tcPr>
            <w:tcW w:w="1008" w:type="dxa"/>
          </w:tcPr>
          <w:p w14:paraId="208D6095" w14:textId="77777777" w:rsidR="00CF345D" w:rsidRPr="00541AE7" w:rsidRDefault="00CF345D" w:rsidP="000A4140">
            <w:pPr>
              <w:rPr>
                <w:rFonts w:asciiTheme="majorHAnsi" w:hAnsiTheme="majorHAnsi"/>
                <w:sz w:val="20"/>
                <w:szCs w:val="20"/>
              </w:rPr>
            </w:pPr>
          </w:p>
        </w:tc>
      </w:tr>
      <w:tr w:rsidR="00CF345D" w:rsidRPr="00541AE7" w14:paraId="74707747" w14:textId="77777777" w:rsidTr="000A4140">
        <w:tc>
          <w:tcPr>
            <w:tcW w:w="3823" w:type="dxa"/>
          </w:tcPr>
          <w:p w14:paraId="3B2C3B6F"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Czech Republic</w:t>
            </w:r>
          </w:p>
        </w:tc>
        <w:tc>
          <w:tcPr>
            <w:tcW w:w="5953" w:type="dxa"/>
            <w:shd w:val="clear" w:color="auto" w:fill="92D050"/>
          </w:tcPr>
          <w:p w14:paraId="2AF0EF49" w14:textId="77777777" w:rsidR="00CF345D" w:rsidRPr="00541AE7" w:rsidRDefault="00CF345D" w:rsidP="000A4140">
            <w:pPr>
              <w:rPr>
                <w:rFonts w:asciiTheme="majorHAnsi" w:hAnsiTheme="majorHAnsi"/>
                <w:sz w:val="20"/>
                <w:szCs w:val="20"/>
              </w:rPr>
            </w:pPr>
          </w:p>
        </w:tc>
        <w:tc>
          <w:tcPr>
            <w:tcW w:w="2065" w:type="dxa"/>
            <w:shd w:val="clear" w:color="auto" w:fill="FFFF00"/>
          </w:tcPr>
          <w:p w14:paraId="781894D0" w14:textId="77777777" w:rsidR="00CF345D" w:rsidRPr="00541AE7" w:rsidRDefault="00CF345D" w:rsidP="000A4140">
            <w:pPr>
              <w:rPr>
                <w:rFonts w:asciiTheme="majorHAnsi" w:hAnsiTheme="majorHAnsi"/>
                <w:sz w:val="20"/>
                <w:szCs w:val="20"/>
              </w:rPr>
            </w:pPr>
          </w:p>
        </w:tc>
        <w:tc>
          <w:tcPr>
            <w:tcW w:w="1099" w:type="dxa"/>
            <w:shd w:val="clear" w:color="auto" w:fill="FFFF00"/>
          </w:tcPr>
          <w:p w14:paraId="6211F2D6" w14:textId="77777777" w:rsidR="00CF345D" w:rsidRPr="00541AE7" w:rsidRDefault="00CF345D" w:rsidP="000A4140">
            <w:pPr>
              <w:rPr>
                <w:rFonts w:asciiTheme="majorHAnsi" w:hAnsiTheme="majorHAnsi"/>
                <w:sz w:val="20"/>
                <w:szCs w:val="20"/>
              </w:rPr>
            </w:pPr>
          </w:p>
        </w:tc>
        <w:tc>
          <w:tcPr>
            <w:tcW w:w="1008" w:type="dxa"/>
          </w:tcPr>
          <w:p w14:paraId="659DDE92" w14:textId="77777777" w:rsidR="00CF345D" w:rsidRPr="00541AE7" w:rsidRDefault="00CF345D" w:rsidP="000A4140">
            <w:pPr>
              <w:rPr>
                <w:rFonts w:asciiTheme="majorHAnsi" w:hAnsiTheme="majorHAnsi"/>
                <w:sz w:val="20"/>
                <w:szCs w:val="20"/>
              </w:rPr>
            </w:pPr>
          </w:p>
        </w:tc>
      </w:tr>
      <w:tr w:rsidR="00CF345D" w:rsidRPr="00541AE7" w14:paraId="424593C5" w14:textId="77777777" w:rsidTr="000A4140">
        <w:tc>
          <w:tcPr>
            <w:tcW w:w="3823" w:type="dxa"/>
          </w:tcPr>
          <w:p w14:paraId="199CE2BF"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Estonia</w:t>
            </w:r>
          </w:p>
        </w:tc>
        <w:tc>
          <w:tcPr>
            <w:tcW w:w="5953" w:type="dxa"/>
            <w:shd w:val="clear" w:color="auto" w:fill="92D050"/>
          </w:tcPr>
          <w:p w14:paraId="32B367EB" w14:textId="77777777" w:rsidR="00CF345D" w:rsidRPr="00541AE7" w:rsidRDefault="00CF345D" w:rsidP="000A4140">
            <w:pPr>
              <w:rPr>
                <w:rFonts w:asciiTheme="majorHAnsi" w:hAnsiTheme="majorHAnsi"/>
                <w:sz w:val="20"/>
                <w:szCs w:val="20"/>
              </w:rPr>
            </w:pPr>
          </w:p>
        </w:tc>
        <w:tc>
          <w:tcPr>
            <w:tcW w:w="2065" w:type="dxa"/>
            <w:shd w:val="clear" w:color="auto" w:fill="92D050"/>
          </w:tcPr>
          <w:p w14:paraId="27A6747F" w14:textId="77777777" w:rsidR="00CF345D" w:rsidRPr="00541AE7" w:rsidRDefault="00CF345D" w:rsidP="000A4140">
            <w:pPr>
              <w:rPr>
                <w:rFonts w:asciiTheme="majorHAnsi" w:hAnsiTheme="majorHAnsi"/>
                <w:sz w:val="20"/>
                <w:szCs w:val="20"/>
              </w:rPr>
            </w:pPr>
          </w:p>
        </w:tc>
        <w:tc>
          <w:tcPr>
            <w:tcW w:w="1099" w:type="dxa"/>
            <w:shd w:val="clear" w:color="auto" w:fill="92D050"/>
          </w:tcPr>
          <w:p w14:paraId="37CFE29C" w14:textId="77777777" w:rsidR="00CF345D" w:rsidRPr="00541AE7" w:rsidRDefault="00CF345D" w:rsidP="000A4140">
            <w:pPr>
              <w:rPr>
                <w:rFonts w:asciiTheme="majorHAnsi" w:hAnsiTheme="majorHAnsi"/>
                <w:sz w:val="20"/>
                <w:szCs w:val="20"/>
              </w:rPr>
            </w:pPr>
          </w:p>
        </w:tc>
        <w:tc>
          <w:tcPr>
            <w:tcW w:w="1008" w:type="dxa"/>
          </w:tcPr>
          <w:p w14:paraId="3D355689" w14:textId="77777777" w:rsidR="00CF345D" w:rsidRPr="00541AE7" w:rsidRDefault="00CF345D" w:rsidP="000A4140">
            <w:pPr>
              <w:rPr>
                <w:rFonts w:asciiTheme="majorHAnsi" w:hAnsiTheme="majorHAnsi"/>
                <w:sz w:val="20"/>
                <w:szCs w:val="20"/>
              </w:rPr>
            </w:pPr>
          </w:p>
        </w:tc>
      </w:tr>
      <w:tr w:rsidR="00CF345D" w:rsidRPr="00541AE7" w14:paraId="39FCC283" w14:textId="77777777" w:rsidTr="000A4140">
        <w:tc>
          <w:tcPr>
            <w:tcW w:w="3823" w:type="dxa"/>
          </w:tcPr>
          <w:p w14:paraId="0242C9C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Finland</w:t>
            </w:r>
          </w:p>
        </w:tc>
        <w:tc>
          <w:tcPr>
            <w:tcW w:w="5953" w:type="dxa"/>
            <w:shd w:val="clear" w:color="auto" w:fill="92D050"/>
          </w:tcPr>
          <w:p w14:paraId="5743AFA2" w14:textId="77777777" w:rsidR="00CF345D" w:rsidRPr="00541AE7" w:rsidRDefault="00CF345D" w:rsidP="000A4140">
            <w:pPr>
              <w:rPr>
                <w:rFonts w:asciiTheme="majorHAnsi" w:hAnsiTheme="majorHAnsi"/>
                <w:sz w:val="20"/>
                <w:szCs w:val="20"/>
              </w:rPr>
            </w:pPr>
          </w:p>
        </w:tc>
        <w:tc>
          <w:tcPr>
            <w:tcW w:w="2065" w:type="dxa"/>
            <w:shd w:val="clear" w:color="auto" w:fill="92D050"/>
          </w:tcPr>
          <w:p w14:paraId="5AB5B99C" w14:textId="77777777" w:rsidR="00CF345D" w:rsidRPr="00541AE7" w:rsidRDefault="00CF345D" w:rsidP="000A4140">
            <w:pPr>
              <w:rPr>
                <w:rFonts w:asciiTheme="majorHAnsi" w:hAnsiTheme="majorHAnsi"/>
                <w:sz w:val="20"/>
                <w:szCs w:val="20"/>
              </w:rPr>
            </w:pPr>
          </w:p>
        </w:tc>
        <w:tc>
          <w:tcPr>
            <w:tcW w:w="1099" w:type="dxa"/>
            <w:shd w:val="clear" w:color="auto" w:fill="92D050"/>
          </w:tcPr>
          <w:p w14:paraId="089E8BC3" w14:textId="77777777" w:rsidR="00CF345D" w:rsidRPr="00541AE7" w:rsidRDefault="00CF345D" w:rsidP="000A4140">
            <w:pPr>
              <w:rPr>
                <w:rFonts w:asciiTheme="majorHAnsi" w:hAnsiTheme="majorHAnsi"/>
                <w:sz w:val="20"/>
                <w:szCs w:val="20"/>
              </w:rPr>
            </w:pPr>
          </w:p>
        </w:tc>
        <w:tc>
          <w:tcPr>
            <w:tcW w:w="1008" w:type="dxa"/>
          </w:tcPr>
          <w:p w14:paraId="45647581" w14:textId="77777777" w:rsidR="00CF345D" w:rsidRPr="00541AE7" w:rsidRDefault="00CF345D" w:rsidP="000A4140">
            <w:pPr>
              <w:rPr>
                <w:rFonts w:asciiTheme="majorHAnsi" w:hAnsiTheme="majorHAnsi"/>
                <w:sz w:val="20"/>
                <w:szCs w:val="20"/>
              </w:rPr>
            </w:pPr>
          </w:p>
        </w:tc>
      </w:tr>
      <w:tr w:rsidR="00CF345D" w:rsidRPr="00541AE7" w14:paraId="0A1ED799" w14:textId="77777777" w:rsidTr="000A4140">
        <w:tc>
          <w:tcPr>
            <w:tcW w:w="3823" w:type="dxa"/>
          </w:tcPr>
          <w:p w14:paraId="30BEDD9A"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France</w:t>
            </w:r>
          </w:p>
        </w:tc>
        <w:tc>
          <w:tcPr>
            <w:tcW w:w="5953" w:type="dxa"/>
            <w:shd w:val="clear" w:color="auto" w:fill="92D050"/>
          </w:tcPr>
          <w:p w14:paraId="254837C3" w14:textId="77777777" w:rsidR="00CF345D" w:rsidRPr="00541AE7" w:rsidRDefault="00CF345D" w:rsidP="000A4140">
            <w:pPr>
              <w:rPr>
                <w:rFonts w:asciiTheme="majorHAnsi" w:hAnsiTheme="majorHAnsi"/>
                <w:sz w:val="20"/>
                <w:szCs w:val="20"/>
              </w:rPr>
            </w:pPr>
          </w:p>
        </w:tc>
        <w:tc>
          <w:tcPr>
            <w:tcW w:w="2065" w:type="dxa"/>
            <w:shd w:val="clear" w:color="auto" w:fill="92D050"/>
          </w:tcPr>
          <w:p w14:paraId="5E8FED02" w14:textId="77777777" w:rsidR="00CF345D" w:rsidRPr="00541AE7" w:rsidRDefault="00CF345D" w:rsidP="000A4140">
            <w:pPr>
              <w:rPr>
                <w:rFonts w:asciiTheme="majorHAnsi" w:hAnsiTheme="majorHAnsi"/>
                <w:sz w:val="20"/>
                <w:szCs w:val="20"/>
              </w:rPr>
            </w:pPr>
          </w:p>
        </w:tc>
        <w:tc>
          <w:tcPr>
            <w:tcW w:w="1099" w:type="dxa"/>
            <w:shd w:val="clear" w:color="auto" w:fill="92D050"/>
          </w:tcPr>
          <w:p w14:paraId="52845645" w14:textId="77777777" w:rsidR="00CF345D" w:rsidRPr="00541AE7" w:rsidRDefault="00CF345D" w:rsidP="000A4140">
            <w:pPr>
              <w:rPr>
                <w:rFonts w:asciiTheme="majorHAnsi" w:hAnsiTheme="majorHAnsi"/>
                <w:sz w:val="20"/>
                <w:szCs w:val="20"/>
              </w:rPr>
            </w:pPr>
          </w:p>
        </w:tc>
        <w:tc>
          <w:tcPr>
            <w:tcW w:w="1008" w:type="dxa"/>
          </w:tcPr>
          <w:p w14:paraId="39EE682A" w14:textId="77777777" w:rsidR="00CF345D" w:rsidRPr="00541AE7" w:rsidRDefault="00CF345D" w:rsidP="000A4140">
            <w:pPr>
              <w:rPr>
                <w:rFonts w:asciiTheme="majorHAnsi" w:hAnsiTheme="majorHAnsi"/>
                <w:sz w:val="20"/>
                <w:szCs w:val="20"/>
              </w:rPr>
            </w:pPr>
          </w:p>
        </w:tc>
      </w:tr>
      <w:tr w:rsidR="00CF345D" w:rsidRPr="00541AE7" w14:paraId="6736136E" w14:textId="77777777" w:rsidTr="000A4140">
        <w:tc>
          <w:tcPr>
            <w:tcW w:w="3823" w:type="dxa"/>
          </w:tcPr>
          <w:p w14:paraId="5C41AEDE"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Germany</w:t>
            </w:r>
          </w:p>
        </w:tc>
        <w:tc>
          <w:tcPr>
            <w:tcW w:w="5953" w:type="dxa"/>
            <w:shd w:val="clear" w:color="auto" w:fill="92D050"/>
          </w:tcPr>
          <w:p w14:paraId="5EDE73E1" w14:textId="77777777" w:rsidR="00CF345D" w:rsidRPr="00541AE7" w:rsidRDefault="00CF345D" w:rsidP="000A4140">
            <w:pPr>
              <w:rPr>
                <w:rFonts w:asciiTheme="majorHAnsi" w:hAnsiTheme="majorHAnsi"/>
                <w:sz w:val="20"/>
                <w:szCs w:val="20"/>
              </w:rPr>
            </w:pPr>
          </w:p>
        </w:tc>
        <w:tc>
          <w:tcPr>
            <w:tcW w:w="2065" w:type="dxa"/>
            <w:shd w:val="clear" w:color="auto" w:fill="92D050"/>
          </w:tcPr>
          <w:p w14:paraId="17107AE6" w14:textId="77777777" w:rsidR="00CF345D" w:rsidRPr="00541AE7" w:rsidRDefault="00CF345D" w:rsidP="000A4140">
            <w:pPr>
              <w:rPr>
                <w:rFonts w:asciiTheme="majorHAnsi" w:hAnsiTheme="majorHAnsi"/>
                <w:sz w:val="20"/>
                <w:szCs w:val="20"/>
              </w:rPr>
            </w:pPr>
          </w:p>
        </w:tc>
        <w:tc>
          <w:tcPr>
            <w:tcW w:w="1099" w:type="dxa"/>
            <w:shd w:val="clear" w:color="auto" w:fill="92D050"/>
          </w:tcPr>
          <w:p w14:paraId="6E477C34" w14:textId="77777777" w:rsidR="00CF345D" w:rsidRPr="00541AE7" w:rsidRDefault="00CF345D" w:rsidP="000A4140">
            <w:pPr>
              <w:rPr>
                <w:rFonts w:asciiTheme="majorHAnsi" w:hAnsiTheme="majorHAnsi"/>
                <w:sz w:val="20"/>
                <w:szCs w:val="20"/>
              </w:rPr>
            </w:pPr>
          </w:p>
        </w:tc>
        <w:tc>
          <w:tcPr>
            <w:tcW w:w="1008" w:type="dxa"/>
          </w:tcPr>
          <w:p w14:paraId="4774CF00" w14:textId="77777777" w:rsidR="00CF345D" w:rsidRPr="00541AE7" w:rsidRDefault="00CF345D" w:rsidP="000A4140">
            <w:pPr>
              <w:rPr>
                <w:rFonts w:asciiTheme="majorHAnsi" w:hAnsiTheme="majorHAnsi"/>
                <w:sz w:val="20"/>
                <w:szCs w:val="20"/>
              </w:rPr>
            </w:pPr>
          </w:p>
        </w:tc>
      </w:tr>
      <w:tr w:rsidR="00CF345D" w:rsidRPr="00541AE7" w14:paraId="795E06D5" w14:textId="77777777" w:rsidTr="000A4140">
        <w:tc>
          <w:tcPr>
            <w:tcW w:w="3823" w:type="dxa"/>
          </w:tcPr>
          <w:p w14:paraId="20945A66"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Hungary</w:t>
            </w:r>
          </w:p>
        </w:tc>
        <w:tc>
          <w:tcPr>
            <w:tcW w:w="5953" w:type="dxa"/>
            <w:shd w:val="clear" w:color="auto" w:fill="92D050"/>
          </w:tcPr>
          <w:p w14:paraId="765CC30F" w14:textId="77777777" w:rsidR="00CF345D" w:rsidRPr="00541AE7" w:rsidRDefault="00CF345D" w:rsidP="000A4140">
            <w:pPr>
              <w:rPr>
                <w:rFonts w:asciiTheme="majorHAnsi" w:hAnsiTheme="majorHAnsi"/>
                <w:sz w:val="20"/>
                <w:szCs w:val="20"/>
              </w:rPr>
            </w:pPr>
          </w:p>
        </w:tc>
        <w:tc>
          <w:tcPr>
            <w:tcW w:w="2065" w:type="dxa"/>
            <w:shd w:val="clear" w:color="auto" w:fill="92D050"/>
          </w:tcPr>
          <w:p w14:paraId="5FB405A4" w14:textId="77777777" w:rsidR="00CF345D" w:rsidRPr="00541AE7" w:rsidRDefault="00CF345D" w:rsidP="000A4140">
            <w:pPr>
              <w:rPr>
                <w:rFonts w:asciiTheme="majorHAnsi" w:hAnsiTheme="majorHAnsi"/>
                <w:sz w:val="20"/>
                <w:szCs w:val="20"/>
              </w:rPr>
            </w:pPr>
          </w:p>
        </w:tc>
        <w:tc>
          <w:tcPr>
            <w:tcW w:w="1099" w:type="dxa"/>
            <w:shd w:val="clear" w:color="auto" w:fill="92D050"/>
          </w:tcPr>
          <w:p w14:paraId="184953B3" w14:textId="77777777" w:rsidR="00CF345D" w:rsidRPr="00541AE7" w:rsidRDefault="00CF345D" w:rsidP="000A4140">
            <w:pPr>
              <w:rPr>
                <w:rFonts w:asciiTheme="majorHAnsi" w:hAnsiTheme="majorHAnsi"/>
                <w:sz w:val="20"/>
                <w:szCs w:val="20"/>
              </w:rPr>
            </w:pPr>
          </w:p>
        </w:tc>
        <w:tc>
          <w:tcPr>
            <w:tcW w:w="1008" w:type="dxa"/>
          </w:tcPr>
          <w:p w14:paraId="501CBBD0" w14:textId="77777777" w:rsidR="00CF345D" w:rsidRPr="00541AE7" w:rsidRDefault="00CF345D" w:rsidP="000A4140">
            <w:pPr>
              <w:rPr>
                <w:rFonts w:asciiTheme="majorHAnsi" w:hAnsiTheme="majorHAnsi"/>
                <w:sz w:val="20"/>
                <w:szCs w:val="20"/>
              </w:rPr>
            </w:pPr>
          </w:p>
        </w:tc>
      </w:tr>
      <w:tr w:rsidR="00CF345D" w:rsidRPr="00541AE7" w14:paraId="30073C4D" w14:textId="77777777" w:rsidTr="000A4140">
        <w:tc>
          <w:tcPr>
            <w:tcW w:w="3823" w:type="dxa"/>
          </w:tcPr>
          <w:p w14:paraId="27390547"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Italy</w:t>
            </w:r>
          </w:p>
        </w:tc>
        <w:tc>
          <w:tcPr>
            <w:tcW w:w="5953" w:type="dxa"/>
            <w:shd w:val="clear" w:color="auto" w:fill="92D050"/>
          </w:tcPr>
          <w:p w14:paraId="518C3DD9" w14:textId="77777777" w:rsidR="00CF345D" w:rsidRPr="00541AE7" w:rsidRDefault="00CF345D" w:rsidP="000A4140">
            <w:pPr>
              <w:rPr>
                <w:rFonts w:asciiTheme="majorHAnsi" w:hAnsiTheme="majorHAnsi"/>
                <w:sz w:val="20"/>
                <w:szCs w:val="20"/>
              </w:rPr>
            </w:pPr>
          </w:p>
        </w:tc>
        <w:tc>
          <w:tcPr>
            <w:tcW w:w="2065" w:type="dxa"/>
            <w:shd w:val="clear" w:color="auto" w:fill="92D050"/>
          </w:tcPr>
          <w:p w14:paraId="0C2D8B7F" w14:textId="77777777" w:rsidR="00CF345D" w:rsidRPr="00541AE7" w:rsidRDefault="00CF345D" w:rsidP="000A4140">
            <w:pPr>
              <w:rPr>
                <w:rFonts w:asciiTheme="majorHAnsi" w:hAnsiTheme="majorHAnsi"/>
                <w:sz w:val="20"/>
                <w:szCs w:val="20"/>
              </w:rPr>
            </w:pPr>
          </w:p>
        </w:tc>
        <w:tc>
          <w:tcPr>
            <w:tcW w:w="1099" w:type="dxa"/>
            <w:shd w:val="clear" w:color="auto" w:fill="92D050"/>
          </w:tcPr>
          <w:p w14:paraId="4A4D3C8F" w14:textId="77777777" w:rsidR="00CF345D" w:rsidRPr="00541AE7" w:rsidRDefault="00CF345D" w:rsidP="000A4140">
            <w:pPr>
              <w:rPr>
                <w:rFonts w:asciiTheme="majorHAnsi" w:hAnsiTheme="majorHAnsi"/>
                <w:sz w:val="20"/>
                <w:szCs w:val="20"/>
              </w:rPr>
            </w:pPr>
          </w:p>
        </w:tc>
        <w:tc>
          <w:tcPr>
            <w:tcW w:w="1008" w:type="dxa"/>
          </w:tcPr>
          <w:p w14:paraId="10192759" w14:textId="77777777" w:rsidR="00CF345D" w:rsidRPr="00541AE7" w:rsidRDefault="00CF345D" w:rsidP="000A4140">
            <w:pPr>
              <w:rPr>
                <w:rFonts w:asciiTheme="majorHAnsi" w:hAnsiTheme="majorHAnsi"/>
                <w:sz w:val="20"/>
                <w:szCs w:val="20"/>
              </w:rPr>
            </w:pPr>
          </w:p>
        </w:tc>
      </w:tr>
      <w:tr w:rsidR="00CF345D" w:rsidRPr="00541AE7" w14:paraId="2F184FC7" w14:textId="77777777" w:rsidTr="000A4140">
        <w:tc>
          <w:tcPr>
            <w:tcW w:w="3823" w:type="dxa"/>
          </w:tcPr>
          <w:p w14:paraId="20A12DF1"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The Netherlands</w:t>
            </w:r>
          </w:p>
        </w:tc>
        <w:tc>
          <w:tcPr>
            <w:tcW w:w="5953" w:type="dxa"/>
            <w:shd w:val="clear" w:color="auto" w:fill="92D050"/>
          </w:tcPr>
          <w:p w14:paraId="626C3377" w14:textId="77777777" w:rsidR="00CF345D" w:rsidRPr="00541AE7" w:rsidRDefault="00CF345D" w:rsidP="000A4140">
            <w:pPr>
              <w:rPr>
                <w:rFonts w:asciiTheme="majorHAnsi" w:hAnsiTheme="majorHAnsi"/>
                <w:sz w:val="20"/>
                <w:szCs w:val="20"/>
              </w:rPr>
            </w:pPr>
          </w:p>
        </w:tc>
        <w:tc>
          <w:tcPr>
            <w:tcW w:w="2065" w:type="dxa"/>
            <w:shd w:val="clear" w:color="auto" w:fill="92D050"/>
          </w:tcPr>
          <w:p w14:paraId="6BFF4FEB" w14:textId="77777777" w:rsidR="00CF345D" w:rsidRPr="00541AE7" w:rsidRDefault="00CF345D" w:rsidP="000A4140">
            <w:pPr>
              <w:rPr>
                <w:rFonts w:asciiTheme="majorHAnsi" w:hAnsiTheme="majorHAnsi"/>
                <w:sz w:val="20"/>
                <w:szCs w:val="20"/>
              </w:rPr>
            </w:pPr>
          </w:p>
        </w:tc>
        <w:tc>
          <w:tcPr>
            <w:tcW w:w="1099" w:type="dxa"/>
            <w:shd w:val="clear" w:color="auto" w:fill="92D050"/>
          </w:tcPr>
          <w:p w14:paraId="3CA9D598" w14:textId="77777777" w:rsidR="00CF345D" w:rsidRPr="00541AE7" w:rsidRDefault="00CF345D" w:rsidP="000A4140">
            <w:pPr>
              <w:rPr>
                <w:rFonts w:asciiTheme="majorHAnsi" w:hAnsiTheme="majorHAnsi"/>
                <w:sz w:val="20"/>
                <w:szCs w:val="20"/>
              </w:rPr>
            </w:pPr>
          </w:p>
        </w:tc>
        <w:tc>
          <w:tcPr>
            <w:tcW w:w="1008" w:type="dxa"/>
          </w:tcPr>
          <w:p w14:paraId="5A73FF5C" w14:textId="77777777" w:rsidR="00CF345D" w:rsidRPr="00541AE7" w:rsidRDefault="00CF345D" w:rsidP="000A4140">
            <w:pPr>
              <w:rPr>
                <w:rFonts w:asciiTheme="majorHAnsi" w:hAnsiTheme="majorHAnsi"/>
                <w:sz w:val="20"/>
                <w:szCs w:val="20"/>
              </w:rPr>
            </w:pPr>
          </w:p>
        </w:tc>
      </w:tr>
      <w:tr w:rsidR="00CF345D" w:rsidRPr="00541AE7" w14:paraId="7262A867" w14:textId="77777777" w:rsidTr="000A4140">
        <w:tc>
          <w:tcPr>
            <w:tcW w:w="3823" w:type="dxa"/>
          </w:tcPr>
          <w:p w14:paraId="52B95996"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Poland</w:t>
            </w:r>
          </w:p>
        </w:tc>
        <w:tc>
          <w:tcPr>
            <w:tcW w:w="5953" w:type="dxa"/>
            <w:shd w:val="clear" w:color="auto" w:fill="92D050"/>
          </w:tcPr>
          <w:p w14:paraId="2BAEB698" w14:textId="77777777" w:rsidR="00CF345D" w:rsidRPr="00541AE7" w:rsidRDefault="00CF345D" w:rsidP="000A4140">
            <w:pPr>
              <w:rPr>
                <w:rFonts w:asciiTheme="majorHAnsi" w:hAnsiTheme="majorHAnsi"/>
                <w:sz w:val="20"/>
                <w:szCs w:val="20"/>
              </w:rPr>
            </w:pPr>
          </w:p>
        </w:tc>
        <w:tc>
          <w:tcPr>
            <w:tcW w:w="2065" w:type="dxa"/>
            <w:shd w:val="clear" w:color="auto" w:fill="92D050"/>
          </w:tcPr>
          <w:p w14:paraId="689FBCA8" w14:textId="77777777" w:rsidR="00CF345D" w:rsidRPr="00541AE7" w:rsidRDefault="00CF345D" w:rsidP="000A4140">
            <w:pPr>
              <w:rPr>
                <w:rFonts w:asciiTheme="majorHAnsi" w:hAnsiTheme="majorHAnsi"/>
                <w:sz w:val="20"/>
                <w:szCs w:val="20"/>
              </w:rPr>
            </w:pPr>
          </w:p>
        </w:tc>
        <w:tc>
          <w:tcPr>
            <w:tcW w:w="1099" w:type="dxa"/>
            <w:shd w:val="clear" w:color="auto" w:fill="92D050"/>
          </w:tcPr>
          <w:p w14:paraId="53157842" w14:textId="77777777" w:rsidR="00CF345D" w:rsidRPr="00541AE7" w:rsidRDefault="00CF345D" w:rsidP="000A4140">
            <w:pPr>
              <w:rPr>
                <w:rFonts w:asciiTheme="majorHAnsi" w:hAnsiTheme="majorHAnsi"/>
                <w:sz w:val="20"/>
                <w:szCs w:val="20"/>
              </w:rPr>
            </w:pPr>
          </w:p>
        </w:tc>
        <w:tc>
          <w:tcPr>
            <w:tcW w:w="1008" w:type="dxa"/>
          </w:tcPr>
          <w:p w14:paraId="79B36626" w14:textId="77777777" w:rsidR="00CF345D" w:rsidRPr="00541AE7" w:rsidRDefault="00CF345D" w:rsidP="000A4140">
            <w:pPr>
              <w:rPr>
                <w:rFonts w:asciiTheme="majorHAnsi" w:hAnsiTheme="majorHAnsi"/>
                <w:sz w:val="20"/>
                <w:szCs w:val="20"/>
              </w:rPr>
            </w:pPr>
          </w:p>
        </w:tc>
      </w:tr>
      <w:tr w:rsidR="00CF345D" w:rsidRPr="00541AE7" w14:paraId="009BE62A" w14:textId="77777777" w:rsidTr="000A4140">
        <w:tc>
          <w:tcPr>
            <w:tcW w:w="3823" w:type="dxa"/>
          </w:tcPr>
          <w:p w14:paraId="4DE36723"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Portugal</w:t>
            </w:r>
          </w:p>
        </w:tc>
        <w:tc>
          <w:tcPr>
            <w:tcW w:w="5953" w:type="dxa"/>
            <w:shd w:val="clear" w:color="auto" w:fill="92D050"/>
          </w:tcPr>
          <w:p w14:paraId="27F87CF6" w14:textId="77777777" w:rsidR="00CF345D" w:rsidRPr="00541AE7" w:rsidRDefault="00CF345D" w:rsidP="000A4140">
            <w:pPr>
              <w:rPr>
                <w:rFonts w:asciiTheme="majorHAnsi" w:hAnsiTheme="majorHAnsi"/>
                <w:sz w:val="20"/>
                <w:szCs w:val="20"/>
              </w:rPr>
            </w:pPr>
          </w:p>
        </w:tc>
        <w:tc>
          <w:tcPr>
            <w:tcW w:w="2065" w:type="dxa"/>
            <w:shd w:val="clear" w:color="auto" w:fill="92D050"/>
          </w:tcPr>
          <w:p w14:paraId="02DEBBA4" w14:textId="77777777" w:rsidR="00CF345D" w:rsidRPr="00541AE7" w:rsidRDefault="00CF345D" w:rsidP="000A4140">
            <w:pPr>
              <w:rPr>
                <w:rFonts w:asciiTheme="majorHAnsi" w:hAnsiTheme="majorHAnsi"/>
                <w:sz w:val="20"/>
                <w:szCs w:val="20"/>
              </w:rPr>
            </w:pPr>
          </w:p>
        </w:tc>
        <w:tc>
          <w:tcPr>
            <w:tcW w:w="1099" w:type="dxa"/>
            <w:shd w:val="clear" w:color="auto" w:fill="92D050"/>
          </w:tcPr>
          <w:p w14:paraId="35D146FD" w14:textId="77777777" w:rsidR="00CF345D" w:rsidRPr="00541AE7" w:rsidRDefault="00CF345D" w:rsidP="000A4140">
            <w:pPr>
              <w:rPr>
                <w:rFonts w:asciiTheme="majorHAnsi" w:hAnsiTheme="majorHAnsi"/>
                <w:sz w:val="20"/>
                <w:szCs w:val="20"/>
              </w:rPr>
            </w:pPr>
          </w:p>
        </w:tc>
        <w:tc>
          <w:tcPr>
            <w:tcW w:w="1008" w:type="dxa"/>
          </w:tcPr>
          <w:p w14:paraId="389D2B89" w14:textId="77777777" w:rsidR="00CF345D" w:rsidRPr="00541AE7" w:rsidRDefault="00CF345D" w:rsidP="000A4140">
            <w:pPr>
              <w:rPr>
                <w:rFonts w:asciiTheme="majorHAnsi" w:hAnsiTheme="majorHAnsi"/>
                <w:sz w:val="20"/>
                <w:szCs w:val="20"/>
              </w:rPr>
            </w:pPr>
          </w:p>
        </w:tc>
      </w:tr>
      <w:tr w:rsidR="00CF345D" w:rsidRPr="00541AE7" w14:paraId="4F2E69F1" w14:textId="77777777" w:rsidTr="000A4140">
        <w:tc>
          <w:tcPr>
            <w:tcW w:w="3823" w:type="dxa"/>
          </w:tcPr>
          <w:p w14:paraId="77D97FFE"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Romania</w:t>
            </w:r>
          </w:p>
        </w:tc>
        <w:tc>
          <w:tcPr>
            <w:tcW w:w="5953" w:type="dxa"/>
            <w:shd w:val="clear" w:color="auto" w:fill="92D050"/>
          </w:tcPr>
          <w:p w14:paraId="6E102FF4" w14:textId="77777777" w:rsidR="00CF345D" w:rsidRPr="00541AE7" w:rsidRDefault="00CF345D" w:rsidP="000A4140">
            <w:pPr>
              <w:rPr>
                <w:rFonts w:asciiTheme="majorHAnsi" w:hAnsiTheme="majorHAnsi"/>
                <w:sz w:val="20"/>
                <w:szCs w:val="20"/>
              </w:rPr>
            </w:pPr>
          </w:p>
        </w:tc>
        <w:tc>
          <w:tcPr>
            <w:tcW w:w="2065" w:type="dxa"/>
            <w:shd w:val="clear" w:color="auto" w:fill="92D050"/>
          </w:tcPr>
          <w:p w14:paraId="7E0C929B" w14:textId="77777777" w:rsidR="00CF345D" w:rsidRPr="00541AE7" w:rsidRDefault="00CF345D" w:rsidP="000A4140">
            <w:pPr>
              <w:rPr>
                <w:rFonts w:asciiTheme="majorHAnsi" w:hAnsiTheme="majorHAnsi"/>
                <w:sz w:val="20"/>
                <w:szCs w:val="20"/>
              </w:rPr>
            </w:pPr>
          </w:p>
        </w:tc>
        <w:tc>
          <w:tcPr>
            <w:tcW w:w="1099" w:type="dxa"/>
            <w:shd w:val="clear" w:color="auto" w:fill="92D050"/>
          </w:tcPr>
          <w:p w14:paraId="436144F6" w14:textId="77777777" w:rsidR="00CF345D" w:rsidRPr="00541AE7" w:rsidRDefault="00CF345D" w:rsidP="000A4140">
            <w:pPr>
              <w:rPr>
                <w:rFonts w:asciiTheme="majorHAnsi" w:hAnsiTheme="majorHAnsi"/>
                <w:sz w:val="20"/>
                <w:szCs w:val="20"/>
              </w:rPr>
            </w:pPr>
          </w:p>
        </w:tc>
        <w:tc>
          <w:tcPr>
            <w:tcW w:w="1008" w:type="dxa"/>
          </w:tcPr>
          <w:p w14:paraId="059F6691" w14:textId="77777777" w:rsidR="00CF345D" w:rsidRPr="00541AE7" w:rsidRDefault="00CF345D" w:rsidP="000A4140">
            <w:pPr>
              <w:rPr>
                <w:rFonts w:asciiTheme="majorHAnsi" w:hAnsiTheme="majorHAnsi"/>
                <w:sz w:val="20"/>
                <w:szCs w:val="20"/>
              </w:rPr>
            </w:pPr>
          </w:p>
        </w:tc>
      </w:tr>
      <w:tr w:rsidR="00CF345D" w:rsidRPr="00541AE7" w14:paraId="6BCD7298" w14:textId="77777777" w:rsidTr="000A4140">
        <w:tc>
          <w:tcPr>
            <w:tcW w:w="3823" w:type="dxa"/>
          </w:tcPr>
          <w:p w14:paraId="42A33544"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Slovakia</w:t>
            </w:r>
          </w:p>
        </w:tc>
        <w:tc>
          <w:tcPr>
            <w:tcW w:w="5953" w:type="dxa"/>
            <w:shd w:val="clear" w:color="auto" w:fill="92D050"/>
          </w:tcPr>
          <w:p w14:paraId="0A3F4F11" w14:textId="77777777" w:rsidR="00CF345D" w:rsidRPr="00541AE7" w:rsidRDefault="00CF345D" w:rsidP="000A4140">
            <w:pPr>
              <w:rPr>
                <w:rFonts w:asciiTheme="majorHAnsi" w:hAnsiTheme="majorHAnsi"/>
                <w:sz w:val="20"/>
                <w:szCs w:val="20"/>
              </w:rPr>
            </w:pPr>
          </w:p>
        </w:tc>
        <w:tc>
          <w:tcPr>
            <w:tcW w:w="2065" w:type="dxa"/>
            <w:shd w:val="clear" w:color="auto" w:fill="92D050"/>
          </w:tcPr>
          <w:p w14:paraId="39C8FF17" w14:textId="77777777" w:rsidR="00CF345D" w:rsidRPr="00541AE7" w:rsidRDefault="00CF345D" w:rsidP="000A4140">
            <w:pPr>
              <w:rPr>
                <w:rFonts w:asciiTheme="majorHAnsi" w:hAnsiTheme="majorHAnsi"/>
                <w:sz w:val="20"/>
                <w:szCs w:val="20"/>
              </w:rPr>
            </w:pPr>
          </w:p>
        </w:tc>
        <w:tc>
          <w:tcPr>
            <w:tcW w:w="1099" w:type="dxa"/>
            <w:shd w:val="clear" w:color="auto" w:fill="92D050"/>
          </w:tcPr>
          <w:p w14:paraId="6EEEECDF" w14:textId="77777777" w:rsidR="00CF345D" w:rsidRPr="00541AE7" w:rsidRDefault="00CF345D" w:rsidP="000A4140">
            <w:pPr>
              <w:rPr>
                <w:rFonts w:asciiTheme="majorHAnsi" w:hAnsiTheme="majorHAnsi"/>
                <w:sz w:val="20"/>
                <w:szCs w:val="20"/>
              </w:rPr>
            </w:pPr>
          </w:p>
        </w:tc>
        <w:tc>
          <w:tcPr>
            <w:tcW w:w="1008" w:type="dxa"/>
          </w:tcPr>
          <w:p w14:paraId="5F0206D8" w14:textId="77777777" w:rsidR="00CF345D" w:rsidRPr="00541AE7" w:rsidRDefault="00CF345D" w:rsidP="000A4140">
            <w:pPr>
              <w:rPr>
                <w:rFonts w:asciiTheme="majorHAnsi" w:hAnsiTheme="majorHAnsi"/>
                <w:sz w:val="20"/>
                <w:szCs w:val="20"/>
              </w:rPr>
            </w:pPr>
          </w:p>
        </w:tc>
      </w:tr>
      <w:tr w:rsidR="00CF345D" w:rsidRPr="00541AE7" w14:paraId="1799FE08" w14:textId="77777777" w:rsidTr="000A4140">
        <w:tc>
          <w:tcPr>
            <w:tcW w:w="3823" w:type="dxa"/>
          </w:tcPr>
          <w:p w14:paraId="43B22129"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Spain</w:t>
            </w:r>
          </w:p>
        </w:tc>
        <w:tc>
          <w:tcPr>
            <w:tcW w:w="5953" w:type="dxa"/>
            <w:shd w:val="clear" w:color="auto" w:fill="92D050"/>
          </w:tcPr>
          <w:p w14:paraId="23AF0A1F" w14:textId="77777777" w:rsidR="00CF345D" w:rsidRPr="00541AE7" w:rsidRDefault="00CF345D" w:rsidP="000A4140">
            <w:pPr>
              <w:rPr>
                <w:rFonts w:asciiTheme="majorHAnsi" w:hAnsiTheme="majorHAnsi"/>
                <w:sz w:val="20"/>
                <w:szCs w:val="20"/>
              </w:rPr>
            </w:pPr>
          </w:p>
        </w:tc>
        <w:tc>
          <w:tcPr>
            <w:tcW w:w="2065" w:type="dxa"/>
            <w:shd w:val="clear" w:color="auto" w:fill="92D050"/>
          </w:tcPr>
          <w:p w14:paraId="0D241424" w14:textId="77777777" w:rsidR="00CF345D" w:rsidRPr="00541AE7" w:rsidRDefault="00CF345D" w:rsidP="000A4140">
            <w:pPr>
              <w:rPr>
                <w:rFonts w:asciiTheme="majorHAnsi" w:hAnsiTheme="majorHAnsi"/>
                <w:sz w:val="20"/>
                <w:szCs w:val="20"/>
              </w:rPr>
            </w:pPr>
          </w:p>
        </w:tc>
        <w:tc>
          <w:tcPr>
            <w:tcW w:w="1099" w:type="dxa"/>
            <w:shd w:val="clear" w:color="auto" w:fill="92D050"/>
          </w:tcPr>
          <w:p w14:paraId="3C256A7E" w14:textId="77777777" w:rsidR="00CF345D" w:rsidRPr="00541AE7" w:rsidRDefault="00CF345D" w:rsidP="000A4140">
            <w:pPr>
              <w:rPr>
                <w:rFonts w:asciiTheme="majorHAnsi" w:hAnsiTheme="majorHAnsi"/>
                <w:sz w:val="20"/>
                <w:szCs w:val="20"/>
              </w:rPr>
            </w:pPr>
          </w:p>
        </w:tc>
        <w:tc>
          <w:tcPr>
            <w:tcW w:w="1008" w:type="dxa"/>
          </w:tcPr>
          <w:p w14:paraId="02732D35" w14:textId="77777777" w:rsidR="00CF345D" w:rsidRPr="00541AE7" w:rsidRDefault="00CF345D" w:rsidP="000A4140">
            <w:pPr>
              <w:rPr>
                <w:rFonts w:asciiTheme="majorHAnsi" w:hAnsiTheme="majorHAnsi"/>
                <w:sz w:val="20"/>
                <w:szCs w:val="20"/>
              </w:rPr>
            </w:pPr>
          </w:p>
        </w:tc>
      </w:tr>
      <w:tr w:rsidR="00CF345D" w:rsidRPr="00541AE7" w14:paraId="4D610668" w14:textId="77777777" w:rsidTr="000A4140">
        <w:tc>
          <w:tcPr>
            <w:tcW w:w="3823" w:type="dxa"/>
          </w:tcPr>
          <w:p w14:paraId="09B3401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Sweden</w:t>
            </w:r>
          </w:p>
        </w:tc>
        <w:tc>
          <w:tcPr>
            <w:tcW w:w="5953" w:type="dxa"/>
            <w:shd w:val="clear" w:color="auto" w:fill="92D050"/>
          </w:tcPr>
          <w:p w14:paraId="3CAE9244" w14:textId="77777777" w:rsidR="00CF345D" w:rsidRPr="00541AE7" w:rsidRDefault="00CF345D" w:rsidP="000A4140">
            <w:pPr>
              <w:rPr>
                <w:rFonts w:asciiTheme="majorHAnsi" w:hAnsiTheme="majorHAnsi"/>
                <w:sz w:val="20"/>
                <w:szCs w:val="20"/>
              </w:rPr>
            </w:pPr>
          </w:p>
        </w:tc>
        <w:tc>
          <w:tcPr>
            <w:tcW w:w="2065" w:type="dxa"/>
            <w:shd w:val="clear" w:color="auto" w:fill="92D050"/>
          </w:tcPr>
          <w:p w14:paraId="102E015D" w14:textId="77777777" w:rsidR="00CF345D" w:rsidRPr="00541AE7" w:rsidRDefault="00CF345D" w:rsidP="000A4140">
            <w:pPr>
              <w:rPr>
                <w:rFonts w:asciiTheme="majorHAnsi" w:hAnsiTheme="majorHAnsi"/>
                <w:sz w:val="20"/>
                <w:szCs w:val="20"/>
              </w:rPr>
            </w:pPr>
          </w:p>
        </w:tc>
        <w:tc>
          <w:tcPr>
            <w:tcW w:w="1099" w:type="dxa"/>
            <w:shd w:val="clear" w:color="auto" w:fill="92D050"/>
          </w:tcPr>
          <w:p w14:paraId="4FF70B46" w14:textId="77777777" w:rsidR="00CF345D" w:rsidRPr="00541AE7" w:rsidRDefault="00CF345D" w:rsidP="000A4140">
            <w:pPr>
              <w:rPr>
                <w:rFonts w:asciiTheme="majorHAnsi" w:hAnsiTheme="majorHAnsi"/>
                <w:sz w:val="20"/>
                <w:szCs w:val="20"/>
              </w:rPr>
            </w:pPr>
          </w:p>
        </w:tc>
        <w:tc>
          <w:tcPr>
            <w:tcW w:w="1008" w:type="dxa"/>
          </w:tcPr>
          <w:p w14:paraId="53786900" w14:textId="77777777" w:rsidR="00CF345D" w:rsidRPr="00541AE7" w:rsidRDefault="00CF345D" w:rsidP="000A4140">
            <w:pPr>
              <w:rPr>
                <w:rFonts w:asciiTheme="majorHAnsi" w:hAnsiTheme="majorHAnsi"/>
                <w:sz w:val="20"/>
                <w:szCs w:val="20"/>
              </w:rPr>
            </w:pPr>
          </w:p>
        </w:tc>
      </w:tr>
      <w:tr w:rsidR="00CF345D" w:rsidRPr="00541AE7" w14:paraId="523D6AD7" w14:textId="77777777" w:rsidTr="000A4140">
        <w:tc>
          <w:tcPr>
            <w:tcW w:w="3823" w:type="dxa"/>
          </w:tcPr>
          <w:p w14:paraId="1E3FA2B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Switzerland</w:t>
            </w:r>
          </w:p>
        </w:tc>
        <w:tc>
          <w:tcPr>
            <w:tcW w:w="5953" w:type="dxa"/>
            <w:shd w:val="clear" w:color="auto" w:fill="92D050"/>
          </w:tcPr>
          <w:p w14:paraId="0A5225A5" w14:textId="77777777" w:rsidR="00CF345D" w:rsidRPr="00541AE7" w:rsidRDefault="00CF345D" w:rsidP="000A4140">
            <w:pPr>
              <w:rPr>
                <w:rFonts w:asciiTheme="majorHAnsi" w:hAnsiTheme="majorHAnsi"/>
                <w:sz w:val="20"/>
                <w:szCs w:val="20"/>
              </w:rPr>
            </w:pPr>
          </w:p>
        </w:tc>
        <w:tc>
          <w:tcPr>
            <w:tcW w:w="2065" w:type="dxa"/>
            <w:shd w:val="clear" w:color="auto" w:fill="92D050"/>
          </w:tcPr>
          <w:p w14:paraId="0C7AD248" w14:textId="77777777" w:rsidR="00CF345D" w:rsidRPr="00541AE7" w:rsidRDefault="00CF345D" w:rsidP="000A4140">
            <w:pPr>
              <w:rPr>
                <w:rFonts w:asciiTheme="majorHAnsi" w:hAnsiTheme="majorHAnsi"/>
                <w:sz w:val="20"/>
                <w:szCs w:val="20"/>
              </w:rPr>
            </w:pPr>
          </w:p>
        </w:tc>
        <w:tc>
          <w:tcPr>
            <w:tcW w:w="1099" w:type="dxa"/>
            <w:shd w:val="clear" w:color="auto" w:fill="92D050"/>
          </w:tcPr>
          <w:p w14:paraId="5EE1D57E" w14:textId="77777777" w:rsidR="00CF345D" w:rsidRPr="00541AE7" w:rsidRDefault="00CF345D" w:rsidP="000A4140">
            <w:pPr>
              <w:rPr>
                <w:rFonts w:asciiTheme="majorHAnsi" w:hAnsiTheme="majorHAnsi"/>
                <w:sz w:val="20"/>
                <w:szCs w:val="20"/>
              </w:rPr>
            </w:pPr>
          </w:p>
        </w:tc>
        <w:tc>
          <w:tcPr>
            <w:tcW w:w="1008" w:type="dxa"/>
          </w:tcPr>
          <w:p w14:paraId="18C82B9A" w14:textId="77777777" w:rsidR="00CF345D" w:rsidRPr="00541AE7" w:rsidRDefault="00CF345D" w:rsidP="000A4140">
            <w:pPr>
              <w:rPr>
                <w:rFonts w:asciiTheme="majorHAnsi" w:hAnsiTheme="majorHAnsi"/>
                <w:sz w:val="20"/>
                <w:szCs w:val="20"/>
              </w:rPr>
            </w:pPr>
          </w:p>
        </w:tc>
      </w:tr>
      <w:tr w:rsidR="00CF345D" w:rsidRPr="00541AE7" w14:paraId="3AEE11E8" w14:textId="77777777" w:rsidTr="000A4140">
        <w:tc>
          <w:tcPr>
            <w:tcW w:w="3823" w:type="dxa"/>
          </w:tcPr>
          <w:p w14:paraId="1938A747"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United Kingdom</w:t>
            </w:r>
          </w:p>
        </w:tc>
        <w:tc>
          <w:tcPr>
            <w:tcW w:w="5953" w:type="dxa"/>
            <w:shd w:val="clear" w:color="auto" w:fill="92D050"/>
          </w:tcPr>
          <w:p w14:paraId="2D761B39" w14:textId="77777777" w:rsidR="00CF345D" w:rsidRPr="00541AE7" w:rsidRDefault="00CF345D" w:rsidP="000A4140">
            <w:pPr>
              <w:rPr>
                <w:rFonts w:asciiTheme="majorHAnsi" w:hAnsiTheme="majorHAnsi"/>
                <w:sz w:val="20"/>
                <w:szCs w:val="20"/>
              </w:rPr>
            </w:pPr>
          </w:p>
        </w:tc>
        <w:tc>
          <w:tcPr>
            <w:tcW w:w="2065" w:type="dxa"/>
            <w:shd w:val="clear" w:color="auto" w:fill="FFFF00"/>
          </w:tcPr>
          <w:p w14:paraId="26FF17AD" w14:textId="77777777" w:rsidR="00CF345D" w:rsidRPr="00541AE7" w:rsidRDefault="00CF345D" w:rsidP="000A4140">
            <w:pPr>
              <w:rPr>
                <w:rFonts w:asciiTheme="majorHAnsi" w:hAnsiTheme="majorHAnsi"/>
                <w:sz w:val="20"/>
                <w:szCs w:val="20"/>
              </w:rPr>
            </w:pPr>
          </w:p>
        </w:tc>
        <w:tc>
          <w:tcPr>
            <w:tcW w:w="1099" w:type="dxa"/>
            <w:shd w:val="clear" w:color="auto" w:fill="FFFF00"/>
          </w:tcPr>
          <w:p w14:paraId="233C03A4" w14:textId="77777777" w:rsidR="00CF345D" w:rsidRPr="00541AE7" w:rsidRDefault="00CF345D" w:rsidP="000A4140">
            <w:pPr>
              <w:rPr>
                <w:rFonts w:asciiTheme="majorHAnsi" w:hAnsiTheme="majorHAnsi"/>
                <w:sz w:val="20"/>
                <w:szCs w:val="20"/>
              </w:rPr>
            </w:pPr>
          </w:p>
        </w:tc>
        <w:tc>
          <w:tcPr>
            <w:tcW w:w="1008" w:type="dxa"/>
            <w:shd w:val="clear" w:color="auto" w:fill="92D050"/>
          </w:tcPr>
          <w:p w14:paraId="50648278" w14:textId="77777777" w:rsidR="00CF345D" w:rsidRPr="00541AE7" w:rsidRDefault="00CF345D" w:rsidP="000A4140">
            <w:pPr>
              <w:rPr>
                <w:rFonts w:asciiTheme="majorHAnsi" w:hAnsiTheme="majorHAnsi"/>
                <w:sz w:val="20"/>
                <w:szCs w:val="20"/>
              </w:rPr>
            </w:pPr>
          </w:p>
        </w:tc>
      </w:tr>
      <w:tr w:rsidR="00CF345D" w:rsidRPr="00541AE7" w14:paraId="2FF47F42" w14:textId="77777777" w:rsidTr="000A4140">
        <w:trPr>
          <w:trHeight w:val="445"/>
        </w:trPr>
        <w:tc>
          <w:tcPr>
            <w:tcW w:w="3823" w:type="dxa"/>
          </w:tcPr>
          <w:p w14:paraId="5A31C2BA" w14:textId="77777777" w:rsidR="00CF345D" w:rsidRPr="00541AE7" w:rsidRDefault="00CF345D" w:rsidP="000A4140">
            <w:pPr>
              <w:rPr>
                <w:rFonts w:asciiTheme="majorHAnsi" w:hAnsiTheme="majorHAnsi"/>
                <w:b/>
                <w:sz w:val="20"/>
                <w:szCs w:val="20"/>
                <w:u w:val="single"/>
              </w:rPr>
            </w:pPr>
            <w:r w:rsidRPr="00541AE7">
              <w:rPr>
                <w:rFonts w:asciiTheme="majorHAnsi" w:hAnsiTheme="majorHAnsi"/>
                <w:b/>
                <w:sz w:val="20"/>
                <w:szCs w:val="20"/>
                <w:u w:val="single"/>
              </w:rPr>
              <w:t>South America</w:t>
            </w:r>
          </w:p>
        </w:tc>
        <w:tc>
          <w:tcPr>
            <w:tcW w:w="5953" w:type="dxa"/>
          </w:tcPr>
          <w:p w14:paraId="4208446B" w14:textId="77777777" w:rsidR="00CF345D" w:rsidRPr="00541AE7" w:rsidRDefault="00CF345D" w:rsidP="000A4140">
            <w:pPr>
              <w:rPr>
                <w:rFonts w:asciiTheme="majorHAnsi" w:hAnsiTheme="majorHAnsi"/>
                <w:sz w:val="20"/>
                <w:szCs w:val="20"/>
              </w:rPr>
            </w:pPr>
          </w:p>
        </w:tc>
        <w:tc>
          <w:tcPr>
            <w:tcW w:w="2065" w:type="dxa"/>
          </w:tcPr>
          <w:p w14:paraId="52359775" w14:textId="77777777" w:rsidR="00CF345D" w:rsidRPr="00541AE7" w:rsidRDefault="00CF345D" w:rsidP="000A4140">
            <w:pPr>
              <w:rPr>
                <w:rFonts w:asciiTheme="majorHAnsi" w:hAnsiTheme="majorHAnsi"/>
                <w:sz w:val="20"/>
                <w:szCs w:val="20"/>
              </w:rPr>
            </w:pPr>
          </w:p>
        </w:tc>
        <w:tc>
          <w:tcPr>
            <w:tcW w:w="1099" w:type="dxa"/>
          </w:tcPr>
          <w:p w14:paraId="6D00547E" w14:textId="77777777" w:rsidR="00CF345D" w:rsidRPr="00541AE7" w:rsidRDefault="00CF345D" w:rsidP="000A4140">
            <w:pPr>
              <w:rPr>
                <w:rFonts w:asciiTheme="majorHAnsi" w:hAnsiTheme="majorHAnsi"/>
                <w:sz w:val="20"/>
                <w:szCs w:val="20"/>
              </w:rPr>
            </w:pPr>
          </w:p>
        </w:tc>
        <w:tc>
          <w:tcPr>
            <w:tcW w:w="1008" w:type="dxa"/>
          </w:tcPr>
          <w:p w14:paraId="40B662AE" w14:textId="77777777" w:rsidR="00CF345D" w:rsidRPr="00541AE7" w:rsidRDefault="00CF345D" w:rsidP="000A4140">
            <w:pPr>
              <w:rPr>
                <w:rFonts w:asciiTheme="majorHAnsi" w:hAnsiTheme="majorHAnsi"/>
                <w:sz w:val="20"/>
                <w:szCs w:val="20"/>
              </w:rPr>
            </w:pPr>
          </w:p>
        </w:tc>
      </w:tr>
      <w:tr w:rsidR="00CF345D" w:rsidRPr="00541AE7" w14:paraId="0DC1B874" w14:textId="77777777" w:rsidTr="000A4140">
        <w:trPr>
          <w:trHeight w:val="70"/>
        </w:trPr>
        <w:tc>
          <w:tcPr>
            <w:tcW w:w="3823" w:type="dxa"/>
          </w:tcPr>
          <w:p w14:paraId="51C2DCD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Chile</w:t>
            </w:r>
          </w:p>
        </w:tc>
        <w:tc>
          <w:tcPr>
            <w:tcW w:w="5953" w:type="dxa"/>
            <w:shd w:val="clear" w:color="auto" w:fill="92D050"/>
          </w:tcPr>
          <w:p w14:paraId="3B9F2A74" w14:textId="77777777" w:rsidR="00CF345D" w:rsidRPr="00541AE7" w:rsidRDefault="00CF345D" w:rsidP="000A4140">
            <w:pPr>
              <w:rPr>
                <w:rFonts w:asciiTheme="majorHAnsi" w:hAnsiTheme="majorHAnsi"/>
                <w:sz w:val="20"/>
                <w:szCs w:val="20"/>
              </w:rPr>
            </w:pPr>
          </w:p>
        </w:tc>
        <w:tc>
          <w:tcPr>
            <w:tcW w:w="2065" w:type="dxa"/>
            <w:shd w:val="clear" w:color="auto" w:fill="92D050"/>
          </w:tcPr>
          <w:p w14:paraId="642C71C4" w14:textId="77777777" w:rsidR="00CF345D" w:rsidRPr="00541AE7" w:rsidRDefault="00CF345D" w:rsidP="000A4140">
            <w:pPr>
              <w:rPr>
                <w:rFonts w:asciiTheme="majorHAnsi" w:hAnsiTheme="majorHAnsi"/>
                <w:sz w:val="20"/>
                <w:szCs w:val="20"/>
              </w:rPr>
            </w:pPr>
          </w:p>
        </w:tc>
        <w:tc>
          <w:tcPr>
            <w:tcW w:w="1099" w:type="dxa"/>
            <w:shd w:val="clear" w:color="auto" w:fill="92D050"/>
          </w:tcPr>
          <w:p w14:paraId="18154CF0" w14:textId="77777777" w:rsidR="00CF345D" w:rsidRPr="00541AE7" w:rsidRDefault="00CF345D" w:rsidP="000A4140">
            <w:pPr>
              <w:rPr>
                <w:rFonts w:asciiTheme="majorHAnsi" w:hAnsiTheme="majorHAnsi"/>
                <w:sz w:val="20"/>
                <w:szCs w:val="20"/>
              </w:rPr>
            </w:pPr>
          </w:p>
        </w:tc>
        <w:tc>
          <w:tcPr>
            <w:tcW w:w="1008" w:type="dxa"/>
            <w:shd w:val="clear" w:color="auto" w:fill="auto"/>
          </w:tcPr>
          <w:p w14:paraId="043559C6" w14:textId="77777777" w:rsidR="00CF345D" w:rsidRPr="00541AE7" w:rsidRDefault="00CF345D" w:rsidP="000A4140">
            <w:pPr>
              <w:rPr>
                <w:rFonts w:asciiTheme="majorHAnsi" w:hAnsiTheme="majorHAnsi"/>
                <w:sz w:val="20"/>
                <w:szCs w:val="20"/>
              </w:rPr>
            </w:pPr>
          </w:p>
        </w:tc>
      </w:tr>
      <w:tr w:rsidR="00CF345D" w:rsidRPr="00541AE7" w14:paraId="76BAAEBD" w14:textId="77777777" w:rsidTr="000A4140">
        <w:tc>
          <w:tcPr>
            <w:tcW w:w="3823" w:type="dxa"/>
          </w:tcPr>
          <w:p w14:paraId="5BCE047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México</w:t>
            </w:r>
          </w:p>
        </w:tc>
        <w:tc>
          <w:tcPr>
            <w:tcW w:w="5953" w:type="dxa"/>
            <w:shd w:val="clear" w:color="auto" w:fill="92D050"/>
          </w:tcPr>
          <w:p w14:paraId="098E50A1" w14:textId="77777777" w:rsidR="00CF345D" w:rsidRPr="00541AE7" w:rsidRDefault="00CF345D" w:rsidP="000A4140">
            <w:pPr>
              <w:rPr>
                <w:rFonts w:asciiTheme="majorHAnsi" w:hAnsiTheme="majorHAnsi"/>
                <w:sz w:val="20"/>
                <w:szCs w:val="20"/>
              </w:rPr>
            </w:pPr>
          </w:p>
        </w:tc>
        <w:tc>
          <w:tcPr>
            <w:tcW w:w="2065" w:type="dxa"/>
            <w:shd w:val="clear" w:color="auto" w:fill="92D050"/>
          </w:tcPr>
          <w:p w14:paraId="33B7EC95" w14:textId="77777777" w:rsidR="00CF345D" w:rsidRPr="00541AE7" w:rsidRDefault="00CF345D" w:rsidP="000A4140">
            <w:pPr>
              <w:rPr>
                <w:rFonts w:asciiTheme="majorHAnsi" w:hAnsiTheme="majorHAnsi"/>
                <w:sz w:val="20"/>
                <w:szCs w:val="20"/>
              </w:rPr>
            </w:pPr>
          </w:p>
        </w:tc>
        <w:tc>
          <w:tcPr>
            <w:tcW w:w="1099" w:type="dxa"/>
            <w:shd w:val="clear" w:color="auto" w:fill="92D050"/>
          </w:tcPr>
          <w:p w14:paraId="31FBDD88" w14:textId="77777777" w:rsidR="00CF345D" w:rsidRPr="00541AE7" w:rsidRDefault="00CF345D" w:rsidP="000A4140">
            <w:pPr>
              <w:rPr>
                <w:rFonts w:asciiTheme="majorHAnsi" w:hAnsiTheme="majorHAnsi"/>
                <w:sz w:val="20"/>
                <w:szCs w:val="20"/>
              </w:rPr>
            </w:pPr>
          </w:p>
        </w:tc>
        <w:tc>
          <w:tcPr>
            <w:tcW w:w="1008" w:type="dxa"/>
            <w:shd w:val="clear" w:color="auto" w:fill="auto"/>
          </w:tcPr>
          <w:p w14:paraId="266E763C" w14:textId="77777777" w:rsidR="00CF345D" w:rsidRPr="00541AE7" w:rsidRDefault="00CF345D" w:rsidP="000A4140">
            <w:pPr>
              <w:rPr>
                <w:rFonts w:asciiTheme="majorHAnsi" w:hAnsiTheme="majorHAnsi"/>
                <w:sz w:val="20"/>
                <w:szCs w:val="20"/>
              </w:rPr>
            </w:pPr>
          </w:p>
        </w:tc>
      </w:tr>
      <w:tr w:rsidR="00CF345D" w:rsidRPr="00541AE7" w14:paraId="7CB18FEE" w14:textId="77777777" w:rsidTr="000A4140">
        <w:tc>
          <w:tcPr>
            <w:tcW w:w="3823" w:type="dxa"/>
          </w:tcPr>
          <w:p w14:paraId="72CE8BC8"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Colombia</w:t>
            </w:r>
          </w:p>
        </w:tc>
        <w:tc>
          <w:tcPr>
            <w:tcW w:w="5953" w:type="dxa"/>
            <w:shd w:val="clear" w:color="auto" w:fill="92D050"/>
          </w:tcPr>
          <w:p w14:paraId="78D5730F" w14:textId="77777777" w:rsidR="00CF345D" w:rsidRPr="00541AE7" w:rsidRDefault="00CF345D" w:rsidP="000A4140"/>
        </w:tc>
        <w:tc>
          <w:tcPr>
            <w:tcW w:w="2065" w:type="dxa"/>
            <w:shd w:val="clear" w:color="auto" w:fill="92D050"/>
          </w:tcPr>
          <w:p w14:paraId="2FAC0CF2" w14:textId="77777777" w:rsidR="00CF345D" w:rsidRPr="00541AE7" w:rsidRDefault="00CF345D" w:rsidP="000A4140">
            <w:pPr>
              <w:rPr>
                <w:rFonts w:asciiTheme="majorHAnsi" w:hAnsiTheme="majorHAnsi"/>
                <w:sz w:val="20"/>
                <w:szCs w:val="20"/>
              </w:rPr>
            </w:pPr>
          </w:p>
        </w:tc>
        <w:tc>
          <w:tcPr>
            <w:tcW w:w="1099" w:type="dxa"/>
            <w:shd w:val="clear" w:color="auto" w:fill="92D050"/>
          </w:tcPr>
          <w:p w14:paraId="76797B8C" w14:textId="77777777" w:rsidR="00CF345D" w:rsidRPr="00541AE7" w:rsidRDefault="00CF345D" w:rsidP="000A4140">
            <w:pPr>
              <w:rPr>
                <w:rFonts w:asciiTheme="majorHAnsi" w:hAnsiTheme="majorHAnsi"/>
                <w:sz w:val="20"/>
                <w:szCs w:val="20"/>
              </w:rPr>
            </w:pPr>
          </w:p>
        </w:tc>
        <w:tc>
          <w:tcPr>
            <w:tcW w:w="1008" w:type="dxa"/>
            <w:shd w:val="clear" w:color="auto" w:fill="auto"/>
          </w:tcPr>
          <w:p w14:paraId="2D85AFAF" w14:textId="77777777" w:rsidR="00CF345D" w:rsidRPr="00541AE7" w:rsidRDefault="00CF345D" w:rsidP="000A4140">
            <w:pPr>
              <w:rPr>
                <w:rFonts w:asciiTheme="majorHAnsi" w:hAnsiTheme="majorHAnsi"/>
                <w:sz w:val="20"/>
                <w:szCs w:val="20"/>
              </w:rPr>
            </w:pPr>
          </w:p>
        </w:tc>
      </w:tr>
      <w:tr w:rsidR="00CF345D" w:rsidRPr="00541AE7" w14:paraId="6E64E8FF" w14:textId="77777777" w:rsidTr="000A4140">
        <w:tc>
          <w:tcPr>
            <w:tcW w:w="3823" w:type="dxa"/>
          </w:tcPr>
          <w:p w14:paraId="42EBA8FA"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Argentina</w:t>
            </w:r>
          </w:p>
        </w:tc>
        <w:tc>
          <w:tcPr>
            <w:tcW w:w="5953" w:type="dxa"/>
            <w:shd w:val="clear" w:color="auto" w:fill="92D050"/>
          </w:tcPr>
          <w:p w14:paraId="65BE610D" w14:textId="77777777" w:rsidR="00CF345D" w:rsidRPr="00541AE7" w:rsidRDefault="00CF345D" w:rsidP="000A4140"/>
        </w:tc>
        <w:tc>
          <w:tcPr>
            <w:tcW w:w="2065" w:type="dxa"/>
            <w:shd w:val="clear" w:color="auto" w:fill="92D050"/>
          </w:tcPr>
          <w:p w14:paraId="539E0E95" w14:textId="77777777" w:rsidR="00CF345D" w:rsidRPr="00541AE7" w:rsidRDefault="00CF345D" w:rsidP="000A4140">
            <w:pPr>
              <w:rPr>
                <w:rFonts w:asciiTheme="majorHAnsi" w:hAnsiTheme="majorHAnsi"/>
                <w:sz w:val="20"/>
                <w:szCs w:val="20"/>
              </w:rPr>
            </w:pPr>
          </w:p>
        </w:tc>
        <w:tc>
          <w:tcPr>
            <w:tcW w:w="1099" w:type="dxa"/>
            <w:shd w:val="clear" w:color="auto" w:fill="92D050"/>
          </w:tcPr>
          <w:p w14:paraId="71A24251" w14:textId="77777777" w:rsidR="00CF345D" w:rsidRPr="00541AE7" w:rsidRDefault="00CF345D" w:rsidP="000A4140">
            <w:pPr>
              <w:rPr>
                <w:rFonts w:asciiTheme="majorHAnsi" w:hAnsiTheme="majorHAnsi"/>
                <w:sz w:val="20"/>
                <w:szCs w:val="20"/>
              </w:rPr>
            </w:pPr>
          </w:p>
        </w:tc>
        <w:tc>
          <w:tcPr>
            <w:tcW w:w="1008" w:type="dxa"/>
            <w:shd w:val="clear" w:color="auto" w:fill="auto"/>
          </w:tcPr>
          <w:p w14:paraId="78D7159C" w14:textId="77777777" w:rsidR="00CF345D" w:rsidRPr="00541AE7" w:rsidRDefault="00CF345D" w:rsidP="000A4140">
            <w:pPr>
              <w:rPr>
                <w:rFonts w:asciiTheme="majorHAnsi" w:hAnsiTheme="majorHAnsi"/>
                <w:sz w:val="20"/>
                <w:szCs w:val="20"/>
              </w:rPr>
            </w:pPr>
          </w:p>
        </w:tc>
      </w:tr>
      <w:tr w:rsidR="00CF345D" w:rsidRPr="00541AE7" w14:paraId="2EB41E1E" w14:textId="77777777" w:rsidTr="000A4140">
        <w:tc>
          <w:tcPr>
            <w:tcW w:w="3823" w:type="dxa"/>
            <w:shd w:val="clear" w:color="auto" w:fill="auto"/>
          </w:tcPr>
          <w:p w14:paraId="304B6B0F"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Bolivia</w:t>
            </w:r>
          </w:p>
        </w:tc>
        <w:tc>
          <w:tcPr>
            <w:tcW w:w="5953" w:type="dxa"/>
            <w:shd w:val="clear" w:color="auto" w:fill="92D050"/>
          </w:tcPr>
          <w:p w14:paraId="5856F1FE" w14:textId="77777777" w:rsidR="00CF345D" w:rsidRPr="00541AE7" w:rsidRDefault="00CF345D" w:rsidP="000A4140">
            <w:pPr>
              <w:rPr>
                <w:rFonts w:asciiTheme="majorHAnsi" w:hAnsiTheme="majorHAnsi"/>
                <w:sz w:val="20"/>
                <w:szCs w:val="20"/>
              </w:rPr>
            </w:pPr>
          </w:p>
        </w:tc>
        <w:tc>
          <w:tcPr>
            <w:tcW w:w="2065" w:type="dxa"/>
            <w:shd w:val="clear" w:color="auto" w:fill="92D050"/>
          </w:tcPr>
          <w:p w14:paraId="1A8E8B6C" w14:textId="77777777" w:rsidR="00CF345D" w:rsidRPr="00541AE7" w:rsidRDefault="00CF345D" w:rsidP="000A4140">
            <w:pPr>
              <w:rPr>
                <w:rFonts w:asciiTheme="majorHAnsi" w:hAnsiTheme="majorHAnsi"/>
                <w:sz w:val="20"/>
                <w:szCs w:val="20"/>
              </w:rPr>
            </w:pPr>
          </w:p>
        </w:tc>
        <w:tc>
          <w:tcPr>
            <w:tcW w:w="1099" w:type="dxa"/>
            <w:shd w:val="clear" w:color="auto" w:fill="92D050"/>
          </w:tcPr>
          <w:p w14:paraId="69876228" w14:textId="77777777" w:rsidR="00CF345D" w:rsidRPr="00541AE7" w:rsidRDefault="00CF345D" w:rsidP="000A4140">
            <w:pPr>
              <w:rPr>
                <w:rFonts w:asciiTheme="majorHAnsi" w:hAnsiTheme="majorHAnsi"/>
                <w:sz w:val="20"/>
                <w:szCs w:val="20"/>
              </w:rPr>
            </w:pPr>
          </w:p>
        </w:tc>
        <w:tc>
          <w:tcPr>
            <w:tcW w:w="1008" w:type="dxa"/>
            <w:shd w:val="clear" w:color="auto" w:fill="auto"/>
          </w:tcPr>
          <w:p w14:paraId="09CD9404" w14:textId="77777777" w:rsidR="00CF345D" w:rsidRPr="00541AE7" w:rsidRDefault="00CF345D" w:rsidP="000A4140">
            <w:pPr>
              <w:rPr>
                <w:rFonts w:asciiTheme="majorHAnsi" w:hAnsiTheme="majorHAnsi"/>
                <w:sz w:val="20"/>
                <w:szCs w:val="20"/>
              </w:rPr>
            </w:pPr>
          </w:p>
        </w:tc>
      </w:tr>
      <w:tr w:rsidR="00CF345D" w:rsidRPr="00541AE7" w14:paraId="1B142AAD" w14:textId="77777777" w:rsidTr="000A4140">
        <w:tc>
          <w:tcPr>
            <w:tcW w:w="3823" w:type="dxa"/>
            <w:shd w:val="clear" w:color="auto" w:fill="auto"/>
          </w:tcPr>
          <w:p w14:paraId="4EF4355F"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Brazil</w:t>
            </w:r>
          </w:p>
        </w:tc>
        <w:tc>
          <w:tcPr>
            <w:tcW w:w="5953" w:type="dxa"/>
            <w:shd w:val="clear" w:color="auto" w:fill="92D050"/>
          </w:tcPr>
          <w:p w14:paraId="09B05A80" w14:textId="77777777" w:rsidR="00CF345D" w:rsidRPr="00541AE7" w:rsidRDefault="00CF345D" w:rsidP="000A4140">
            <w:pPr>
              <w:rPr>
                <w:rFonts w:asciiTheme="majorHAnsi" w:hAnsiTheme="majorHAnsi"/>
                <w:sz w:val="20"/>
                <w:szCs w:val="20"/>
              </w:rPr>
            </w:pPr>
          </w:p>
        </w:tc>
        <w:tc>
          <w:tcPr>
            <w:tcW w:w="2065" w:type="dxa"/>
            <w:shd w:val="clear" w:color="auto" w:fill="92D050"/>
          </w:tcPr>
          <w:p w14:paraId="4D8CA3EF" w14:textId="77777777" w:rsidR="00CF345D" w:rsidRPr="00541AE7" w:rsidRDefault="00CF345D" w:rsidP="000A4140">
            <w:pPr>
              <w:rPr>
                <w:rFonts w:asciiTheme="majorHAnsi" w:hAnsiTheme="majorHAnsi"/>
                <w:sz w:val="20"/>
                <w:szCs w:val="20"/>
              </w:rPr>
            </w:pPr>
          </w:p>
        </w:tc>
        <w:tc>
          <w:tcPr>
            <w:tcW w:w="1099" w:type="dxa"/>
            <w:shd w:val="clear" w:color="auto" w:fill="92D050"/>
          </w:tcPr>
          <w:p w14:paraId="2779F3F3" w14:textId="77777777" w:rsidR="00CF345D" w:rsidRPr="00541AE7" w:rsidRDefault="00CF345D" w:rsidP="000A4140">
            <w:pPr>
              <w:rPr>
                <w:rFonts w:asciiTheme="majorHAnsi" w:hAnsiTheme="majorHAnsi"/>
                <w:sz w:val="20"/>
                <w:szCs w:val="20"/>
              </w:rPr>
            </w:pPr>
          </w:p>
        </w:tc>
        <w:tc>
          <w:tcPr>
            <w:tcW w:w="1008" w:type="dxa"/>
            <w:shd w:val="clear" w:color="auto" w:fill="auto"/>
          </w:tcPr>
          <w:p w14:paraId="0C9068E1" w14:textId="77777777" w:rsidR="00CF345D" w:rsidRPr="00541AE7" w:rsidRDefault="00CF345D" w:rsidP="000A4140">
            <w:pPr>
              <w:rPr>
                <w:rFonts w:asciiTheme="majorHAnsi" w:hAnsiTheme="majorHAnsi"/>
                <w:sz w:val="20"/>
                <w:szCs w:val="20"/>
              </w:rPr>
            </w:pPr>
          </w:p>
        </w:tc>
      </w:tr>
      <w:tr w:rsidR="00CF345D" w:rsidRPr="00541AE7" w14:paraId="5E1036F3" w14:textId="77777777" w:rsidTr="000A4140">
        <w:tc>
          <w:tcPr>
            <w:tcW w:w="3823" w:type="dxa"/>
            <w:shd w:val="clear" w:color="auto" w:fill="auto"/>
          </w:tcPr>
          <w:p w14:paraId="6FB5E565"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Costa Rica</w:t>
            </w:r>
          </w:p>
        </w:tc>
        <w:tc>
          <w:tcPr>
            <w:tcW w:w="5953" w:type="dxa"/>
            <w:shd w:val="clear" w:color="auto" w:fill="92D050"/>
          </w:tcPr>
          <w:p w14:paraId="302E3686" w14:textId="77777777" w:rsidR="00CF345D" w:rsidRPr="00541AE7" w:rsidRDefault="00CF345D" w:rsidP="000A4140">
            <w:pPr>
              <w:rPr>
                <w:rFonts w:asciiTheme="majorHAnsi" w:hAnsiTheme="majorHAnsi"/>
                <w:sz w:val="20"/>
                <w:szCs w:val="20"/>
              </w:rPr>
            </w:pPr>
          </w:p>
        </w:tc>
        <w:tc>
          <w:tcPr>
            <w:tcW w:w="2065" w:type="dxa"/>
            <w:shd w:val="clear" w:color="auto" w:fill="92D050"/>
          </w:tcPr>
          <w:p w14:paraId="77EE7CA1" w14:textId="77777777" w:rsidR="00CF345D" w:rsidRPr="00541AE7" w:rsidRDefault="00CF345D" w:rsidP="000A4140">
            <w:pPr>
              <w:rPr>
                <w:rFonts w:asciiTheme="majorHAnsi" w:hAnsiTheme="majorHAnsi"/>
                <w:sz w:val="20"/>
                <w:szCs w:val="20"/>
              </w:rPr>
            </w:pPr>
          </w:p>
        </w:tc>
        <w:tc>
          <w:tcPr>
            <w:tcW w:w="1099" w:type="dxa"/>
            <w:shd w:val="clear" w:color="auto" w:fill="92D050"/>
          </w:tcPr>
          <w:p w14:paraId="13303769" w14:textId="77777777" w:rsidR="00CF345D" w:rsidRPr="00541AE7" w:rsidRDefault="00CF345D" w:rsidP="000A4140">
            <w:pPr>
              <w:rPr>
                <w:rFonts w:asciiTheme="majorHAnsi" w:hAnsiTheme="majorHAnsi"/>
                <w:sz w:val="20"/>
                <w:szCs w:val="20"/>
              </w:rPr>
            </w:pPr>
          </w:p>
        </w:tc>
        <w:tc>
          <w:tcPr>
            <w:tcW w:w="1008" w:type="dxa"/>
            <w:shd w:val="clear" w:color="auto" w:fill="auto"/>
          </w:tcPr>
          <w:p w14:paraId="3BCA61A1" w14:textId="77777777" w:rsidR="00CF345D" w:rsidRPr="00541AE7" w:rsidRDefault="00CF345D" w:rsidP="000A4140">
            <w:pPr>
              <w:rPr>
                <w:rFonts w:asciiTheme="majorHAnsi" w:hAnsiTheme="majorHAnsi"/>
                <w:sz w:val="20"/>
                <w:szCs w:val="20"/>
              </w:rPr>
            </w:pPr>
          </w:p>
        </w:tc>
      </w:tr>
      <w:tr w:rsidR="00CF345D" w:rsidRPr="00541AE7" w14:paraId="3DDF5891" w14:textId="77777777" w:rsidTr="000A4140">
        <w:tc>
          <w:tcPr>
            <w:tcW w:w="3823" w:type="dxa"/>
            <w:shd w:val="clear" w:color="auto" w:fill="auto"/>
          </w:tcPr>
          <w:p w14:paraId="2F1903D6"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lastRenderedPageBreak/>
              <w:t>Dominican Republic</w:t>
            </w:r>
          </w:p>
        </w:tc>
        <w:tc>
          <w:tcPr>
            <w:tcW w:w="5953" w:type="dxa"/>
            <w:shd w:val="clear" w:color="auto" w:fill="92D050"/>
          </w:tcPr>
          <w:p w14:paraId="6DB4F05F" w14:textId="77777777" w:rsidR="00CF345D" w:rsidRPr="00541AE7" w:rsidRDefault="00CF345D" w:rsidP="000A4140"/>
        </w:tc>
        <w:tc>
          <w:tcPr>
            <w:tcW w:w="2065" w:type="dxa"/>
            <w:shd w:val="clear" w:color="auto" w:fill="92D050"/>
          </w:tcPr>
          <w:p w14:paraId="51765F3A" w14:textId="77777777" w:rsidR="00CF345D" w:rsidRPr="00541AE7" w:rsidRDefault="00CF345D" w:rsidP="000A4140">
            <w:pPr>
              <w:rPr>
                <w:rFonts w:asciiTheme="majorHAnsi" w:hAnsiTheme="majorHAnsi"/>
                <w:sz w:val="20"/>
                <w:szCs w:val="20"/>
              </w:rPr>
            </w:pPr>
          </w:p>
        </w:tc>
        <w:tc>
          <w:tcPr>
            <w:tcW w:w="1099" w:type="dxa"/>
            <w:shd w:val="clear" w:color="auto" w:fill="92D050"/>
          </w:tcPr>
          <w:p w14:paraId="45301182" w14:textId="77777777" w:rsidR="00CF345D" w:rsidRPr="00541AE7" w:rsidRDefault="00CF345D" w:rsidP="000A4140">
            <w:pPr>
              <w:rPr>
                <w:rFonts w:asciiTheme="majorHAnsi" w:hAnsiTheme="majorHAnsi"/>
                <w:sz w:val="20"/>
                <w:szCs w:val="20"/>
              </w:rPr>
            </w:pPr>
          </w:p>
        </w:tc>
        <w:tc>
          <w:tcPr>
            <w:tcW w:w="1008" w:type="dxa"/>
            <w:shd w:val="clear" w:color="auto" w:fill="auto"/>
          </w:tcPr>
          <w:p w14:paraId="601C6F1B" w14:textId="77777777" w:rsidR="00CF345D" w:rsidRPr="00541AE7" w:rsidRDefault="00CF345D" w:rsidP="000A4140">
            <w:pPr>
              <w:rPr>
                <w:rFonts w:asciiTheme="majorHAnsi" w:hAnsiTheme="majorHAnsi"/>
                <w:sz w:val="20"/>
                <w:szCs w:val="20"/>
              </w:rPr>
            </w:pPr>
          </w:p>
        </w:tc>
      </w:tr>
      <w:tr w:rsidR="00CF345D" w:rsidRPr="00541AE7" w14:paraId="1B6C3242" w14:textId="77777777" w:rsidTr="000A4140">
        <w:tc>
          <w:tcPr>
            <w:tcW w:w="3823" w:type="dxa"/>
            <w:shd w:val="clear" w:color="auto" w:fill="auto"/>
          </w:tcPr>
          <w:p w14:paraId="3C5592E2"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Ecuador</w:t>
            </w:r>
          </w:p>
        </w:tc>
        <w:tc>
          <w:tcPr>
            <w:tcW w:w="5953" w:type="dxa"/>
            <w:shd w:val="clear" w:color="auto" w:fill="92D050"/>
          </w:tcPr>
          <w:p w14:paraId="39F0CAA2" w14:textId="77777777" w:rsidR="00CF345D" w:rsidRPr="00541AE7" w:rsidRDefault="00CF345D" w:rsidP="000A4140"/>
        </w:tc>
        <w:tc>
          <w:tcPr>
            <w:tcW w:w="2065" w:type="dxa"/>
            <w:shd w:val="clear" w:color="auto" w:fill="92D050"/>
          </w:tcPr>
          <w:p w14:paraId="659A7D38" w14:textId="77777777" w:rsidR="00CF345D" w:rsidRPr="00541AE7" w:rsidRDefault="00CF345D" w:rsidP="000A4140">
            <w:pPr>
              <w:rPr>
                <w:rFonts w:asciiTheme="majorHAnsi" w:hAnsiTheme="majorHAnsi"/>
                <w:sz w:val="20"/>
                <w:szCs w:val="20"/>
              </w:rPr>
            </w:pPr>
          </w:p>
        </w:tc>
        <w:tc>
          <w:tcPr>
            <w:tcW w:w="1099" w:type="dxa"/>
            <w:shd w:val="clear" w:color="auto" w:fill="92D050"/>
          </w:tcPr>
          <w:p w14:paraId="72C2BB69" w14:textId="77777777" w:rsidR="00CF345D" w:rsidRPr="00541AE7" w:rsidRDefault="00CF345D" w:rsidP="000A4140">
            <w:pPr>
              <w:rPr>
                <w:rFonts w:asciiTheme="majorHAnsi" w:hAnsiTheme="majorHAnsi"/>
                <w:sz w:val="20"/>
                <w:szCs w:val="20"/>
              </w:rPr>
            </w:pPr>
          </w:p>
        </w:tc>
        <w:tc>
          <w:tcPr>
            <w:tcW w:w="1008" w:type="dxa"/>
            <w:shd w:val="clear" w:color="auto" w:fill="auto"/>
          </w:tcPr>
          <w:p w14:paraId="339CA4D4" w14:textId="77777777" w:rsidR="00CF345D" w:rsidRPr="00541AE7" w:rsidRDefault="00CF345D" w:rsidP="000A4140">
            <w:pPr>
              <w:rPr>
                <w:rFonts w:asciiTheme="majorHAnsi" w:hAnsiTheme="majorHAnsi"/>
                <w:sz w:val="20"/>
                <w:szCs w:val="20"/>
              </w:rPr>
            </w:pPr>
          </w:p>
        </w:tc>
      </w:tr>
      <w:tr w:rsidR="00CF345D" w:rsidRPr="00541AE7" w14:paraId="59D9CE44" w14:textId="77777777" w:rsidTr="000A4140">
        <w:tc>
          <w:tcPr>
            <w:tcW w:w="3823" w:type="dxa"/>
            <w:shd w:val="clear" w:color="auto" w:fill="auto"/>
          </w:tcPr>
          <w:p w14:paraId="20D0CE44"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El Salvador</w:t>
            </w:r>
          </w:p>
        </w:tc>
        <w:tc>
          <w:tcPr>
            <w:tcW w:w="5953" w:type="dxa"/>
            <w:shd w:val="clear" w:color="auto" w:fill="92D050"/>
          </w:tcPr>
          <w:p w14:paraId="0585DAB4" w14:textId="77777777" w:rsidR="00CF345D" w:rsidRPr="00541AE7" w:rsidRDefault="00CF345D" w:rsidP="000A4140"/>
        </w:tc>
        <w:tc>
          <w:tcPr>
            <w:tcW w:w="2065" w:type="dxa"/>
            <w:shd w:val="clear" w:color="auto" w:fill="92D050"/>
          </w:tcPr>
          <w:p w14:paraId="7B23D041" w14:textId="77777777" w:rsidR="00CF345D" w:rsidRPr="00541AE7" w:rsidRDefault="00CF345D" w:rsidP="000A4140">
            <w:pPr>
              <w:rPr>
                <w:rFonts w:asciiTheme="majorHAnsi" w:hAnsiTheme="majorHAnsi"/>
                <w:sz w:val="20"/>
                <w:szCs w:val="20"/>
              </w:rPr>
            </w:pPr>
          </w:p>
        </w:tc>
        <w:tc>
          <w:tcPr>
            <w:tcW w:w="1099" w:type="dxa"/>
            <w:shd w:val="clear" w:color="auto" w:fill="92D050"/>
          </w:tcPr>
          <w:p w14:paraId="27F9358A" w14:textId="77777777" w:rsidR="00CF345D" w:rsidRPr="00541AE7" w:rsidRDefault="00CF345D" w:rsidP="000A4140">
            <w:pPr>
              <w:rPr>
                <w:rFonts w:asciiTheme="majorHAnsi" w:hAnsiTheme="majorHAnsi"/>
                <w:sz w:val="20"/>
                <w:szCs w:val="20"/>
              </w:rPr>
            </w:pPr>
          </w:p>
        </w:tc>
        <w:tc>
          <w:tcPr>
            <w:tcW w:w="1008" w:type="dxa"/>
            <w:shd w:val="clear" w:color="auto" w:fill="auto"/>
          </w:tcPr>
          <w:p w14:paraId="1E87C694" w14:textId="77777777" w:rsidR="00CF345D" w:rsidRPr="00541AE7" w:rsidRDefault="00CF345D" w:rsidP="000A4140">
            <w:pPr>
              <w:rPr>
                <w:rFonts w:asciiTheme="majorHAnsi" w:hAnsiTheme="majorHAnsi"/>
                <w:sz w:val="20"/>
                <w:szCs w:val="20"/>
              </w:rPr>
            </w:pPr>
          </w:p>
        </w:tc>
      </w:tr>
      <w:tr w:rsidR="00CF345D" w:rsidRPr="00541AE7" w14:paraId="2BE94D2F" w14:textId="77777777" w:rsidTr="000A4140">
        <w:tc>
          <w:tcPr>
            <w:tcW w:w="3823" w:type="dxa"/>
            <w:shd w:val="clear" w:color="auto" w:fill="auto"/>
          </w:tcPr>
          <w:p w14:paraId="13CAF0E1"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Guatemala</w:t>
            </w:r>
          </w:p>
        </w:tc>
        <w:tc>
          <w:tcPr>
            <w:tcW w:w="5953" w:type="dxa"/>
            <w:shd w:val="clear" w:color="auto" w:fill="92D050"/>
          </w:tcPr>
          <w:p w14:paraId="6B87A9F9" w14:textId="77777777" w:rsidR="00CF345D" w:rsidRPr="00541AE7" w:rsidRDefault="00CF345D" w:rsidP="000A4140"/>
        </w:tc>
        <w:tc>
          <w:tcPr>
            <w:tcW w:w="2065" w:type="dxa"/>
            <w:shd w:val="clear" w:color="auto" w:fill="auto"/>
          </w:tcPr>
          <w:p w14:paraId="4E90A52D" w14:textId="77777777" w:rsidR="00CF345D" w:rsidRPr="00541AE7" w:rsidRDefault="00CF345D" w:rsidP="000A4140">
            <w:pPr>
              <w:rPr>
                <w:rFonts w:asciiTheme="majorHAnsi" w:hAnsiTheme="majorHAnsi"/>
                <w:sz w:val="20"/>
                <w:szCs w:val="20"/>
              </w:rPr>
            </w:pPr>
          </w:p>
        </w:tc>
        <w:tc>
          <w:tcPr>
            <w:tcW w:w="1099" w:type="dxa"/>
            <w:shd w:val="clear" w:color="auto" w:fill="auto"/>
          </w:tcPr>
          <w:p w14:paraId="1E1D8298" w14:textId="77777777" w:rsidR="00CF345D" w:rsidRPr="00541AE7" w:rsidRDefault="00CF345D" w:rsidP="000A4140">
            <w:pPr>
              <w:rPr>
                <w:rFonts w:asciiTheme="majorHAnsi" w:hAnsiTheme="majorHAnsi"/>
                <w:sz w:val="20"/>
                <w:szCs w:val="20"/>
              </w:rPr>
            </w:pPr>
          </w:p>
        </w:tc>
        <w:tc>
          <w:tcPr>
            <w:tcW w:w="1008" w:type="dxa"/>
            <w:shd w:val="clear" w:color="auto" w:fill="auto"/>
          </w:tcPr>
          <w:p w14:paraId="6D27D37D" w14:textId="77777777" w:rsidR="00CF345D" w:rsidRPr="00541AE7" w:rsidRDefault="00CF345D" w:rsidP="000A4140">
            <w:pPr>
              <w:rPr>
                <w:rFonts w:asciiTheme="majorHAnsi" w:hAnsiTheme="majorHAnsi"/>
                <w:sz w:val="20"/>
                <w:szCs w:val="20"/>
              </w:rPr>
            </w:pPr>
          </w:p>
        </w:tc>
      </w:tr>
      <w:tr w:rsidR="00CF345D" w:rsidRPr="00541AE7" w14:paraId="3485D04F" w14:textId="77777777" w:rsidTr="000A4140">
        <w:tc>
          <w:tcPr>
            <w:tcW w:w="3823" w:type="dxa"/>
            <w:shd w:val="clear" w:color="auto" w:fill="auto"/>
          </w:tcPr>
          <w:p w14:paraId="3042D7C5"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Honduras</w:t>
            </w:r>
          </w:p>
        </w:tc>
        <w:tc>
          <w:tcPr>
            <w:tcW w:w="5953" w:type="dxa"/>
            <w:shd w:val="clear" w:color="auto" w:fill="92D050"/>
          </w:tcPr>
          <w:p w14:paraId="0F5C764A" w14:textId="77777777" w:rsidR="00CF345D" w:rsidRPr="00541AE7" w:rsidRDefault="00CF345D" w:rsidP="000A4140"/>
        </w:tc>
        <w:tc>
          <w:tcPr>
            <w:tcW w:w="2065" w:type="dxa"/>
            <w:shd w:val="clear" w:color="auto" w:fill="92D050"/>
          </w:tcPr>
          <w:p w14:paraId="6932A090" w14:textId="77777777" w:rsidR="00CF345D" w:rsidRPr="00541AE7" w:rsidRDefault="00CF345D" w:rsidP="000A4140">
            <w:pPr>
              <w:rPr>
                <w:rFonts w:asciiTheme="majorHAnsi" w:hAnsiTheme="majorHAnsi"/>
                <w:sz w:val="20"/>
                <w:szCs w:val="20"/>
              </w:rPr>
            </w:pPr>
          </w:p>
        </w:tc>
        <w:tc>
          <w:tcPr>
            <w:tcW w:w="1099" w:type="dxa"/>
            <w:shd w:val="clear" w:color="auto" w:fill="92D050"/>
          </w:tcPr>
          <w:p w14:paraId="5646B08B" w14:textId="77777777" w:rsidR="00CF345D" w:rsidRPr="00541AE7" w:rsidRDefault="00CF345D" w:rsidP="000A4140">
            <w:pPr>
              <w:rPr>
                <w:rFonts w:asciiTheme="majorHAnsi" w:hAnsiTheme="majorHAnsi"/>
                <w:sz w:val="20"/>
                <w:szCs w:val="20"/>
              </w:rPr>
            </w:pPr>
          </w:p>
        </w:tc>
        <w:tc>
          <w:tcPr>
            <w:tcW w:w="1008" w:type="dxa"/>
            <w:shd w:val="clear" w:color="auto" w:fill="auto"/>
          </w:tcPr>
          <w:p w14:paraId="70EFA47A" w14:textId="77777777" w:rsidR="00CF345D" w:rsidRPr="00541AE7" w:rsidRDefault="00CF345D" w:rsidP="000A4140">
            <w:pPr>
              <w:rPr>
                <w:rFonts w:asciiTheme="majorHAnsi" w:hAnsiTheme="majorHAnsi"/>
                <w:sz w:val="20"/>
                <w:szCs w:val="20"/>
              </w:rPr>
            </w:pPr>
          </w:p>
        </w:tc>
      </w:tr>
      <w:tr w:rsidR="00CF345D" w:rsidRPr="00541AE7" w14:paraId="0B7A1829" w14:textId="77777777" w:rsidTr="000A4140">
        <w:tc>
          <w:tcPr>
            <w:tcW w:w="3823" w:type="dxa"/>
            <w:shd w:val="clear" w:color="auto" w:fill="auto"/>
          </w:tcPr>
          <w:p w14:paraId="0C95476F"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Nicaragua</w:t>
            </w:r>
          </w:p>
        </w:tc>
        <w:tc>
          <w:tcPr>
            <w:tcW w:w="5953" w:type="dxa"/>
            <w:shd w:val="clear" w:color="auto" w:fill="92D050"/>
          </w:tcPr>
          <w:p w14:paraId="55E233E8" w14:textId="77777777" w:rsidR="00CF345D" w:rsidRPr="00541AE7" w:rsidRDefault="00CF345D" w:rsidP="000A4140"/>
        </w:tc>
        <w:tc>
          <w:tcPr>
            <w:tcW w:w="2065" w:type="dxa"/>
            <w:shd w:val="clear" w:color="auto" w:fill="92D050"/>
          </w:tcPr>
          <w:p w14:paraId="61EE292A" w14:textId="77777777" w:rsidR="00CF345D" w:rsidRPr="00541AE7" w:rsidRDefault="00CF345D" w:rsidP="000A4140">
            <w:pPr>
              <w:rPr>
                <w:rFonts w:asciiTheme="majorHAnsi" w:hAnsiTheme="majorHAnsi"/>
                <w:sz w:val="20"/>
                <w:szCs w:val="20"/>
              </w:rPr>
            </w:pPr>
          </w:p>
        </w:tc>
        <w:tc>
          <w:tcPr>
            <w:tcW w:w="1099" w:type="dxa"/>
            <w:shd w:val="clear" w:color="auto" w:fill="92D050"/>
          </w:tcPr>
          <w:p w14:paraId="08AE20F4" w14:textId="77777777" w:rsidR="00CF345D" w:rsidRPr="00541AE7" w:rsidRDefault="00CF345D" w:rsidP="000A4140">
            <w:pPr>
              <w:rPr>
                <w:rFonts w:asciiTheme="majorHAnsi" w:hAnsiTheme="majorHAnsi"/>
                <w:sz w:val="20"/>
                <w:szCs w:val="20"/>
              </w:rPr>
            </w:pPr>
          </w:p>
        </w:tc>
        <w:tc>
          <w:tcPr>
            <w:tcW w:w="1008" w:type="dxa"/>
            <w:shd w:val="clear" w:color="auto" w:fill="auto"/>
          </w:tcPr>
          <w:p w14:paraId="1B32EB50" w14:textId="77777777" w:rsidR="00CF345D" w:rsidRPr="00541AE7" w:rsidRDefault="00CF345D" w:rsidP="000A4140">
            <w:pPr>
              <w:rPr>
                <w:rFonts w:asciiTheme="majorHAnsi" w:hAnsiTheme="majorHAnsi"/>
                <w:sz w:val="20"/>
                <w:szCs w:val="20"/>
              </w:rPr>
            </w:pPr>
          </w:p>
        </w:tc>
      </w:tr>
      <w:tr w:rsidR="00CF345D" w:rsidRPr="00541AE7" w14:paraId="4C62FE7C" w14:textId="77777777" w:rsidTr="000A4140">
        <w:tc>
          <w:tcPr>
            <w:tcW w:w="3823" w:type="dxa"/>
            <w:shd w:val="clear" w:color="auto" w:fill="auto"/>
          </w:tcPr>
          <w:p w14:paraId="65FD83EE"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Panamá</w:t>
            </w:r>
          </w:p>
        </w:tc>
        <w:tc>
          <w:tcPr>
            <w:tcW w:w="5953" w:type="dxa"/>
            <w:shd w:val="clear" w:color="auto" w:fill="92D050"/>
          </w:tcPr>
          <w:p w14:paraId="49BB33A7" w14:textId="77777777" w:rsidR="00CF345D" w:rsidRPr="00541AE7" w:rsidRDefault="00CF345D" w:rsidP="000A4140"/>
        </w:tc>
        <w:tc>
          <w:tcPr>
            <w:tcW w:w="2065" w:type="dxa"/>
            <w:shd w:val="clear" w:color="auto" w:fill="92D050"/>
          </w:tcPr>
          <w:p w14:paraId="2DB9609D" w14:textId="77777777" w:rsidR="00CF345D" w:rsidRPr="00541AE7" w:rsidRDefault="00CF345D" w:rsidP="000A4140">
            <w:pPr>
              <w:rPr>
                <w:rFonts w:asciiTheme="majorHAnsi" w:hAnsiTheme="majorHAnsi"/>
                <w:sz w:val="20"/>
                <w:szCs w:val="20"/>
              </w:rPr>
            </w:pPr>
          </w:p>
        </w:tc>
        <w:tc>
          <w:tcPr>
            <w:tcW w:w="1099" w:type="dxa"/>
            <w:shd w:val="clear" w:color="auto" w:fill="92D050"/>
          </w:tcPr>
          <w:p w14:paraId="3BBC43CC" w14:textId="77777777" w:rsidR="00CF345D" w:rsidRPr="00541AE7" w:rsidRDefault="00CF345D" w:rsidP="000A4140">
            <w:pPr>
              <w:rPr>
                <w:rFonts w:asciiTheme="majorHAnsi" w:hAnsiTheme="majorHAnsi"/>
                <w:sz w:val="20"/>
                <w:szCs w:val="20"/>
              </w:rPr>
            </w:pPr>
          </w:p>
        </w:tc>
        <w:tc>
          <w:tcPr>
            <w:tcW w:w="1008" w:type="dxa"/>
            <w:shd w:val="clear" w:color="auto" w:fill="auto"/>
          </w:tcPr>
          <w:p w14:paraId="4081BE01" w14:textId="77777777" w:rsidR="00CF345D" w:rsidRPr="00541AE7" w:rsidRDefault="00CF345D" w:rsidP="000A4140">
            <w:pPr>
              <w:rPr>
                <w:rFonts w:asciiTheme="majorHAnsi" w:hAnsiTheme="majorHAnsi"/>
                <w:sz w:val="20"/>
                <w:szCs w:val="20"/>
              </w:rPr>
            </w:pPr>
          </w:p>
        </w:tc>
      </w:tr>
      <w:tr w:rsidR="00CF345D" w:rsidRPr="00541AE7" w14:paraId="3A33936A" w14:textId="77777777" w:rsidTr="000A4140">
        <w:tc>
          <w:tcPr>
            <w:tcW w:w="3823" w:type="dxa"/>
            <w:shd w:val="clear" w:color="auto" w:fill="auto"/>
          </w:tcPr>
          <w:p w14:paraId="0CC9B7E3"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Paraguay</w:t>
            </w:r>
          </w:p>
        </w:tc>
        <w:tc>
          <w:tcPr>
            <w:tcW w:w="5953" w:type="dxa"/>
            <w:shd w:val="clear" w:color="auto" w:fill="92D050"/>
          </w:tcPr>
          <w:p w14:paraId="31A034F7" w14:textId="77777777" w:rsidR="00CF345D" w:rsidRPr="00541AE7" w:rsidRDefault="00CF345D" w:rsidP="000A4140"/>
        </w:tc>
        <w:tc>
          <w:tcPr>
            <w:tcW w:w="2065" w:type="dxa"/>
            <w:shd w:val="clear" w:color="auto" w:fill="92D050"/>
          </w:tcPr>
          <w:p w14:paraId="6A1CB5BB" w14:textId="77777777" w:rsidR="00CF345D" w:rsidRPr="00541AE7" w:rsidRDefault="00CF345D" w:rsidP="000A4140">
            <w:pPr>
              <w:rPr>
                <w:rFonts w:asciiTheme="majorHAnsi" w:hAnsiTheme="majorHAnsi"/>
                <w:sz w:val="20"/>
                <w:szCs w:val="20"/>
              </w:rPr>
            </w:pPr>
          </w:p>
        </w:tc>
        <w:tc>
          <w:tcPr>
            <w:tcW w:w="1099" w:type="dxa"/>
            <w:shd w:val="clear" w:color="auto" w:fill="92D050"/>
          </w:tcPr>
          <w:p w14:paraId="6A74A424" w14:textId="77777777" w:rsidR="00CF345D" w:rsidRPr="00541AE7" w:rsidRDefault="00CF345D" w:rsidP="000A4140">
            <w:pPr>
              <w:rPr>
                <w:rFonts w:asciiTheme="majorHAnsi" w:hAnsiTheme="majorHAnsi"/>
                <w:sz w:val="20"/>
                <w:szCs w:val="20"/>
              </w:rPr>
            </w:pPr>
          </w:p>
        </w:tc>
        <w:tc>
          <w:tcPr>
            <w:tcW w:w="1008" w:type="dxa"/>
            <w:shd w:val="clear" w:color="auto" w:fill="auto"/>
          </w:tcPr>
          <w:p w14:paraId="17C9F7C9" w14:textId="77777777" w:rsidR="00CF345D" w:rsidRPr="00541AE7" w:rsidRDefault="00CF345D" w:rsidP="000A4140">
            <w:pPr>
              <w:rPr>
                <w:rFonts w:asciiTheme="majorHAnsi" w:hAnsiTheme="majorHAnsi"/>
                <w:sz w:val="20"/>
                <w:szCs w:val="20"/>
              </w:rPr>
            </w:pPr>
          </w:p>
        </w:tc>
      </w:tr>
      <w:tr w:rsidR="00CF345D" w:rsidRPr="00541AE7" w14:paraId="703555D9" w14:textId="77777777" w:rsidTr="000A4140">
        <w:tc>
          <w:tcPr>
            <w:tcW w:w="3823" w:type="dxa"/>
            <w:shd w:val="clear" w:color="auto" w:fill="auto"/>
          </w:tcPr>
          <w:p w14:paraId="67AB2897"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Peru</w:t>
            </w:r>
          </w:p>
        </w:tc>
        <w:tc>
          <w:tcPr>
            <w:tcW w:w="5953" w:type="dxa"/>
            <w:shd w:val="clear" w:color="auto" w:fill="92D050"/>
          </w:tcPr>
          <w:p w14:paraId="2C4115F4" w14:textId="77777777" w:rsidR="00CF345D" w:rsidRPr="00541AE7" w:rsidRDefault="00CF345D" w:rsidP="000A4140"/>
        </w:tc>
        <w:tc>
          <w:tcPr>
            <w:tcW w:w="2065" w:type="dxa"/>
            <w:shd w:val="clear" w:color="auto" w:fill="92D050"/>
          </w:tcPr>
          <w:p w14:paraId="57F3F719" w14:textId="77777777" w:rsidR="00CF345D" w:rsidRPr="00541AE7" w:rsidRDefault="00CF345D" w:rsidP="000A4140">
            <w:pPr>
              <w:rPr>
                <w:rFonts w:asciiTheme="majorHAnsi" w:hAnsiTheme="majorHAnsi"/>
                <w:sz w:val="20"/>
                <w:szCs w:val="20"/>
              </w:rPr>
            </w:pPr>
          </w:p>
        </w:tc>
        <w:tc>
          <w:tcPr>
            <w:tcW w:w="1099" w:type="dxa"/>
            <w:shd w:val="clear" w:color="auto" w:fill="92D050"/>
          </w:tcPr>
          <w:p w14:paraId="455B6288" w14:textId="77777777" w:rsidR="00CF345D" w:rsidRPr="00541AE7" w:rsidRDefault="00CF345D" w:rsidP="000A4140">
            <w:pPr>
              <w:rPr>
                <w:rFonts w:asciiTheme="majorHAnsi" w:hAnsiTheme="majorHAnsi"/>
                <w:sz w:val="20"/>
                <w:szCs w:val="20"/>
              </w:rPr>
            </w:pPr>
          </w:p>
        </w:tc>
        <w:tc>
          <w:tcPr>
            <w:tcW w:w="1008" w:type="dxa"/>
            <w:shd w:val="clear" w:color="auto" w:fill="auto"/>
          </w:tcPr>
          <w:p w14:paraId="5DDFDD30" w14:textId="77777777" w:rsidR="00CF345D" w:rsidRPr="00541AE7" w:rsidRDefault="00CF345D" w:rsidP="000A4140">
            <w:pPr>
              <w:rPr>
                <w:rFonts w:asciiTheme="majorHAnsi" w:hAnsiTheme="majorHAnsi"/>
                <w:sz w:val="20"/>
                <w:szCs w:val="20"/>
              </w:rPr>
            </w:pPr>
          </w:p>
        </w:tc>
      </w:tr>
      <w:tr w:rsidR="00CF345D" w:rsidRPr="00541AE7" w14:paraId="71B98DCA" w14:textId="77777777" w:rsidTr="000A4140">
        <w:tc>
          <w:tcPr>
            <w:tcW w:w="3823" w:type="dxa"/>
            <w:shd w:val="clear" w:color="auto" w:fill="auto"/>
          </w:tcPr>
          <w:p w14:paraId="492B56C0"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Uruguay</w:t>
            </w:r>
          </w:p>
        </w:tc>
        <w:tc>
          <w:tcPr>
            <w:tcW w:w="5953" w:type="dxa"/>
            <w:shd w:val="clear" w:color="auto" w:fill="92D050"/>
          </w:tcPr>
          <w:p w14:paraId="1EABD367" w14:textId="77777777" w:rsidR="00CF345D" w:rsidRPr="00541AE7" w:rsidRDefault="00CF345D" w:rsidP="000A4140"/>
        </w:tc>
        <w:tc>
          <w:tcPr>
            <w:tcW w:w="2065" w:type="dxa"/>
            <w:shd w:val="clear" w:color="auto" w:fill="92D050"/>
          </w:tcPr>
          <w:p w14:paraId="40D9CD1E" w14:textId="77777777" w:rsidR="00CF345D" w:rsidRPr="00541AE7" w:rsidRDefault="00CF345D" w:rsidP="000A4140">
            <w:pPr>
              <w:rPr>
                <w:rFonts w:asciiTheme="majorHAnsi" w:hAnsiTheme="majorHAnsi"/>
                <w:sz w:val="20"/>
                <w:szCs w:val="20"/>
              </w:rPr>
            </w:pPr>
          </w:p>
        </w:tc>
        <w:tc>
          <w:tcPr>
            <w:tcW w:w="1099" w:type="dxa"/>
            <w:shd w:val="clear" w:color="auto" w:fill="92D050"/>
          </w:tcPr>
          <w:p w14:paraId="7E9EC24C" w14:textId="77777777" w:rsidR="00CF345D" w:rsidRPr="00541AE7" w:rsidRDefault="00CF345D" w:rsidP="000A4140">
            <w:pPr>
              <w:rPr>
                <w:rFonts w:asciiTheme="majorHAnsi" w:hAnsiTheme="majorHAnsi"/>
                <w:sz w:val="20"/>
                <w:szCs w:val="20"/>
              </w:rPr>
            </w:pPr>
          </w:p>
        </w:tc>
        <w:tc>
          <w:tcPr>
            <w:tcW w:w="1008" w:type="dxa"/>
            <w:shd w:val="clear" w:color="auto" w:fill="auto"/>
          </w:tcPr>
          <w:p w14:paraId="2B90EBFA" w14:textId="77777777" w:rsidR="00CF345D" w:rsidRPr="00541AE7" w:rsidRDefault="00CF345D" w:rsidP="000A4140">
            <w:pPr>
              <w:rPr>
                <w:rFonts w:asciiTheme="majorHAnsi" w:hAnsiTheme="majorHAnsi"/>
                <w:sz w:val="20"/>
                <w:szCs w:val="20"/>
              </w:rPr>
            </w:pPr>
          </w:p>
        </w:tc>
      </w:tr>
      <w:tr w:rsidR="00CF345D" w:rsidRPr="00541AE7" w14:paraId="5466447D" w14:textId="77777777" w:rsidTr="000A4140">
        <w:tc>
          <w:tcPr>
            <w:tcW w:w="3823" w:type="dxa"/>
            <w:shd w:val="clear" w:color="auto" w:fill="auto"/>
          </w:tcPr>
          <w:p w14:paraId="76817285"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Venezuela</w:t>
            </w:r>
          </w:p>
        </w:tc>
        <w:tc>
          <w:tcPr>
            <w:tcW w:w="5953" w:type="dxa"/>
            <w:shd w:val="clear" w:color="auto" w:fill="92D050"/>
          </w:tcPr>
          <w:p w14:paraId="5F134722" w14:textId="77777777" w:rsidR="00CF345D" w:rsidRPr="00541AE7" w:rsidRDefault="00CF345D" w:rsidP="000A4140"/>
        </w:tc>
        <w:tc>
          <w:tcPr>
            <w:tcW w:w="2065" w:type="dxa"/>
            <w:shd w:val="clear" w:color="auto" w:fill="92D050"/>
          </w:tcPr>
          <w:p w14:paraId="019CD612" w14:textId="77777777" w:rsidR="00CF345D" w:rsidRPr="00541AE7" w:rsidRDefault="00CF345D" w:rsidP="000A4140">
            <w:pPr>
              <w:rPr>
                <w:rFonts w:asciiTheme="majorHAnsi" w:hAnsiTheme="majorHAnsi"/>
                <w:sz w:val="20"/>
                <w:szCs w:val="20"/>
              </w:rPr>
            </w:pPr>
          </w:p>
        </w:tc>
        <w:tc>
          <w:tcPr>
            <w:tcW w:w="1099" w:type="dxa"/>
            <w:shd w:val="clear" w:color="auto" w:fill="92D050"/>
          </w:tcPr>
          <w:p w14:paraId="78CD2789" w14:textId="77777777" w:rsidR="00CF345D" w:rsidRPr="00541AE7" w:rsidRDefault="00CF345D" w:rsidP="000A4140">
            <w:pPr>
              <w:rPr>
                <w:rFonts w:asciiTheme="majorHAnsi" w:hAnsiTheme="majorHAnsi"/>
                <w:sz w:val="20"/>
                <w:szCs w:val="20"/>
              </w:rPr>
            </w:pPr>
          </w:p>
        </w:tc>
        <w:tc>
          <w:tcPr>
            <w:tcW w:w="1008" w:type="dxa"/>
            <w:shd w:val="clear" w:color="auto" w:fill="auto"/>
          </w:tcPr>
          <w:p w14:paraId="7172990C" w14:textId="77777777" w:rsidR="00CF345D" w:rsidRPr="00541AE7" w:rsidRDefault="00CF345D" w:rsidP="000A4140">
            <w:pPr>
              <w:rPr>
                <w:rFonts w:asciiTheme="majorHAnsi" w:hAnsiTheme="majorHAnsi"/>
                <w:sz w:val="20"/>
                <w:szCs w:val="20"/>
              </w:rPr>
            </w:pPr>
          </w:p>
        </w:tc>
      </w:tr>
      <w:tr w:rsidR="00CF345D" w:rsidRPr="00541AE7" w14:paraId="4C7336B1" w14:textId="77777777" w:rsidTr="000A4140">
        <w:trPr>
          <w:trHeight w:val="535"/>
        </w:trPr>
        <w:tc>
          <w:tcPr>
            <w:tcW w:w="3823" w:type="dxa"/>
          </w:tcPr>
          <w:p w14:paraId="725E553C" w14:textId="77777777" w:rsidR="00CF345D" w:rsidRPr="00541AE7" w:rsidRDefault="00CF345D" w:rsidP="000A4140">
            <w:pPr>
              <w:rPr>
                <w:rFonts w:asciiTheme="majorHAnsi" w:hAnsiTheme="majorHAnsi"/>
                <w:b/>
                <w:sz w:val="20"/>
                <w:szCs w:val="20"/>
                <w:u w:val="single"/>
              </w:rPr>
            </w:pPr>
            <w:r w:rsidRPr="00541AE7">
              <w:rPr>
                <w:rFonts w:asciiTheme="majorHAnsi" w:hAnsiTheme="majorHAnsi"/>
                <w:b/>
                <w:sz w:val="20"/>
                <w:szCs w:val="20"/>
                <w:u w:val="single"/>
              </w:rPr>
              <w:t>Asia</w:t>
            </w:r>
          </w:p>
        </w:tc>
        <w:tc>
          <w:tcPr>
            <w:tcW w:w="5953" w:type="dxa"/>
            <w:shd w:val="clear" w:color="auto" w:fill="auto"/>
          </w:tcPr>
          <w:p w14:paraId="27F8D93B" w14:textId="77777777" w:rsidR="00CF345D" w:rsidRPr="00541AE7" w:rsidRDefault="00CF345D" w:rsidP="000A4140">
            <w:pPr>
              <w:rPr>
                <w:rFonts w:asciiTheme="majorHAnsi" w:hAnsiTheme="majorHAnsi"/>
                <w:sz w:val="20"/>
                <w:szCs w:val="20"/>
              </w:rPr>
            </w:pPr>
          </w:p>
        </w:tc>
        <w:tc>
          <w:tcPr>
            <w:tcW w:w="2065" w:type="dxa"/>
          </w:tcPr>
          <w:p w14:paraId="10B27EC8" w14:textId="77777777" w:rsidR="00CF345D" w:rsidRPr="00541AE7" w:rsidRDefault="00CF345D" w:rsidP="000A4140">
            <w:pPr>
              <w:rPr>
                <w:rFonts w:asciiTheme="majorHAnsi" w:hAnsiTheme="majorHAnsi"/>
                <w:sz w:val="20"/>
                <w:szCs w:val="20"/>
              </w:rPr>
            </w:pPr>
          </w:p>
        </w:tc>
        <w:tc>
          <w:tcPr>
            <w:tcW w:w="1099" w:type="dxa"/>
          </w:tcPr>
          <w:p w14:paraId="2AB68A09" w14:textId="77777777" w:rsidR="00CF345D" w:rsidRPr="00541AE7" w:rsidRDefault="00CF345D" w:rsidP="000A4140">
            <w:pPr>
              <w:rPr>
                <w:rFonts w:asciiTheme="majorHAnsi" w:hAnsiTheme="majorHAnsi"/>
                <w:sz w:val="20"/>
                <w:szCs w:val="20"/>
              </w:rPr>
            </w:pPr>
          </w:p>
        </w:tc>
        <w:tc>
          <w:tcPr>
            <w:tcW w:w="1008" w:type="dxa"/>
          </w:tcPr>
          <w:p w14:paraId="37DA4AC5" w14:textId="77777777" w:rsidR="00CF345D" w:rsidRPr="00541AE7" w:rsidRDefault="00CF345D" w:rsidP="000A4140">
            <w:pPr>
              <w:rPr>
                <w:rFonts w:asciiTheme="majorHAnsi" w:hAnsiTheme="majorHAnsi"/>
                <w:sz w:val="20"/>
                <w:szCs w:val="20"/>
              </w:rPr>
            </w:pPr>
          </w:p>
        </w:tc>
      </w:tr>
      <w:tr w:rsidR="00CF345D" w:rsidRPr="00541AE7" w14:paraId="694235B8" w14:textId="77777777" w:rsidTr="000A4140">
        <w:tc>
          <w:tcPr>
            <w:tcW w:w="3823" w:type="dxa"/>
          </w:tcPr>
          <w:p w14:paraId="7B05F6F2" w14:textId="77777777" w:rsidR="00CF345D" w:rsidRPr="00947E60" w:rsidRDefault="00CF345D" w:rsidP="00CF345D">
            <w:pPr>
              <w:pStyle w:val="ListParagraph"/>
              <w:numPr>
                <w:ilvl w:val="0"/>
                <w:numId w:val="23"/>
              </w:numPr>
              <w:rPr>
                <w:rFonts w:asciiTheme="majorHAnsi" w:hAnsiTheme="majorHAnsi"/>
                <w:sz w:val="20"/>
                <w:szCs w:val="20"/>
              </w:rPr>
            </w:pPr>
            <w:r w:rsidRPr="00947E60">
              <w:rPr>
                <w:rFonts w:asciiTheme="majorHAnsi" w:hAnsiTheme="majorHAnsi"/>
                <w:sz w:val="20"/>
                <w:szCs w:val="20"/>
              </w:rPr>
              <w:t>Hong Kong</w:t>
            </w:r>
          </w:p>
        </w:tc>
        <w:tc>
          <w:tcPr>
            <w:tcW w:w="5953" w:type="dxa"/>
            <w:shd w:val="clear" w:color="auto" w:fill="92D050"/>
          </w:tcPr>
          <w:p w14:paraId="2EDF892B" w14:textId="77777777" w:rsidR="00CF345D" w:rsidRPr="00541AE7" w:rsidRDefault="00CF345D" w:rsidP="000A4140">
            <w:pPr>
              <w:rPr>
                <w:rFonts w:asciiTheme="majorHAnsi" w:hAnsiTheme="majorHAnsi"/>
                <w:sz w:val="20"/>
                <w:szCs w:val="20"/>
              </w:rPr>
            </w:pPr>
          </w:p>
        </w:tc>
        <w:tc>
          <w:tcPr>
            <w:tcW w:w="2065" w:type="dxa"/>
            <w:shd w:val="clear" w:color="auto" w:fill="FFFF00"/>
          </w:tcPr>
          <w:p w14:paraId="509DF5C9" w14:textId="77777777" w:rsidR="00CF345D" w:rsidRPr="00541AE7" w:rsidRDefault="00CF345D" w:rsidP="000A4140">
            <w:pPr>
              <w:rPr>
                <w:rFonts w:asciiTheme="majorHAnsi" w:hAnsiTheme="majorHAnsi"/>
                <w:sz w:val="20"/>
                <w:szCs w:val="20"/>
              </w:rPr>
            </w:pPr>
          </w:p>
        </w:tc>
        <w:tc>
          <w:tcPr>
            <w:tcW w:w="1099" w:type="dxa"/>
            <w:shd w:val="clear" w:color="auto" w:fill="FFFF00"/>
          </w:tcPr>
          <w:p w14:paraId="56EAFE94" w14:textId="77777777" w:rsidR="00CF345D" w:rsidRPr="00541AE7" w:rsidRDefault="00CF345D" w:rsidP="000A4140">
            <w:pPr>
              <w:rPr>
                <w:rFonts w:asciiTheme="majorHAnsi" w:hAnsiTheme="majorHAnsi"/>
                <w:sz w:val="20"/>
                <w:szCs w:val="20"/>
              </w:rPr>
            </w:pPr>
          </w:p>
        </w:tc>
        <w:tc>
          <w:tcPr>
            <w:tcW w:w="1008" w:type="dxa"/>
            <w:shd w:val="clear" w:color="auto" w:fill="92D050"/>
          </w:tcPr>
          <w:p w14:paraId="10355673" w14:textId="77777777" w:rsidR="00CF345D" w:rsidRPr="00541AE7" w:rsidRDefault="00CF345D" w:rsidP="000A4140">
            <w:pPr>
              <w:rPr>
                <w:rFonts w:asciiTheme="majorHAnsi" w:hAnsiTheme="majorHAnsi"/>
                <w:sz w:val="20"/>
                <w:szCs w:val="20"/>
              </w:rPr>
            </w:pPr>
          </w:p>
        </w:tc>
      </w:tr>
    </w:tbl>
    <w:p w14:paraId="675D3A1E" w14:textId="77777777" w:rsidR="00CF345D" w:rsidRDefault="00CF345D" w:rsidP="00CF345D">
      <w:pPr>
        <w:rPr>
          <w:rFonts w:asciiTheme="majorHAnsi" w:eastAsiaTheme="majorEastAsia" w:hAnsiTheme="majorHAnsi" w:cstheme="majorBidi"/>
          <w:color w:val="2E74B5" w:themeColor="accent1" w:themeShade="BF"/>
          <w:sz w:val="32"/>
          <w:szCs w:val="32"/>
        </w:rPr>
      </w:pPr>
    </w:p>
    <w:tbl>
      <w:tblPr>
        <w:tblStyle w:val="TableGrid"/>
        <w:tblW w:w="0" w:type="auto"/>
        <w:tblLook w:val="04A0" w:firstRow="1" w:lastRow="0" w:firstColumn="1" w:lastColumn="0" w:noHBand="0" w:noVBand="1"/>
      </w:tblPr>
      <w:tblGrid>
        <w:gridCol w:w="2789"/>
        <w:gridCol w:w="2789"/>
      </w:tblGrid>
      <w:tr w:rsidR="00CF345D" w:rsidRPr="00541AE7" w14:paraId="54E84CDA" w14:textId="77777777" w:rsidTr="000A4140">
        <w:tc>
          <w:tcPr>
            <w:tcW w:w="2789" w:type="dxa"/>
          </w:tcPr>
          <w:p w14:paraId="2D3420A3" w14:textId="77777777" w:rsidR="00CF345D" w:rsidRPr="00541AE7" w:rsidRDefault="00CF345D" w:rsidP="000A4140">
            <w:pPr>
              <w:rPr>
                <w:rFonts w:asciiTheme="majorHAnsi" w:hAnsiTheme="majorHAnsi"/>
                <w:b/>
                <w:sz w:val="20"/>
                <w:szCs w:val="20"/>
              </w:rPr>
            </w:pPr>
            <w:r w:rsidRPr="00541AE7">
              <w:rPr>
                <w:rFonts w:asciiTheme="majorHAnsi" w:hAnsiTheme="majorHAnsi"/>
                <w:b/>
                <w:sz w:val="20"/>
                <w:szCs w:val="20"/>
              </w:rPr>
              <w:t>Author of audio-visual work or cinematographic film</w:t>
            </w:r>
          </w:p>
        </w:tc>
        <w:tc>
          <w:tcPr>
            <w:tcW w:w="2789" w:type="dxa"/>
            <w:shd w:val="clear" w:color="auto" w:fill="92D050"/>
          </w:tcPr>
          <w:p w14:paraId="43D4C722" w14:textId="77777777" w:rsidR="00CF345D" w:rsidRPr="00541AE7" w:rsidRDefault="00CF345D" w:rsidP="000A4140">
            <w:pPr>
              <w:rPr>
                <w:rFonts w:asciiTheme="majorHAnsi" w:hAnsiTheme="majorHAnsi"/>
                <w:sz w:val="20"/>
                <w:szCs w:val="20"/>
              </w:rPr>
            </w:pPr>
          </w:p>
        </w:tc>
      </w:tr>
      <w:tr w:rsidR="00CF345D" w:rsidRPr="00541AE7" w14:paraId="5B353015" w14:textId="77777777" w:rsidTr="000A4140">
        <w:tc>
          <w:tcPr>
            <w:tcW w:w="2789" w:type="dxa"/>
          </w:tcPr>
          <w:p w14:paraId="6ED91771" w14:textId="77777777" w:rsidR="00CF345D" w:rsidRPr="00541AE7" w:rsidRDefault="00CF345D" w:rsidP="000A4140">
            <w:pPr>
              <w:rPr>
                <w:rFonts w:asciiTheme="majorHAnsi" w:hAnsiTheme="majorHAnsi"/>
                <w:b/>
                <w:sz w:val="20"/>
                <w:szCs w:val="20"/>
              </w:rPr>
            </w:pPr>
            <w:r w:rsidRPr="00541AE7">
              <w:rPr>
                <w:rFonts w:asciiTheme="majorHAnsi" w:hAnsiTheme="majorHAnsi"/>
                <w:b/>
                <w:sz w:val="20"/>
                <w:szCs w:val="20"/>
              </w:rPr>
              <w:t xml:space="preserve">Author of pre-existing or separate work </w:t>
            </w:r>
          </w:p>
        </w:tc>
        <w:tc>
          <w:tcPr>
            <w:tcW w:w="2789" w:type="dxa"/>
            <w:shd w:val="clear" w:color="auto" w:fill="FFFF00"/>
          </w:tcPr>
          <w:p w14:paraId="1965387F" w14:textId="77777777" w:rsidR="00CF345D" w:rsidRPr="00541AE7" w:rsidRDefault="00CF345D" w:rsidP="000A4140">
            <w:pPr>
              <w:rPr>
                <w:rFonts w:asciiTheme="majorHAnsi" w:hAnsiTheme="majorHAnsi"/>
                <w:sz w:val="20"/>
                <w:szCs w:val="20"/>
              </w:rPr>
            </w:pPr>
          </w:p>
        </w:tc>
      </w:tr>
    </w:tbl>
    <w:p w14:paraId="22828E91" w14:textId="77777777" w:rsidR="00CF345D" w:rsidRDefault="00CF345D" w:rsidP="00CF345D">
      <w:pPr>
        <w:rPr>
          <w:rFonts w:asciiTheme="majorHAnsi" w:hAnsiTheme="majorHAnsi"/>
          <w:sz w:val="20"/>
          <w:szCs w:val="20"/>
        </w:rPr>
      </w:pPr>
    </w:p>
    <w:p w14:paraId="05A40A99" w14:textId="77777777" w:rsidR="00CF345D" w:rsidRPr="00541AE7" w:rsidRDefault="00CF345D" w:rsidP="00CF345D">
      <w:pPr>
        <w:rPr>
          <w:rFonts w:asciiTheme="majorHAnsi" w:hAnsiTheme="majorHAnsi"/>
          <w:sz w:val="20"/>
          <w:szCs w:val="20"/>
        </w:rPr>
      </w:pPr>
      <w:r>
        <w:rPr>
          <w:rFonts w:asciiTheme="majorHAnsi" w:hAnsiTheme="majorHAnsi"/>
          <w:sz w:val="20"/>
          <w:szCs w:val="20"/>
        </w:rPr>
        <w:t>Note: in some territories, including in Europe and South America there is a presumption that while the Director is an author and owner of either the audio-visual work or cinematographic film, the economic rights are transferred to the producer of the work.</w:t>
      </w:r>
    </w:p>
    <w:p w14:paraId="156C4D8B" w14:textId="77777777" w:rsidR="00CF345D" w:rsidRPr="00CF345D" w:rsidRDefault="00CF345D" w:rsidP="00CF345D">
      <w:pPr>
        <w:rPr>
          <w:rFonts w:asciiTheme="majorHAnsi" w:eastAsiaTheme="majorEastAsia" w:hAnsiTheme="majorHAnsi" w:cstheme="majorBidi"/>
          <w:color w:val="2E74B5" w:themeColor="accent1" w:themeShade="BF"/>
          <w:sz w:val="32"/>
          <w:szCs w:val="32"/>
        </w:rPr>
      </w:pPr>
    </w:p>
    <w:p w14:paraId="7E8B8F99" w14:textId="77777777" w:rsidR="00CF345D" w:rsidRPr="00CF345D" w:rsidRDefault="00CF345D" w:rsidP="00CF345D">
      <w:pPr>
        <w:rPr>
          <w:rFonts w:asciiTheme="majorHAnsi" w:eastAsiaTheme="majorEastAsia" w:hAnsiTheme="majorHAnsi" w:cstheme="majorBidi"/>
          <w:color w:val="2E74B5" w:themeColor="accent1" w:themeShade="BF"/>
          <w:sz w:val="32"/>
          <w:szCs w:val="32"/>
        </w:rPr>
      </w:pPr>
    </w:p>
    <w:p w14:paraId="55FDC09F" w14:textId="77777777" w:rsidR="00063E65" w:rsidRDefault="00063E65" w:rsidP="00063E65">
      <w:pPr>
        <w:spacing w:after="0"/>
        <w:jc w:val="both"/>
        <w:rPr>
          <w:rFonts w:cs="Arial"/>
          <w:szCs w:val="21"/>
        </w:rPr>
      </w:pPr>
    </w:p>
    <w:p w14:paraId="5CC24B6C" w14:textId="77777777" w:rsidR="00E57057" w:rsidRPr="00E57057" w:rsidRDefault="00E57057" w:rsidP="00D97721">
      <w:pPr>
        <w:jc w:val="both"/>
        <w:rPr>
          <w:b/>
        </w:rPr>
      </w:pPr>
    </w:p>
    <w:sectPr w:rsidR="00E57057" w:rsidRPr="00E57057" w:rsidSect="00CF34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EA1D" w14:textId="77777777" w:rsidR="0044682C" w:rsidRDefault="0044682C" w:rsidP="00855F71">
      <w:pPr>
        <w:spacing w:after="0" w:line="240" w:lineRule="auto"/>
      </w:pPr>
      <w:r>
        <w:separator/>
      </w:r>
    </w:p>
  </w:endnote>
  <w:endnote w:type="continuationSeparator" w:id="0">
    <w:p w14:paraId="2F0C2630" w14:textId="77777777" w:rsidR="0044682C" w:rsidRDefault="0044682C" w:rsidP="0085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23C2" w14:textId="77777777" w:rsidR="004E0A77" w:rsidRDefault="004E0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8018797"/>
      <w:docPartObj>
        <w:docPartGallery w:val="Page Numbers (Bottom of Page)"/>
        <w:docPartUnique/>
      </w:docPartObj>
    </w:sdtPr>
    <w:sdtEndPr>
      <w:rPr>
        <w:color w:val="7F7F7F" w:themeColor="background1" w:themeShade="7F"/>
        <w:spacing w:val="60"/>
        <w:sz w:val="18"/>
      </w:rPr>
    </w:sdtEndPr>
    <w:sdtContent>
      <w:p w14:paraId="178DE020" w14:textId="12C9C867" w:rsidR="00EA66CF" w:rsidRPr="00910FC7" w:rsidRDefault="00910FC7" w:rsidP="00910FC7">
        <w:pPr>
          <w:pStyle w:val="Footer"/>
          <w:pBdr>
            <w:top w:val="single" w:sz="4" w:space="1" w:color="D9D9D9" w:themeColor="background1" w:themeShade="D9"/>
          </w:pBdr>
          <w:tabs>
            <w:tab w:val="left" w:pos="7990"/>
          </w:tabs>
          <w:rPr>
            <w:sz w:val="18"/>
          </w:rPr>
        </w:pPr>
        <w:r w:rsidRPr="00910FC7">
          <w:rPr>
            <w:sz w:val="20"/>
          </w:rPr>
          <w:tab/>
        </w:r>
        <w:r w:rsidRPr="00910FC7">
          <w:rPr>
            <w:sz w:val="20"/>
          </w:rPr>
          <w:tab/>
        </w:r>
        <w:r w:rsidRPr="00910FC7">
          <w:rPr>
            <w:sz w:val="20"/>
          </w:rPr>
          <w:tab/>
        </w:r>
        <w:r w:rsidR="00EA66CF" w:rsidRPr="00910FC7">
          <w:rPr>
            <w:sz w:val="18"/>
          </w:rPr>
          <w:fldChar w:fldCharType="begin"/>
        </w:r>
        <w:r w:rsidR="00EA66CF" w:rsidRPr="00910FC7">
          <w:rPr>
            <w:sz w:val="18"/>
          </w:rPr>
          <w:instrText xml:space="preserve"> PAGE   \* MERGEFORMAT </w:instrText>
        </w:r>
        <w:r w:rsidR="00EA66CF" w:rsidRPr="00910FC7">
          <w:rPr>
            <w:sz w:val="18"/>
          </w:rPr>
          <w:fldChar w:fldCharType="separate"/>
        </w:r>
        <w:r w:rsidR="008D3282">
          <w:rPr>
            <w:noProof/>
            <w:sz w:val="18"/>
          </w:rPr>
          <w:t>2</w:t>
        </w:r>
        <w:r w:rsidR="00EA66CF" w:rsidRPr="00910FC7">
          <w:rPr>
            <w:noProof/>
            <w:sz w:val="18"/>
          </w:rPr>
          <w:fldChar w:fldCharType="end"/>
        </w:r>
        <w:r w:rsidR="00EA66CF" w:rsidRPr="00910FC7">
          <w:rPr>
            <w:sz w:val="18"/>
          </w:rPr>
          <w:t xml:space="preserve"> | </w:t>
        </w:r>
        <w:r w:rsidR="00EA66CF" w:rsidRPr="00910FC7">
          <w:rPr>
            <w:color w:val="7F7F7F" w:themeColor="background1" w:themeShade="7F"/>
            <w:spacing w:val="60"/>
            <w:sz w:val="18"/>
          </w:rPr>
          <w:t>Page</w:t>
        </w:r>
      </w:p>
    </w:sdtContent>
  </w:sdt>
  <w:p w14:paraId="38DBDC1B" w14:textId="77777777" w:rsidR="00D558A7" w:rsidRDefault="00D55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ADD7" w14:textId="77777777" w:rsidR="004E0A77" w:rsidRDefault="004E0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6F582" w14:textId="77777777" w:rsidR="0044682C" w:rsidRDefault="0044682C" w:rsidP="00855F71">
      <w:pPr>
        <w:spacing w:after="0" w:line="240" w:lineRule="auto"/>
      </w:pPr>
      <w:r>
        <w:separator/>
      </w:r>
    </w:p>
  </w:footnote>
  <w:footnote w:type="continuationSeparator" w:id="0">
    <w:p w14:paraId="2C89768C" w14:textId="77777777" w:rsidR="0044682C" w:rsidRDefault="0044682C" w:rsidP="00855F71">
      <w:pPr>
        <w:spacing w:after="0" w:line="240" w:lineRule="auto"/>
      </w:pPr>
      <w:r>
        <w:continuationSeparator/>
      </w:r>
    </w:p>
  </w:footnote>
  <w:footnote w:id="1">
    <w:p w14:paraId="37D72243" w14:textId="1B9A3227" w:rsidR="00910FC7" w:rsidRDefault="00910FC7">
      <w:pPr>
        <w:pStyle w:val="FootnoteText"/>
      </w:pPr>
      <w:r>
        <w:rPr>
          <w:rStyle w:val="FootnoteReference"/>
        </w:rPr>
        <w:footnoteRef/>
      </w:r>
      <w:r>
        <w:t xml:space="preserve"> The Hon. Joe Hockey and the Hon. Bruce Billson, “</w:t>
      </w:r>
      <w:r w:rsidRPr="00910FC7">
        <w:t>Productivity Commission inquiry into Australia’s intellectual property arrangements</w:t>
      </w:r>
      <w:r>
        <w:t xml:space="preserve">”, </w:t>
      </w:r>
      <w:r>
        <w:rPr>
          <w:i/>
        </w:rPr>
        <w:t>Media release</w:t>
      </w:r>
      <w:r>
        <w:t xml:space="preserve">, 18 August 2015 at </w:t>
      </w:r>
      <w:hyperlink r:id="rId1" w:history="1">
        <w:r w:rsidRPr="0087074B">
          <w:rPr>
            <w:rStyle w:val="Hyperlink"/>
          </w:rPr>
          <w:t>http://jbh.ministers.treasury.gov.au/media-release/073-2015/</w:t>
        </w:r>
      </w:hyperlink>
      <w:r>
        <w:t xml:space="preserve"> (accessed 22 September 2015).</w:t>
      </w:r>
    </w:p>
  </w:footnote>
  <w:footnote w:id="2">
    <w:p w14:paraId="1AAB4FF4" w14:textId="0EC178B4" w:rsidR="00554246" w:rsidRPr="00554246" w:rsidRDefault="00554246">
      <w:pPr>
        <w:pStyle w:val="FootnoteText"/>
        <w:rPr>
          <w:i/>
        </w:rPr>
      </w:pPr>
      <w:r>
        <w:rPr>
          <w:rStyle w:val="FootnoteReference"/>
        </w:rPr>
        <w:footnoteRef/>
      </w:r>
      <w:r>
        <w:t xml:space="preserve"> PwC, </w:t>
      </w:r>
      <w:r>
        <w:rPr>
          <w:i/>
        </w:rPr>
        <w:t>The Economic Contribution of Australia’s Copyright Industries: 2002-2014,</w:t>
      </w:r>
      <w:r>
        <w:t xml:space="preserve"> 2015 available at: </w:t>
      </w:r>
      <w:hyperlink r:id="rId2" w:history="1">
        <w:r w:rsidRPr="00F9684D">
          <w:rPr>
            <w:rStyle w:val="Hyperlink"/>
          </w:rPr>
          <w:t>https://www.copyright.org.au/acc_prod/ACC/News_items/Copyright_Industries_continue_to_be_a_significant_contributor_to_the_Australian_Economy.aspx</w:t>
        </w:r>
      </w:hyperlink>
      <w:r>
        <w:t xml:space="preserve"> (accessed 20 November 2015).</w:t>
      </w:r>
      <w:r>
        <w:rPr>
          <w:i/>
        </w:rPr>
        <w:t xml:space="preserve"> </w:t>
      </w:r>
    </w:p>
  </w:footnote>
  <w:footnote w:id="3">
    <w:p w14:paraId="6DF8ABBC" w14:textId="1982C258" w:rsidR="00554246" w:rsidRDefault="00554246">
      <w:pPr>
        <w:pStyle w:val="FootnoteText"/>
      </w:pPr>
      <w:r>
        <w:rPr>
          <w:rStyle w:val="FootnoteReference"/>
        </w:rPr>
        <w:footnoteRef/>
      </w:r>
      <w:r>
        <w:t xml:space="preserve"> Ibid.</w:t>
      </w:r>
    </w:p>
  </w:footnote>
  <w:footnote w:id="4">
    <w:p w14:paraId="288BF313" w14:textId="0BEEBCD8" w:rsidR="00D004A3" w:rsidRDefault="00D004A3">
      <w:pPr>
        <w:pStyle w:val="FootnoteText"/>
      </w:pPr>
      <w:r>
        <w:rPr>
          <w:rStyle w:val="FootnoteReference"/>
        </w:rPr>
        <w:footnoteRef/>
      </w:r>
      <w:r>
        <w:t xml:space="preserve"> Issues Paper, page 20.</w:t>
      </w:r>
    </w:p>
  </w:footnote>
  <w:footnote w:id="5">
    <w:p w14:paraId="51F3F6E0" w14:textId="02CD6413" w:rsidR="002D4ABE" w:rsidRDefault="002D4ABE">
      <w:pPr>
        <w:pStyle w:val="FootnoteText"/>
      </w:pPr>
      <w:r>
        <w:rPr>
          <w:rStyle w:val="FootnoteReference"/>
        </w:rPr>
        <w:footnoteRef/>
      </w:r>
      <w:r>
        <w:t xml:space="preserve"> Scope of the Terms of Reference.</w:t>
      </w:r>
    </w:p>
  </w:footnote>
  <w:footnote w:id="6">
    <w:p w14:paraId="3DA81137" w14:textId="77777777" w:rsidR="00726D94" w:rsidRPr="00501A11" w:rsidRDefault="00726D94" w:rsidP="00726D94">
      <w:pPr>
        <w:pStyle w:val="FootnoteText"/>
      </w:pPr>
      <w:r>
        <w:rPr>
          <w:rStyle w:val="FootnoteReference"/>
        </w:rPr>
        <w:footnoteRef/>
      </w:r>
      <w:r>
        <w:t xml:space="preserve"> Deloitte Access Economics, </w:t>
      </w:r>
      <w:r>
        <w:rPr>
          <w:i/>
        </w:rPr>
        <w:t>Economic Contribution of the film and television in Australia</w:t>
      </w:r>
      <w:r>
        <w:t xml:space="preserve">, February 2015 at </w:t>
      </w:r>
      <w:hyperlink r:id="rId3" w:history="1">
        <w:r w:rsidRPr="006110E7">
          <w:rPr>
            <w:rStyle w:val="Hyperlink"/>
          </w:rPr>
          <w:t>http://www.screenassociation.com.au/uploads/reports/ASA_Economic_Contribution_Report.pdf</w:t>
        </w:r>
      </w:hyperlink>
      <w:r>
        <w:t xml:space="preserve">. </w:t>
      </w:r>
    </w:p>
  </w:footnote>
  <w:footnote w:id="7">
    <w:p w14:paraId="73A950F4" w14:textId="77777777" w:rsidR="00726D94" w:rsidRPr="00B75356" w:rsidRDefault="00726D94" w:rsidP="00726D94">
      <w:pPr>
        <w:pStyle w:val="FootnoteText"/>
      </w:pPr>
      <w:r>
        <w:rPr>
          <w:rStyle w:val="FootnoteReference"/>
        </w:rPr>
        <w:footnoteRef/>
      </w:r>
      <w:r>
        <w:t xml:space="preserve"> Australian Bureau of Statistics, </w:t>
      </w:r>
      <w:r>
        <w:rPr>
          <w:i/>
        </w:rPr>
        <w:t>Arts and Culture in Australia: A Statistical Overview</w:t>
      </w:r>
      <w:r>
        <w:t>, 2010.</w:t>
      </w:r>
    </w:p>
  </w:footnote>
  <w:footnote w:id="8">
    <w:p w14:paraId="0643C679" w14:textId="76D83D23" w:rsidR="00726D94" w:rsidRPr="002E13E1" w:rsidRDefault="00726D94" w:rsidP="00726D94">
      <w:pPr>
        <w:pStyle w:val="FootnoteText"/>
      </w:pPr>
      <w:r>
        <w:rPr>
          <w:rStyle w:val="FootnoteReference"/>
        </w:rPr>
        <w:footnoteRef/>
      </w:r>
      <w:r>
        <w:t xml:space="preserve"> This is based on the yearly applications for full membership to the Australian Directors Guild for 201</w:t>
      </w:r>
      <w:r w:rsidR="00B513AF">
        <w:t>4</w:t>
      </w:r>
      <w:r>
        <w:t>.</w:t>
      </w:r>
    </w:p>
  </w:footnote>
  <w:footnote w:id="9">
    <w:p w14:paraId="58C7A20B" w14:textId="77777777" w:rsidR="00726D94" w:rsidRPr="002E13E1" w:rsidRDefault="00726D94" w:rsidP="00726D94">
      <w:pPr>
        <w:pStyle w:val="FootnoteText"/>
      </w:pPr>
      <w:r>
        <w:rPr>
          <w:rStyle w:val="FootnoteReference"/>
        </w:rPr>
        <w:footnoteRef/>
      </w:r>
      <w:r>
        <w:t xml:space="preserve"> Ibid.</w:t>
      </w:r>
    </w:p>
  </w:footnote>
  <w:footnote w:id="10">
    <w:p w14:paraId="2913D702" w14:textId="77777777" w:rsidR="00063E65" w:rsidRPr="0016160B" w:rsidRDefault="00063E65" w:rsidP="00063E65">
      <w:pPr>
        <w:pStyle w:val="FootnoteText"/>
      </w:pPr>
      <w:r>
        <w:rPr>
          <w:rStyle w:val="FootnoteReference"/>
        </w:rPr>
        <w:footnoteRef/>
      </w:r>
      <w:r>
        <w:t xml:space="preserve"> The Arts Law Centre, Submission on Directors’ Copyright in Films, 13 November 1999, pages 2-3. </w:t>
      </w:r>
    </w:p>
  </w:footnote>
  <w:footnote w:id="11">
    <w:p w14:paraId="792C411D" w14:textId="77777777" w:rsidR="00063E65" w:rsidRDefault="00063E65" w:rsidP="00063E65">
      <w:pPr>
        <w:pStyle w:val="FootnoteText"/>
      </w:pPr>
      <w:r>
        <w:rPr>
          <w:rStyle w:val="FootnoteReference"/>
        </w:rPr>
        <w:footnoteRef/>
      </w:r>
      <w:r>
        <w:t xml:space="preserve"> Section 22(4) of the Act defines a ‘maker’ of a cinematographic film as in effect its producer:</w:t>
      </w:r>
    </w:p>
    <w:p w14:paraId="31CAEA20" w14:textId="77777777" w:rsidR="00063E65" w:rsidRDefault="00063E65" w:rsidP="00063E65">
      <w:pPr>
        <w:pStyle w:val="FootnoteText"/>
      </w:pPr>
      <w:r>
        <w:t>a.</w:t>
      </w:r>
      <w:r>
        <w:tab/>
        <w:t>A reference to the making of a cinematograph film shall be read as a reference to the doing of the things necessary for the production of the first copy of the film; and</w:t>
      </w:r>
    </w:p>
    <w:p w14:paraId="50849960" w14:textId="77777777" w:rsidR="00063E65" w:rsidRPr="00861ECF" w:rsidRDefault="00063E65" w:rsidP="00063E65">
      <w:pPr>
        <w:pStyle w:val="FootnoteText"/>
      </w:pPr>
      <w:r>
        <w:t>b.</w:t>
      </w:r>
      <w:r>
        <w:tab/>
        <w:t>The maker of the cinematograph film is the person by whom the arrangements necessary for the making of the film were undertaken.</w:t>
      </w:r>
    </w:p>
  </w:footnote>
  <w:footnote w:id="12">
    <w:p w14:paraId="09FCEA38" w14:textId="77777777" w:rsidR="00063E65" w:rsidRPr="008424DF" w:rsidRDefault="00063E65" w:rsidP="00063E65">
      <w:pPr>
        <w:pStyle w:val="FootnoteText"/>
      </w:pPr>
      <w:r>
        <w:rPr>
          <w:rStyle w:val="FootnoteReference"/>
        </w:rPr>
        <w:footnoteRef/>
      </w:r>
      <w:r>
        <w:t xml:space="preserve"> The Hon. Philip Ruddock, Attorney-General, </w:t>
      </w:r>
      <w:r>
        <w:rPr>
          <w:i/>
        </w:rPr>
        <w:t>House of Representatives Hansard</w:t>
      </w:r>
      <w:r>
        <w:t>, 17 March 2005, p. 1.</w:t>
      </w:r>
    </w:p>
  </w:footnote>
  <w:footnote w:id="13">
    <w:p w14:paraId="46B220DD" w14:textId="77777777" w:rsidR="00063E65" w:rsidRPr="00CA7827" w:rsidRDefault="00063E65" w:rsidP="00063E65">
      <w:pPr>
        <w:pStyle w:val="FootnoteText"/>
      </w:pPr>
      <w:r>
        <w:rPr>
          <w:rStyle w:val="FootnoteReference"/>
        </w:rPr>
        <w:footnoteRef/>
      </w:r>
      <w:r>
        <w:t xml:space="preserve"> Section 98 of the Act.</w:t>
      </w:r>
    </w:p>
  </w:footnote>
  <w:footnote w:id="14">
    <w:p w14:paraId="2AD82EFA" w14:textId="0C82D89C" w:rsidR="00B513AF" w:rsidRDefault="00B513AF">
      <w:pPr>
        <w:pStyle w:val="FootnoteText"/>
      </w:pPr>
      <w:r>
        <w:rPr>
          <w:rStyle w:val="FootnoteReference"/>
        </w:rPr>
        <w:footnoteRef/>
      </w:r>
      <w:r>
        <w:t xml:space="preserve"> This is because the Act does not specify the shares of retransmission rights for producers and directors.  At a practical level, this has negative implications for the efficient and effective distribution of any such royalties by the designated collecting society in Australia, Screenrights. </w:t>
      </w:r>
    </w:p>
  </w:footnote>
  <w:footnote w:id="15">
    <w:p w14:paraId="55351E77" w14:textId="36BB1005" w:rsidR="000A0EC7" w:rsidRPr="000A0EC7" w:rsidRDefault="000A0EC7">
      <w:pPr>
        <w:pStyle w:val="FootnoteText"/>
      </w:pPr>
      <w:r>
        <w:rPr>
          <w:rStyle w:val="FootnoteReference"/>
        </w:rPr>
        <w:footnoteRef/>
      </w:r>
      <w:r>
        <w:t xml:space="preserve"> As provided for under Article 6 </w:t>
      </w:r>
      <w:r>
        <w:rPr>
          <w:i/>
        </w:rPr>
        <w:t xml:space="preserve">bis </w:t>
      </w:r>
      <w:r>
        <w:t>of the Berne Convention.</w:t>
      </w:r>
    </w:p>
  </w:footnote>
  <w:footnote w:id="16">
    <w:p w14:paraId="13CF391A" w14:textId="359F5D8D" w:rsidR="00D004A3" w:rsidRDefault="00D004A3">
      <w:pPr>
        <w:pStyle w:val="FootnoteText"/>
      </w:pPr>
      <w:r>
        <w:rPr>
          <w:rStyle w:val="FootnoteReference"/>
        </w:rPr>
        <w:footnoteRef/>
      </w:r>
      <w:r>
        <w:t xml:space="preserve"> Issues Paper, page 21.</w:t>
      </w:r>
    </w:p>
  </w:footnote>
  <w:footnote w:id="17">
    <w:p w14:paraId="5D0C2AEF" w14:textId="529C6BDE" w:rsidR="00BE63B5" w:rsidRDefault="00BE63B5">
      <w:pPr>
        <w:pStyle w:val="FootnoteText"/>
      </w:pPr>
      <w:r>
        <w:rPr>
          <w:rStyle w:val="FootnoteReference"/>
        </w:rPr>
        <w:footnoteRef/>
      </w:r>
      <w:r>
        <w:t xml:space="preserve"> </w:t>
      </w:r>
      <w:r>
        <w:rPr>
          <w:rFonts w:cs="Arial"/>
          <w:szCs w:val="24"/>
        </w:rPr>
        <w:t>S</w:t>
      </w:r>
      <w:r w:rsidRPr="0046641D">
        <w:rPr>
          <w:rFonts w:cs="Arial"/>
          <w:szCs w:val="24"/>
        </w:rPr>
        <w:t>ection 22(4) o</w:t>
      </w:r>
      <w:r>
        <w:rPr>
          <w:rFonts w:cs="Arial"/>
          <w:szCs w:val="24"/>
        </w:rPr>
        <w:t>f the Act.</w:t>
      </w:r>
    </w:p>
  </w:footnote>
  <w:footnote w:id="18">
    <w:p w14:paraId="3DF203A9" w14:textId="484B26A8" w:rsidR="0051609E" w:rsidRDefault="0051609E">
      <w:pPr>
        <w:pStyle w:val="FootnoteText"/>
      </w:pPr>
      <w:r>
        <w:rPr>
          <w:rStyle w:val="FootnoteReference"/>
        </w:rPr>
        <w:footnoteRef/>
      </w:r>
      <w:r>
        <w:t xml:space="preserve"> </w:t>
      </w:r>
      <w:hyperlink r:id="rId4" w:history="1">
        <w:r w:rsidRPr="0087074B">
          <w:rPr>
            <w:rStyle w:val="Hyperlink"/>
          </w:rPr>
          <w:t>http://www.writersanddirectorsworldwide.org/</w:t>
        </w:r>
      </w:hyperlink>
      <w:r>
        <w:t xml:space="preserve"> (accessed 24 September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F281" w14:textId="77777777" w:rsidR="004E0A77" w:rsidRDefault="004E0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D23A7" w14:textId="0961D6BA" w:rsidR="004E0A77" w:rsidRDefault="004E0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875E" w14:textId="77777777" w:rsidR="004E0A77" w:rsidRDefault="004E0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20"/>
    <w:multiLevelType w:val="hybridMultilevel"/>
    <w:tmpl w:val="5E86C94A"/>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
    <w:nsid w:val="012F1EE8"/>
    <w:multiLevelType w:val="hybridMultilevel"/>
    <w:tmpl w:val="AD947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F3850"/>
    <w:multiLevelType w:val="hybridMultilevel"/>
    <w:tmpl w:val="09C63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2B7863"/>
    <w:multiLevelType w:val="hybridMultilevel"/>
    <w:tmpl w:val="838AB5C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0CF16CE"/>
    <w:multiLevelType w:val="hybridMultilevel"/>
    <w:tmpl w:val="0BA40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A30014"/>
    <w:multiLevelType w:val="hybridMultilevel"/>
    <w:tmpl w:val="60BC9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6B7C78"/>
    <w:multiLevelType w:val="hybridMultilevel"/>
    <w:tmpl w:val="E46A641E"/>
    <w:lvl w:ilvl="0" w:tplc="4C8C0D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7676E9"/>
    <w:multiLevelType w:val="hybridMultilevel"/>
    <w:tmpl w:val="59D4940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2BF7A5F"/>
    <w:multiLevelType w:val="hybridMultilevel"/>
    <w:tmpl w:val="B9047FD6"/>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3CA370EA"/>
    <w:multiLevelType w:val="hybridMultilevel"/>
    <w:tmpl w:val="42BC7C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D1D3C23"/>
    <w:multiLevelType w:val="hybridMultilevel"/>
    <w:tmpl w:val="5C14FF3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F80539B"/>
    <w:multiLevelType w:val="multilevel"/>
    <w:tmpl w:val="D1D8095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9A265C"/>
    <w:multiLevelType w:val="hybridMultilevel"/>
    <w:tmpl w:val="AF34D0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4774488"/>
    <w:multiLevelType w:val="hybridMultilevel"/>
    <w:tmpl w:val="564E47B8"/>
    <w:lvl w:ilvl="0" w:tplc="55946C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063AFD"/>
    <w:multiLevelType w:val="hybridMultilevel"/>
    <w:tmpl w:val="833C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5B4641"/>
    <w:multiLevelType w:val="hybridMultilevel"/>
    <w:tmpl w:val="C810C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4274FA"/>
    <w:multiLevelType w:val="hybridMultilevel"/>
    <w:tmpl w:val="5620721A"/>
    <w:lvl w:ilvl="0" w:tplc="0C09000F">
      <w:start w:val="1"/>
      <w:numFmt w:val="decimal"/>
      <w:lvlText w:val="%1."/>
      <w:lvlJc w:val="left"/>
      <w:pPr>
        <w:ind w:left="360" w:hanging="360"/>
      </w:pPr>
    </w:lvl>
    <w:lvl w:ilvl="1" w:tplc="E828FD42">
      <w:numFmt w:val="bullet"/>
      <w:lvlText w:val="•"/>
      <w:lvlJc w:val="left"/>
      <w:pPr>
        <w:ind w:left="1080" w:hanging="360"/>
      </w:pPr>
      <w:rPr>
        <w:rFonts w:ascii="Calibri" w:eastAsiaTheme="minorHAnsi" w:hAnsi="Calibri" w:cstheme="minorBid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1A42612"/>
    <w:multiLevelType w:val="hybridMultilevel"/>
    <w:tmpl w:val="6E647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6E04E9"/>
    <w:multiLevelType w:val="hybridMultilevel"/>
    <w:tmpl w:val="024C6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F1B2B7F"/>
    <w:multiLevelType w:val="hybridMultilevel"/>
    <w:tmpl w:val="DECC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1D6B4C"/>
    <w:multiLevelType w:val="hybridMultilevel"/>
    <w:tmpl w:val="2D36BB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F2A5B83"/>
    <w:multiLevelType w:val="hybridMultilevel"/>
    <w:tmpl w:val="9800A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FC17D6"/>
    <w:multiLevelType w:val="hybridMultilevel"/>
    <w:tmpl w:val="3F4C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3114A7"/>
    <w:multiLevelType w:val="hybridMultilevel"/>
    <w:tmpl w:val="EB48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8"/>
  </w:num>
  <w:num w:numId="6">
    <w:abstractNumId w:val="0"/>
  </w:num>
  <w:num w:numId="7">
    <w:abstractNumId w:val="13"/>
  </w:num>
  <w:num w:numId="8">
    <w:abstractNumId w:val="16"/>
  </w:num>
  <w:num w:numId="9">
    <w:abstractNumId w:val="9"/>
  </w:num>
  <w:num w:numId="10">
    <w:abstractNumId w:val="12"/>
  </w:num>
  <w:num w:numId="11">
    <w:abstractNumId w:val="3"/>
  </w:num>
  <w:num w:numId="12">
    <w:abstractNumId w:val="20"/>
  </w:num>
  <w:num w:numId="13">
    <w:abstractNumId w:val="7"/>
  </w:num>
  <w:num w:numId="14">
    <w:abstractNumId w:val="10"/>
  </w:num>
  <w:num w:numId="15">
    <w:abstractNumId w:val="8"/>
  </w:num>
  <w:num w:numId="16">
    <w:abstractNumId w:val="15"/>
  </w:num>
  <w:num w:numId="17">
    <w:abstractNumId w:val="19"/>
  </w:num>
  <w:num w:numId="18">
    <w:abstractNumId w:val="11"/>
  </w:num>
  <w:num w:numId="19">
    <w:abstractNumId w:val="14"/>
  </w:num>
  <w:num w:numId="20">
    <w:abstractNumId w:val="23"/>
  </w:num>
  <w:num w:numId="21">
    <w:abstractNumId w:val="1"/>
  </w:num>
  <w:num w:numId="22">
    <w:abstractNumId w:val="17"/>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63"/>
    <w:rsid w:val="00005AFC"/>
    <w:rsid w:val="0001414D"/>
    <w:rsid w:val="000417BA"/>
    <w:rsid w:val="00063E65"/>
    <w:rsid w:val="00097712"/>
    <w:rsid w:val="000A0EC7"/>
    <w:rsid w:val="000C466D"/>
    <w:rsid w:val="000E2844"/>
    <w:rsid w:val="000F1B98"/>
    <w:rsid w:val="00164C0A"/>
    <w:rsid w:val="0017413A"/>
    <w:rsid w:val="00196862"/>
    <w:rsid w:val="001B1697"/>
    <w:rsid w:val="001C676E"/>
    <w:rsid w:val="001C737B"/>
    <w:rsid w:val="001D1AB7"/>
    <w:rsid w:val="001F74AB"/>
    <w:rsid w:val="00216C38"/>
    <w:rsid w:val="002276FC"/>
    <w:rsid w:val="00232955"/>
    <w:rsid w:val="0024750F"/>
    <w:rsid w:val="00253436"/>
    <w:rsid w:val="00256059"/>
    <w:rsid w:val="00273C78"/>
    <w:rsid w:val="00277E46"/>
    <w:rsid w:val="002A284D"/>
    <w:rsid w:val="002D4ABE"/>
    <w:rsid w:val="002D77C2"/>
    <w:rsid w:val="003037CA"/>
    <w:rsid w:val="003153A9"/>
    <w:rsid w:val="003571DF"/>
    <w:rsid w:val="0036392E"/>
    <w:rsid w:val="00393CD7"/>
    <w:rsid w:val="003A72C3"/>
    <w:rsid w:val="003B6265"/>
    <w:rsid w:val="003E33C2"/>
    <w:rsid w:val="003F0535"/>
    <w:rsid w:val="00412D0A"/>
    <w:rsid w:val="00414B33"/>
    <w:rsid w:val="00431D8C"/>
    <w:rsid w:val="0044682C"/>
    <w:rsid w:val="00455165"/>
    <w:rsid w:val="00494781"/>
    <w:rsid w:val="004A4959"/>
    <w:rsid w:val="004B2C33"/>
    <w:rsid w:val="004E0A77"/>
    <w:rsid w:val="004E3BC4"/>
    <w:rsid w:val="0050346B"/>
    <w:rsid w:val="0051609E"/>
    <w:rsid w:val="00526D41"/>
    <w:rsid w:val="00543A9D"/>
    <w:rsid w:val="00554246"/>
    <w:rsid w:val="00555C89"/>
    <w:rsid w:val="00566D7F"/>
    <w:rsid w:val="00572EF7"/>
    <w:rsid w:val="005B70AA"/>
    <w:rsid w:val="005C7253"/>
    <w:rsid w:val="005D3C34"/>
    <w:rsid w:val="005E17D3"/>
    <w:rsid w:val="005E1C15"/>
    <w:rsid w:val="00624749"/>
    <w:rsid w:val="006560D2"/>
    <w:rsid w:val="006853EE"/>
    <w:rsid w:val="006A5648"/>
    <w:rsid w:val="006D426F"/>
    <w:rsid w:val="006E5A77"/>
    <w:rsid w:val="006F52FB"/>
    <w:rsid w:val="006F7E28"/>
    <w:rsid w:val="00726D94"/>
    <w:rsid w:val="00787188"/>
    <w:rsid w:val="007902E3"/>
    <w:rsid w:val="007B1F6D"/>
    <w:rsid w:val="007C70E2"/>
    <w:rsid w:val="007D18C3"/>
    <w:rsid w:val="007D44B2"/>
    <w:rsid w:val="007E6FB3"/>
    <w:rsid w:val="00855F71"/>
    <w:rsid w:val="0088481B"/>
    <w:rsid w:val="008D3282"/>
    <w:rsid w:val="008E55BE"/>
    <w:rsid w:val="00910FC7"/>
    <w:rsid w:val="00912D9E"/>
    <w:rsid w:val="00960A28"/>
    <w:rsid w:val="0096231A"/>
    <w:rsid w:val="00975EB8"/>
    <w:rsid w:val="009D73A2"/>
    <w:rsid w:val="00A00F7F"/>
    <w:rsid w:val="00A36351"/>
    <w:rsid w:val="00A6225C"/>
    <w:rsid w:val="00AA3B2F"/>
    <w:rsid w:val="00B17E32"/>
    <w:rsid w:val="00B20949"/>
    <w:rsid w:val="00B33A3D"/>
    <w:rsid w:val="00B513AF"/>
    <w:rsid w:val="00B6796A"/>
    <w:rsid w:val="00B7108B"/>
    <w:rsid w:val="00B72208"/>
    <w:rsid w:val="00B76781"/>
    <w:rsid w:val="00BE63B5"/>
    <w:rsid w:val="00BF759F"/>
    <w:rsid w:val="00C15BF1"/>
    <w:rsid w:val="00C3727E"/>
    <w:rsid w:val="00C64A85"/>
    <w:rsid w:val="00C735B1"/>
    <w:rsid w:val="00CD6B63"/>
    <w:rsid w:val="00CE2D02"/>
    <w:rsid w:val="00CF345D"/>
    <w:rsid w:val="00D004A3"/>
    <w:rsid w:val="00D1709E"/>
    <w:rsid w:val="00D4050C"/>
    <w:rsid w:val="00D558A7"/>
    <w:rsid w:val="00D8739F"/>
    <w:rsid w:val="00D97721"/>
    <w:rsid w:val="00DA2354"/>
    <w:rsid w:val="00DE5E1F"/>
    <w:rsid w:val="00E27DC6"/>
    <w:rsid w:val="00E335AF"/>
    <w:rsid w:val="00E57057"/>
    <w:rsid w:val="00EA6344"/>
    <w:rsid w:val="00EA66CF"/>
    <w:rsid w:val="00EB4930"/>
    <w:rsid w:val="00EC184B"/>
    <w:rsid w:val="00EC462E"/>
    <w:rsid w:val="00F4725C"/>
    <w:rsid w:val="00F50B3A"/>
    <w:rsid w:val="00F557DB"/>
    <w:rsid w:val="00F914CC"/>
    <w:rsid w:val="00F950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7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6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55"/>
    <w:pPr>
      <w:ind w:left="720"/>
      <w:contextualSpacing/>
    </w:pPr>
  </w:style>
  <w:style w:type="paragraph" w:styleId="FootnoteText">
    <w:name w:val="footnote text"/>
    <w:basedOn w:val="Normal"/>
    <w:link w:val="FootnoteTextChar"/>
    <w:uiPriority w:val="99"/>
    <w:semiHidden/>
    <w:unhideWhenUsed/>
    <w:rsid w:val="00855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71"/>
    <w:rPr>
      <w:sz w:val="20"/>
      <w:szCs w:val="20"/>
    </w:rPr>
  </w:style>
  <w:style w:type="character" w:styleId="FootnoteReference">
    <w:name w:val="footnote reference"/>
    <w:basedOn w:val="DefaultParagraphFont"/>
    <w:uiPriority w:val="99"/>
    <w:semiHidden/>
    <w:unhideWhenUsed/>
    <w:rsid w:val="00855F71"/>
    <w:rPr>
      <w:vertAlign w:val="superscript"/>
    </w:rPr>
  </w:style>
  <w:style w:type="character" w:styleId="Hyperlink">
    <w:name w:val="Hyperlink"/>
    <w:basedOn w:val="DefaultParagraphFont"/>
    <w:uiPriority w:val="99"/>
    <w:unhideWhenUsed/>
    <w:rsid w:val="00855F71"/>
    <w:rPr>
      <w:color w:val="0563C1" w:themeColor="hyperlink"/>
      <w:u w:val="single"/>
    </w:rPr>
  </w:style>
  <w:style w:type="paragraph" w:styleId="Header">
    <w:name w:val="header"/>
    <w:basedOn w:val="Normal"/>
    <w:link w:val="HeaderChar"/>
    <w:uiPriority w:val="99"/>
    <w:unhideWhenUsed/>
    <w:rsid w:val="00EA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44"/>
  </w:style>
  <w:style w:type="paragraph" w:styleId="Footer">
    <w:name w:val="footer"/>
    <w:basedOn w:val="Normal"/>
    <w:link w:val="FooterChar"/>
    <w:uiPriority w:val="99"/>
    <w:unhideWhenUsed/>
    <w:rsid w:val="00EA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44"/>
  </w:style>
  <w:style w:type="character" w:customStyle="1" w:styleId="Heading2Char">
    <w:name w:val="Heading 2 Char"/>
    <w:basedOn w:val="DefaultParagraphFont"/>
    <w:link w:val="Heading2"/>
    <w:uiPriority w:val="9"/>
    <w:rsid w:val="00B17E3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1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9E"/>
    <w:rPr>
      <w:rFonts w:ascii="Segoe UI" w:hAnsi="Segoe UI" w:cs="Segoe UI"/>
      <w:sz w:val="18"/>
      <w:szCs w:val="18"/>
    </w:rPr>
  </w:style>
  <w:style w:type="character" w:customStyle="1" w:styleId="Heading1Char">
    <w:name w:val="Heading 1 Char"/>
    <w:basedOn w:val="DefaultParagraphFont"/>
    <w:link w:val="Heading1"/>
    <w:uiPriority w:val="9"/>
    <w:rsid w:val="00910F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26D94"/>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063E65"/>
    <w:pPr>
      <w:ind w:left="720"/>
      <w:contextualSpacing/>
    </w:pPr>
    <w:rPr>
      <w:rFonts w:ascii="Calibri" w:eastAsia="Calibri" w:hAnsi="Calibri" w:cs="Times New Roman"/>
      <w:lang w:val="en-GB"/>
    </w:rPr>
  </w:style>
  <w:style w:type="table" w:styleId="TableGrid">
    <w:name w:val="Table Grid"/>
    <w:basedOn w:val="TableNormal"/>
    <w:uiPriority w:val="39"/>
    <w:rsid w:val="00CF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6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955"/>
    <w:pPr>
      <w:ind w:left="720"/>
      <w:contextualSpacing/>
    </w:pPr>
  </w:style>
  <w:style w:type="paragraph" w:styleId="FootnoteText">
    <w:name w:val="footnote text"/>
    <w:basedOn w:val="Normal"/>
    <w:link w:val="FootnoteTextChar"/>
    <w:uiPriority w:val="99"/>
    <w:semiHidden/>
    <w:unhideWhenUsed/>
    <w:rsid w:val="00855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5F71"/>
    <w:rPr>
      <w:sz w:val="20"/>
      <w:szCs w:val="20"/>
    </w:rPr>
  </w:style>
  <w:style w:type="character" w:styleId="FootnoteReference">
    <w:name w:val="footnote reference"/>
    <w:basedOn w:val="DefaultParagraphFont"/>
    <w:uiPriority w:val="99"/>
    <w:semiHidden/>
    <w:unhideWhenUsed/>
    <w:rsid w:val="00855F71"/>
    <w:rPr>
      <w:vertAlign w:val="superscript"/>
    </w:rPr>
  </w:style>
  <w:style w:type="character" w:styleId="Hyperlink">
    <w:name w:val="Hyperlink"/>
    <w:basedOn w:val="DefaultParagraphFont"/>
    <w:uiPriority w:val="99"/>
    <w:unhideWhenUsed/>
    <w:rsid w:val="00855F71"/>
    <w:rPr>
      <w:color w:val="0563C1" w:themeColor="hyperlink"/>
      <w:u w:val="single"/>
    </w:rPr>
  </w:style>
  <w:style w:type="paragraph" w:styleId="Header">
    <w:name w:val="header"/>
    <w:basedOn w:val="Normal"/>
    <w:link w:val="HeaderChar"/>
    <w:uiPriority w:val="99"/>
    <w:unhideWhenUsed/>
    <w:rsid w:val="00EA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344"/>
  </w:style>
  <w:style w:type="paragraph" w:styleId="Footer">
    <w:name w:val="footer"/>
    <w:basedOn w:val="Normal"/>
    <w:link w:val="FooterChar"/>
    <w:uiPriority w:val="99"/>
    <w:unhideWhenUsed/>
    <w:rsid w:val="00EA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344"/>
  </w:style>
  <w:style w:type="character" w:customStyle="1" w:styleId="Heading2Char">
    <w:name w:val="Heading 2 Char"/>
    <w:basedOn w:val="DefaultParagraphFont"/>
    <w:link w:val="Heading2"/>
    <w:uiPriority w:val="9"/>
    <w:rsid w:val="00B17E3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17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9E"/>
    <w:rPr>
      <w:rFonts w:ascii="Segoe UI" w:hAnsi="Segoe UI" w:cs="Segoe UI"/>
      <w:sz w:val="18"/>
      <w:szCs w:val="18"/>
    </w:rPr>
  </w:style>
  <w:style w:type="character" w:customStyle="1" w:styleId="Heading1Char">
    <w:name w:val="Heading 1 Char"/>
    <w:basedOn w:val="DefaultParagraphFont"/>
    <w:link w:val="Heading1"/>
    <w:uiPriority w:val="9"/>
    <w:rsid w:val="00910F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26D94"/>
    <w:rPr>
      <w:rFonts w:asciiTheme="majorHAnsi" w:eastAsiaTheme="majorEastAsia" w:hAnsiTheme="majorHAnsi" w:cstheme="majorBidi"/>
      <w:color w:val="1F4D78" w:themeColor="accent1" w:themeShade="7F"/>
      <w:sz w:val="24"/>
      <w:szCs w:val="24"/>
    </w:rPr>
  </w:style>
  <w:style w:type="paragraph" w:customStyle="1" w:styleId="ColorfulList-Accent11">
    <w:name w:val="Colorful List - Accent 11"/>
    <w:basedOn w:val="Normal"/>
    <w:uiPriority w:val="34"/>
    <w:qFormat/>
    <w:rsid w:val="00063E65"/>
    <w:pPr>
      <w:ind w:left="720"/>
      <w:contextualSpacing/>
    </w:pPr>
    <w:rPr>
      <w:rFonts w:ascii="Calibri" w:eastAsia="Calibri" w:hAnsi="Calibri" w:cs="Times New Roman"/>
      <w:lang w:val="en-GB"/>
    </w:rPr>
  </w:style>
  <w:style w:type="table" w:styleId="TableGrid">
    <w:name w:val="Table Grid"/>
    <w:basedOn w:val="TableNormal"/>
    <w:uiPriority w:val="39"/>
    <w:rsid w:val="00CF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dac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g.org.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creenassociation.com.au/uploads/reports/ASA_Economic_Contribution_Report.pdf" TargetMode="External"/><Relationship Id="rId2" Type="http://schemas.openxmlformats.org/officeDocument/2006/relationships/hyperlink" Target="https://www.copyright.org.au/acc_prod/ACC/News_items/Copyright_Industries_continue_to_be_a_significant_contributor_to_the_Australian_Economy.aspx" TargetMode="External"/><Relationship Id="rId1" Type="http://schemas.openxmlformats.org/officeDocument/2006/relationships/hyperlink" Target="http://jbh.ministers.treasury.gov.au/media-release/073-2015/" TargetMode="External"/><Relationship Id="rId4" Type="http://schemas.openxmlformats.org/officeDocument/2006/relationships/hyperlink" Target="http://www.writersanddirectors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5D3E-F9F5-452B-B7B0-84EA607C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10 - Australian Directors Guild (ADG) and Australian Screen Directors Authorship Collecting Society (ASDACS) - Intellectual Property Arrangements - Public inquiry</vt:lpstr>
    </vt:vector>
  </TitlesOfParts>
  <Company>Australian Directors Guild (ADG) and Australian Screen Directors Authorship Collecting Society (ASDACS)</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Australian Directors Guild (ADG) and Australian Screen Directors Authorship Collecting Society (ASDACS) - Intellectual Property Arrangements - Public inquiry</dc:title>
  <dc:subject/>
  <dc:creator>Australian Directors Guild (ADG) and Australian Screen Directors Authorship Collecting Society (ASDACS)</dc:creator>
  <cp:keywords/>
  <dc:description/>
  <cp:lastModifiedBy>Productivity Commission</cp:lastModifiedBy>
  <cp:revision>5</cp:revision>
  <cp:lastPrinted>2015-11-19T22:20:00Z</cp:lastPrinted>
  <dcterms:created xsi:type="dcterms:W3CDTF">2015-11-26T03:16:00Z</dcterms:created>
  <dcterms:modified xsi:type="dcterms:W3CDTF">2015-11-27T00:06:00Z</dcterms:modified>
</cp:coreProperties>
</file>