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A49C40" w14:textId="77777777" w:rsidR="00421B20" w:rsidRPr="00983978" w:rsidRDefault="00CC4535">
      <w:pPr>
        <w:rPr>
          <w:rFonts w:asciiTheme="minorHAnsi" w:hAnsiTheme="minorHAnsi"/>
        </w:rPr>
      </w:pPr>
      <w:bookmarkStart w:id="0" w:name="_GoBack"/>
      <w:bookmarkEnd w:id="0"/>
      <w:r w:rsidRPr="00983978">
        <w:rPr>
          <w:rFonts w:asciiTheme="minorHAnsi" w:hAnsiTheme="minorHAnsi"/>
          <w:noProof/>
        </w:rPr>
        <w:drawing>
          <wp:inline distT="0" distB="0" distL="0" distR="0" wp14:anchorId="72BDB2D7" wp14:editId="7282E96C">
            <wp:extent cx="5727700" cy="71691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727700" cy="716915"/>
                    </a:xfrm>
                    <a:prstGeom prst="rect">
                      <a:avLst/>
                    </a:prstGeom>
                    <a:ln/>
                  </pic:spPr>
                </pic:pic>
              </a:graphicData>
            </a:graphic>
          </wp:inline>
        </w:drawing>
      </w:r>
    </w:p>
    <w:p w14:paraId="210AFB13" w14:textId="77777777" w:rsidR="00421B20" w:rsidRPr="00983978" w:rsidRDefault="00421B20">
      <w:pPr>
        <w:rPr>
          <w:rFonts w:asciiTheme="minorHAnsi" w:hAnsiTheme="minorHAnsi"/>
        </w:rPr>
      </w:pPr>
    </w:p>
    <w:p w14:paraId="3D4EC7BE" w14:textId="77777777" w:rsidR="00421B20" w:rsidRPr="00983978" w:rsidRDefault="00421B20">
      <w:pPr>
        <w:pStyle w:val="Title"/>
        <w:rPr>
          <w:rFonts w:asciiTheme="minorHAnsi" w:hAnsiTheme="minorHAnsi"/>
        </w:rPr>
      </w:pPr>
    </w:p>
    <w:p w14:paraId="12519493" w14:textId="77777777" w:rsidR="00421B20" w:rsidRPr="00983978" w:rsidRDefault="00CC4535">
      <w:pPr>
        <w:pStyle w:val="Title"/>
        <w:rPr>
          <w:rFonts w:asciiTheme="minorHAnsi" w:hAnsiTheme="minorHAnsi"/>
        </w:rPr>
      </w:pPr>
      <w:r w:rsidRPr="00983978">
        <w:rPr>
          <w:rFonts w:asciiTheme="minorHAnsi" w:hAnsiTheme="minorHAnsi"/>
          <w:sz w:val="36"/>
          <w:szCs w:val="36"/>
        </w:rPr>
        <w:t xml:space="preserve">AOASG response to Productivity Commission </w:t>
      </w:r>
      <w:r w:rsidRPr="00983978">
        <w:rPr>
          <w:rFonts w:asciiTheme="minorHAnsi" w:hAnsiTheme="minorHAnsi"/>
          <w:color w:val="2C2C2C"/>
          <w:sz w:val="36"/>
          <w:szCs w:val="36"/>
        </w:rPr>
        <w:t xml:space="preserve">Intellectual Property Arrangements, </w:t>
      </w:r>
      <w:r w:rsidRPr="00983978">
        <w:rPr>
          <w:rFonts w:asciiTheme="minorHAnsi" w:hAnsiTheme="minorHAnsi"/>
          <w:sz w:val="36"/>
          <w:szCs w:val="36"/>
        </w:rPr>
        <w:t>Draft report</w:t>
      </w:r>
    </w:p>
    <w:p w14:paraId="5EBD88FE" w14:textId="77777777" w:rsidR="00421B20" w:rsidRPr="00FB4F4D" w:rsidRDefault="00421B20">
      <w:pPr>
        <w:pStyle w:val="Title"/>
        <w:rPr>
          <w:rFonts w:asciiTheme="minorHAnsi" w:hAnsiTheme="minorHAnsi"/>
          <w:sz w:val="32"/>
          <w:szCs w:val="32"/>
        </w:rPr>
      </w:pPr>
      <w:bookmarkStart w:id="1" w:name="h.y7vyjkhe6vjd" w:colFirst="0" w:colLast="0"/>
      <w:bookmarkEnd w:id="1"/>
    </w:p>
    <w:p w14:paraId="283D5DF4" w14:textId="6AF57CD9" w:rsidR="00421B20" w:rsidRPr="00983978" w:rsidRDefault="00CC4535">
      <w:pPr>
        <w:pStyle w:val="Title"/>
        <w:rPr>
          <w:rFonts w:asciiTheme="minorHAnsi" w:hAnsiTheme="minorHAnsi"/>
        </w:rPr>
      </w:pPr>
      <w:r w:rsidRPr="00983978">
        <w:rPr>
          <w:rFonts w:asciiTheme="minorHAnsi" w:hAnsiTheme="minorHAnsi"/>
          <w:i/>
          <w:sz w:val="20"/>
          <w:szCs w:val="20"/>
        </w:rPr>
        <w:t xml:space="preserve">Prepared by </w:t>
      </w:r>
      <w:r w:rsidR="00E87F2B">
        <w:rPr>
          <w:rFonts w:asciiTheme="minorHAnsi" w:hAnsiTheme="minorHAnsi"/>
          <w:i/>
          <w:sz w:val="20"/>
          <w:szCs w:val="20"/>
        </w:rPr>
        <w:t xml:space="preserve">Dr </w:t>
      </w:r>
      <w:r w:rsidRPr="00983978">
        <w:rPr>
          <w:rFonts w:asciiTheme="minorHAnsi" w:hAnsiTheme="minorHAnsi"/>
          <w:i/>
          <w:sz w:val="20"/>
          <w:szCs w:val="20"/>
        </w:rPr>
        <w:t>Virginia Barbour</w:t>
      </w:r>
      <w:r w:rsidR="00C12F0F">
        <w:rPr>
          <w:rFonts w:asciiTheme="minorHAnsi" w:hAnsiTheme="minorHAnsi"/>
          <w:i/>
          <w:sz w:val="20"/>
          <w:szCs w:val="20"/>
        </w:rPr>
        <w:t>, Executive Director</w:t>
      </w:r>
      <w:r w:rsidR="00195704">
        <w:rPr>
          <w:rFonts w:asciiTheme="minorHAnsi" w:hAnsiTheme="minorHAnsi"/>
          <w:i/>
          <w:sz w:val="20"/>
          <w:szCs w:val="20"/>
        </w:rPr>
        <w:t>,</w:t>
      </w:r>
      <w:r w:rsidR="00B93F56">
        <w:rPr>
          <w:rFonts w:asciiTheme="minorHAnsi" w:hAnsiTheme="minorHAnsi"/>
          <w:i/>
          <w:sz w:val="20"/>
          <w:szCs w:val="20"/>
        </w:rPr>
        <w:t xml:space="preserve"> </w:t>
      </w:r>
      <w:r w:rsidRPr="00983978">
        <w:rPr>
          <w:rFonts w:asciiTheme="minorHAnsi" w:hAnsiTheme="minorHAnsi"/>
          <w:i/>
          <w:sz w:val="20"/>
          <w:szCs w:val="20"/>
        </w:rPr>
        <w:t xml:space="preserve">on behalf of the </w:t>
      </w:r>
      <w:r w:rsidR="00B93F56">
        <w:rPr>
          <w:rFonts w:asciiTheme="minorHAnsi" w:hAnsiTheme="minorHAnsi"/>
          <w:i/>
          <w:sz w:val="20"/>
          <w:szCs w:val="20"/>
        </w:rPr>
        <w:t>Australasian Open Access Strategy Group, (</w:t>
      </w:r>
      <w:r w:rsidRPr="00983978">
        <w:rPr>
          <w:rFonts w:asciiTheme="minorHAnsi" w:hAnsiTheme="minorHAnsi"/>
          <w:i/>
          <w:sz w:val="20"/>
          <w:szCs w:val="20"/>
        </w:rPr>
        <w:t>AOASG</w:t>
      </w:r>
      <w:r w:rsidR="00B93F56">
        <w:rPr>
          <w:rFonts w:asciiTheme="minorHAnsi" w:hAnsiTheme="minorHAnsi"/>
          <w:i/>
          <w:sz w:val="20"/>
          <w:szCs w:val="20"/>
        </w:rPr>
        <w:t>)</w:t>
      </w:r>
      <w:r w:rsidRPr="00983978">
        <w:rPr>
          <w:rFonts w:asciiTheme="minorHAnsi" w:hAnsiTheme="minorHAnsi"/>
          <w:i/>
          <w:sz w:val="20"/>
          <w:szCs w:val="20"/>
        </w:rPr>
        <w:t xml:space="preserve">, </w:t>
      </w:r>
      <w:r w:rsidR="002F751A">
        <w:rPr>
          <w:rFonts w:asciiTheme="minorHAnsi" w:hAnsiTheme="minorHAnsi"/>
          <w:i/>
          <w:sz w:val="20"/>
          <w:szCs w:val="20"/>
        </w:rPr>
        <w:t>June</w:t>
      </w:r>
      <w:r w:rsidR="00C12F0F">
        <w:rPr>
          <w:rFonts w:asciiTheme="minorHAnsi" w:hAnsiTheme="minorHAnsi"/>
          <w:i/>
          <w:sz w:val="20"/>
          <w:szCs w:val="20"/>
        </w:rPr>
        <w:t xml:space="preserve"> </w:t>
      </w:r>
      <w:r w:rsidR="002F751A">
        <w:rPr>
          <w:rFonts w:asciiTheme="minorHAnsi" w:hAnsiTheme="minorHAnsi"/>
          <w:i/>
          <w:sz w:val="20"/>
          <w:szCs w:val="20"/>
        </w:rPr>
        <w:t>2</w:t>
      </w:r>
      <w:r w:rsidR="00C12F0F">
        <w:rPr>
          <w:rFonts w:asciiTheme="minorHAnsi" w:hAnsiTheme="minorHAnsi"/>
          <w:i/>
          <w:sz w:val="20"/>
          <w:szCs w:val="20"/>
        </w:rPr>
        <w:t xml:space="preserve">, </w:t>
      </w:r>
      <w:r w:rsidRPr="00983978">
        <w:rPr>
          <w:rFonts w:asciiTheme="minorHAnsi" w:hAnsiTheme="minorHAnsi"/>
          <w:i/>
          <w:sz w:val="20"/>
          <w:szCs w:val="20"/>
        </w:rPr>
        <w:t>2016</w:t>
      </w:r>
    </w:p>
    <w:p w14:paraId="17B1C95F" w14:textId="77777777" w:rsidR="00421B20" w:rsidRPr="00983978" w:rsidRDefault="00CC4535">
      <w:pPr>
        <w:pStyle w:val="Heading1"/>
        <w:rPr>
          <w:rFonts w:asciiTheme="minorHAnsi" w:hAnsiTheme="minorHAnsi"/>
        </w:rPr>
      </w:pPr>
      <w:r w:rsidRPr="00983978">
        <w:rPr>
          <w:rFonts w:asciiTheme="minorHAnsi" w:hAnsiTheme="minorHAnsi"/>
        </w:rPr>
        <w:t>General comments</w:t>
      </w:r>
    </w:p>
    <w:p w14:paraId="5B2FFA53" w14:textId="29708217" w:rsidR="00651F4F" w:rsidRDefault="00CC4535">
      <w:pPr>
        <w:rPr>
          <w:rFonts w:asciiTheme="minorHAnsi" w:eastAsia="Times New Roman" w:hAnsiTheme="minorHAnsi" w:cs="Times New Roman"/>
        </w:rPr>
      </w:pPr>
      <w:r w:rsidRPr="00983978">
        <w:rPr>
          <w:rFonts w:asciiTheme="minorHAnsi" w:hAnsiTheme="minorHAnsi"/>
        </w:rPr>
        <w:t xml:space="preserve">The </w:t>
      </w:r>
      <w:r w:rsidRPr="00E87F2B">
        <w:rPr>
          <w:rFonts w:asciiTheme="minorHAnsi" w:hAnsiTheme="minorHAnsi"/>
        </w:rPr>
        <w:t>AOASG</w:t>
      </w:r>
      <w:r w:rsidR="00E87F2B">
        <w:rPr>
          <w:rFonts w:asciiTheme="minorHAnsi" w:hAnsiTheme="minorHAnsi"/>
        </w:rPr>
        <w:t xml:space="preserve"> (</w:t>
      </w:r>
      <w:hyperlink r:id="rId9" w:history="1">
        <w:r w:rsidR="00E87F2B" w:rsidRPr="0010645D">
          <w:rPr>
            <w:rStyle w:val="Hyperlink"/>
            <w:rFonts w:asciiTheme="minorHAnsi" w:hAnsiTheme="minorHAnsi"/>
          </w:rPr>
          <w:t>https://aoasg.org.au/</w:t>
        </w:r>
      </w:hyperlink>
      <w:r w:rsidR="00E87F2B">
        <w:rPr>
          <w:rFonts w:asciiTheme="minorHAnsi" w:hAnsiTheme="minorHAnsi"/>
        </w:rPr>
        <w:t xml:space="preserve">) </w:t>
      </w:r>
      <w:r w:rsidRPr="00983978">
        <w:rPr>
          <w:rFonts w:asciiTheme="minorHAnsi" w:hAnsiTheme="minorHAnsi"/>
        </w:rPr>
        <w:t>welcomes the Productivity Commission report. We limit our response to Chapter 15: IP and Public Institutions, though we note the comment on p4 that “</w:t>
      </w:r>
      <w:r w:rsidRPr="00983978">
        <w:rPr>
          <w:rFonts w:asciiTheme="minorHAnsi" w:eastAsia="Times New Roman" w:hAnsiTheme="minorHAnsi" w:cs="Times New Roman"/>
        </w:rPr>
        <w:t>Open access repositories can further assist in the dissemination of ideas generated through publicly</w:t>
      </w:r>
      <w:r w:rsidRPr="00983978">
        <w:rPr>
          <w:rFonts w:ascii="MS Gothic" w:eastAsia="MS Gothic" w:hAnsi="MS Gothic" w:cs="MS Gothic" w:hint="eastAsia"/>
        </w:rPr>
        <w:t>‑</w:t>
      </w:r>
      <w:r w:rsidRPr="00983978">
        <w:rPr>
          <w:rFonts w:asciiTheme="minorHAnsi" w:eastAsia="Times New Roman" w:hAnsiTheme="minorHAnsi" w:cs="Times New Roman"/>
        </w:rPr>
        <w:t>funded initiatives.</w:t>
      </w:r>
      <w:r w:rsidRPr="00983978">
        <w:rPr>
          <w:rFonts w:asciiTheme="minorHAnsi" w:eastAsia="Times New Roman" w:hAnsiTheme="minorHAnsi"/>
        </w:rPr>
        <w:t>”</w:t>
      </w:r>
      <w:r w:rsidR="00E87F2B">
        <w:rPr>
          <w:rFonts w:asciiTheme="minorHAnsi" w:eastAsia="Times New Roman" w:hAnsiTheme="minorHAnsi"/>
        </w:rPr>
        <w:t>,</w:t>
      </w:r>
      <w:r w:rsidRPr="00983978">
        <w:rPr>
          <w:rFonts w:asciiTheme="minorHAnsi" w:eastAsia="Times New Roman" w:hAnsiTheme="minorHAnsi" w:cs="Times New Roman"/>
        </w:rPr>
        <w:t xml:space="preserve"> which we agree with for all outputs of research. </w:t>
      </w:r>
    </w:p>
    <w:p w14:paraId="432CFAA1" w14:textId="77777777" w:rsidR="00651F4F" w:rsidRDefault="00651F4F">
      <w:pPr>
        <w:rPr>
          <w:rFonts w:asciiTheme="minorHAnsi" w:eastAsia="Times New Roman" w:hAnsiTheme="minorHAnsi" w:cs="Times New Roman"/>
        </w:rPr>
      </w:pPr>
    </w:p>
    <w:p w14:paraId="1294CB75" w14:textId="0FC629C5" w:rsidR="00B93F56" w:rsidRPr="008830FA" w:rsidRDefault="00B93F56">
      <w:pPr>
        <w:rPr>
          <w:rFonts w:asciiTheme="minorHAnsi" w:eastAsia="Times New Roman" w:hAnsiTheme="minorHAnsi" w:cs="Times New Roman"/>
          <w:b/>
        </w:rPr>
      </w:pPr>
      <w:r w:rsidRPr="008830FA">
        <w:rPr>
          <w:rFonts w:asciiTheme="minorHAnsi" w:eastAsia="Times New Roman" w:hAnsiTheme="minorHAnsi" w:cs="Times New Roman"/>
          <w:b/>
        </w:rPr>
        <w:t>We particularly welcome:</w:t>
      </w:r>
    </w:p>
    <w:p w14:paraId="47D2EFAD" w14:textId="714DFAC1" w:rsidR="00421B20" w:rsidRPr="008830FA" w:rsidRDefault="00CC4535">
      <w:pPr>
        <w:rPr>
          <w:rFonts w:asciiTheme="minorHAnsi" w:hAnsiTheme="minorHAnsi"/>
          <w:b/>
        </w:rPr>
      </w:pPr>
      <w:r w:rsidRPr="008830FA">
        <w:rPr>
          <w:rFonts w:asciiTheme="minorHAnsi" w:eastAsia="Times New Roman" w:hAnsiTheme="minorHAnsi" w:cs="Times New Roman"/>
          <w:b/>
        </w:rPr>
        <w:t>DRAFT Recommendation 15.1</w:t>
      </w:r>
    </w:p>
    <w:p w14:paraId="02419113" w14:textId="77777777" w:rsidR="00421B20" w:rsidRPr="008830FA" w:rsidRDefault="00CC4535">
      <w:pPr>
        <w:rPr>
          <w:rFonts w:asciiTheme="minorHAnsi" w:eastAsia="Times New Roman" w:hAnsiTheme="minorHAnsi"/>
          <w:b/>
        </w:rPr>
      </w:pPr>
      <w:r w:rsidRPr="008830FA">
        <w:rPr>
          <w:rFonts w:asciiTheme="minorHAnsi" w:eastAsia="Times New Roman" w:hAnsiTheme="minorHAnsi" w:cs="Times New Roman"/>
          <w:b/>
        </w:rPr>
        <w:t>“All Australian, and State and Territory Governments should implement an open access policy for publicly</w:t>
      </w:r>
      <w:r w:rsidRPr="008830FA">
        <w:rPr>
          <w:rFonts w:ascii="MS Gothic" w:eastAsia="MS Gothic" w:hAnsi="MS Gothic" w:cs="MS Gothic" w:hint="eastAsia"/>
          <w:b/>
        </w:rPr>
        <w:t>‑</w:t>
      </w:r>
      <w:r w:rsidRPr="008830FA">
        <w:rPr>
          <w:rFonts w:asciiTheme="minorHAnsi" w:eastAsia="Times New Roman" w:hAnsiTheme="minorHAnsi" w:cs="Times New Roman"/>
          <w:b/>
        </w:rPr>
        <w:t>funded research</w:t>
      </w:r>
      <w:r w:rsidRPr="008830FA">
        <w:rPr>
          <w:rFonts w:asciiTheme="minorHAnsi" w:eastAsia="Times New Roman" w:hAnsiTheme="minorHAnsi"/>
          <w:b/>
        </w:rPr>
        <w:t>”</w:t>
      </w:r>
    </w:p>
    <w:p w14:paraId="02912ADD" w14:textId="77777777" w:rsidR="00B93F56" w:rsidRPr="00983978" w:rsidRDefault="00B93F56">
      <w:pPr>
        <w:rPr>
          <w:rFonts w:asciiTheme="minorHAnsi" w:hAnsiTheme="minorHAnsi"/>
        </w:rPr>
      </w:pPr>
    </w:p>
    <w:p w14:paraId="2867357C" w14:textId="403D1666" w:rsidR="00421B20" w:rsidRPr="00983978" w:rsidRDefault="00CC4535">
      <w:pPr>
        <w:rPr>
          <w:rFonts w:asciiTheme="minorHAnsi" w:hAnsiTheme="minorHAnsi"/>
        </w:rPr>
      </w:pPr>
      <w:r w:rsidRPr="00983978">
        <w:rPr>
          <w:rFonts w:asciiTheme="minorHAnsi" w:eastAsia="Times New Roman" w:hAnsiTheme="minorHAnsi" w:cs="Times New Roman"/>
        </w:rPr>
        <w:t xml:space="preserve">We </w:t>
      </w:r>
      <w:r w:rsidR="00B93F56">
        <w:rPr>
          <w:rFonts w:asciiTheme="minorHAnsi" w:eastAsia="Times New Roman" w:hAnsiTheme="minorHAnsi" w:cs="Times New Roman"/>
        </w:rPr>
        <w:t xml:space="preserve">also </w:t>
      </w:r>
      <w:r w:rsidRPr="00983978">
        <w:rPr>
          <w:rFonts w:asciiTheme="minorHAnsi" w:eastAsia="Times New Roman" w:hAnsiTheme="minorHAnsi" w:cs="Times New Roman"/>
        </w:rPr>
        <w:t>believe there is an opportunity with this report to bring some clarity to the issues surrounding copyright and license as applied to research outputs.</w:t>
      </w:r>
    </w:p>
    <w:p w14:paraId="7BE5F2E2" w14:textId="759EF998" w:rsidR="00FB4F4D" w:rsidRPr="00983978" w:rsidRDefault="00FB4F4D" w:rsidP="00FB4F4D">
      <w:pPr>
        <w:pStyle w:val="Heading1"/>
        <w:rPr>
          <w:rFonts w:asciiTheme="minorHAnsi" w:hAnsiTheme="minorHAnsi"/>
        </w:rPr>
      </w:pPr>
      <w:r>
        <w:rPr>
          <w:rFonts w:asciiTheme="minorHAnsi" w:hAnsiTheme="minorHAnsi"/>
        </w:rPr>
        <w:t>Specific</w:t>
      </w:r>
      <w:r w:rsidRPr="00983978">
        <w:rPr>
          <w:rFonts w:asciiTheme="minorHAnsi" w:hAnsiTheme="minorHAnsi"/>
        </w:rPr>
        <w:t xml:space="preserve"> comments</w:t>
      </w:r>
    </w:p>
    <w:p w14:paraId="73EA503F" w14:textId="77777777" w:rsidR="00421B20" w:rsidRPr="00983978" w:rsidRDefault="00CC4535">
      <w:pPr>
        <w:rPr>
          <w:rFonts w:asciiTheme="minorHAnsi" w:hAnsiTheme="minorHAnsi"/>
        </w:rPr>
      </w:pPr>
      <w:r w:rsidRPr="00983978">
        <w:rPr>
          <w:rFonts w:asciiTheme="minorHAnsi" w:hAnsiTheme="minorHAnsi"/>
          <w:b/>
        </w:rPr>
        <w:t xml:space="preserve">Page 401 </w:t>
      </w:r>
    </w:p>
    <w:p w14:paraId="7F156B22" w14:textId="77777777" w:rsidR="00421B20" w:rsidRPr="00983978" w:rsidRDefault="00CC4535">
      <w:pPr>
        <w:rPr>
          <w:rFonts w:asciiTheme="minorHAnsi" w:hAnsiTheme="minorHAnsi"/>
        </w:rPr>
      </w:pPr>
      <w:r w:rsidRPr="00983978">
        <w:rPr>
          <w:rFonts w:asciiTheme="minorHAnsi" w:hAnsiTheme="minorHAnsi"/>
          <w:i/>
        </w:rPr>
        <w:t>Paragraph entitled “Key points”</w:t>
      </w:r>
    </w:p>
    <w:p w14:paraId="4380F4A4" w14:textId="77777777" w:rsidR="00FB4F4D" w:rsidRPr="0046323B" w:rsidRDefault="00FB4F4D">
      <w:pPr>
        <w:rPr>
          <w:rFonts w:asciiTheme="minorHAnsi" w:eastAsia="Times New Roman" w:hAnsiTheme="minorHAnsi" w:cs="Times New Roman"/>
          <w:i/>
          <w:sz w:val="16"/>
          <w:szCs w:val="16"/>
        </w:rPr>
      </w:pPr>
    </w:p>
    <w:p w14:paraId="0A9C70CA" w14:textId="77777777" w:rsidR="00421B20" w:rsidRPr="00983978" w:rsidRDefault="00CC4535">
      <w:pPr>
        <w:rPr>
          <w:rFonts w:asciiTheme="minorHAnsi" w:hAnsiTheme="minorHAnsi"/>
        </w:rPr>
      </w:pPr>
      <w:r w:rsidRPr="00983978">
        <w:rPr>
          <w:rFonts w:asciiTheme="minorHAnsi" w:eastAsia="Times New Roman" w:hAnsiTheme="minorHAnsi" w:cs="Times New Roman"/>
          <w:i/>
        </w:rPr>
        <w:t>Response</w:t>
      </w:r>
    </w:p>
    <w:p w14:paraId="2E9FA15E" w14:textId="77777777" w:rsidR="00421B20" w:rsidRPr="00983978" w:rsidRDefault="00CC4535">
      <w:pPr>
        <w:rPr>
          <w:rFonts w:asciiTheme="minorHAnsi" w:hAnsiTheme="minorHAnsi"/>
        </w:rPr>
      </w:pPr>
      <w:r w:rsidRPr="00983978">
        <w:rPr>
          <w:rFonts w:asciiTheme="minorHAnsi" w:hAnsiTheme="minorHAnsi"/>
        </w:rPr>
        <w:t>The dissemination of research findings does not have to be limited by IP applied on the work that it reports.</w:t>
      </w:r>
    </w:p>
    <w:p w14:paraId="3CFE5E87" w14:textId="2414FF9E" w:rsidR="00421B20" w:rsidRPr="00983978" w:rsidRDefault="00CC4535">
      <w:pPr>
        <w:rPr>
          <w:rFonts w:asciiTheme="minorHAnsi" w:hAnsiTheme="minorHAnsi"/>
        </w:rPr>
      </w:pPr>
      <w:r w:rsidRPr="00983978">
        <w:rPr>
          <w:rFonts w:asciiTheme="minorHAnsi" w:hAnsiTheme="minorHAnsi"/>
        </w:rPr>
        <w:t>We agree that journals remain an important mechanism of dissemination, but they are now just one part of a rapidly evolving ecosystem of publishing and the same issues apply to all outlets for dissemination of research, and which include not just research articles but also data, code</w:t>
      </w:r>
      <w:r w:rsidR="00195704">
        <w:rPr>
          <w:rFonts w:asciiTheme="minorHAnsi" w:hAnsiTheme="minorHAnsi"/>
        </w:rPr>
        <w:t>, softwar</w:t>
      </w:r>
      <w:r w:rsidR="008830FA">
        <w:rPr>
          <w:rFonts w:asciiTheme="minorHAnsi" w:hAnsiTheme="minorHAnsi"/>
        </w:rPr>
        <w:t>e</w:t>
      </w:r>
      <w:r w:rsidR="00195704">
        <w:rPr>
          <w:rFonts w:asciiTheme="minorHAnsi" w:hAnsiTheme="minorHAnsi"/>
        </w:rPr>
        <w:t>,</w:t>
      </w:r>
      <w:r w:rsidRPr="00983978">
        <w:rPr>
          <w:rFonts w:asciiTheme="minorHAnsi" w:hAnsiTheme="minorHAnsi"/>
        </w:rPr>
        <w:t xml:space="preserve"> etc.</w:t>
      </w:r>
    </w:p>
    <w:p w14:paraId="057D308C" w14:textId="1E68A7E0" w:rsidR="00421B20" w:rsidRPr="00983978" w:rsidRDefault="00CC4535">
      <w:pPr>
        <w:rPr>
          <w:rFonts w:asciiTheme="minorHAnsi" w:hAnsiTheme="minorHAnsi"/>
        </w:rPr>
      </w:pPr>
      <w:r w:rsidRPr="00983978">
        <w:rPr>
          <w:rFonts w:asciiTheme="minorHAnsi" w:hAnsiTheme="minorHAnsi"/>
        </w:rPr>
        <w:t xml:space="preserve">Copyright per se does not limit dissemination – it is the retention of copyright, coupled with restrictive licenses as applied by subscription publishers that limit dissemination. We feel it </w:t>
      </w:r>
      <w:r w:rsidR="00195704">
        <w:rPr>
          <w:rFonts w:asciiTheme="minorHAnsi" w:hAnsiTheme="minorHAnsi"/>
        </w:rPr>
        <w:t xml:space="preserve">is </w:t>
      </w:r>
      <w:r w:rsidRPr="00983978">
        <w:rPr>
          <w:rFonts w:asciiTheme="minorHAnsi" w:hAnsiTheme="minorHAnsi"/>
        </w:rPr>
        <w:t>essential to separate out these two issues.</w:t>
      </w:r>
    </w:p>
    <w:p w14:paraId="2EBC139F" w14:textId="77777777" w:rsidR="00421B20" w:rsidRPr="00983978" w:rsidRDefault="00421B20">
      <w:pPr>
        <w:rPr>
          <w:rFonts w:asciiTheme="minorHAnsi" w:hAnsiTheme="minorHAnsi"/>
        </w:rPr>
      </w:pPr>
    </w:p>
    <w:p w14:paraId="4DBFAF1E" w14:textId="77777777" w:rsidR="002A20DD" w:rsidRDefault="002A20DD">
      <w:pPr>
        <w:rPr>
          <w:rFonts w:asciiTheme="minorHAnsi" w:hAnsiTheme="minorHAnsi"/>
          <w:b/>
        </w:rPr>
      </w:pPr>
    </w:p>
    <w:p w14:paraId="4DADFE3F" w14:textId="77777777" w:rsidR="002A20DD" w:rsidRDefault="002A20DD">
      <w:pPr>
        <w:rPr>
          <w:rFonts w:asciiTheme="minorHAnsi" w:hAnsiTheme="minorHAnsi"/>
          <w:b/>
        </w:rPr>
      </w:pPr>
    </w:p>
    <w:p w14:paraId="00498D69" w14:textId="77777777" w:rsidR="00421B20" w:rsidRPr="00983978" w:rsidRDefault="00CC4535">
      <w:pPr>
        <w:rPr>
          <w:rFonts w:asciiTheme="minorHAnsi" w:hAnsiTheme="minorHAnsi"/>
        </w:rPr>
      </w:pPr>
      <w:r w:rsidRPr="00983978">
        <w:rPr>
          <w:rFonts w:asciiTheme="minorHAnsi" w:hAnsiTheme="minorHAnsi"/>
          <w:b/>
        </w:rPr>
        <w:lastRenderedPageBreak/>
        <w:t>Page 404</w:t>
      </w:r>
    </w:p>
    <w:p w14:paraId="20C2B609" w14:textId="77777777" w:rsidR="00421B20" w:rsidRPr="00983978" w:rsidRDefault="00CC4535">
      <w:pPr>
        <w:rPr>
          <w:rFonts w:asciiTheme="minorHAnsi" w:hAnsiTheme="minorHAnsi"/>
        </w:rPr>
      </w:pPr>
      <w:r w:rsidRPr="00983978">
        <w:rPr>
          <w:rFonts w:asciiTheme="minorHAnsi" w:eastAsia="Times New Roman" w:hAnsiTheme="minorHAnsi" w:cs="Times New Roman"/>
          <w:i/>
        </w:rPr>
        <w:t>Paragraph beginning “The key relevant questions for this inquiry relate to:</w:t>
      </w:r>
    </w:p>
    <w:p w14:paraId="68CE3649" w14:textId="77777777" w:rsidR="00421B20" w:rsidRPr="00983978" w:rsidRDefault="00CC4535">
      <w:pPr>
        <w:numPr>
          <w:ilvl w:val="0"/>
          <w:numId w:val="1"/>
        </w:numPr>
        <w:spacing w:before="120"/>
        <w:ind w:hanging="340"/>
        <w:jc w:val="both"/>
        <w:rPr>
          <w:rFonts w:asciiTheme="minorHAnsi" w:hAnsiTheme="minorHAnsi"/>
        </w:rPr>
      </w:pPr>
      <w:r w:rsidRPr="00983978">
        <w:rPr>
          <w:rFonts w:asciiTheme="minorHAnsi" w:eastAsia="Times New Roman" w:hAnsiTheme="minorHAnsi" w:cs="Times New Roman"/>
        </w:rPr>
        <w:t>where the IP system frustrates the achievement of the underlying goal for public funding</w:t>
      </w:r>
    </w:p>
    <w:p w14:paraId="4A056D87" w14:textId="77777777" w:rsidR="00421B20" w:rsidRPr="00983978" w:rsidRDefault="00CC4535">
      <w:pPr>
        <w:numPr>
          <w:ilvl w:val="0"/>
          <w:numId w:val="1"/>
        </w:numPr>
        <w:spacing w:before="120"/>
        <w:ind w:hanging="340"/>
        <w:jc w:val="both"/>
        <w:rPr>
          <w:rFonts w:asciiTheme="minorHAnsi" w:hAnsiTheme="minorHAnsi"/>
        </w:rPr>
      </w:pPr>
      <w:r w:rsidRPr="00983978">
        <w:rPr>
          <w:rFonts w:asciiTheme="minorHAnsi" w:eastAsia="Times New Roman" w:hAnsiTheme="minorHAnsi" w:cs="Times New Roman"/>
        </w:rPr>
        <w:t>changes to the IP system that would accentuate the benefits of such public funding.</w:t>
      </w:r>
    </w:p>
    <w:p w14:paraId="53BDF390" w14:textId="77777777" w:rsidR="00421B20" w:rsidRPr="00983978" w:rsidRDefault="00CC4535">
      <w:pPr>
        <w:spacing w:before="120"/>
        <w:jc w:val="both"/>
        <w:rPr>
          <w:rFonts w:asciiTheme="minorHAnsi" w:hAnsiTheme="minorHAnsi"/>
        </w:rPr>
      </w:pPr>
      <w:r w:rsidRPr="00983978">
        <w:rPr>
          <w:rFonts w:asciiTheme="minorHAnsi" w:eastAsia="Times New Roman" w:hAnsiTheme="minorHAnsi" w:cs="Times New Roman"/>
          <w:i/>
        </w:rPr>
        <w:t>Response</w:t>
      </w:r>
    </w:p>
    <w:p w14:paraId="3935C363" w14:textId="6CC8CCB8" w:rsidR="00421B20" w:rsidRPr="00983978" w:rsidRDefault="00CC4535">
      <w:pPr>
        <w:rPr>
          <w:rFonts w:asciiTheme="minorHAnsi" w:hAnsiTheme="minorHAnsi"/>
        </w:rPr>
      </w:pPr>
      <w:r w:rsidRPr="00983978">
        <w:rPr>
          <w:rFonts w:asciiTheme="minorHAnsi" w:hAnsiTheme="minorHAnsi"/>
        </w:rPr>
        <w:t xml:space="preserve">For scholarly publishing we already have the tools to hand to ensure that authors retain </w:t>
      </w:r>
      <w:r w:rsidR="00651F4F" w:rsidRPr="00983978">
        <w:rPr>
          <w:rFonts w:asciiTheme="minorHAnsi" w:hAnsiTheme="minorHAnsi"/>
        </w:rPr>
        <w:t>rights to</w:t>
      </w:r>
      <w:r w:rsidRPr="00983978">
        <w:rPr>
          <w:rFonts w:asciiTheme="minorHAnsi" w:hAnsiTheme="minorHAnsi"/>
        </w:rPr>
        <w:t xml:space="preserve"> and get credit for their work while allowing for maximum dissemination. The two tools required are proper application of copyright in conjunction with Creative Commons Licenses.</w:t>
      </w:r>
    </w:p>
    <w:p w14:paraId="5E959244" w14:textId="77777777" w:rsidR="00421B20" w:rsidRPr="00983978" w:rsidRDefault="00421B20">
      <w:pPr>
        <w:rPr>
          <w:rFonts w:asciiTheme="minorHAnsi" w:hAnsiTheme="minorHAnsi"/>
        </w:rPr>
      </w:pPr>
    </w:p>
    <w:p w14:paraId="2B192AB9" w14:textId="77777777" w:rsidR="00421B20" w:rsidRPr="00983978" w:rsidRDefault="00CC4535">
      <w:pPr>
        <w:rPr>
          <w:rFonts w:asciiTheme="minorHAnsi" w:hAnsiTheme="minorHAnsi"/>
        </w:rPr>
      </w:pPr>
      <w:r w:rsidRPr="00983978">
        <w:rPr>
          <w:rFonts w:asciiTheme="minorHAnsi" w:hAnsiTheme="minorHAnsi"/>
        </w:rPr>
        <w:t>However, the current inconsistent and largely publisher-driven application of these tools does “</w:t>
      </w:r>
      <w:r w:rsidRPr="00983978">
        <w:rPr>
          <w:rFonts w:asciiTheme="minorHAnsi" w:hAnsiTheme="minorHAnsi"/>
          <w:i/>
        </w:rPr>
        <w:t>frustrate the achievement of the underlying goal for public funding</w:t>
      </w:r>
      <w:r w:rsidRPr="00983978">
        <w:rPr>
          <w:rFonts w:asciiTheme="minorHAnsi" w:hAnsiTheme="minorHAnsi"/>
        </w:rPr>
        <w:t xml:space="preserve">”. </w:t>
      </w:r>
    </w:p>
    <w:p w14:paraId="7F88C3E2" w14:textId="77777777" w:rsidR="00421B20" w:rsidRPr="00983978" w:rsidRDefault="00421B20">
      <w:pPr>
        <w:rPr>
          <w:rFonts w:asciiTheme="minorHAnsi" w:hAnsiTheme="minorHAnsi"/>
        </w:rPr>
      </w:pPr>
    </w:p>
    <w:p w14:paraId="3CCFBCA6" w14:textId="77777777" w:rsidR="00421B20" w:rsidRPr="00983978" w:rsidRDefault="00CC4535">
      <w:pPr>
        <w:rPr>
          <w:rFonts w:asciiTheme="minorHAnsi" w:hAnsiTheme="minorHAnsi"/>
        </w:rPr>
      </w:pPr>
      <w:r w:rsidRPr="00983978">
        <w:rPr>
          <w:rFonts w:asciiTheme="minorHAnsi" w:hAnsiTheme="minorHAnsi"/>
        </w:rPr>
        <w:t xml:space="preserve">This is to be expected when publishers </w:t>
      </w:r>
      <w:r w:rsidR="00983978" w:rsidRPr="00983978">
        <w:rPr>
          <w:rFonts w:asciiTheme="minorHAnsi" w:hAnsiTheme="minorHAnsi"/>
        </w:rPr>
        <w:t>are operating</w:t>
      </w:r>
      <w:r w:rsidRPr="00983978">
        <w:rPr>
          <w:rFonts w:asciiTheme="minorHAnsi" w:hAnsiTheme="minorHAnsi"/>
        </w:rPr>
        <w:t xml:space="preserve"> under a subscription model. In this situation the long term practice has been to require the transfer of copyright to journals, and also require that restrictive licenses agreements are signed.</w:t>
      </w:r>
    </w:p>
    <w:p w14:paraId="0884F66A" w14:textId="77777777" w:rsidR="00421B20" w:rsidRPr="00983978" w:rsidRDefault="00421B20">
      <w:pPr>
        <w:rPr>
          <w:rFonts w:asciiTheme="minorHAnsi" w:hAnsiTheme="minorHAnsi"/>
        </w:rPr>
      </w:pPr>
    </w:p>
    <w:p w14:paraId="6FEDE645" w14:textId="50661189" w:rsidR="00421B20" w:rsidRPr="00983978" w:rsidRDefault="00CC4535">
      <w:pPr>
        <w:rPr>
          <w:rFonts w:asciiTheme="minorHAnsi" w:hAnsiTheme="minorHAnsi"/>
        </w:rPr>
      </w:pPr>
      <w:r w:rsidRPr="00FB4F4D">
        <w:rPr>
          <w:rFonts w:asciiTheme="minorHAnsi" w:hAnsiTheme="minorHAnsi"/>
          <w:color w:val="auto"/>
        </w:rPr>
        <w:t xml:space="preserve">However, </w:t>
      </w:r>
      <w:r w:rsidR="00B93F56" w:rsidRPr="00FB4F4D">
        <w:rPr>
          <w:rFonts w:asciiTheme="minorHAnsi" w:hAnsiTheme="minorHAnsi"/>
          <w:color w:val="auto"/>
        </w:rPr>
        <w:t>restriction of author rights</w:t>
      </w:r>
      <w:r w:rsidRPr="00FB4F4D">
        <w:rPr>
          <w:rFonts w:asciiTheme="minorHAnsi" w:hAnsiTheme="minorHAnsi"/>
          <w:color w:val="auto"/>
        </w:rPr>
        <w:t xml:space="preserve"> is not now limited to subscription publications.  For articles that are </w:t>
      </w:r>
      <w:r w:rsidR="00B93F56" w:rsidRPr="00FB4F4D">
        <w:rPr>
          <w:rFonts w:asciiTheme="minorHAnsi" w:hAnsiTheme="minorHAnsi"/>
          <w:color w:val="auto"/>
        </w:rPr>
        <w:t>apparently</w:t>
      </w:r>
      <w:r w:rsidRPr="00FB4F4D">
        <w:rPr>
          <w:rFonts w:asciiTheme="minorHAnsi" w:hAnsiTheme="minorHAnsi"/>
          <w:color w:val="auto"/>
        </w:rPr>
        <w:t xml:space="preserve"> open access, Elsevier, for example, requires </w:t>
      </w:r>
      <w:r w:rsidR="00983978" w:rsidRPr="00FB4F4D">
        <w:rPr>
          <w:rFonts w:asciiTheme="minorHAnsi" w:hAnsiTheme="minorHAnsi"/>
          <w:color w:val="auto"/>
        </w:rPr>
        <w:t>that authors</w:t>
      </w:r>
      <w:r w:rsidRPr="00FB4F4D">
        <w:rPr>
          <w:rFonts w:asciiTheme="minorHAnsi" w:hAnsiTheme="minorHAnsi"/>
          <w:color w:val="auto"/>
        </w:rPr>
        <w:t xml:space="preserve"> grant Elsevier an exclusive license </w:t>
      </w:r>
      <w:r w:rsidR="00E87F2B">
        <w:rPr>
          <w:rFonts w:asciiTheme="minorHAnsi" w:hAnsiTheme="minorHAnsi"/>
        </w:rPr>
        <w:t>(</w:t>
      </w:r>
      <w:hyperlink r:id="rId10" w:history="1">
        <w:r w:rsidR="00FB4F4D" w:rsidRPr="0010645D">
          <w:rPr>
            <w:rStyle w:val="Hyperlink"/>
            <w:rFonts w:asciiTheme="minorHAnsi" w:hAnsiTheme="minorHAnsi"/>
          </w:rPr>
          <w:t>https://www.elsevier.com/about/company-information/policies/copyright</w:t>
        </w:r>
      </w:hyperlink>
      <w:r w:rsidR="00FB4F4D">
        <w:rPr>
          <w:rFonts w:asciiTheme="minorHAnsi" w:hAnsiTheme="minorHAnsi"/>
        </w:rPr>
        <w:t xml:space="preserve">) </w:t>
      </w:r>
      <w:r w:rsidRPr="00983978">
        <w:rPr>
          <w:rFonts w:asciiTheme="minorHAnsi" w:hAnsiTheme="minorHAnsi"/>
        </w:rPr>
        <w:t>to publish for article published under a CC</w:t>
      </w:r>
      <w:r w:rsidR="00651F4F">
        <w:rPr>
          <w:rFonts w:asciiTheme="minorHAnsi" w:hAnsiTheme="minorHAnsi"/>
        </w:rPr>
        <w:t xml:space="preserve"> </w:t>
      </w:r>
      <w:r w:rsidR="00B93F56">
        <w:rPr>
          <w:rFonts w:asciiTheme="minorHAnsi" w:hAnsiTheme="minorHAnsi"/>
        </w:rPr>
        <w:t>BY license (</w:t>
      </w:r>
      <w:r w:rsidRPr="00983978">
        <w:rPr>
          <w:rFonts w:asciiTheme="minorHAnsi" w:hAnsiTheme="minorHAnsi"/>
        </w:rPr>
        <w:t xml:space="preserve">intended to be the most liberal of the licenses). This is direct contradiction of both the spirit and the letter of the </w:t>
      </w:r>
      <w:r w:rsidRPr="00FB4F4D">
        <w:rPr>
          <w:rFonts w:asciiTheme="minorHAnsi" w:hAnsiTheme="minorHAnsi"/>
          <w:color w:val="auto"/>
        </w:rPr>
        <w:t>Creative Commons license</w:t>
      </w:r>
      <w:r w:rsidR="00FB4F4D" w:rsidRPr="00FB4F4D">
        <w:rPr>
          <w:rFonts w:asciiTheme="minorHAnsi" w:hAnsiTheme="minorHAnsi"/>
          <w:color w:val="auto"/>
          <w:u w:val="single"/>
        </w:rPr>
        <w:t xml:space="preserve"> </w:t>
      </w:r>
      <w:r w:rsidR="00FB4F4D">
        <w:rPr>
          <w:rFonts w:asciiTheme="minorHAnsi" w:hAnsiTheme="minorHAnsi"/>
          <w:color w:val="1155CC"/>
          <w:u w:val="single"/>
        </w:rPr>
        <w:t>(</w:t>
      </w:r>
      <w:r w:rsidR="00FB4F4D" w:rsidRPr="00FB4F4D">
        <w:rPr>
          <w:rFonts w:asciiTheme="minorHAnsi" w:hAnsiTheme="minorHAnsi"/>
          <w:color w:val="1155CC"/>
          <w:u w:val="single"/>
        </w:rPr>
        <w:t>http://creativecommons.org/licenses/by/4.0/</w:t>
      </w:r>
      <w:r w:rsidR="00FB4F4D">
        <w:rPr>
          <w:rFonts w:asciiTheme="minorHAnsi" w:hAnsiTheme="minorHAnsi"/>
          <w:color w:val="1155CC"/>
          <w:u w:val="single"/>
        </w:rPr>
        <w:t>)</w:t>
      </w:r>
      <w:r w:rsidRPr="00983978">
        <w:rPr>
          <w:rFonts w:asciiTheme="minorHAnsi" w:hAnsiTheme="minorHAnsi"/>
        </w:rPr>
        <w:t>.</w:t>
      </w:r>
    </w:p>
    <w:p w14:paraId="14A7D3E3" w14:textId="77777777" w:rsidR="00421B20" w:rsidRPr="00983978" w:rsidRDefault="00421B20">
      <w:pPr>
        <w:rPr>
          <w:rFonts w:asciiTheme="minorHAnsi" w:hAnsiTheme="minorHAnsi"/>
        </w:rPr>
      </w:pPr>
    </w:p>
    <w:p w14:paraId="057877D2" w14:textId="40082BE7" w:rsidR="00421B20" w:rsidRPr="00983978" w:rsidRDefault="00CC4535">
      <w:pPr>
        <w:rPr>
          <w:rFonts w:asciiTheme="minorHAnsi" w:hAnsiTheme="minorHAnsi"/>
        </w:rPr>
      </w:pPr>
      <w:r w:rsidRPr="00983978">
        <w:rPr>
          <w:rFonts w:asciiTheme="minorHAnsi" w:hAnsiTheme="minorHAnsi"/>
        </w:rPr>
        <w:t xml:space="preserve">Furthermore, a number of publishers are seeking to assert rights over earlier versions of articles, an area where they have no jurisdiction. </w:t>
      </w:r>
      <w:r w:rsidR="00983978" w:rsidRPr="00983978">
        <w:rPr>
          <w:rFonts w:asciiTheme="minorHAnsi" w:hAnsiTheme="minorHAnsi"/>
        </w:rPr>
        <w:t>Rights being</w:t>
      </w:r>
      <w:r w:rsidRPr="00983978">
        <w:rPr>
          <w:rFonts w:asciiTheme="minorHAnsi" w:hAnsiTheme="minorHAnsi"/>
        </w:rPr>
        <w:t xml:space="preserve"> asserted include requirements for citation of articles to which a </w:t>
      </w:r>
      <w:r w:rsidRPr="00FB4F4D">
        <w:rPr>
          <w:rFonts w:asciiTheme="minorHAnsi" w:hAnsiTheme="minorHAnsi"/>
          <w:color w:val="auto"/>
        </w:rPr>
        <w:t>preprint may relate</w:t>
      </w:r>
      <w:r w:rsidR="00FB4F4D" w:rsidRPr="00FB4F4D">
        <w:rPr>
          <w:rFonts w:asciiTheme="minorHAnsi" w:hAnsiTheme="minorHAnsi"/>
          <w:color w:val="auto"/>
          <w:u w:val="single"/>
        </w:rPr>
        <w:t xml:space="preserve"> </w:t>
      </w:r>
      <w:r w:rsidR="00FB4F4D" w:rsidRPr="00FB4F4D">
        <w:rPr>
          <w:rFonts w:asciiTheme="minorHAnsi" w:hAnsiTheme="minorHAnsi"/>
          <w:color w:val="1155CC"/>
          <w:u w:val="single"/>
        </w:rPr>
        <w:t>http://media.wiley.com/assets/7320/85/eOAA-CC-BY_sample_2015.pdf</w:t>
      </w:r>
      <w:r w:rsidR="00FB4F4D">
        <w:rPr>
          <w:rFonts w:asciiTheme="minorHAnsi" w:hAnsiTheme="minorHAnsi"/>
          <w:color w:val="1155CC"/>
          <w:u w:val="single"/>
        </w:rPr>
        <w:t>)</w:t>
      </w:r>
      <w:r w:rsidRPr="00983978">
        <w:rPr>
          <w:rFonts w:asciiTheme="minorHAnsi" w:hAnsiTheme="minorHAnsi"/>
        </w:rPr>
        <w:t>. This is an example of a meaningless and probably unenforceable requirement, but which may nonetheless have a stifling effect on authors seeking to share research before formal publication.</w:t>
      </w:r>
    </w:p>
    <w:p w14:paraId="79996A49" w14:textId="77777777" w:rsidR="00421B20" w:rsidRPr="0046323B" w:rsidRDefault="00421B20">
      <w:pPr>
        <w:rPr>
          <w:rFonts w:asciiTheme="minorHAnsi" w:hAnsiTheme="minorHAnsi"/>
          <w:sz w:val="16"/>
          <w:szCs w:val="16"/>
        </w:rPr>
      </w:pPr>
    </w:p>
    <w:p w14:paraId="0D8F58CD" w14:textId="77777777" w:rsidR="00421B20" w:rsidRPr="00983978" w:rsidRDefault="00CC4535">
      <w:pPr>
        <w:rPr>
          <w:rFonts w:asciiTheme="minorHAnsi" w:hAnsiTheme="minorHAnsi"/>
        </w:rPr>
      </w:pPr>
      <w:r w:rsidRPr="00983978">
        <w:rPr>
          <w:rFonts w:asciiTheme="minorHAnsi" w:hAnsiTheme="minorHAnsi"/>
          <w:b/>
        </w:rPr>
        <w:t>Page 405</w:t>
      </w:r>
    </w:p>
    <w:p w14:paraId="4F4E61B3" w14:textId="77777777" w:rsidR="00421B20" w:rsidRPr="00983978" w:rsidRDefault="00CC4535" w:rsidP="0046323B">
      <w:pPr>
        <w:rPr>
          <w:rFonts w:asciiTheme="minorHAnsi" w:hAnsiTheme="minorHAnsi"/>
        </w:rPr>
      </w:pPr>
      <w:r w:rsidRPr="00983978">
        <w:rPr>
          <w:rFonts w:asciiTheme="minorHAnsi" w:hAnsiTheme="minorHAnsi"/>
          <w:i/>
        </w:rPr>
        <w:t>Paragraph beginning “A major mechanism for diffusion of ideas is through academic journals”</w:t>
      </w:r>
    </w:p>
    <w:p w14:paraId="26FF8364" w14:textId="77777777" w:rsidR="002A20DD" w:rsidRPr="0046323B" w:rsidRDefault="002A20DD" w:rsidP="0046323B">
      <w:pPr>
        <w:rPr>
          <w:rFonts w:asciiTheme="minorHAnsi" w:eastAsia="Times New Roman" w:hAnsiTheme="minorHAnsi" w:cs="Times New Roman"/>
          <w:i/>
          <w:sz w:val="16"/>
          <w:szCs w:val="16"/>
        </w:rPr>
      </w:pPr>
    </w:p>
    <w:p w14:paraId="5F3804F2" w14:textId="77777777" w:rsidR="00421B20" w:rsidRPr="00983978" w:rsidRDefault="00CC4535" w:rsidP="0046323B">
      <w:pPr>
        <w:rPr>
          <w:rFonts w:asciiTheme="minorHAnsi" w:hAnsiTheme="minorHAnsi"/>
        </w:rPr>
      </w:pPr>
      <w:r w:rsidRPr="00983978">
        <w:rPr>
          <w:rFonts w:asciiTheme="minorHAnsi" w:eastAsia="Times New Roman" w:hAnsiTheme="minorHAnsi" w:cs="Times New Roman"/>
          <w:i/>
        </w:rPr>
        <w:t>Response</w:t>
      </w:r>
    </w:p>
    <w:p w14:paraId="0322A144" w14:textId="77777777" w:rsidR="00421B20" w:rsidRPr="00983978" w:rsidRDefault="00CC4535">
      <w:pPr>
        <w:rPr>
          <w:rFonts w:asciiTheme="minorHAnsi" w:hAnsiTheme="minorHAnsi"/>
        </w:rPr>
      </w:pPr>
      <w:r w:rsidRPr="00983978">
        <w:rPr>
          <w:rFonts w:asciiTheme="minorHAnsi" w:hAnsiTheme="minorHAnsi"/>
        </w:rPr>
        <w:t>The models of dissemination of scholarly outputs are changing very substantially and though journals remain at the core, as above we note that there are other important mechanisms now such as preprint servers, repositories (for data as well as for research manuscripts) etc. Despite the diverse array of outputs and their routes of dissemination the issue in relation to IP are largely the same.</w:t>
      </w:r>
    </w:p>
    <w:p w14:paraId="62917003" w14:textId="77777777" w:rsidR="00421B20" w:rsidRPr="00983978" w:rsidRDefault="00421B20">
      <w:pPr>
        <w:rPr>
          <w:rFonts w:asciiTheme="minorHAnsi" w:hAnsiTheme="minorHAnsi"/>
        </w:rPr>
      </w:pPr>
      <w:bookmarkStart w:id="2" w:name="h.gjdgxs" w:colFirst="0" w:colLast="0"/>
      <w:bookmarkEnd w:id="2"/>
    </w:p>
    <w:p w14:paraId="008319C8" w14:textId="77777777" w:rsidR="00421B20" w:rsidRPr="00983978" w:rsidRDefault="00CC4535">
      <w:pPr>
        <w:numPr>
          <w:ilvl w:val="0"/>
          <w:numId w:val="3"/>
        </w:numPr>
        <w:ind w:hanging="360"/>
        <w:contextualSpacing/>
        <w:rPr>
          <w:rFonts w:asciiTheme="minorHAnsi" w:hAnsiTheme="minorHAnsi"/>
        </w:rPr>
      </w:pPr>
      <w:r w:rsidRPr="00983978">
        <w:rPr>
          <w:rFonts w:asciiTheme="minorHAnsi" w:hAnsiTheme="minorHAnsi"/>
        </w:rPr>
        <w:t xml:space="preserve">Copyright needs to remain with the generators of the work (if work is not owned by the Government or is otherwise in the public domain); </w:t>
      </w:r>
    </w:p>
    <w:p w14:paraId="4080CD58" w14:textId="77777777" w:rsidR="00421B20" w:rsidRPr="00983978" w:rsidRDefault="00CC4535">
      <w:pPr>
        <w:numPr>
          <w:ilvl w:val="0"/>
          <w:numId w:val="3"/>
        </w:numPr>
        <w:ind w:hanging="360"/>
        <w:contextualSpacing/>
        <w:rPr>
          <w:rFonts w:asciiTheme="minorHAnsi" w:hAnsiTheme="minorHAnsi"/>
        </w:rPr>
      </w:pPr>
      <w:r w:rsidRPr="00983978">
        <w:rPr>
          <w:rFonts w:asciiTheme="minorHAnsi" w:hAnsiTheme="minorHAnsi"/>
        </w:rPr>
        <w:t xml:space="preserve">Generators of work must be credited for that work; </w:t>
      </w:r>
    </w:p>
    <w:p w14:paraId="285291F2" w14:textId="77777777" w:rsidR="00421B20" w:rsidRPr="00983978" w:rsidRDefault="00CC4535">
      <w:pPr>
        <w:numPr>
          <w:ilvl w:val="0"/>
          <w:numId w:val="3"/>
        </w:numPr>
        <w:ind w:hanging="360"/>
        <w:contextualSpacing/>
        <w:rPr>
          <w:rFonts w:asciiTheme="minorHAnsi" w:hAnsiTheme="minorHAnsi"/>
        </w:rPr>
      </w:pPr>
      <w:r w:rsidRPr="00983978">
        <w:rPr>
          <w:rFonts w:asciiTheme="minorHAnsi" w:hAnsiTheme="minorHAnsi"/>
        </w:rPr>
        <w:t>Licenses applied to the work should maximize its discoverability, dissemination and reuse.</w:t>
      </w:r>
    </w:p>
    <w:p w14:paraId="02B5C237" w14:textId="77777777" w:rsidR="00421B20" w:rsidRPr="00983978" w:rsidRDefault="00421B20">
      <w:pPr>
        <w:rPr>
          <w:rFonts w:asciiTheme="minorHAnsi" w:hAnsiTheme="minorHAnsi"/>
        </w:rPr>
      </w:pPr>
    </w:p>
    <w:p w14:paraId="11E86E88" w14:textId="251A3E1F" w:rsidR="00421B20" w:rsidRPr="00983978" w:rsidRDefault="00CC4535">
      <w:pPr>
        <w:rPr>
          <w:rFonts w:asciiTheme="minorHAnsi" w:hAnsiTheme="minorHAnsi"/>
        </w:rPr>
      </w:pPr>
      <w:r w:rsidRPr="00983978">
        <w:rPr>
          <w:rFonts w:asciiTheme="minorHAnsi" w:hAnsiTheme="minorHAnsi"/>
        </w:rPr>
        <w:t xml:space="preserve">Copyright does not per se limit reuse, but it will do if coupled with restrictive licenses. For example, an author may retain copyright but grant an exclusive license to a journal which could then restrict reuse (see above); conversely an author may assign copyright to another body (e.g. their institution) but if that is coupled with </w:t>
      </w:r>
      <w:r w:rsidR="005A3AEF">
        <w:rPr>
          <w:rFonts w:asciiTheme="minorHAnsi" w:hAnsiTheme="minorHAnsi"/>
        </w:rPr>
        <w:t xml:space="preserve">a </w:t>
      </w:r>
      <w:r w:rsidRPr="00983978">
        <w:rPr>
          <w:rFonts w:asciiTheme="minorHAnsi" w:hAnsiTheme="minorHAnsi"/>
        </w:rPr>
        <w:t>non-exclusive license that allows reuse, dissemination is not impeded.</w:t>
      </w:r>
    </w:p>
    <w:p w14:paraId="1CE513E1" w14:textId="77777777" w:rsidR="00421B20" w:rsidRPr="00983978" w:rsidRDefault="00421B20">
      <w:pPr>
        <w:rPr>
          <w:rFonts w:asciiTheme="minorHAnsi" w:hAnsiTheme="minorHAnsi"/>
        </w:rPr>
      </w:pPr>
    </w:p>
    <w:p w14:paraId="1B385943" w14:textId="470F0885" w:rsidR="00421B20" w:rsidRPr="00983978" w:rsidRDefault="00CC4535">
      <w:pPr>
        <w:rPr>
          <w:rFonts w:asciiTheme="minorHAnsi" w:hAnsiTheme="minorHAnsi"/>
        </w:rPr>
      </w:pPr>
      <w:r w:rsidRPr="00983978">
        <w:rPr>
          <w:rFonts w:asciiTheme="minorHAnsi" w:hAnsiTheme="minorHAnsi"/>
        </w:rPr>
        <w:t xml:space="preserve">We therefore suggest that the Commission separates out the issues of copyright and </w:t>
      </w:r>
      <w:r w:rsidR="005A3AEF" w:rsidRPr="00983978">
        <w:rPr>
          <w:rFonts w:asciiTheme="minorHAnsi" w:hAnsiTheme="minorHAnsi"/>
        </w:rPr>
        <w:t>licenses and</w:t>
      </w:r>
      <w:r w:rsidRPr="00983978">
        <w:rPr>
          <w:rFonts w:asciiTheme="minorHAnsi" w:hAnsiTheme="minorHAnsi"/>
        </w:rPr>
        <w:t xml:space="preserve"> makes the following recommendations </w:t>
      </w:r>
    </w:p>
    <w:p w14:paraId="5BC50D7F" w14:textId="01F0F92B" w:rsidR="00421B20" w:rsidRPr="00983978" w:rsidRDefault="00CC4535">
      <w:pPr>
        <w:numPr>
          <w:ilvl w:val="0"/>
          <w:numId w:val="2"/>
        </w:numPr>
        <w:ind w:hanging="360"/>
        <w:contextualSpacing/>
        <w:rPr>
          <w:rFonts w:asciiTheme="minorHAnsi" w:hAnsiTheme="minorHAnsi"/>
        </w:rPr>
      </w:pPr>
      <w:r w:rsidRPr="00983978">
        <w:rPr>
          <w:rFonts w:asciiTheme="minorHAnsi" w:hAnsiTheme="minorHAnsi"/>
        </w:rPr>
        <w:t>Authors (or their institutions) should retain copyright to research outputs</w:t>
      </w:r>
      <w:r w:rsidR="005A3AEF">
        <w:rPr>
          <w:rFonts w:asciiTheme="minorHAnsi" w:hAnsiTheme="minorHAnsi"/>
        </w:rPr>
        <w:t>.</w:t>
      </w:r>
    </w:p>
    <w:p w14:paraId="235D38FE" w14:textId="60B04C19" w:rsidR="00FB4F4D" w:rsidRDefault="00CC4535" w:rsidP="00FB4F4D">
      <w:pPr>
        <w:numPr>
          <w:ilvl w:val="0"/>
          <w:numId w:val="2"/>
        </w:numPr>
        <w:ind w:hanging="360"/>
        <w:contextualSpacing/>
        <w:rPr>
          <w:rFonts w:asciiTheme="minorHAnsi" w:hAnsiTheme="minorHAnsi"/>
        </w:rPr>
      </w:pPr>
      <w:r w:rsidRPr="00983978">
        <w:rPr>
          <w:rFonts w:asciiTheme="minorHAnsi" w:hAnsiTheme="minorHAnsi"/>
        </w:rPr>
        <w:t>Outputs should be licensed under the most appropriate, usually the least restrictive</w:t>
      </w:r>
      <w:r w:rsidR="00FB4F4D" w:rsidRPr="00983978">
        <w:rPr>
          <w:rFonts w:asciiTheme="minorHAnsi" w:hAnsiTheme="minorHAnsi"/>
        </w:rPr>
        <w:t>, internationally</w:t>
      </w:r>
      <w:r w:rsidRPr="00983978">
        <w:rPr>
          <w:rFonts w:asciiTheme="minorHAnsi" w:hAnsiTheme="minorHAnsi"/>
        </w:rPr>
        <w:t xml:space="preserve"> accepted license from Creative Commons, preferably CC</w:t>
      </w:r>
      <w:r w:rsidR="005A3AEF">
        <w:rPr>
          <w:rFonts w:asciiTheme="minorHAnsi" w:hAnsiTheme="minorHAnsi"/>
        </w:rPr>
        <w:t xml:space="preserve"> </w:t>
      </w:r>
      <w:r w:rsidRPr="00983978">
        <w:rPr>
          <w:rFonts w:asciiTheme="minorHAnsi" w:hAnsiTheme="minorHAnsi"/>
        </w:rPr>
        <w:t>BY</w:t>
      </w:r>
      <w:r w:rsidR="005A3AEF">
        <w:rPr>
          <w:rFonts w:asciiTheme="minorHAnsi" w:hAnsiTheme="minorHAnsi"/>
        </w:rPr>
        <w:t>.</w:t>
      </w:r>
    </w:p>
    <w:p w14:paraId="6BDC41BB" w14:textId="4A602B2F" w:rsidR="00421B20" w:rsidRPr="00FB4F4D" w:rsidRDefault="00CC4535" w:rsidP="00FB4F4D">
      <w:pPr>
        <w:numPr>
          <w:ilvl w:val="0"/>
          <w:numId w:val="2"/>
        </w:numPr>
        <w:ind w:hanging="360"/>
        <w:contextualSpacing/>
        <w:rPr>
          <w:rFonts w:asciiTheme="minorHAnsi" w:hAnsiTheme="minorHAnsi"/>
        </w:rPr>
      </w:pPr>
      <w:r w:rsidRPr="00FB4F4D">
        <w:rPr>
          <w:rFonts w:asciiTheme="minorHAnsi" w:hAnsiTheme="minorHAnsi"/>
        </w:rPr>
        <w:t xml:space="preserve">Publisher-specific licenses, even supposedly “open access” ones such as those from </w:t>
      </w:r>
      <w:r w:rsidRPr="00FB4F4D">
        <w:rPr>
          <w:rFonts w:asciiTheme="minorHAnsi" w:hAnsiTheme="minorHAnsi"/>
          <w:color w:val="auto"/>
        </w:rPr>
        <w:t>Elsevier</w:t>
      </w:r>
      <w:r w:rsidR="00FB4F4D" w:rsidRPr="00FB4F4D">
        <w:rPr>
          <w:rFonts w:asciiTheme="minorHAnsi" w:hAnsiTheme="minorHAnsi"/>
          <w:color w:val="auto"/>
        </w:rPr>
        <w:t xml:space="preserve"> (</w:t>
      </w:r>
      <w:r w:rsidR="00FB4F4D" w:rsidRPr="00FB4F4D">
        <w:rPr>
          <w:rFonts w:asciiTheme="minorHAnsi" w:hAnsiTheme="minorHAnsi"/>
          <w:color w:val="1155CC"/>
          <w:u w:val="single"/>
        </w:rPr>
        <w:t>https://www.elsevier.com/about/company-information/policies/open-access-licenses/elsevier-user-license)</w:t>
      </w:r>
      <w:r w:rsidRPr="00FB4F4D">
        <w:rPr>
          <w:rFonts w:asciiTheme="minorHAnsi" w:hAnsiTheme="minorHAnsi"/>
        </w:rPr>
        <w:t>, should not be supported as they lead to further confusion</w:t>
      </w:r>
      <w:r w:rsidR="005A3AEF" w:rsidRPr="00FB4F4D">
        <w:rPr>
          <w:rFonts w:asciiTheme="minorHAnsi" w:hAnsiTheme="minorHAnsi"/>
        </w:rPr>
        <w:t>.</w:t>
      </w:r>
    </w:p>
    <w:p w14:paraId="7BD2A348" w14:textId="09EE80F7" w:rsidR="00421B20" w:rsidRPr="00983978" w:rsidRDefault="00CC4535">
      <w:pPr>
        <w:numPr>
          <w:ilvl w:val="0"/>
          <w:numId w:val="2"/>
        </w:numPr>
        <w:ind w:hanging="360"/>
        <w:contextualSpacing/>
        <w:rPr>
          <w:rFonts w:asciiTheme="minorHAnsi" w:hAnsiTheme="minorHAnsi"/>
        </w:rPr>
      </w:pPr>
      <w:r w:rsidRPr="00983978">
        <w:rPr>
          <w:rFonts w:asciiTheme="minorHAnsi" w:hAnsiTheme="minorHAnsi"/>
        </w:rPr>
        <w:t xml:space="preserve">These terms should apply to all research outputs wherever they are stored and wherever they are in the lifecycle of the research </w:t>
      </w:r>
      <w:r w:rsidR="006D4E24">
        <w:rPr>
          <w:rFonts w:asciiTheme="minorHAnsi" w:hAnsiTheme="minorHAnsi"/>
        </w:rPr>
        <w:t xml:space="preserve">including but not limited to; </w:t>
      </w:r>
      <w:r w:rsidRPr="00983978">
        <w:rPr>
          <w:rFonts w:asciiTheme="minorHAnsi" w:hAnsiTheme="minorHAnsi"/>
        </w:rPr>
        <w:t xml:space="preserve">preprint, </w:t>
      </w:r>
      <w:r w:rsidR="006D4E24">
        <w:rPr>
          <w:rFonts w:asciiTheme="minorHAnsi" w:hAnsiTheme="minorHAnsi"/>
        </w:rPr>
        <w:t xml:space="preserve">author's accepted manuscript, </w:t>
      </w:r>
      <w:r w:rsidRPr="00983978">
        <w:rPr>
          <w:rFonts w:asciiTheme="minorHAnsi" w:hAnsiTheme="minorHAnsi"/>
        </w:rPr>
        <w:t>published article, data etc.</w:t>
      </w:r>
    </w:p>
    <w:p w14:paraId="5ACF0734" w14:textId="77777777" w:rsidR="00421B20" w:rsidRPr="00983978" w:rsidRDefault="00421B20">
      <w:pPr>
        <w:rPr>
          <w:rFonts w:asciiTheme="minorHAnsi" w:hAnsiTheme="minorHAnsi"/>
        </w:rPr>
      </w:pPr>
    </w:p>
    <w:p w14:paraId="33A2FC1B" w14:textId="77777777" w:rsidR="00421B20" w:rsidRPr="00983978" w:rsidRDefault="00CC4535">
      <w:pPr>
        <w:rPr>
          <w:rFonts w:asciiTheme="minorHAnsi" w:hAnsiTheme="minorHAnsi"/>
        </w:rPr>
      </w:pPr>
      <w:r w:rsidRPr="00983978">
        <w:rPr>
          <w:rFonts w:asciiTheme="minorHAnsi" w:hAnsiTheme="minorHAnsi"/>
          <w:b/>
        </w:rPr>
        <w:t xml:space="preserve">Page 406 </w:t>
      </w:r>
    </w:p>
    <w:p w14:paraId="0EAE5DCC" w14:textId="77777777" w:rsidR="00421B20" w:rsidRPr="00983978" w:rsidRDefault="00CC4535">
      <w:pPr>
        <w:rPr>
          <w:rFonts w:asciiTheme="minorHAnsi" w:hAnsiTheme="minorHAnsi"/>
        </w:rPr>
      </w:pPr>
      <w:r w:rsidRPr="00983978">
        <w:rPr>
          <w:rFonts w:asciiTheme="minorHAnsi" w:hAnsiTheme="minorHAnsi"/>
          <w:i/>
        </w:rPr>
        <w:t>Page beginning Copyright for publically funded research</w:t>
      </w:r>
    </w:p>
    <w:p w14:paraId="08A9B930" w14:textId="77777777" w:rsidR="00421B20" w:rsidRPr="00983978" w:rsidRDefault="00CC4535">
      <w:pPr>
        <w:spacing w:before="120"/>
        <w:jc w:val="both"/>
        <w:rPr>
          <w:rFonts w:asciiTheme="minorHAnsi" w:hAnsiTheme="minorHAnsi"/>
        </w:rPr>
      </w:pPr>
      <w:r w:rsidRPr="00983978">
        <w:rPr>
          <w:rFonts w:asciiTheme="minorHAnsi" w:eastAsia="Times New Roman" w:hAnsiTheme="minorHAnsi" w:cs="Times New Roman"/>
          <w:i/>
        </w:rPr>
        <w:t>Response</w:t>
      </w:r>
    </w:p>
    <w:p w14:paraId="72321E1B" w14:textId="223F151E" w:rsidR="00421B20" w:rsidRPr="00983978" w:rsidRDefault="00CC4535">
      <w:pPr>
        <w:rPr>
          <w:rFonts w:asciiTheme="minorHAnsi" w:hAnsiTheme="minorHAnsi"/>
        </w:rPr>
      </w:pPr>
      <w:r w:rsidRPr="00983978">
        <w:rPr>
          <w:rFonts w:asciiTheme="minorHAnsi" w:hAnsiTheme="minorHAnsi"/>
        </w:rPr>
        <w:t xml:space="preserve">We believe copyright over research articles should not be mixed up with IP rights over the subject of the research itself. </w:t>
      </w:r>
      <w:r w:rsidR="00B93F56" w:rsidRPr="00983978">
        <w:rPr>
          <w:rFonts w:asciiTheme="minorHAnsi" w:hAnsiTheme="minorHAnsi"/>
        </w:rPr>
        <w:t>In particular, c</w:t>
      </w:r>
      <w:r w:rsidR="00B93F56">
        <w:rPr>
          <w:rFonts w:asciiTheme="minorHAnsi" w:hAnsiTheme="minorHAnsi"/>
        </w:rPr>
        <w:t>opyright itself, whether held</w:t>
      </w:r>
      <w:r w:rsidR="00B93F56" w:rsidRPr="00983978">
        <w:rPr>
          <w:rFonts w:asciiTheme="minorHAnsi" w:hAnsiTheme="minorHAnsi"/>
        </w:rPr>
        <w:t xml:space="preserve"> by authors or publisher</w:t>
      </w:r>
      <w:r w:rsidR="00B93F56">
        <w:rPr>
          <w:rFonts w:asciiTheme="minorHAnsi" w:hAnsiTheme="minorHAnsi"/>
        </w:rPr>
        <w:t>s</w:t>
      </w:r>
      <w:r w:rsidR="00B93F56" w:rsidRPr="00983978">
        <w:rPr>
          <w:rFonts w:asciiTheme="minorHAnsi" w:hAnsiTheme="minorHAnsi"/>
        </w:rPr>
        <w:t>, does not limit the visibility o</w:t>
      </w:r>
      <w:r w:rsidR="00B93F56">
        <w:rPr>
          <w:rFonts w:asciiTheme="minorHAnsi" w:hAnsiTheme="minorHAnsi"/>
        </w:rPr>
        <w:t xml:space="preserve">r accessibility or reusability </w:t>
      </w:r>
      <w:r w:rsidR="00860CE9">
        <w:rPr>
          <w:rFonts w:asciiTheme="minorHAnsi" w:hAnsiTheme="minorHAnsi"/>
        </w:rPr>
        <w:t>of articles or</w:t>
      </w:r>
      <w:r w:rsidR="00B93F56" w:rsidRPr="00983978">
        <w:rPr>
          <w:rFonts w:asciiTheme="minorHAnsi" w:hAnsiTheme="minorHAnsi"/>
        </w:rPr>
        <w:t xml:space="preserve"> associated data. </w:t>
      </w:r>
      <w:r w:rsidRPr="00983978">
        <w:rPr>
          <w:rFonts w:asciiTheme="minorHAnsi" w:hAnsiTheme="minorHAnsi"/>
        </w:rPr>
        <w:t xml:space="preserve">What does </w:t>
      </w:r>
      <w:r w:rsidR="00DA1D5A" w:rsidRPr="00983978">
        <w:rPr>
          <w:rFonts w:asciiTheme="minorHAnsi" w:hAnsiTheme="minorHAnsi"/>
        </w:rPr>
        <w:t>limit accessibility</w:t>
      </w:r>
      <w:r w:rsidRPr="00983978">
        <w:rPr>
          <w:rFonts w:asciiTheme="minorHAnsi" w:hAnsiTheme="minorHAnsi"/>
        </w:rPr>
        <w:t xml:space="preserve"> and reusability is the licens</w:t>
      </w:r>
      <w:r w:rsidR="00DA1D5A">
        <w:rPr>
          <w:rFonts w:asciiTheme="minorHAnsi" w:hAnsiTheme="minorHAnsi"/>
        </w:rPr>
        <w:t>e associated with those works (</w:t>
      </w:r>
      <w:r w:rsidRPr="00983978">
        <w:rPr>
          <w:rFonts w:asciiTheme="minorHAnsi" w:hAnsiTheme="minorHAnsi"/>
        </w:rPr>
        <w:t>see above) and which was previously most commonly denoted as “All rights reserved”</w:t>
      </w:r>
    </w:p>
    <w:p w14:paraId="07B9F071" w14:textId="77777777" w:rsidR="00421B20" w:rsidRPr="00983978" w:rsidRDefault="00421B20">
      <w:pPr>
        <w:rPr>
          <w:rFonts w:asciiTheme="minorHAnsi" w:hAnsiTheme="minorHAnsi"/>
        </w:rPr>
      </w:pPr>
    </w:p>
    <w:p w14:paraId="0349D1A2" w14:textId="3686A694" w:rsidR="00421B20" w:rsidRPr="00983978" w:rsidRDefault="00CC4535">
      <w:pPr>
        <w:rPr>
          <w:rFonts w:asciiTheme="minorHAnsi" w:hAnsiTheme="minorHAnsi"/>
        </w:rPr>
      </w:pPr>
      <w:r w:rsidRPr="00983978">
        <w:rPr>
          <w:rFonts w:asciiTheme="minorHAnsi" w:hAnsiTheme="minorHAnsi"/>
        </w:rPr>
        <w:t xml:space="preserve">With the technology now available to us, the role of copyright has changed. As Jan Velterop </w:t>
      </w:r>
      <w:r w:rsidRPr="00FB4F4D">
        <w:rPr>
          <w:rFonts w:asciiTheme="minorHAnsi" w:hAnsiTheme="minorHAnsi"/>
          <w:color w:val="auto"/>
        </w:rPr>
        <w:t xml:space="preserve">said in </w:t>
      </w:r>
      <w:r w:rsidR="00FB4F4D">
        <w:rPr>
          <w:rFonts w:asciiTheme="minorHAnsi" w:hAnsiTheme="minorHAnsi"/>
          <w:color w:val="auto"/>
        </w:rPr>
        <w:t>2005,</w:t>
      </w:r>
      <w:r w:rsidRPr="00FB4F4D">
        <w:rPr>
          <w:rFonts w:asciiTheme="minorHAnsi" w:hAnsiTheme="minorHAnsi"/>
          <w:color w:val="auto"/>
        </w:rPr>
        <w:t xml:space="preserve"> </w:t>
      </w:r>
      <w:r w:rsidR="00FB4F4D">
        <w:rPr>
          <w:rFonts w:asciiTheme="minorHAnsi" w:hAnsiTheme="minorHAnsi"/>
        </w:rPr>
        <w:t>(</w:t>
      </w:r>
      <w:hyperlink r:id="rId11" w:history="1">
        <w:r w:rsidR="00FB4F4D" w:rsidRPr="00FB4F4D">
          <w:rPr>
            <w:rStyle w:val="Hyperlink"/>
            <w:rFonts w:asciiTheme="minorHAnsi" w:hAnsiTheme="minorHAnsi"/>
          </w:rPr>
          <w:t>http://www.budapestopenaccessinitiative.org/pdf/open_access_publishing_and_scholarly_societies.pdf</w:t>
        </w:r>
      </w:hyperlink>
      <w:r w:rsidR="00FB4F4D">
        <w:rPr>
          <w:rFonts w:asciiTheme="minorHAnsi" w:hAnsiTheme="minorHAnsi"/>
        </w:rPr>
        <w:t xml:space="preserve">) </w:t>
      </w:r>
      <w:r w:rsidRPr="00983978">
        <w:rPr>
          <w:rFonts w:asciiTheme="minorHAnsi" w:eastAsia="Times New Roman" w:hAnsiTheme="minorHAnsi" w:cs="Times New Roman"/>
          <w:highlight w:val="white"/>
        </w:rPr>
        <w:t>“copyright can [now] be used for what it is meant to in science, not to make the articles artificially scarce and in the process restrict their distribution, but instead, to ensure that their potential for maximum possible dissemination can be realised”</w:t>
      </w:r>
    </w:p>
    <w:p w14:paraId="41FBD844" w14:textId="77777777" w:rsidR="00421B20" w:rsidRPr="0046323B" w:rsidRDefault="00421B20">
      <w:pPr>
        <w:rPr>
          <w:rFonts w:asciiTheme="minorHAnsi" w:hAnsiTheme="minorHAnsi"/>
          <w:sz w:val="16"/>
          <w:szCs w:val="16"/>
        </w:rPr>
      </w:pPr>
    </w:p>
    <w:p w14:paraId="75A48D2E" w14:textId="77777777" w:rsidR="00421B20" w:rsidRPr="00983978" w:rsidRDefault="00CC4535">
      <w:pPr>
        <w:rPr>
          <w:rFonts w:asciiTheme="minorHAnsi" w:hAnsiTheme="minorHAnsi"/>
          <w:b/>
        </w:rPr>
      </w:pPr>
      <w:r w:rsidRPr="00983978">
        <w:rPr>
          <w:rFonts w:asciiTheme="minorHAnsi" w:eastAsia="Times New Roman" w:hAnsiTheme="minorHAnsi" w:cs="Times New Roman"/>
          <w:b/>
          <w:highlight w:val="white"/>
        </w:rPr>
        <w:t>P</w:t>
      </w:r>
      <w:r w:rsidR="00983978" w:rsidRPr="00983978">
        <w:rPr>
          <w:rFonts w:asciiTheme="minorHAnsi" w:eastAsia="Times New Roman" w:hAnsiTheme="minorHAnsi" w:cs="Times New Roman"/>
          <w:b/>
          <w:highlight w:val="white"/>
        </w:rPr>
        <w:t xml:space="preserve">age </w:t>
      </w:r>
      <w:r w:rsidRPr="00983978">
        <w:rPr>
          <w:rFonts w:asciiTheme="minorHAnsi" w:eastAsia="Times New Roman" w:hAnsiTheme="minorHAnsi" w:cs="Times New Roman"/>
          <w:b/>
          <w:highlight w:val="white"/>
        </w:rPr>
        <w:t xml:space="preserve">407 </w:t>
      </w:r>
    </w:p>
    <w:p w14:paraId="44C924CF" w14:textId="77777777" w:rsidR="00421B20" w:rsidRPr="00983978" w:rsidRDefault="00CC4535">
      <w:pPr>
        <w:rPr>
          <w:rFonts w:asciiTheme="minorHAnsi" w:hAnsiTheme="minorHAnsi"/>
        </w:rPr>
      </w:pPr>
      <w:r w:rsidRPr="00983978">
        <w:rPr>
          <w:rFonts w:asciiTheme="minorHAnsi" w:eastAsia="Times New Roman" w:hAnsiTheme="minorHAnsi" w:cs="Times New Roman"/>
          <w:i/>
          <w:highlight w:val="white"/>
        </w:rPr>
        <w:t>Paragraph beginning “universities and some publishers”</w:t>
      </w:r>
    </w:p>
    <w:p w14:paraId="7395DFDB" w14:textId="77777777" w:rsidR="00421B20" w:rsidRPr="00983978" w:rsidRDefault="00CC4535">
      <w:pPr>
        <w:spacing w:before="120"/>
        <w:jc w:val="both"/>
        <w:rPr>
          <w:rFonts w:asciiTheme="minorHAnsi" w:hAnsiTheme="minorHAnsi"/>
        </w:rPr>
      </w:pPr>
      <w:r w:rsidRPr="00983978">
        <w:rPr>
          <w:rFonts w:asciiTheme="minorHAnsi" w:eastAsia="Times New Roman" w:hAnsiTheme="minorHAnsi" w:cs="Times New Roman"/>
          <w:i/>
        </w:rPr>
        <w:t>Response</w:t>
      </w:r>
    </w:p>
    <w:p w14:paraId="57B9B969" w14:textId="02912A36" w:rsidR="00421B20" w:rsidRPr="00983978" w:rsidRDefault="00CC4535">
      <w:pPr>
        <w:rPr>
          <w:rFonts w:asciiTheme="minorHAnsi" w:hAnsiTheme="minorHAnsi"/>
        </w:rPr>
      </w:pPr>
      <w:r w:rsidRPr="00983978">
        <w:rPr>
          <w:rFonts w:asciiTheme="minorHAnsi" w:eastAsia="Times New Roman" w:hAnsiTheme="minorHAnsi" w:cs="Times New Roman"/>
          <w:highlight w:val="white"/>
        </w:rPr>
        <w:t xml:space="preserve">The fact that universities are able to provide access to journals may be seamless, but it is </w:t>
      </w:r>
      <w:r w:rsidR="00862B4E">
        <w:rPr>
          <w:rFonts w:asciiTheme="minorHAnsi" w:eastAsia="Times New Roman" w:hAnsiTheme="minorHAnsi" w:cs="Times New Roman"/>
          <w:highlight w:val="white"/>
        </w:rPr>
        <w:t>at great cost</w:t>
      </w:r>
      <w:r w:rsidR="00DA1D5A">
        <w:rPr>
          <w:rFonts w:asciiTheme="minorHAnsi" w:eastAsia="Times New Roman" w:hAnsiTheme="minorHAnsi" w:cs="Times New Roman"/>
          <w:highlight w:val="white"/>
        </w:rPr>
        <w:t xml:space="preserve">. </w:t>
      </w:r>
      <w:r w:rsidRPr="00983978">
        <w:rPr>
          <w:rFonts w:asciiTheme="minorHAnsi" w:eastAsia="Times New Roman" w:hAnsiTheme="minorHAnsi" w:cs="Times New Roman"/>
          <w:highlight w:val="white"/>
        </w:rPr>
        <w:t>In fact the vast majority of research journals require a subscription. In 2014, Au</w:t>
      </w:r>
      <w:r w:rsidR="00DA1D5A">
        <w:rPr>
          <w:rFonts w:asciiTheme="minorHAnsi" w:eastAsia="Times New Roman" w:hAnsiTheme="minorHAnsi" w:cs="Times New Roman"/>
          <w:highlight w:val="white"/>
        </w:rPr>
        <w:t xml:space="preserve">stralian universities paid AUD </w:t>
      </w:r>
      <w:r w:rsidRPr="00983978">
        <w:rPr>
          <w:rFonts w:asciiTheme="minorHAnsi" w:eastAsia="Times New Roman" w:hAnsiTheme="minorHAnsi" w:cs="Times New Roman"/>
          <w:highlight w:val="white"/>
        </w:rPr>
        <w:t xml:space="preserve">221 million </w:t>
      </w:r>
      <w:r w:rsidR="00860CE9">
        <w:rPr>
          <w:rFonts w:asciiTheme="minorHAnsi" w:eastAsia="Times New Roman" w:hAnsiTheme="minorHAnsi" w:cs="Times New Roman"/>
          <w:highlight w:val="white"/>
        </w:rPr>
        <w:t>(d</w:t>
      </w:r>
      <w:r w:rsidR="00DA1D5A">
        <w:rPr>
          <w:rFonts w:asciiTheme="minorHAnsi" w:eastAsia="Times New Roman" w:hAnsiTheme="minorHAnsi" w:cs="Times New Roman"/>
          <w:highlight w:val="white"/>
        </w:rPr>
        <w:t>ata from the Council of Australian University Librarians</w:t>
      </w:r>
      <w:r w:rsidR="00CE4548">
        <w:rPr>
          <w:rFonts w:asciiTheme="minorHAnsi" w:eastAsia="Times New Roman" w:hAnsiTheme="minorHAnsi" w:cs="Times New Roman"/>
          <w:highlight w:val="white"/>
        </w:rPr>
        <w:t>, CAUL</w:t>
      </w:r>
      <w:r w:rsidR="00DA1D5A">
        <w:rPr>
          <w:rFonts w:asciiTheme="minorHAnsi" w:eastAsia="Times New Roman" w:hAnsiTheme="minorHAnsi" w:cs="Times New Roman"/>
          <w:highlight w:val="white"/>
        </w:rPr>
        <w:t xml:space="preserve">) </w:t>
      </w:r>
      <w:r w:rsidRPr="00983978">
        <w:rPr>
          <w:rFonts w:asciiTheme="minorHAnsi" w:eastAsia="Times New Roman" w:hAnsiTheme="minorHAnsi" w:cs="Times New Roman"/>
          <w:highlight w:val="white"/>
        </w:rPr>
        <w:t xml:space="preserve">for access to electronic journals. While it is true that open access journals are increasing, currently they remain in the minority and the proportion of work that is fully open access is around 12-15%, though many more articles are free to access at some point. </w:t>
      </w:r>
    </w:p>
    <w:p w14:paraId="0B0ADDDE" w14:textId="77777777" w:rsidR="00421B20" w:rsidRPr="0046323B" w:rsidRDefault="00421B20">
      <w:pPr>
        <w:rPr>
          <w:rFonts w:asciiTheme="minorHAnsi" w:hAnsiTheme="minorHAnsi"/>
          <w:sz w:val="16"/>
          <w:szCs w:val="16"/>
        </w:rPr>
      </w:pPr>
    </w:p>
    <w:p w14:paraId="3AEE56A1" w14:textId="77777777" w:rsidR="00421B20" w:rsidRPr="00983978" w:rsidRDefault="00CC4535">
      <w:pPr>
        <w:rPr>
          <w:rFonts w:asciiTheme="minorHAnsi" w:hAnsiTheme="minorHAnsi"/>
        </w:rPr>
      </w:pPr>
      <w:r w:rsidRPr="00983978">
        <w:rPr>
          <w:rFonts w:asciiTheme="minorHAnsi" w:eastAsia="Times New Roman" w:hAnsiTheme="minorHAnsi" w:cs="Times New Roman"/>
          <w:b/>
          <w:highlight w:val="white"/>
        </w:rPr>
        <w:t xml:space="preserve">Page 407 </w:t>
      </w:r>
    </w:p>
    <w:p w14:paraId="647E352E" w14:textId="77777777" w:rsidR="00421B20" w:rsidRPr="00983978" w:rsidRDefault="00CC4535">
      <w:pPr>
        <w:rPr>
          <w:rFonts w:asciiTheme="minorHAnsi" w:hAnsiTheme="minorHAnsi"/>
        </w:rPr>
      </w:pPr>
      <w:r w:rsidRPr="00983978">
        <w:rPr>
          <w:rFonts w:asciiTheme="minorHAnsi" w:eastAsia="Times New Roman" w:hAnsiTheme="minorHAnsi" w:cs="Times New Roman"/>
          <w:i/>
          <w:highlight w:val="white"/>
        </w:rPr>
        <w:t>Paragraph beginning “Recognising that further incentives”</w:t>
      </w:r>
    </w:p>
    <w:p w14:paraId="58CB059E" w14:textId="77777777" w:rsidR="00421B20" w:rsidRPr="00983978" w:rsidRDefault="00CC4535">
      <w:pPr>
        <w:spacing w:before="120"/>
        <w:jc w:val="both"/>
        <w:rPr>
          <w:rFonts w:asciiTheme="minorHAnsi" w:hAnsiTheme="minorHAnsi"/>
        </w:rPr>
      </w:pPr>
      <w:r w:rsidRPr="00983978">
        <w:rPr>
          <w:rFonts w:asciiTheme="minorHAnsi" w:eastAsia="Times New Roman" w:hAnsiTheme="minorHAnsi" w:cs="Times New Roman"/>
          <w:i/>
        </w:rPr>
        <w:t>Response</w:t>
      </w:r>
    </w:p>
    <w:p w14:paraId="7FA36B6A" w14:textId="7C9F8610" w:rsidR="00421B20" w:rsidRPr="00983978" w:rsidRDefault="00CC4535">
      <w:pPr>
        <w:rPr>
          <w:rFonts w:asciiTheme="minorHAnsi" w:hAnsiTheme="minorHAnsi"/>
        </w:rPr>
      </w:pPr>
      <w:r w:rsidRPr="00983978">
        <w:rPr>
          <w:rFonts w:asciiTheme="minorHAnsi" w:eastAsia="Times New Roman" w:hAnsiTheme="minorHAnsi" w:cs="Times New Roman"/>
          <w:highlight w:val="white"/>
        </w:rPr>
        <w:t xml:space="preserve">This is indeed a hugely active area of policy development globally. It is clear that there </w:t>
      </w:r>
      <w:r w:rsidR="00862B4E">
        <w:rPr>
          <w:rFonts w:asciiTheme="minorHAnsi" w:eastAsia="Times New Roman" w:hAnsiTheme="minorHAnsi" w:cs="Times New Roman"/>
          <w:highlight w:val="white"/>
        </w:rPr>
        <w:t>is</w:t>
      </w:r>
      <w:r w:rsidRPr="00983978">
        <w:rPr>
          <w:rFonts w:asciiTheme="minorHAnsi" w:eastAsia="Times New Roman" w:hAnsiTheme="minorHAnsi" w:cs="Times New Roman"/>
          <w:highlight w:val="white"/>
        </w:rPr>
        <w:t xml:space="preserve"> a number of different approaches to open access, with some countries favouring it via journals primarily (</w:t>
      </w:r>
      <w:r w:rsidR="00B93F56" w:rsidRPr="00983978">
        <w:rPr>
          <w:rFonts w:asciiTheme="minorHAnsi" w:eastAsia="Times New Roman" w:hAnsiTheme="minorHAnsi" w:cs="Times New Roman"/>
          <w:highlight w:val="white"/>
        </w:rPr>
        <w:t>e.g.</w:t>
      </w:r>
      <w:r w:rsidRPr="00983978">
        <w:rPr>
          <w:rFonts w:asciiTheme="minorHAnsi" w:eastAsia="Times New Roman" w:hAnsiTheme="minorHAnsi" w:cs="Times New Roman"/>
          <w:highlight w:val="white"/>
        </w:rPr>
        <w:t xml:space="preserve"> the UK and most recently the Netherlands) and others such as the US and Australia approaching it via the route of repositories - usually institutional. What is currently unclear</w:t>
      </w:r>
      <w:r w:rsidR="00B93F56">
        <w:rPr>
          <w:rFonts w:asciiTheme="minorHAnsi" w:eastAsia="Times New Roman" w:hAnsiTheme="minorHAnsi" w:cs="Times New Roman"/>
          <w:highlight w:val="white"/>
        </w:rPr>
        <w:t>,</w:t>
      </w:r>
      <w:r w:rsidRPr="00983978">
        <w:rPr>
          <w:rFonts w:asciiTheme="minorHAnsi" w:eastAsia="Times New Roman" w:hAnsiTheme="minorHAnsi" w:cs="Times New Roman"/>
          <w:highlight w:val="white"/>
        </w:rPr>
        <w:t xml:space="preserve"> however</w:t>
      </w:r>
      <w:r w:rsidR="00B93F56">
        <w:rPr>
          <w:rFonts w:asciiTheme="minorHAnsi" w:eastAsia="Times New Roman" w:hAnsiTheme="minorHAnsi" w:cs="Times New Roman"/>
          <w:highlight w:val="white"/>
        </w:rPr>
        <w:t>,</w:t>
      </w:r>
      <w:r w:rsidRPr="00983978">
        <w:rPr>
          <w:rFonts w:asciiTheme="minorHAnsi" w:eastAsia="Times New Roman" w:hAnsiTheme="minorHAnsi" w:cs="Times New Roman"/>
          <w:highlight w:val="white"/>
        </w:rPr>
        <w:t xml:space="preserve"> is the copyright and license status of much of the material within institutional repositories and this has led to difficulties in promoting se</w:t>
      </w:r>
      <w:r w:rsidR="00CE4548">
        <w:rPr>
          <w:rFonts w:asciiTheme="minorHAnsi" w:eastAsia="Times New Roman" w:hAnsiTheme="minorHAnsi" w:cs="Times New Roman"/>
          <w:highlight w:val="white"/>
        </w:rPr>
        <w:t xml:space="preserve">amless dissemination via these </w:t>
      </w:r>
      <w:r w:rsidRPr="00983978">
        <w:rPr>
          <w:rFonts w:asciiTheme="minorHAnsi" w:eastAsia="Times New Roman" w:hAnsiTheme="minorHAnsi" w:cs="Times New Roman"/>
          <w:highlight w:val="white"/>
        </w:rPr>
        <w:t>venues.</w:t>
      </w:r>
    </w:p>
    <w:p w14:paraId="3B5CCCBA" w14:textId="77777777" w:rsidR="00421B20" w:rsidRPr="0046323B" w:rsidRDefault="00421B20">
      <w:pPr>
        <w:rPr>
          <w:rFonts w:asciiTheme="minorHAnsi" w:hAnsiTheme="minorHAnsi"/>
          <w:sz w:val="16"/>
          <w:szCs w:val="16"/>
        </w:rPr>
      </w:pPr>
    </w:p>
    <w:p w14:paraId="7226C1ED" w14:textId="77777777" w:rsidR="00421B20" w:rsidRPr="00983978" w:rsidRDefault="00CC4535">
      <w:pPr>
        <w:rPr>
          <w:rFonts w:asciiTheme="minorHAnsi" w:hAnsiTheme="minorHAnsi"/>
        </w:rPr>
      </w:pPr>
      <w:r w:rsidRPr="00983978">
        <w:rPr>
          <w:rFonts w:asciiTheme="minorHAnsi" w:eastAsia="Times New Roman" w:hAnsiTheme="minorHAnsi" w:cs="Times New Roman"/>
          <w:b/>
          <w:highlight w:val="white"/>
        </w:rPr>
        <w:t xml:space="preserve">Page 408 </w:t>
      </w:r>
    </w:p>
    <w:p w14:paraId="53EA9071" w14:textId="77777777" w:rsidR="00421B20" w:rsidRPr="00983978" w:rsidRDefault="00CC4535">
      <w:pPr>
        <w:rPr>
          <w:rFonts w:asciiTheme="minorHAnsi" w:hAnsiTheme="minorHAnsi"/>
        </w:rPr>
      </w:pPr>
      <w:r w:rsidRPr="00983978">
        <w:rPr>
          <w:rFonts w:asciiTheme="minorHAnsi" w:eastAsia="Times New Roman" w:hAnsiTheme="minorHAnsi" w:cs="Times New Roman"/>
          <w:i/>
          <w:highlight w:val="white"/>
        </w:rPr>
        <w:t>Paragraph beginning “A similar trend”</w:t>
      </w:r>
    </w:p>
    <w:p w14:paraId="68B415E4" w14:textId="77777777" w:rsidR="00421B20" w:rsidRPr="00983978" w:rsidRDefault="00CC4535">
      <w:pPr>
        <w:spacing w:before="120"/>
        <w:jc w:val="both"/>
        <w:rPr>
          <w:rFonts w:asciiTheme="minorHAnsi" w:hAnsiTheme="minorHAnsi"/>
        </w:rPr>
      </w:pPr>
      <w:r w:rsidRPr="00983978">
        <w:rPr>
          <w:rFonts w:asciiTheme="minorHAnsi" w:eastAsia="Times New Roman" w:hAnsiTheme="minorHAnsi" w:cs="Times New Roman"/>
          <w:i/>
        </w:rPr>
        <w:t>Response</w:t>
      </w:r>
    </w:p>
    <w:p w14:paraId="5FB8B9AC" w14:textId="0BEA7859" w:rsidR="00421B20" w:rsidRPr="00983978" w:rsidRDefault="00CC4535">
      <w:pPr>
        <w:rPr>
          <w:rFonts w:asciiTheme="minorHAnsi" w:hAnsiTheme="minorHAnsi"/>
        </w:rPr>
      </w:pPr>
      <w:r w:rsidRPr="00983978">
        <w:rPr>
          <w:rFonts w:asciiTheme="minorHAnsi" w:eastAsia="Times New Roman" w:hAnsiTheme="minorHAnsi" w:cs="Times New Roman"/>
          <w:highlight w:val="white"/>
        </w:rPr>
        <w:t xml:space="preserve">We agree that there is no one policy now covering all publicly funded research and we therefore support Recommendation 15.1 </w:t>
      </w:r>
      <w:r w:rsidR="00860CE9">
        <w:rPr>
          <w:rFonts w:asciiTheme="minorHAnsi" w:eastAsia="Times New Roman" w:hAnsiTheme="minorHAnsi" w:cs="Times New Roman"/>
          <w:highlight w:val="white"/>
        </w:rPr>
        <w:t xml:space="preserve">on </w:t>
      </w:r>
      <w:r w:rsidRPr="00983978">
        <w:rPr>
          <w:rFonts w:asciiTheme="minorHAnsi" w:eastAsia="Times New Roman" w:hAnsiTheme="minorHAnsi" w:cs="Times New Roman"/>
          <w:highlight w:val="white"/>
        </w:rPr>
        <w:t>page 409. We particularly welcome the insightful comment on p</w:t>
      </w:r>
      <w:r w:rsidR="00860CE9">
        <w:rPr>
          <w:rFonts w:asciiTheme="minorHAnsi" w:eastAsia="Times New Roman" w:hAnsiTheme="minorHAnsi" w:cs="Times New Roman"/>
          <w:highlight w:val="white"/>
        </w:rPr>
        <w:t xml:space="preserve">age </w:t>
      </w:r>
      <w:r w:rsidRPr="00983978">
        <w:rPr>
          <w:rFonts w:asciiTheme="minorHAnsi" w:eastAsia="Times New Roman" w:hAnsiTheme="minorHAnsi" w:cs="Times New Roman"/>
          <w:highlight w:val="white"/>
        </w:rPr>
        <w:t>409 that precedes it: “It is important when crafting polic</w:t>
      </w:r>
      <w:r w:rsidR="009C1EF7">
        <w:rPr>
          <w:rFonts w:asciiTheme="minorHAnsi" w:eastAsia="Times New Roman" w:hAnsiTheme="minorHAnsi" w:cs="Times New Roman"/>
          <w:highlight w:val="white"/>
        </w:rPr>
        <w:t>y</w:t>
      </w:r>
      <w:r w:rsidRPr="00983978">
        <w:rPr>
          <w:rFonts w:asciiTheme="minorHAnsi" w:eastAsia="Times New Roman" w:hAnsiTheme="minorHAnsi" w:cs="Times New Roman"/>
          <w:highlight w:val="white"/>
        </w:rPr>
        <w:t xml:space="preserve"> in relation to open access to delineate exactly what is meant by the term” As noted </w:t>
      </w:r>
      <w:r w:rsidR="00642EAD" w:rsidRPr="00983978">
        <w:rPr>
          <w:rFonts w:asciiTheme="minorHAnsi" w:eastAsia="Times New Roman" w:hAnsiTheme="minorHAnsi" w:cs="Times New Roman"/>
          <w:highlight w:val="white"/>
        </w:rPr>
        <w:t>above, the</w:t>
      </w:r>
      <w:r w:rsidRPr="00983978">
        <w:rPr>
          <w:rFonts w:asciiTheme="minorHAnsi" w:eastAsia="Times New Roman" w:hAnsiTheme="minorHAnsi" w:cs="Times New Roman"/>
          <w:highlight w:val="white"/>
        </w:rPr>
        <w:t xml:space="preserve"> interchangeable use of phrases open access and free access, without clear indication of what these terms mean with regard to copyright and licenses has led to much confusion among authors in particular. We would urge caution therefore in the use of these terms, including in this recommendation. </w:t>
      </w:r>
      <w:r w:rsidR="00B93F56" w:rsidRPr="00983978">
        <w:rPr>
          <w:rFonts w:asciiTheme="minorHAnsi" w:eastAsia="Times New Roman" w:hAnsiTheme="minorHAnsi" w:cs="Times New Roman"/>
          <w:highlight w:val="white"/>
        </w:rPr>
        <w:t>We do not recommend the development of different policies at natio</w:t>
      </w:r>
      <w:r w:rsidR="00B93F56">
        <w:rPr>
          <w:rFonts w:asciiTheme="minorHAnsi" w:eastAsia="Times New Roman" w:hAnsiTheme="minorHAnsi" w:cs="Times New Roman"/>
          <w:highlight w:val="white"/>
        </w:rPr>
        <w:t>nal, state and territory levels.</w:t>
      </w:r>
      <w:r w:rsidR="00B93F56" w:rsidRPr="00983978">
        <w:rPr>
          <w:rFonts w:asciiTheme="minorHAnsi" w:eastAsia="Times New Roman" w:hAnsiTheme="minorHAnsi" w:cs="Times New Roman"/>
          <w:highlight w:val="white"/>
        </w:rPr>
        <w:t xml:space="preserve"> Rather, we believe the opportunity should be taken to craft one overarching policy that is applicable nationally.</w:t>
      </w:r>
    </w:p>
    <w:p w14:paraId="4CB7E043" w14:textId="77777777" w:rsidR="00421B20" w:rsidRPr="0046323B" w:rsidRDefault="00421B20">
      <w:pPr>
        <w:rPr>
          <w:rFonts w:asciiTheme="minorHAnsi" w:hAnsiTheme="minorHAnsi"/>
          <w:sz w:val="16"/>
          <w:szCs w:val="16"/>
        </w:rPr>
      </w:pPr>
    </w:p>
    <w:p w14:paraId="45234FF1" w14:textId="77777777" w:rsidR="00421B20" w:rsidRPr="00983978" w:rsidRDefault="00CC4535">
      <w:pPr>
        <w:rPr>
          <w:rFonts w:asciiTheme="minorHAnsi" w:hAnsiTheme="minorHAnsi"/>
        </w:rPr>
      </w:pPr>
      <w:r w:rsidRPr="00983978">
        <w:rPr>
          <w:rFonts w:asciiTheme="minorHAnsi" w:eastAsia="Times New Roman" w:hAnsiTheme="minorHAnsi" w:cs="Times New Roman"/>
          <w:b/>
          <w:highlight w:val="white"/>
        </w:rPr>
        <w:t xml:space="preserve">Page 408 </w:t>
      </w:r>
    </w:p>
    <w:p w14:paraId="76BEB613" w14:textId="77777777" w:rsidR="00421B20" w:rsidRPr="00983978" w:rsidRDefault="00CC4535">
      <w:pPr>
        <w:rPr>
          <w:rFonts w:asciiTheme="minorHAnsi" w:hAnsiTheme="minorHAnsi"/>
        </w:rPr>
      </w:pPr>
      <w:r w:rsidRPr="00983978">
        <w:rPr>
          <w:rFonts w:asciiTheme="minorHAnsi" w:eastAsia="Times New Roman" w:hAnsiTheme="minorHAnsi" w:cs="Times New Roman"/>
          <w:i/>
          <w:highlight w:val="white"/>
        </w:rPr>
        <w:t>Paragraph beginning “encouragement of different ways”</w:t>
      </w:r>
    </w:p>
    <w:p w14:paraId="0D5BFBD4" w14:textId="77777777" w:rsidR="00421B20" w:rsidRPr="00983978" w:rsidRDefault="00CC4535">
      <w:pPr>
        <w:spacing w:before="120"/>
        <w:jc w:val="both"/>
        <w:rPr>
          <w:rFonts w:asciiTheme="minorHAnsi" w:hAnsiTheme="minorHAnsi"/>
        </w:rPr>
      </w:pPr>
      <w:r w:rsidRPr="00983978">
        <w:rPr>
          <w:rFonts w:asciiTheme="minorHAnsi" w:eastAsia="Times New Roman" w:hAnsiTheme="minorHAnsi" w:cs="Times New Roman"/>
          <w:i/>
        </w:rPr>
        <w:t>Response</w:t>
      </w:r>
    </w:p>
    <w:p w14:paraId="5208BB7F" w14:textId="599851A4" w:rsidR="00D22908" w:rsidRDefault="00CC4535">
      <w:pPr>
        <w:rPr>
          <w:rFonts w:asciiTheme="minorHAnsi" w:eastAsia="Times New Roman" w:hAnsiTheme="minorHAnsi" w:cs="Times New Roman"/>
          <w:highlight w:val="white"/>
        </w:rPr>
      </w:pPr>
      <w:r w:rsidRPr="00983978">
        <w:rPr>
          <w:rFonts w:asciiTheme="minorHAnsi" w:eastAsia="Times New Roman" w:hAnsiTheme="minorHAnsi" w:cs="Times New Roman"/>
          <w:highlight w:val="white"/>
        </w:rPr>
        <w:t xml:space="preserve">We welcome the recognition that new models of publishing will need to be supported and that funds must be allocated for this purpose as the transition occurs. However, a fundamental aim of a transition to new publishing models must be that costs are lowered. </w:t>
      </w:r>
      <w:r w:rsidRPr="00FB4F4D">
        <w:rPr>
          <w:rFonts w:asciiTheme="minorHAnsi" w:eastAsia="Times New Roman" w:hAnsiTheme="minorHAnsi" w:cs="Times New Roman"/>
          <w:color w:val="auto"/>
          <w:highlight w:val="white"/>
        </w:rPr>
        <w:t>Schimmer and colleagues</w:t>
      </w:r>
      <w:r w:rsidRPr="00983978">
        <w:rPr>
          <w:rFonts w:asciiTheme="minorHAnsi" w:eastAsia="Times New Roman" w:hAnsiTheme="minorHAnsi" w:cs="Times New Roman"/>
          <w:highlight w:val="white"/>
        </w:rPr>
        <w:t xml:space="preserve"> </w:t>
      </w:r>
      <w:r w:rsidR="00FB4F4D">
        <w:rPr>
          <w:rFonts w:asciiTheme="minorHAnsi" w:eastAsia="Times New Roman" w:hAnsiTheme="minorHAnsi" w:cs="Times New Roman"/>
          <w:highlight w:val="white"/>
        </w:rPr>
        <w:t>(</w:t>
      </w:r>
      <w:hyperlink r:id="rId12" w:history="1">
        <w:r w:rsidR="00FB4F4D" w:rsidRPr="0010645D">
          <w:rPr>
            <w:rStyle w:val="Hyperlink"/>
            <w:rFonts w:asciiTheme="minorHAnsi" w:eastAsia="Times New Roman" w:hAnsiTheme="minorHAnsi" w:cs="Times New Roman"/>
          </w:rPr>
          <w:t>https://www.mpg.de/9202262/area-wide-transition-open-access</w:t>
        </w:r>
      </w:hyperlink>
      <w:r w:rsidR="00FB4F4D">
        <w:rPr>
          <w:rFonts w:asciiTheme="minorHAnsi" w:eastAsia="Times New Roman" w:hAnsiTheme="minorHAnsi" w:cs="Times New Roman"/>
        </w:rPr>
        <w:t xml:space="preserve">) </w:t>
      </w:r>
      <w:r w:rsidRPr="00983978">
        <w:rPr>
          <w:rFonts w:asciiTheme="minorHAnsi" w:eastAsia="Times New Roman" w:hAnsiTheme="minorHAnsi" w:cs="Times New Roman"/>
          <w:highlight w:val="white"/>
        </w:rPr>
        <w:t xml:space="preserve">have modelled this </w:t>
      </w:r>
      <w:r w:rsidR="00642EAD">
        <w:rPr>
          <w:rFonts w:asciiTheme="minorHAnsi" w:eastAsia="Times New Roman" w:hAnsiTheme="minorHAnsi" w:cs="Times New Roman"/>
          <w:highlight w:val="white"/>
        </w:rPr>
        <w:t xml:space="preserve">(via the “flipping” of journals from subscription to </w:t>
      </w:r>
      <w:r w:rsidR="00D22908">
        <w:rPr>
          <w:rFonts w:asciiTheme="minorHAnsi" w:eastAsia="Times New Roman" w:hAnsiTheme="minorHAnsi" w:cs="Times New Roman"/>
          <w:highlight w:val="white"/>
        </w:rPr>
        <w:t xml:space="preserve">open access </w:t>
      </w:r>
      <w:r w:rsidRPr="00983978">
        <w:rPr>
          <w:rFonts w:asciiTheme="minorHAnsi" w:eastAsia="Times New Roman" w:hAnsiTheme="minorHAnsi" w:cs="Times New Roman"/>
          <w:highlight w:val="white"/>
        </w:rPr>
        <w:t xml:space="preserve">for three countries, including Germany. Whether this can be replicated elsewhere remains to be seen. </w:t>
      </w:r>
      <w:r w:rsidR="00310999">
        <w:t xml:space="preserve">It is not yet clear the flipping projects will reduce costs over a sustained period </w:t>
      </w:r>
      <w:r w:rsidR="002E06C1">
        <w:t>if</w:t>
      </w:r>
      <w:r w:rsidR="00310999">
        <w:t xml:space="preserve"> pricing decisions remain in the hands of the established vendors.</w:t>
      </w:r>
      <w:r w:rsidRPr="00983978">
        <w:rPr>
          <w:rFonts w:asciiTheme="minorHAnsi" w:eastAsia="Times New Roman" w:hAnsiTheme="minorHAnsi" w:cs="Times New Roman"/>
          <w:highlight w:val="white"/>
        </w:rPr>
        <w:t xml:space="preserve"> What will be crucially important is the encouragement of a diversity of publishing models from a variety of players, not just the </w:t>
      </w:r>
      <w:r w:rsidRPr="00FB4F4D">
        <w:rPr>
          <w:rFonts w:asciiTheme="minorHAnsi" w:eastAsia="Times New Roman" w:hAnsiTheme="minorHAnsi" w:cs="Times New Roman"/>
          <w:color w:val="auto"/>
          <w:highlight w:val="white"/>
        </w:rPr>
        <w:t>five large publishers</w:t>
      </w:r>
      <w:r w:rsidR="00FB4F4D" w:rsidRPr="00FB4F4D">
        <w:rPr>
          <w:rFonts w:asciiTheme="minorHAnsi" w:eastAsia="Times New Roman" w:hAnsiTheme="minorHAnsi" w:cs="Times New Roman"/>
          <w:color w:val="auto"/>
          <w:highlight w:val="white"/>
          <w:u w:val="single"/>
        </w:rPr>
        <w:t xml:space="preserve"> </w:t>
      </w:r>
      <w:r w:rsidR="00FB4F4D">
        <w:rPr>
          <w:rFonts w:asciiTheme="minorHAnsi" w:eastAsia="Times New Roman" w:hAnsiTheme="minorHAnsi" w:cs="Times New Roman"/>
          <w:color w:val="1155CC"/>
          <w:highlight w:val="white"/>
          <w:u w:val="single"/>
        </w:rPr>
        <w:t>(</w:t>
      </w:r>
      <w:r w:rsidR="00FB4F4D" w:rsidRPr="00FB4F4D">
        <w:rPr>
          <w:rFonts w:asciiTheme="minorHAnsi" w:eastAsia="Times New Roman" w:hAnsiTheme="minorHAnsi" w:cs="Times New Roman"/>
          <w:color w:val="1155CC"/>
          <w:u w:val="single"/>
        </w:rPr>
        <w:t>http://journals.plos.org/plosone/article?id=10.1371/journal.pone.0127502</w:t>
      </w:r>
      <w:r w:rsidR="00FB4F4D">
        <w:rPr>
          <w:rFonts w:asciiTheme="minorHAnsi" w:eastAsia="Times New Roman" w:hAnsiTheme="minorHAnsi" w:cs="Times New Roman"/>
          <w:color w:val="1155CC"/>
          <w:u w:val="single"/>
        </w:rPr>
        <w:t>)</w:t>
      </w:r>
      <w:r w:rsidRPr="00983978">
        <w:rPr>
          <w:rFonts w:asciiTheme="minorHAnsi" w:eastAsia="Times New Roman" w:hAnsiTheme="minorHAnsi" w:cs="Times New Roman"/>
          <w:highlight w:val="white"/>
        </w:rPr>
        <w:t xml:space="preserve"> who currently </w:t>
      </w:r>
      <w:r w:rsidR="00D22908">
        <w:rPr>
          <w:rFonts w:asciiTheme="minorHAnsi" w:eastAsia="Times New Roman" w:hAnsiTheme="minorHAnsi" w:cs="Times New Roman"/>
          <w:highlight w:val="white"/>
        </w:rPr>
        <w:t xml:space="preserve">dominate scholarly publishing. </w:t>
      </w:r>
    </w:p>
    <w:p w14:paraId="7DC55CBC" w14:textId="77777777" w:rsidR="000E15E4" w:rsidRDefault="000E15E4">
      <w:pPr>
        <w:rPr>
          <w:rFonts w:asciiTheme="minorHAnsi" w:eastAsia="Times New Roman" w:hAnsiTheme="minorHAnsi" w:cs="Times New Roman"/>
          <w:highlight w:val="white"/>
        </w:rPr>
      </w:pPr>
    </w:p>
    <w:p w14:paraId="1CD8B07C" w14:textId="340DE103" w:rsidR="00421B20" w:rsidRPr="00983978" w:rsidRDefault="00CC4535">
      <w:pPr>
        <w:rPr>
          <w:rFonts w:asciiTheme="minorHAnsi" w:hAnsiTheme="minorHAnsi"/>
        </w:rPr>
      </w:pPr>
      <w:r w:rsidRPr="00983978">
        <w:rPr>
          <w:rFonts w:asciiTheme="minorHAnsi" w:eastAsia="Times New Roman" w:hAnsiTheme="minorHAnsi" w:cs="Times New Roman"/>
          <w:highlight w:val="white"/>
        </w:rPr>
        <w:t>Furthermore, such innovation and openness should be specifically rewarded - not just “treated neutrally” as on the bottom of page 408.</w:t>
      </w:r>
    </w:p>
    <w:sectPr w:rsidR="00421B20" w:rsidRPr="00983978">
      <w:footerReference w:type="default" r:id="rId13"/>
      <w:pgSz w:w="11900" w:h="16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6F61" w14:textId="77777777" w:rsidR="00052831" w:rsidRDefault="00052831">
      <w:r>
        <w:separator/>
      </w:r>
    </w:p>
  </w:endnote>
  <w:endnote w:type="continuationSeparator" w:id="0">
    <w:p w14:paraId="43BCAEAE" w14:textId="77777777" w:rsidR="00052831" w:rsidRDefault="000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7EE6" w14:textId="51932C28" w:rsidR="00421B20" w:rsidRPr="005F6829" w:rsidRDefault="00CC4535">
    <w:pPr>
      <w:tabs>
        <w:tab w:val="center" w:pos="4513"/>
        <w:tab w:val="right" w:pos="9026"/>
      </w:tabs>
      <w:rPr>
        <w:color w:val="BFBFBF" w:themeColor="background1" w:themeShade="BF"/>
      </w:rPr>
    </w:pPr>
    <w:r w:rsidRPr="005F6829">
      <w:rPr>
        <w:color w:val="BFBFBF" w:themeColor="background1" w:themeShade="BF"/>
        <w:sz w:val="22"/>
        <w:szCs w:val="22"/>
      </w:rPr>
      <w:t>Australasian Open Access Strategy Group</w:t>
    </w:r>
    <w:r w:rsidR="005F6829" w:rsidRPr="005F6829">
      <w:rPr>
        <w:rFonts w:ascii="Symbol" w:eastAsia="Symbol" w:hAnsi="Symbol" w:cs="Symbol"/>
        <w:color w:val="BFBFBF" w:themeColor="background1" w:themeShade="BF"/>
        <w:sz w:val="22"/>
        <w:szCs w:val="22"/>
      </w:rPr>
      <w:sym w:font="Symbol" w:char="F0E7"/>
    </w:r>
    <w:r w:rsidR="005F6829" w:rsidRPr="005F6829">
      <w:rPr>
        <w:rFonts w:ascii="Symbol" w:eastAsia="Symbol" w:hAnsi="Symbol" w:cs="Symbol"/>
        <w:color w:val="BFBFBF" w:themeColor="background1" w:themeShade="BF"/>
        <w:sz w:val="22"/>
        <w:szCs w:val="22"/>
      </w:rPr>
      <w:sym w:font="Symbol" w:char="F0B7"/>
    </w:r>
    <w:r w:rsidR="005F6829" w:rsidRPr="005F6829">
      <w:rPr>
        <w:rFonts w:ascii="Symbol" w:eastAsia="Symbol" w:hAnsi="Symbol" w:cs="Symbol"/>
        <w:color w:val="BFBFBF" w:themeColor="background1" w:themeShade="BF"/>
        <w:sz w:val="22"/>
        <w:szCs w:val="22"/>
      </w:rPr>
      <w:t></w:t>
    </w:r>
    <w:r w:rsidRPr="005F6829">
      <w:rPr>
        <w:color w:val="BFBFBF" w:themeColor="background1" w:themeShade="BF"/>
        <w:sz w:val="22"/>
        <w:szCs w:val="22"/>
      </w:rPr>
      <w:t>www.aoasg.org.au</w:t>
    </w:r>
    <w:r w:rsidR="005F6829" w:rsidRPr="005F6829">
      <w:rPr>
        <w:rFonts w:ascii="Symbol" w:eastAsia="Symbol" w:hAnsi="Symbol" w:cs="Symbol"/>
        <w:color w:val="BFBFBF" w:themeColor="background1" w:themeShade="BF"/>
        <w:sz w:val="22"/>
        <w:szCs w:val="22"/>
      </w:rPr>
      <w:t></w:t>
    </w:r>
    <w:r w:rsidR="005F6829" w:rsidRPr="005F6829">
      <w:rPr>
        <w:rFonts w:ascii="Symbol" w:eastAsia="Symbol" w:hAnsi="Symbol" w:cs="Symbol"/>
        <w:color w:val="BFBFBF" w:themeColor="background1" w:themeShade="BF"/>
        <w:sz w:val="22"/>
        <w:szCs w:val="22"/>
      </w:rPr>
      <w:sym w:font="Symbol" w:char="F0B7"/>
    </w:r>
    <w:r w:rsidR="005F6829" w:rsidRPr="005F6829">
      <w:rPr>
        <w:rFonts w:ascii="Symbol" w:eastAsia="Symbol" w:hAnsi="Symbol" w:cs="Symbol"/>
        <w:color w:val="BFBFBF" w:themeColor="background1" w:themeShade="BF"/>
        <w:sz w:val="22"/>
        <w:szCs w:val="22"/>
      </w:rPr>
      <w:t></w:t>
    </w:r>
    <w:r w:rsidR="00983978" w:rsidRPr="005F6829">
      <w:rPr>
        <w:color w:val="BFBFBF" w:themeColor="background1" w:themeShade="BF"/>
        <w:sz w:val="22"/>
        <w:szCs w:val="22"/>
      </w:rPr>
      <w:t>@openaccess_</w:t>
    </w:r>
    <w:r w:rsidRPr="005F6829">
      <w:rPr>
        <w:noProof/>
        <w:color w:val="BFBFBF" w:themeColor="background1" w:themeShade="BF"/>
      </w:rPr>
      <w:drawing>
        <wp:anchor distT="0" distB="0" distL="114300" distR="114300" simplePos="0" relativeHeight="251658240" behindDoc="0" locked="0" layoutInCell="0" hidden="0" allowOverlap="0" wp14:anchorId="729D5BC2" wp14:editId="19D61E9C">
          <wp:simplePos x="0" y="0"/>
          <wp:positionH relativeFrom="margin">
            <wp:posOffset>4885055</wp:posOffset>
          </wp:positionH>
          <wp:positionV relativeFrom="paragraph">
            <wp:posOffset>0</wp:posOffset>
          </wp:positionV>
          <wp:extent cx="391795" cy="39179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391795" cy="391795"/>
                  </a:xfrm>
                  <a:prstGeom prst="rect">
                    <a:avLst/>
                  </a:prstGeom>
                  <a:ln/>
                </pic:spPr>
              </pic:pic>
            </a:graphicData>
          </a:graphic>
        </wp:anchor>
      </w:drawing>
    </w:r>
    <w:r w:rsidR="00983978" w:rsidRPr="005F6829">
      <w:rPr>
        <w:color w:val="BFBFBF" w:themeColor="background1" w:themeShade="BF"/>
        <w:sz w:val="22"/>
        <w:szCs w:val="22"/>
      </w:rPr>
      <w:t>anz</w:t>
    </w:r>
  </w:p>
  <w:p w14:paraId="548F06D5" w14:textId="77777777" w:rsidR="00421B20" w:rsidRDefault="00421B20">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A0576" w14:textId="77777777" w:rsidR="00052831" w:rsidRDefault="00052831">
      <w:r>
        <w:separator/>
      </w:r>
    </w:p>
  </w:footnote>
  <w:footnote w:type="continuationSeparator" w:id="0">
    <w:p w14:paraId="26ECBC7C" w14:textId="77777777" w:rsidR="00052831" w:rsidRDefault="0005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960"/>
    <w:multiLevelType w:val="multilevel"/>
    <w:tmpl w:val="F574E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F637186"/>
    <w:multiLevelType w:val="multilevel"/>
    <w:tmpl w:val="D0EA27B0"/>
    <w:lvl w:ilvl="0">
      <w:start w:val="1"/>
      <w:numFmt w:val="bullet"/>
      <w:lvlText w:val="●"/>
      <w:lvlJc w:val="left"/>
      <w:pPr>
        <w:ind w:left="340" w:firstLine="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DA03CFD"/>
    <w:multiLevelType w:val="multilevel"/>
    <w:tmpl w:val="036802C2"/>
    <w:lvl w:ilvl="0">
      <w:start w:val="1"/>
      <w:numFmt w:val="decimal"/>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Cochrane">
    <w15:presenceInfo w15:providerId="AD" w15:userId="S-1-5-21-3052554794-3770484871-3874881240-758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20"/>
    <w:rsid w:val="00052831"/>
    <w:rsid w:val="000E15E4"/>
    <w:rsid w:val="000F3BB9"/>
    <w:rsid w:val="00111E56"/>
    <w:rsid w:val="00195704"/>
    <w:rsid w:val="002A20DD"/>
    <w:rsid w:val="002E06C1"/>
    <w:rsid w:val="002F751A"/>
    <w:rsid w:val="00310999"/>
    <w:rsid w:val="00421B20"/>
    <w:rsid w:val="0046323B"/>
    <w:rsid w:val="005A3AEF"/>
    <w:rsid w:val="005F6829"/>
    <w:rsid w:val="00642EAD"/>
    <w:rsid w:val="00651F4F"/>
    <w:rsid w:val="006D4E24"/>
    <w:rsid w:val="00860CE9"/>
    <w:rsid w:val="00862B4E"/>
    <w:rsid w:val="008830FA"/>
    <w:rsid w:val="00983978"/>
    <w:rsid w:val="009C1EF7"/>
    <w:rsid w:val="00B93F56"/>
    <w:rsid w:val="00BA230B"/>
    <w:rsid w:val="00C12F0F"/>
    <w:rsid w:val="00CC4535"/>
    <w:rsid w:val="00CE4548"/>
    <w:rsid w:val="00D22908"/>
    <w:rsid w:val="00DA1D5A"/>
    <w:rsid w:val="00E87F2B"/>
    <w:rsid w:val="00FB4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3978"/>
    <w:rPr>
      <w:rFonts w:ascii="Tahoma" w:hAnsi="Tahoma" w:cs="Tahoma"/>
      <w:sz w:val="16"/>
      <w:szCs w:val="16"/>
    </w:rPr>
  </w:style>
  <w:style w:type="character" w:customStyle="1" w:styleId="BalloonTextChar">
    <w:name w:val="Balloon Text Char"/>
    <w:basedOn w:val="DefaultParagraphFont"/>
    <w:link w:val="BalloonText"/>
    <w:uiPriority w:val="99"/>
    <w:semiHidden/>
    <w:rsid w:val="00983978"/>
    <w:rPr>
      <w:rFonts w:ascii="Tahoma" w:hAnsi="Tahoma" w:cs="Tahoma"/>
      <w:sz w:val="16"/>
      <w:szCs w:val="16"/>
    </w:rPr>
  </w:style>
  <w:style w:type="paragraph" w:styleId="Header">
    <w:name w:val="header"/>
    <w:basedOn w:val="Normal"/>
    <w:link w:val="HeaderChar"/>
    <w:uiPriority w:val="99"/>
    <w:unhideWhenUsed/>
    <w:rsid w:val="00983978"/>
    <w:pPr>
      <w:tabs>
        <w:tab w:val="center" w:pos="4513"/>
        <w:tab w:val="right" w:pos="9026"/>
      </w:tabs>
    </w:pPr>
  </w:style>
  <w:style w:type="character" w:customStyle="1" w:styleId="HeaderChar">
    <w:name w:val="Header Char"/>
    <w:basedOn w:val="DefaultParagraphFont"/>
    <w:link w:val="Header"/>
    <w:uiPriority w:val="99"/>
    <w:rsid w:val="00983978"/>
  </w:style>
  <w:style w:type="paragraph" w:styleId="Footer">
    <w:name w:val="footer"/>
    <w:basedOn w:val="Normal"/>
    <w:link w:val="FooterChar"/>
    <w:uiPriority w:val="99"/>
    <w:unhideWhenUsed/>
    <w:rsid w:val="00983978"/>
    <w:pPr>
      <w:tabs>
        <w:tab w:val="center" w:pos="4513"/>
        <w:tab w:val="right" w:pos="9026"/>
      </w:tabs>
    </w:pPr>
  </w:style>
  <w:style w:type="character" w:customStyle="1" w:styleId="FooterChar">
    <w:name w:val="Footer Char"/>
    <w:basedOn w:val="DefaultParagraphFont"/>
    <w:link w:val="Footer"/>
    <w:uiPriority w:val="99"/>
    <w:rsid w:val="00983978"/>
  </w:style>
  <w:style w:type="character" w:styleId="CommentReference">
    <w:name w:val="annotation reference"/>
    <w:basedOn w:val="DefaultParagraphFont"/>
    <w:uiPriority w:val="99"/>
    <w:semiHidden/>
    <w:unhideWhenUsed/>
    <w:rsid w:val="00862B4E"/>
    <w:rPr>
      <w:sz w:val="16"/>
      <w:szCs w:val="16"/>
    </w:rPr>
  </w:style>
  <w:style w:type="paragraph" w:styleId="CommentText">
    <w:name w:val="annotation text"/>
    <w:basedOn w:val="Normal"/>
    <w:link w:val="CommentTextChar"/>
    <w:uiPriority w:val="99"/>
    <w:semiHidden/>
    <w:unhideWhenUsed/>
    <w:rsid w:val="00862B4E"/>
    <w:rPr>
      <w:sz w:val="20"/>
      <w:szCs w:val="20"/>
    </w:rPr>
  </w:style>
  <w:style w:type="character" w:customStyle="1" w:styleId="CommentTextChar">
    <w:name w:val="Comment Text Char"/>
    <w:basedOn w:val="DefaultParagraphFont"/>
    <w:link w:val="CommentText"/>
    <w:uiPriority w:val="99"/>
    <w:semiHidden/>
    <w:rsid w:val="00862B4E"/>
    <w:rPr>
      <w:sz w:val="20"/>
      <w:szCs w:val="20"/>
    </w:rPr>
  </w:style>
  <w:style w:type="paragraph" w:styleId="CommentSubject">
    <w:name w:val="annotation subject"/>
    <w:basedOn w:val="CommentText"/>
    <w:next w:val="CommentText"/>
    <w:link w:val="CommentSubjectChar"/>
    <w:uiPriority w:val="99"/>
    <w:semiHidden/>
    <w:unhideWhenUsed/>
    <w:rsid w:val="00862B4E"/>
    <w:rPr>
      <w:b/>
      <w:bCs/>
    </w:rPr>
  </w:style>
  <w:style w:type="character" w:customStyle="1" w:styleId="CommentSubjectChar">
    <w:name w:val="Comment Subject Char"/>
    <w:basedOn w:val="CommentTextChar"/>
    <w:link w:val="CommentSubject"/>
    <w:uiPriority w:val="99"/>
    <w:semiHidden/>
    <w:rsid w:val="00862B4E"/>
    <w:rPr>
      <w:b/>
      <w:bCs/>
      <w:sz w:val="20"/>
      <w:szCs w:val="20"/>
    </w:rPr>
  </w:style>
  <w:style w:type="character" w:styleId="Hyperlink">
    <w:name w:val="Hyperlink"/>
    <w:basedOn w:val="DefaultParagraphFont"/>
    <w:uiPriority w:val="99"/>
    <w:unhideWhenUsed/>
    <w:rsid w:val="00B93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3978"/>
    <w:rPr>
      <w:rFonts w:ascii="Tahoma" w:hAnsi="Tahoma" w:cs="Tahoma"/>
      <w:sz w:val="16"/>
      <w:szCs w:val="16"/>
    </w:rPr>
  </w:style>
  <w:style w:type="character" w:customStyle="1" w:styleId="BalloonTextChar">
    <w:name w:val="Balloon Text Char"/>
    <w:basedOn w:val="DefaultParagraphFont"/>
    <w:link w:val="BalloonText"/>
    <w:uiPriority w:val="99"/>
    <w:semiHidden/>
    <w:rsid w:val="00983978"/>
    <w:rPr>
      <w:rFonts w:ascii="Tahoma" w:hAnsi="Tahoma" w:cs="Tahoma"/>
      <w:sz w:val="16"/>
      <w:szCs w:val="16"/>
    </w:rPr>
  </w:style>
  <w:style w:type="paragraph" w:styleId="Header">
    <w:name w:val="header"/>
    <w:basedOn w:val="Normal"/>
    <w:link w:val="HeaderChar"/>
    <w:uiPriority w:val="99"/>
    <w:unhideWhenUsed/>
    <w:rsid w:val="00983978"/>
    <w:pPr>
      <w:tabs>
        <w:tab w:val="center" w:pos="4513"/>
        <w:tab w:val="right" w:pos="9026"/>
      </w:tabs>
    </w:pPr>
  </w:style>
  <w:style w:type="character" w:customStyle="1" w:styleId="HeaderChar">
    <w:name w:val="Header Char"/>
    <w:basedOn w:val="DefaultParagraphFont"/>
    <w:link w:val="Header"/>
    <w:uiPriority w:val="99"/>
    <w:rsid w:val="00983978"/>
  </w:style>
  <w:style w:type="paragraph" w:styleId="Footer">
    <w:name w:val="footer"/>
    <w:basedOn w:val="Normal"/>
    <w:link w:val="FooterChar"/>
    <w:uiPriority w:val="99"/>
    <w:unhideWhenUsed/>
    <w:rsid w:val="00983978"/>
    <w:pPr>
      <w:tabs>
        <w:tab w:val="center" w:pos="4513"/>
        <w:tab w:val="right" w:pos="9026"/>
      </w:tabs>
    </w:pPr>
  </w:style>
  <w:style w:type="character" w:customStyle="1" w:styleId="FooterChar">
    <w:name w:val="Footer Char"/>
    <w:basedOn w:val="DefaultParagraphFont"/>
    <w:link w:val="Footer"/>
    <w:uiPriority w:val="99"/>
    <w:rsid w:val="00983978"/>
  </w:style>
  <w:style w:type="character" w:styleId="CommentReference">
    <w:name w:val="annotation reference"/>
    <w:basedOn w:val="DefaultParagraphFont"/>
    <w:uiPriority w:val="99"/>
    <w:semiHidden/>
    <w:unhideWhenUsed/>
    <w:rsid w:val="00862B4E"/>
    <w:rPr>
      <w:sz w:val="16"/>
      <w:szCs w:val="16"/>
    </w:rPr>
  </w:style>
  <w:style w:type="paragraph" w:styleId="CommentText">
    <w:name w:val="annotation text"/>
    <w:basedOn w:val="Normal"/>
    <w:link w:val="CommentTextChar"/>
    <w:uiPriority w:val="99"/>
    <w:semiHidden/>
    <w:unhideWhenUsed/>
    <w:rsid w:val="00862B4E"/>
    <w:rPr>
      <w:sz w:val="20"/>
      <w:szCs w:val="20"/>
    </w:rPr>
  </w:style>
  <w:style w:type="character" w:customStyle="1" w:styleId="CommentTextChar">
    <w:name w:val="Comment Text Char"/>
    <w:basedOn w:val="DefaultParagraphFont"/>
    <w:link w:val="CommentText"/>
    <w:uiPriority w:val="99"/>
    <w:semiHidden/>
    <w:rsid w:val="00862B4E"/>
    <w:rPr>
      <w:sz w:val="20"/>
      <w:szCs w:val="20"/>
    </w:rPr>
  </w:style>
  <w:style w:type="paragraph" w:styleId="CommentSubject">
    <w:name w:val="annotation subject"/>
    <w:basedOn w:val="CommentText"/>
    <w:next w:val="CommentText"/>
    <w:link w:val="CommentSubjectChar"/>
    <w:uiPriority w:val="99"/>
    <w:semiHidden/>
    <w:unhideWhenUsed/>
    <w:rsid w:val="00862B4E"/>
    <w:rPr>
      <w:b/>
      <w:bCs/>
    </w:rPr>
  </w:style>
  <w:style w:type="character" w:customStyle="1" w:styleId="CommentSubjectChar">
    <w:name w:val="Comment Subject Char"/>
    <w:basedOn w:val="CommentTextChar"/>
    <w:link w:val="CommentSubject"/>
    <w:uiPriority w:val="99"/>
    <w:semiHidden/>
    <w:rsid w:val="00862B4E"/>
    <w:rPr>
      <w:b/>
      <w:bCs/>
      <w:sz w:val="20"/>
      <w:szCs w:val="20"/>
    </w:rPr>
  </w:style>
  <w:style w:type="character" w:styleId="Hyperlink">
    <w:name w:val="Hyperlink"/>
    <w:basedOn w:val="DefaultParagraphFont"/>
    <w:uiPriority w:val="99"/>
    <w:unhideWhenUsed/>
    <w:rsid w:val="00B93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pg.de/9202262/area-wide-transition-open-access"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dapestopenaccessinitiative.org/pdf/open_access_publishing_and_scholarly_societ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sevier.com/about/company-information/policies/copyright" TargetMode="External"/><Relationship Id="rId4" Type="http://schemas.openxmlformats.org/officeDocument/2006/relationships/settings" Target="settings.xml"/><Relationship Id="rId9" Type="http://schemas.openxmlformats.org/officeDocument/2006/relationships/hyperlink" Target="https://aoasg.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DR431 - Australasian Open Access Strategy Group - Intellectual Property Arrangements - Public inquiry</vt:lpstr>
    </vt:vector>
  </TitlesOfParts>
  <Company>Australasian Open Access Strategy Group</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DR431 - Australasian Open Access Strategy Group - Intellectual Property Arrangements - Public inquiry</dc:title>
  <dc:creator>Australasian Open Access Strategy Group</dc:creator>
  <cp:lastModifiedBy>Productivity Commission</cp:lastModifiedBy>
  <cp:revision>9</cp:revision>
  <cp:lastPrinted>2016-06-03T03:15:00Z</cp:lastPrinted>
  <dcterms:created xsi:type="dcterms:W3CDTF">2016-06-03T03:19:00Z</dcterms:created>
  <dcterms:modified xsi:type="dcterms:W3CDTF">2016-06-10T00:49:00Z</dcterms:modified>
</cp:coreProperties>
</file>