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AED9" w14:textId="77777777" w:rsidR="009F16D0" w:rsidRPr="006A07B1" w:rsidRDefault="009F16D0" w:rsidP="009F16D0">
      <w:pPr>
        <w:rPr>
          <w:rFonts w:asciiTheme="majorHAnsi" w:hAnsiTheme="majorHAnsi"/>
          <w:b/>
          <w:sz w:val="36"/>
          <w:szCs w:val="36"/>
        </w:rPr>
      </w:pPr>
      <w:bookmarkStart w:id="0" w:name="_GoBack"/>
      <w:bookmarkEnd w:id="0"/>
    </w:p>
    <w:p w14:paraId="23FA7586" w14:textId="77777777" w:rsidR="005B1ECB" w:rsidRPr="006A07B1" w:rsidRDefault="005B1ECB" w:rsidP="009F16D0">
      <w:pPr>
        <w:rPr>
          <w:rFonts w:asciiTheme="majorHAnsi" w:hAnsiTheme="majorHAnsi"/>
          <w:b/>
          <w:sz w:val="36"/>
          <w:szCs w:val="36"/>
        </w:rPr>
      </w:pPr>
    </w:p>
    <w:p w14:paraId="2A94FD0C" w14:textId="77777777" w:rsidR="00911CE0" w:rsidRPr="006A07B1" w:rsidRDefault="000911DD" w:rsidP="00911CE0">
      <w:pPr>
        <w:jc w:val="center"/>
        <w:rPr>
          <w:rFonts w:ascii="Arial" w:hAnsi="Arial"/>
          <w:b/>
          <w:sz w:val="56"/>
          <w:szCs w:val="56"/>
        </w:rPr>
      </w:pPr>
      <w:r w:rsidRPr="006A07B1">
        <w:rPr>
          <w:rFonts w:ascii="Arial" w:hAnsi="Arial"/>
          <w:b/>
          <w:sz w:val="56"/>
          <w:szCs w:val="56"/>
        </w:rPr>
        <w:t>Submission to</w:t>
      </w:r>
      <w:r w:rsidR="00716720" w:rsidRPr="006A07B1">
        <w:rPr>
          <w:rFonts w:ascii="Arial" w:hAnsi="Arial"/>
          <w:b/>
          <w:sz w:val="56"/>
          <w:szCs w:val="56"/>
        </w:rPr>
        <w:t xml:space="preserve"> </w:t>
      </w:r>
      <w:r w:rsidR="001C73AD" w:rsidRPr="006A07B1">
        <w:rPr>
          <w:rFonts w:ascii="Arial" w:hAnsi="Arial"/>
          <w:b/>
          <w:sz w:val="56"/>
          <w:szCs w:val="56"/>
        </w:rPr>
        <w:t>P</w:t>
      </w:r>
      <w:r w:rsidRPr="006A07B1">
        <w:rPr>
          <w:rFonts w:ascii="Arial" w:hAnsi="Arial"/>
          <w:b/>
          <w:sz w:val="56"/>
          <w:szCs w:val="56"/>
        </w:rPr>
        <w:t>roductivity Commission Inquiry:</w:t>
      </w:r>
    </w:p>
    <w:p w14:paraId="7A4C2979" w14:textId="30BC6F5B" w:rsidR="001C73AD" w:rsidRPr="006A07B1" w:rsidRDefault="000911DD" w:rsidP="00911CE0">
      <w:pPr>
        <w:jc w:val="center"/>
        <w:rPr>
          <w:rFonts w:ascii="Arial" w:hAnsi="Arial"/>
          <w:b/>
          <w:sz w:val="56"/>
          <w:szCs w:val="56"/>
        </w:rPr>
      </w:pPr>
      <w:r w:rsidRPr="006A07B1">
        <w:rPr>
          <w:rFonts w:ascii="Arial" w:hAnsi="Arial"/>
          <w:b/>
          <w:sz w:val="56"/>
          <w:szCs w:val="56"/>
        </w:rPr>
        <w:t xml:space="preserve"> </w:t>
      </w:r>
      <w:r w:rsidR="001C73AD" w:rsidRPr="006A07B1">
        <w:rPr>
          <w:rFonts w:ascii="Arial" w:hAnsi="Arial"/>
          <w:b/>
          <w:sz w:val="56"/>
          <w:szCs w:val="56"/>
        </w:rPr>
        <w:t>Data Availability and Use</w:t>
      </w:r>
    </w:p>
    <w:p w14:paraId="6AA22BAC" w14:textId="77777777" w:rsidR="001C73AD" w:rsidRDefault="001C73AD"/>
    <w:p w14:paraId="169567F7" w14:textId="77777777" w:rsidR="00F75E76" w:rsidRDefault="00F75E76"/>
    <w:p w14:paraId="7CC222A7" w14:textId="77777777" w:rsidR="00F75E76" w:rsidRPr="00911CE0" w:rsidRDefault="00F75E76"/>
    <w:p w14:paraId="56D4D106" w14:textId="77777777" w:rsidR="005B1ECB" w:rsidRPr="005B1ECB" w:rsidRDefault="005B1ECB" w:rsidP="00803BD5">
      <w:pPr>
        <w:spacing w:line="276" w:lineRule="auto"/>
        <w:rPr>
          <w:rFonts w:ascii="Arial" w:hAnsi="Arial"/>
          <w:color w:val="3366FF"/>
        </w:rPr>
      </w:pPr>
    </w:p>
    <w:p w14:paraId="3D63B1D1" w14:textId="77777777" w:rsidR="005B1ECB" w:rsidRPr="00E312FA" w:rsidRDefault="005B1ECB" w:rsidP="00803BD5">
      <w:pPr>
        <w:spacing w:line="276" w:lineRule="auto"/>
        <w:rPr>
          <w:rFonts w:ascii="Arial" w:hAnsi="Arial"/>
          <w:color w:val="9BBB59" w:themeColor="accent3"/>
          <w:sz w:val="28"/>
          <w:szCs w:val="28"/>
        </w:rPr>
      </w:pPr>
    </w:p>
    <w:p w14:paraId="34A96236" w14:textId="77777777" w:rsidR="005B1ECB" w:rsidRPr="00E312FA" w:rsidRDefault="005B1ECB" w:rsidP="00E312FA">
      <w:pPr>
        <w:spacing w:line="276" w:lineRule="auto"/>
        <w:jc w:val="center"/>
        <w:rPr>
          <w:rFonts w:ascii="Arial" w:hAnsi="Arial"/>
          <w:sz w:val="28"/>
          <w:szCs w:val="28"/>
        </w:rPr>
      </w:pPr>
    </w:p>
    <w:p w14:paraId="4481D829" w14:textId="11B21606" w:rsidR="00E312FA" w:rsidRPr="00E312FA" w:rsidRDefault="00911CE0" w:rsidP="00E312FA">
      <w:pPr>
        <w:spacing w:line="276" w:lineRule="auto"/>
        <w:jc w:val="center"/>
        <w:rPr>
          <w:rFonts w:ascii="Arial" w:hAnsi="Arial"/>
          <w:sz w:val="28"/>
          <w:szCs w:val="28"/>
        </w:rPr>
      </w:pPr>
      <w:r w:rsidRPr="00E312FA">
        <w:rPr>
          <w:rFonts w:ascii="Arial" w:hAnsi="Arial"/>
          <w:sz w:val="28"/>
          <w:szCs w:val="28"/>
        </w:rPr>
        <w:t>A Future Beyond the Wall:</w:t>
      </w:r>
    </w:p>
    <w:p w14:paraId="61298FCD" w14:textId="444E7A2E" w:rsidR="005B1ECB" w:rsidRPr="00E312FA" w:rsidRDefault="00911CE0" w:rsidP="00E312FA">
      <w:pPr>
        <w:spacing w:line="276" w:lineRule="auto"/>
        <w:jc w:val="center"/>
        <w:rPr>
          <w:rFonts w:ascii="Arial" w:hAnsi="Arial"/>
          <w:sz w:val="28"/>
          <w:szCs w:val="28"/>
        </w:rPr>
      </w:pPr>
      <w:r w:rsidRPr="00E312FA">
        <w:rPr>
          <w:rFonts w:ascii="Arial" w:hAnsi="Arial"/>
          <w:sz w:val="28"/>
          <w:szCs w:val="28"/>
        </w:rPr>
        <w:t>Improving Post-release Employment Outcomes for People Leaving Prison</w:t>
      </w:r>
    </w:p>
    <w:p w14:paraId="6A725739" w14:textId="0B74158C" w:rsidR="001C73AD" w:rsidRPr="00E312FA" w:rsidRDefault="00911CE0" w:rsidP="00E312FA">
      <w:pPr>
        <w:spacing w:line="276" w:lineRule="auto"/>
        <w:jc w:val="center"/>
        <w:rPr>
          <w:rFonts w:ascii="Arial" w:hAnsi="Arial"/>
          <w:sz w:val="28"/>
          <w:szCs w:val="28"/>
        </w:rPr>
      </w:pPr>
      <w:r w:rsidRPr="00E312FA">
        <w:rPr>
          <w:rFonts w:ascii="Arial" w:hAnsi="Arial"/>
          <w:sz w:val="28"/>
          <w:szCs w:val="28"/>
        </w:rPr>
        <w:t>A</w:t>
      </w:r>
      <w:r w:rsidR="005B1ECB" w:rsidRPr="00E312FA">
        <w:rPr>
          <w:rFonts w:ascii="Arial" w:hAnsi="Arial"/>
          <w:sz w:val="28"/>
          <w:szCs w:val="28"/>
        </w:rPr>
        <w:t>RC Linkage Project: LP140100329</w:t>
      </w:r>
    </w:p>
    <w:p w14:paraId="7F6B545A" w14:textId="77777777" w:rsidR="005B1ECB" w:rsidRDefault="005B1ECB" w:rsidP="00803BD5">
      <w:pPr>
        <w:spacing w:line="276" w:lineRule="auto"/>
        <w:rPr>
          <w:rFonts w:ascii="Arial" w:hAnsi="Arial"/>
          <w:sz w:val="32"/>
          <w:szCs w:val="32"/>
        </w:rPr>
      </w:pPr>
    </w:p>
    <w:p w14:paraId="538FFF40" w14:textId="77777777" w:rsidR="005B1ECB" w:rsidRDefault="005B1ECB" w:rsidP="00803BD5">
      <w:pPr>
        <w:spacing w:line="276" w:lineRule="auto"/>
        <w:rPr>
          <w:rFonts w:ascii="Arial" w:hAnsi="Arial"/>
          <w:sz w:val="32"/>
          <w:szCs w:val="32"/>
        </w:rPr>
      </w:pPr>
    </w:p>
    <w:p w14:paraId="721ED5BC" w14:textId="77777777" w:rsidR="005B1ECB" w:rsidRPr="00E312FA" w:rsidRDefault="005B1ECB" w:rsidP="00803BD5">
      <w:pPr>
        <w:spacing w:line="276" w:lineRule="auto"/>
        <w:rPr>
          <w:rFonts w:ascii="Arial" w:hAnsi="Arial"/>
          <w:sz w:val="28"/>
          <w:szCs w:val="28"/>
        </w:rPr>
      </w:pPr>
    </w:p>
    <w:p w14:paraId="3EB85C26" w14:textId="77777777" w:rsidR="00F75E76" w:rsidRPr="00E312FA" w:rsidRDefault="00F75E76" w:rsidP="00803BD5">
      <w:pPr>
        <w:spacing w:line="276" w:lineRule="auto"/>
        <w:rPr>
          <w:rFonts w:ascii="Arial" w:hAnsi="Arial"/>
          <w:sz w:val="28"/>
          <w:szCs w:val="28"/>
        </w:rPr>
      </w:pPr>
    </w:p>
    <w:p w14:paraId="41B404D5" w14:textId="77777777" w:rsidR="00F75E76" w:rsidRPr="00E312FA" w:rsidRDefault="00F75E76" w:rsidP="00E312FA">
      <w:pPr>
        <w:spacing w:line="276" w:lineRule="auto"/>
        <w:rPr>
          <w:rFonts w:ascii="Arial" w:hAnsi="Arial"/>
          <w:sz w:val="28"/>
          <w:szCs w:val="28"/>
        </w:rPr>
      </w:pPr>
    </w:p>
    <w:p w14:paraId="30F55B6C" w14:textId="77777777" w:rsidR="00911CE0" w:rsidRPr="00E312FA" w:rsidRDefault="00911CE0" w:rsidP="00E312FA">
      <w:pPr>
        <w:spacing w:line="276" w:lineRule="auto"/>
        <w:rPr>
          <w:rFonts w:ascii="Arial" w:hAnsi="Arial"/>
          <w:sz w:val="28"/>
          <w:szCs w:val="28"/>
        </w:rPr>
      </w:pPr>
    </w:p>
    <w:p w14:paraId="4FC11287" w14:textId="3DD475B0" w:rsidR="00911CE0" w:rsidRPr="00E312FA" w:rsidRDefault="00911CE0" w:rsidP="00E312FA">
      <w:pPr>
        <w:spacing w:line="276" w:lineRule="auto"/>
        <w:rPr>
          <w:rFonts w:ascii="Arial" w:hAnsi="Arial"/>
          <w:sz w:val="28"/>
          <w:szCs w:val="28"/>
        </w:rPr>
      </w:pPr>
      <w:r w:rsidRPr="00E312FA">
        <w:rPr>
          <w:rFonts w:ascii="Arial" w:hAnsi="Arial"/>
          <w:sz w:val="28"/>
          <w:szCs w:val="28"/>
        </w:rPr>
        <w:t xml:space="preserve">Professor Eileen Baldry, Dr David Bright, Dr Jesse </w:t>
      </w:r>
      <w:proofErr w:type="spellStart"/>
      <w:r w:rsidRPr="00E312FA">
        <w:rPr>
          <w:rFonts w:ascii="Arial" w:hAnsi="Arial"/>
          <w:sz w:val="28"/>
          <w:szCs w:val="28"/>
        </w:rPr>
        <w:t>Cale</w:t>
      </w:r>
      <w:proofErr w:type="spellEnd"/>
      <w:r w:rsidRPr="00E312FA">
        <w:rPr>
          <w:rFonts w:ascii="Arial" w:hAnsi="Arial"/>
          <w:sz w:val="28"/>
          <w:szCs w:val="28"/>
        </w:rPr>
        <w:t xml:space="preserve">, </w:t>
      </w:r>
      <w:r w:rsidR="0009432D" w:rsidRPr="00E312FA">
        <w:rPr>
          <w:rFonts w:ascii="Arial" w:hAnsi="Arial"/>
          <w:sz w:val="28"/>
          <w:szCs w:val="28"/>
        </w:rPr>
        <w:t xml:space="preserve">Professor Andrew Day, </w:t>
      </w:r>
      <w:r w:rsidRPr="00E312FA">
        <w:rPr>
          <w:rFonts w:ascii="Arial" w:hAnsi="Arial"/>
          <w:sz w:val="28"/>
          <w:szCs w:val="28"/>
        </w:rPr>
        <w:t xml:space="preserve">A/Professor Leanne Dowse, </w:t>
      </w:r>
      <w:r w:rsidR="00287C51" w:rsidRPr="00E312FA">
        <w:rPr>
          <w:rFonts w:ascii="Arial" w:hAnsi="Arial"/>
          <w:sz w:val="28"/>
          <w:szCs w:val="28"/>
        </w:rPr>
        <w:t xml:space="preserve">Dr Margaret Giles, Professor Joseph </w:t>
      </w:r>
      <w:proofErr w:type="spellStart"/>
      <w:r w:rsidR="00287C51" w:rsidRPr="00E312FA">
        <w:rPr>
          <w:rFonts w:ascii="Arial" w:hAnsi="Arial"/>
          <w:sz w:val="28"/>
          <w:szCs w:val="28"/>
        </w:rPr>
        <w:t>Graffam</w:t>
      </w:r>
      <w:proofErr w:type="spellEnd"/>
      <w:r w:rsidR="00287C51" w:rsidRPr="00E312FA">
        <w:rPr>
          <w:rFonts w:ascii="Arial" w:hAnsi="Arial"/>
          <w:sz w:val="28"/>
          <w:szCs w:val="28"/>
        </w:rPr>
        <w:t xml:space="preserve">, Professor Jane McGillivray, </w:t>
      </w:r>
      <w:r w:rsidR="00C0414C">
        <w:rPr>
          <w:rFonts w:ascii="Arial" w:hAnsi="Arial"/>
          <w:sz w:val="28"/>
          <w:szCs w:val="28"/>
        </w:rPr>
        <w:t xml:space="preserve">Simone Rowe, Jo </w:t>
      </w:r>
      <w:proofErr w:type="spellStart"/>
      <w:r w:rsidR="00C0414C">
        <w:rPr>
          <w:rFonts w:ascii="Arial" w:hAnsi="Arial"/>
          <w:sz w:val="28"/>
          <w:szCs w:val="28"/>
        </w:rPr>
        <w:t>Wodak</w:t>
      </w:r>
      <w:proofErr w:type="spellEnd"/>
      <w:r w:rsidR="009C3B87" w:rsidRPr="00E312FA">
        <w:rPr>
          <w:rStyle w:val="FootnoteReference"/>
          <w:rFonts w:ascii="Arial" w:hAnsi="Arial"/>
          <w:sz w:val="28"/>
          <w:szCs w:val="28"/>
        </w:rPr>
        <w:footnoteReference w:id="1"/>
      </w:r>
      <w:r w:rsidR="003B5502" w:rsidRPr="00E312FA">
        <w:rPr>
          <w:rFonts w:ascii="Arial" w:hAnsi="Arial"/>
          <w:sz w:val="28"/>
          <w:szCs w:val="28"/>
        </w:rPr>
        <w:t xml:space="preserve">. </w:t>
      </w:r>
    </w:p>
    <w:p w14:paraId="6938DACC" w14:textId="77777777" w:rsidR="009508AC" w:rsidRPr="005B1ECB" w:rsidRDefault="009508AC" w:rsidP="00803BD5">
      <w:pPr>
        <w:spacing w:line="276" w:lineRule="auto"/>
        <w:rPr>
          <w:rFonts w:ascii="Arial" w:hAnsi="Arial"/>
        </w:rPr>
      </w:pPr>
    </w:p>
    <w:p w14:paraId="5A7B62A1" w14:textId="77777777" w:rsidR="005B1ECB" w:rsidRDefault="005B1ECB" w:rsidP="00803BD5">
      <w:pPr>
        <w:spacing w:line="276" w:lineRule="auto"/>
        <w:rPr>
          <w:rFonts w:ascii="Arial" w:hAnsi="Arial"/>
        </w:rPr>
      </w:pPr>
    </w:p>
    <w:p w14:paraId="4A83A93B" w14:textId="77777777" w:rsidR="005B1ECB" w:rsidRDefault="005B1ECB" w:rsidP="00803BD5">
      <w:pPr>
        <w:spacing w:line="276" w:lineRule="auto"/>
        <w:rPr>
          <w:rFonts w:ascii="Arial" w:hAnsi="Arial"/>
        </w:rPr>
      </w:pPr>
    </w:p>
    <w:p w14:paraId="3800281B" w14:textId="77777777" w:rsidR="005B1ECB" w:rsidRDefault="005B1ECB" w:rsidP="00803BD5">
      <w:pPr>
        <w:spacing w:line="276" w:lineRule="auto"/>
        <w:rPr>
          <w:rFonts w:ascii="Arial" w:hAnsi="Arial"/>
        </w:rPr>
      </w:pPr>
    </w:p>
    <w:p w14:paraId="790F6E52" w14:textId="77777777" w:rsidR="005B1ECB" w:rsidRDefault="005B1ECB" w:rsidP="00803BD5">
      <w:pPr>
        <w:spacing w:line="276" w:lineRule="auto"/>
        <w:rPr>
          <w:rFonts w:ascii="Arial" w:hAnsi="Arial"/>
        </w:rPr>
      </w:pPr>
    </w:p>
    <w:p w14:paraId="600829D0" w14:textId="77777777" w:rsidR="005B1ECB" w:rsidRDefault="005B1ECB" w:rsidP="00803BD5">
      <w:pPr>
        <w:spacing w:line="276" w:lineRule="auto"/>
        <w:rPr>
          <w:rFonts w:ascii="Arial" w:hAnsi="Arial"/>
        </w:rPr>
      </w:pPr>
    </w:p>
    <w:p w14:paraId="3438EB4D" w14:textId="1262EDC2" w:rsidR="005B1ECB" w:rsidRPr="006A07B1" w:rsidRDefault="005B1ECB" w:rsidP="00803BD5">
      <w:pPr>
        <w:spacing w:line="276" w:lineRule="auto"/>
        <w:rPr>
          <w:rFonts w:ascii="Arial" w:hAnsi="Arial"/>
          <w:b/>
          <w:sz w:val="36"/>
          <w:szCs w:val="36"/>
        </w:rPr>
      </w:pPr>
      <w:r w:rsidRPr="006A07B1">
        <w:rPr>
          <w:rFonts w:ascii="Arial" w:hAnsi="Arial"/>
          <w:b/>
          <w:sz w:val="36"/>
          <w:szCs w:val="36"/>
        </w:rPr>
        <w:t>July 2016</w:t>
      </w:r>
    </w:p>
    <w:p w14:paraId="06A7C18B" w14:textId="77777777" w:rsidR="005B1ECB" w:rsidRDefault="005B1ECB" w:rsidP="00803BD5">
      <w:pPr>
        <w:spacing w:line="276" w:lineRule="auto"/>
        <w:rPr>
          <w:rFonts w:ascii="Arial" w:hAnsi="Arial"/>
        </w:rPr>
      </w:pPr>
    </w:p>
    <w:p w14:paraId="6CB8996E" w14:textId="77777777" w:rsidR="005B1ECB" w:rsidRDefault="005B1ECB" w:rsidP="00803BD5">
      <w:pPr>
        <w:spacing w:line="276" w:lineRule="auto"/>
        <w:rPr>
          <w:rFonts w:ascii="Arial" w:hAnsi="Arial"/>
        </w:rPr>
      </w:pPr>
    </w:p>
    <w:p w14:paraId="5CBF4134" w14:textId="26A126A2" w:rsidR="005B1ECB" w:rsidRPr="002E5C9D" w:rsidRDefault="005B1ECB" w:rsidP="002F3AB3">
      <w:pPr>
        <w:spacing w:line="360" w:lineRule="auto"/>
        <w:jc w:val="both"/>
        <w:rPr>
          <w:rFonts w:ascii="Arial" w:hAnsi="Arial"/>
          <w:sz w:val="22"/>
          <w:szCs w:val="22"/>
        </w:rPr>
      </w:pPr>
      <w:r w:rsidRPr="002E5C9D">
        <w:rPr>
          <w:rFonts w:ascii="Arial" w:hAnsi="Arial"/>
          <w:sz w:val="22"/>
          <w:szCs w:val="22"/>
        </w:rPr>
        <w:lastRenderedPageBreak/>
        <w:t>Dear Productivity Commission</w:t>
      </w:r>
      <w:r w:rsidR="00E925B3" w:rsidRPr="002E5C9D">
        <w:rPr>
          <w:rFonts w:ascii="Arial" w:hAnsi="Arial"/>
          <w:sz w:val="22"/>
          <w:szCs w:val="22"/>
        </w:rPr>
        <w:t>,</w:t>
      </w:r>
    </w:p>
    <w:p w14:paraId="303540D5" w14:textId="77777777" w:rsidR="005B1ECB" w:rsidRPr="002E5C9D" w:rsidRDefault="005B1ECB" w:rsidP="002F3AB3">
      <w:pPr>
        <w:spacing w:line="360" w:lineRule="auto"/>
        <w:jc w:val="both"/>
        <w:rPr>
          <w:rFonts w:ascii="Arial" w:hAnsi="Arial"/>
          <w:sz w:val="22"/>
          <w:szCs w:val="22"/>
        </w:rPr>
      </w:pPr>
    </w:p>
    <w:p w14:paraId="2FAD454A" w14:textId="40AE06C8" w:rsidR="005E3CD0" w:rsidRDefault="009508AC" w:rsidP="002F3AB3">
      <w:pPr>
        <w:spacing w:line="360" w:lineRule="auto"/>
        <w:jc w:val="both"/>
        <w:rPr>
          <w:rFonts w:ascii="Arial" w:hAnsi="Arial"/>
          <w:sz w:val="22"/>
          <w:szCs w:val="22"/>
        </w:rPr>
      </w:pPr>
      <w:r w:rsidRPr="002E5C9D">
        <w:rPr>
          <w:rFonts w:ascii="Arial" w:hAnsi="Arial"/>
          <w:sz w:val="22"/>
          <w:szCs w:val="22"/>
        </w:rPr>
        <w:t>The Future Beyond the Wall</w:t>
      </w:r>
      <w:r w:rsidR="00CE2BAB" w:rsidRPr="002E5C9D">
        <w:rPr>
          <w:rFonts w:ascii="Arial" w:hAnsi="Arial"/>
          <w:sz w:val="22"/>
          <w:szCs w:val="22"/>
        </w:rPr>
        <w:t xml:space="preserve"> research team welcome</w:t>
      </w:r>
      <w:r w:rsidR="00E925B3" w:rsidRPr="002E5C9D">
        <w:rPr>
          <w:rFonts w:ascii="Arial" w:hAnsi="Arial"/>
          <w:sz w:val="22"/>
          <w:szCs w:val="22"/>
        </w:rPr>
        <w:t>s</w:t>
      </w:r>
      <w:r w:rsidRPr="002E5C9D">
        <w:rPr>
          <w:rFonts w:ascii="Arial" w:hAnsi="Arial"/>
          <w:sz w:val="22"/>
          <w:szCs w:val="22"/>
        </w:rPr>
        <w:t xml:space="preserve"> the opportunity to provide a written submission to the Productivity Commission</w:t>
      </w:r>
      <w:r w:rsidR="00205B31" w:rsidRPr="002E5C9D">
        <w:rPr>
          <w:rFonts w:ascii="Arial" w:hAnsi="Arial"/>
          <w:sz w:val="22"/>
          <w:szCs w:val="22"/>
        </w:rPr>
        <w:t>’</w:t>
      </w:r>
      <w:r w:rsidRPr="002E5C9D">
        <w:rPr>
          <w:rFonts w:ascii="Arial" w:hAnsi="Arial"/>
          <w:sz w:val="22"/>
          <w:szCs w:val="22"/>
        </w:rPr>
        <w:t xml:space="preserve">s Inquiry into Data Availability and Use. </w:t>
      </w:r>
      <w:r w:rsidR="009C3B87" w:rsidRPr="002E5C9D">
        <w:rPr>
          <w:rFonts w:ascii="Arial" w:hAnsi="Arial"/>
          <w:sz w:val="22"/>
          <w:szCs w:val="22"/>
        </w:rPr>
        <w:t>This submission is inf</w:t>
      </w:r>
      <w:r w:rsidR="002E5C9D">
        <w:rPr>
          <w:rFonts w:ascii="Arial" w:hAnsi="Arial"/>
          <w:sz w:val="22"/>
          <w:szCs w:val="22"/>
        </w:rPr>
        <w:t xml:space="preserve">ormed by the </w:t>
      </w:r>
      <w:r w:rsidR="00E432A9">
        <w:rPr>
          <w:rFonts w:ascii="Arial" w:hAnsi="Arial"/>
          <w:sz w:val="22"/>
          <w:szCs w:val="22"/>
        </w:rPr>
        <w:t>author</w:t>
      </w:r>
      <w:r w:rsidR="00E432A9" w:rsidRPr="002E5C9D">
        <w:rPr>
          <w:rFonts w:ascii="Arial" w:hAnsi="Arial"/>
          <w:sz w:val="22"/>
          <w:szCs w:val="22"/>
        </w:rPr>
        <w:t>s</w:t>
      </w:r>
      <w:r w:rsidR="00A75629">
        <w:rPr>
          <w:rFonts w:ascii="Arial" w:hAnsi="Arial"/>
          <w:sz w:val="22"/>
          <w:szCs w:val="22"/>
        </w:rPr>
        <w:t>’</w:t>
      </w:r>
      <w:r w:rsidR="006A07B1" w:rsidRPr="002E5C9D">
        <w:rPr>
          <w:rFonts w:ascii="Arial" w:hAnsi="Arial"/>
          <w:sz w:val="22"/>
          <w:szCs w:val="22"/>
        </w:rPr>
        <w:t xml:space="preserve"> </w:t>
      </w:r>
      <w:r w:rsidR="00231C42" w:rsidRPr="002E5C9D">
        <w:rPr>
          <w:rFonts w:ascii="Arial" w:hAnsi="Arial"/>
          <w:sz w:val="22"/>
          <w:szCs w:val="22"/>
        </w:rPr>
        <w:t xml:space="preserve">experiences of </w:t>
      </w:r>
      <w:r w:rsidR="008E2B5F">
        <w:rPr>
          <w:rFonts w:ascii="Arial" w:hAnsi="Arial"/>
          <w:sz w:val="22"/>
          <w:szCs w:val="22"/>
        </w:rPr>
        <w:t>seeking to obtain</w:t>
      </w:r>
      <w:r w:rsidR="00475F99">
        <w:rPr>
          <w:rFonts w:ascii="Arial" w:hAnsi="Arial"/>
          <w:sz w:val="22"/>
          <w:szCs w:val="22"/>
        </w:rPr>
        <w:t xml:space="preserve"> </w:t>
      </w:r>
      <w:r w:rsidR="00231C42" w:rsidRPr="002E5C9D">
        <w:rPr>
          <w:rFonts w:ascii="Arial" w:hAnsi="Arial"/>
          <w:sz w:val="22"/>
          <w:szCs w:val="22"/>
        </w:rPr>
        <w:t xml:space="preserve">access </w:t>
      </w:r>
      <w:r w:rsidR="00475F99">
        <w:rPr>
          <w:rFonts w:ascii="Arial" w:hAnsi="Arial"/>
          <w:sz w:val="22"/>
          <w:szCs w:val="22"/>
        </w:rPr>
        <w:t xml:space="preserve">to </w:t>
      </w:r>
      <w:r w:rsidR="00F94E00">
        <w:rPr>
          <w:rFonts w:ascii="Arial" w:hAnsi="Arial"/>
          <w:sz w:val="22"/>
          <w:szCs w:val="22"/>
        </w:rPr>
        <w:t xml:space="preserve">public </w:t>
      </w:r>
      <w:r w:rsidR="00231C42" w:rsidRPr="002E5C9D">
        <w:rPr>
          <w:rFonts w:ascii="Arial" w:hAnsi="Arial"/>
          <w:sz w:val="22"/>
          <w:szCs w:val="22"/>
        </w:rPr>
        <w:t>sector d</w:t>
      </w:r>
      <w:r w:rsidR="001D6B76" w:rsidRPr="002E5C9D">
        <w:rPr>
          <w:rFonts w:ascii="Arial" w:hAnsi="Arial"/>
          <w:sz w:val="22"/>
          <w:szCs w:val="22"/>
        </w:rPr>
        <w:t xml:space="preserve">ata </w:t>
      </w:r>
      <w:r w:rsidR="00061C64">
        <w:rPr>
          <w:rFonts w:ascii="Arial" w:hAnsi="Arial"/>
          <w:sz w:val="22"/>
          <w:szCs w:val="22"/>
        </w:rPr>
        <w:t>essential</w:t>
      </w:r>
      <w:r w:rsidR="00EF3020">
        <w:rPr>
          <w:rFonts w:ascii="Arial" w:hAnsi="Arial"/>
          <w:sz w:val="22"/>
          <w:szCs w:val="22"/>
        </w:rPr>
        <w:t xml:space="preserve"> </w:t>
      </w:r>
      <w:r w:rsidR="001D6B76" w:rsidRPr="002E5C9D">
        <w:rPr>
          <w:rFonts w:ascii="Arial" w:hAnsi="Arial"/>
          <w:sz w:val="22"/>
          <w:szCs w:val="22"/>
        </w:rPr>
        <w:t xml:space="preserve">to </w:t>
      </w:r>
      <w:r w:rsidR="00F94E00" w:rsidRPr="002E5C9D">
        <w:rPr>
          <w:rFonts w:ascii="Arial" w:hAnsi="Arial"/>
          <w:sz w:val="22"/>
          <w:szCs w:val="22"/>
        </w:rPr>
        <w:t>achieving</w:t>
      </w:r>
      <w:r w:rsidR="001D6B76" w:rsidRPr="002E5C9D">
        <w:rPr>
          <w:rFonts w:ascii="Arial" w:hAnsi="Arial"/>
          <w:sz w:val="22"/>
          <w:szCs w:val="22"/>
        </w:rPr>
        <w:t xml:space="preserve"> the</w:t>
      </w:r>
      <w:r w:rsidR="00C607C5">
        <w:rPr>
          <w:rFonts w:ascii="Arial" w:hAnsi="Arial"/>
          <w:sz w:val="22"/>
          <w:szCs w:val="22"/>
        </w:rPr>
        <w:t xml:space="preserve"> ai</w:t>
      </w:r>
      <w:r w:rsidR="00205E6E">
        <w:rPr>
          <w:rFonts w:ascii="Arial" w:hAnsi="Arial"/>
          <w:sz w:val="22"/>
          <w:szCs w:val="22"/>
        </w:rPr>
        <w:t>ms of our</w:t>
      </w:r>
      <w:r w:rsidR="00C607C5">
        <w:rPr>
          <w:rFonts w:ascii="Arial" w:hAnsi="Arial"/>
          <w:sz w:val="22"/>
          <w:szCs w:val="22"/>
        </w:rPr>
        <w:t xml:space="preserve"> research</w:t>
      </w:r>
      <w:r w:rsidR="001D6B76" w:rsidRPr="002E5C9D">
        <w:rPr>
          <w:rFonts w:ascii="Arial" w:hAnsi="Arial"/>
          <w:sz w:val="22"/>
          <w:szCs w:val="22"/>
        </w:rPr>
        <w:t>.</w:t>
      </w:r>
      <w:r w:rsidR="00E925B3" w:rsidRPr="002E5C9D">
        <w:rPr>
          <w:rFonts w:ascii="Arial" w:hAnsi="Arial"/>
          <w:sz w:val="22"/>
          <w:szCs w:val="22"/>
        </w:rPr>
        <w:t xml:space="preserve"> </w:t>
      </w:r>
    </w:p>
    <w:p w14:paraId="5E544867" w14:textId="77777777" w:rsidR="00925F1E" w:rsidRDefault="00925F1E" w:rsidP="002F3AB3">
      <w:pPr>
        <w:spacing w:line="360" w:lineRule="auto"/>
        <w:jc w:val="both"/>
        <w:rPr>
          <w:rFonts w:ascii="Arial" w:hAnsi="Arial"/>
          <w:sz w:val="22"/>
          <w:szCs w:val="22"/>
        </w:rPr>
      </w:pPr>
    </w:p>
    <w:p w14:paraId="053F7BC0" w14:textId="34AD868F" w:rsidR="009E4EB4" w:rsidRDefault="00332495" w:rsidP="002F3AB3">
      <w:pPr>
        <w:spacing w:line="360" w:lineRule="auto"/>
        <w:jc w:val="both"/>
        <w:rPr>
          <w:rFonts w:ascii="Arial" w:hAnsi="Arial"/>
          <w:sz w:val="22"/>
          <w:szCs w:val="22"/>
        </w:rPr>
      </w:pPr>
      <w:r>
        <w:rPr>
          <w:rFonts w:ascii="Arial" w:hAnsi="Arial"/>
          <w:sz w:val="22"/>
          <w:szCs w:val="22"/>
        </w:rPr>
        <w:t>The Future Beyond the Wall</w:t>
      </w:r>
      <w:r w:rsidR="005E3CD0">
        <w:rPr>
          <w:rFonts w:ascii="Arial" w:hAnsi="Arial"/>
          <w:sz w:val="22"/>
          <w:szCs w:val="22"/>
        </w:rPr>
        <w:t xml:space="preserve"> project </w:t>
      </w:r>
      <w:r w:rsidR="00D82B43">
        <w:rPr>
          <w:rFonts w:ascii="Arial" w:hAnsi="Arial"/>
          <w:sz w:val="22"/>
          <w:szCs w:val="22"/>
        </w:rPr>
        <w:t>has</w:t>
      </w:r>
      <w:r w:rsidR="00A75629">
        <w:rPr>
          <w:rFonts w:ascii="Arial" w:hAnsi="Arial"/>
          <w:sz w:val="22"/>
          <w:szCs w:val="22"/>
        </w:rPr>
        <w:t>,</w:t>
      </w:r>
      <w:r w:rsidR="00D82B43">
        <w:rPr>
          <w:rFonts w:ascii="Arial" w:hAnsi="Arial"/>
          <w:sz w:val="22"/>
          <w:szCs w:val="22"/>
        </w:rPr>
        <w:t xml:space="preserve"> as its principal focus</w:t>
      </w:r>
      <w:r w:rsidR="00A75629">
        <w:rPr>
          <w:rFonts w:ascii="Arial" w:hAnsi="Arial"/>
          <w:sz w:val="22"/>
          <w:szCs w:val="22"/>
        </w:rPr>
        <w:t>,</w:t>
      </w:r>
      <w:r w:rsidR="00D82B43">
        <w:rPr>
          <w:rFonts w:ascii="Arial" w:hAnsi="Arial"/>
          <w:sz w:val="22"/>
          <w:szCs w:val="22"/>
        </w:rPr>
        <w:t xml:space="preserve"> the identification of ways to improve the employment</w:t>
      </w:r>
      <w:r w:rsidR="009836F6">
        <w:rPr>
          <w:rFonts w:ascii="Arial" w:hAnsi="Arial"/>
          <w:sz w:val="22"/>
          <w:szCs w:val="22"/>
        </w:rPr>
        <w:t xml:space="preserve"> pathways </w:t>
      </w:r>
      <w:r w:rsidR="00A75629">
        <w:rPr>
          <w:rFonts w:ascii="Arial" w:hAnsi="Arial"/>
          <w:sz w:val="22"/>
          <w:szCs w:val="22"/>
        </w:rPr>
        <w:t>of</w:t>
      </w:r>
      <w:r w:rsidR="009836F6">
        <w:rPr>
          <w:rFonts w:ascii="Arial" w:hAnsi="Arial"/>
          <w:sz w:val="22"/>
          <w:szCs w:val="22"/>
        </w:rPr>
        <w:t xml:space="preserve"> ex-prisoners. </w:t>
      </w:r>
      <w:r w:rsidR="00E92081">
        <w:rPr>
          <w:rFonts w:ascii="Arial" w:hAnsi="Arial"/>
          <w:sz w:val="22"/>
          <w:szCs w:val="22"/>
        </w:rPr>
        <w:t xml:space="preserve">In Australia there is a </w:t>
      </w:r>
      <w:r w:rsidR="00A75629">
        <w:rPr>
          <w:rFonts w:ascii="Arial" w:hAnsi="Arial"/>
          <w:sz w:val="22"/>
          <w:szCs w:val="22"/>
        </w:rPr>
        <w:t xml:space="preserve">lack </w:t>
      </w:r>
      <w:r w:rsidR="00E92081">
        <w:rPr>
          <w:rFonts w:ascii="Arial" w:hAnsi="Arial"/>
          <w:sz w:val="22"/>
          <w:szCs w:val="22"/>
        </w:rPr>
        <w:t>of empirical research</w:t>
      </w:r>
      <w:r w:rsidR="00205E6E">
        <w:rPr>
          <w:rFonts w:ascii="Arial" w:hAnsi="Arial"/>
          <w:sz w:val="22"/>
          <w:szCs w:val="22"/>
        </w:rPr>
        <w:t xml:space="preserve"> </w:t>
      </w:r>
      <w:r w:rsidR="00A75629">
        <w:rPr>
          <w:rFonts w:ascii="Arial" w:hAnsi="Arial"/>
          <w:sz w:val="22"/>
          <w:szCs w:val="22"/>
        </w:rPr>
        <w:t>in this area</w:t>
      </w:r>
      <w:r w:rsidR="00205E6E">
        <w:rPr>
          <w:rFonts w:ascii="Arial" w:hAnsi="Arial"/>
          <w:sz w:val="22"/>
          <w:szCs w:val="22"/>
        </w:rPr>
        <w:t>.</w:t>
      </w:r>
      <w:r w:rsidR="00E92081">
        <w:rPr>
          <w:rFonts w:ascii="Arial" w:hAnsi="Arial"/>
          <w:sz w:val="22"/>
          <w:szCs w:val="22"/>
        </w:rPr>
        <w:t xml:space="preserve"> </w:t>
      </w:r>
      <w:r w:rsidR="00205E6E">
        <w:rPr>
          <w:rFonts w:ascii="Arial" w:hAnsi="Arial"/>
          <w:sz w:val="22"/>
          <w:szCs w:val="22"/>
        </w:rPr>
        <w:t>Our</w:t>
      </w:r>
      <w:r w:rsidR="00D82B43">
        <w:rPr>
          <w:rFonts w:ascii="Arial" w:hAnsi="Arial"/>
          <w:sz w:val="22"/>
          <w:szCs w:val="22"/>
        </w:rPr>
        <w:t xml:space="preserve"> project </w:t>
      </w:r>
      <w:r w:rsidR="005E3CD0">
        <w:rPr>
          <w:rFonts w:ascii="Arial" w:hAnsi="Arial"/>
          <w:sz w:val="22"/>
          <w:szCs w:val="22"/>
        </w:rPr>
        <w:t xml:space="preserve">is a first attempt to gather and analyse comparative data from </w:t>
      </w:r>
      <w:r w:rsidR="00F94E00">
        <w:rPr>
          <w:rFonts w:ascii="Arial" w:hAnsi="Arial"/>
          <w:sz w:val="22"/>
          <w:szCs w:val="22"/>
        </w:rPr>
        <w:t xml:space="preserve">employment agencies and </w:t>
      </w:r>
      <w:r w:rsidR="00E432A9">
        <w:rPr>
          <w:rFonts w:ascii="Arial" w:hAnsi="Arial"/>
          <w:sz w:val="22"/>
          <w:szCs w:val="22"/>
        </w:rPr>
        <w:t xml:space="preserve">corrective services </w:t>
      </w:r>
      <w:r w:rsidR="005F1035">
        <w:rPr>
          <w:rFonts w:ascii="Arial" w:hAnsi="Arial"/>
          <w:sz w:val="22"/>
          <w:szCs w:val="22"/>
        </w:rPr>
        <w:t xml:space="preserve">in Australian jurisdictions </w:t>
      </w:r>
      <w:r w:rsidR="00A75629">
        <w:rPr>
          <w:rFonts w:ascii="Arial" w:hAnsi="Arial"/>
          <w:sz w:val="22"/>
          <w:szCs w:val="22"/>
        </w:rPr>
        <w:t xml:space="preserve">that will allow examination of </w:t>
      </w:r>
      <w:r w:rsidR="005E3CD0">
        <w:rPr>
          <w:rFonts w:ascii="Arial" w:hAnsi="Arial"/>
          <w:sz w:val="22"/>
          <w:szCs w:val="22"/>
        </w:rPr>
        <w:t>the relationship</w:t>
      </w:r>
      <w:r w:rsidR="00A75629">
        <w:rPr>
          <w:rFonts w:ascii="Arial" w:hAnsi="Arial"/>
          <w:sz w:val="22"/>
          <w:szCs w:val="22"/>
        </w:rPr>
        <w:t>s</w:t>
      </w:r>
      <w:r w:rsidR="005E3CD0">
        <w:rPr>
          <w:rFonts w:ascii="Arial" w:hAnsi="Arial"/>
          <w:sz w:val="22"/>
          <w:szCs w:val="22"/>
        </w:rPr>
        <w:t xml:space="preserve"> between in-prison and post-prison vocational education and employment program</w:t>
      </w:r>
      <w:r w:rsidR="00A75629">
        <w:rPr>
          <w:rFonts w:ascii="Arial" w:hAnsi="Arial"/>
          <w:sz w:val="22"/>
          <w:szCs w:val="22"/>
        </w:rPr>
        <w:t>ming</w:t>
      </w:r>
      <w:r w:rsidR="005E3CD0">
        <w:rPr>
          <w:rFonts w:ascii="Arial" w:hAnsi="Arial"/>
          <w:sz w:val="22"/>
          <w:szCs w:val="22"/>
        </w:rPr>
        <w:t>, employment, and</w:t>
      </w:r>
      <w:r w:rsidR="00454877">
        <w:rPr>
          <w:rFonts w:ascii="Arial" w:hAnsi="Arial"/>
          <w:sz w:val="22"/>
          <w:szCs w:val="22"/>
        </w:rPr>
        <w:t xml:space="preserve"> recidivism. </w:t>
      </w:r>
      <w:r w:rsidR="00F94E00">
        <w:rPr>
          <w:rFonts w:ascii="Arial" w:hAnsi="Arial"/>
          <w:sz w:val="22"/>
          <w:szCs w:val="22"/>
        </w:rPr>
        <w:t>It aims to identify effective elements, strategies, program and policy directions in of</w:t>
      </w:r>
      <w:r w:rsidR="00D82B43">
        <w:rPr>
          <w:rFonts w:ascii="Arial" w:hAnsi="Arial"/>
          <w:sz w:val="22"/>
          <w:szCs w:val="22"/>
        </w:rPr>
        <w:t>fender training and employment.</w:t>
      </w:r>
    </w:p>
    <w:p w14:paraId="64BD0AF9" w14:textId="77777777" w:rsidR="009E4EB4" w:rsidRDefault="009E4EB4" w:rsidP="002F3AB3">
      <w:pPr>
        <w:spacing w:line="360" w:lineRule="auto"/>
        <w:jc w:val="both"/>
        <w:rPr>
          <w:rFonts w:ascii="Arial" w:hAnsi="Arial"/>
          <w:sz w:val="22"/>
          <w:szCs w:val="22"/>
        </w:rPr>
      </w:pPr>
    </w:p>
    <w:p w14:paraId="452EBE3E" w14:textId="2B3B90B5" w:rsidR="009508AC" w:rsidRDefault="006D6229" w:rsidP="002F3AB3">
      <w:pPr>
        <w:spacing w:line="360" w:lineRule="auto"/>
        <w:jc w:val="both"/>
        <w:rPr>
          <w:rFonts w:ascii="Arial" w:hAnsi="Arial"/>
          <w:sz w:val="22"/>
          <w:szCs w:val="22"/>
        </w:rPr>
      </w:pPr>
      <w:r>
        <w:rPr>
          <w:rFonts w:ascii="Arial" w:hAnsi="Arial"/>
          <w:sz w:val="22"/>
          <w:szCs w:val="22"/>
        </w:rPr>
        <w:t xml:space="preserve">The </w:t>
      </w:r>
      <w:r w:rsidR="00205E6E">
        <w:rPr>
          <w:rFonts w:ascii="Arial" w:hAnsi="Arial"/>
          <w:sz w:val="22"/>
          <w:szCs w:val="22"/>
        </w:rPr>
        <w:t xml:space="preserve">considerable </w:t>
      </w:r>
      <w:r>
        <w:rPr>
          <w:rFonts w:ascii="Arial" w:hAnsi="Arial"/>
          <w:sz w:val="22"/>
          <w:szCs w:val="22"/>
        </w:rPr>
        <w:t xml:space="preserve">challenges we have </w:t>
      </w:r>
      <w:r w:rsidR="004021DD">
        <w:rPr>
          <w:rFonts w:ascii="Arial" w:hAnsi="Arial"/>
          <w:sz w:val="22"/>
          <w:szCs w:val="22"/>
        </w:rPr>
        <w:t>encountered</w:t>
      </w:r>
      <w:r>
        <w:rPr>
          <w:rFonts w:ascii="Arial" w:hAnsi="Arial"/>
          <w:sz w:val="22"/>
          <w:szCs w:val="22"/>
        </w:rPr>
        <w:t xml:space="preserve"> </w:t>
      </w:r>
      <w:r w:rsidR="005F1035">
        <w:rPr>
          <w:rFonts w:ascii="Arial" w:hAnsi="Arial"/>
          <w:sz w:val="22"/>
          <w:szCs w:val="22"/>
        </w:rPr>
        <w:t xml:space="preserve">accessing </w:t>
      </w:r>
      <w:r w:rsidR="00175C72">
        <w:rPr>
          <w:rFonts w:ascii="Arial" w:hAnsi="Arial"/>
          <w:sz w:val="22"/>
          <w:szCs w:val="22"/>
        </w:rPr>
        <w:t>comparable</w:t>
      </w:r>
      <w:r w:rsidR="00D82B43">
        <w:rPr>
          <w:rFonts w:ascii="Arial" w:hAnsi="Arial"/>
          <w:sz w:val="22"/>
          <w:szCs w:val="22"/>
        </w:rPr>
        <w:t>, reliable</w:t>
      </w:r>
      <w:r w:rsidR="00175C72">
        <w:rPr>
          <w:rFonts w:ascii="Arial" w:hAnsi="Arial"/>
          <w:sz w:val="22"/>
          <w:szCs w:val="22"/>
        </w:rPr>
        <w:t xml:space="preserve"> and robust </w:t>
      </w:r>
      <w:r w:rsidR="00F94E00">
        <w:rPr>
          <w:rFonts w:ascii="Arial" w:hAnsi="Arial"/>
          <w:sz w:val="22"/>
          <w:szCs w:val="22"/>
        </w:rPr>
        <w:t>data requi</w:t>
      </w:r>
      <w:r w:rsidR="00175C72">
        <w:rPr>
          <w:rFonts w:ascii="Arial" w:hAnsi="Arial"/>
          <w:sz w:val="22"/>
          <w:szCs w:val="22"/>
        </w:rPr>
        <w:t>site</w:t>
      </w:r>
      <w:r w:rsidR="00F94E00">
        <w:rPr>
          <w:rFonts w:ascii="Arial" w:hAnsi="Arial"/>
          <w:sz w:val="22"/>
          <w:szCs w:val="22"/>
        </w:rPr>
        <w:t xml:space="preserve"> to </w:t>
      </w:r>
      <w:r w:rsidR="00175C72">
        <w:rPr>
          <w:rFonts w:ascii="Arial" w:hAnsi="Arial"/>
          <w:sz w:val="22"/>
          <w:szCs w:val="22"/>
        </w:rPr>
        <w:t>achieving</w:t>
      </w:r>
      <w:r w:rsidR="00F94E00">
        <w:rPr>
          <w:rFonts w:ascii="Arial" w:hAnsi="Arial"/>
          <w:sz w:val="22"/>
          <w:szCs w:val="22"/>
        </w:rPr>
        <w:t xml:space="preserve"> the</w:t>
      </w:r>
      <w:r w:rsidR="00175C72">
        <w:rPr>
          <w:rFonts w:ascii="Arial" w:hAnsi="Arial"/>
          <w:sz w:val="22"/>
          <w:szCs w:val="22"/>
        </w:rPr>
        <w:t xml:space="preserve"> project’s</w:t>
      </w:r>
      <w:r w:rsidR="00F94E00">
        <w:rPr>
          <w:rFonts w:ascii="Arial" w:hAnsi="Arial"/>
          <w:sz w:val="22"/>
          <w:szCs w:val="22"/>
        </w:rPr>
        <w:t xml:space="preserve"> aims </w:t>
      </w:r>
      <w:r w:rsidR="002E5C9D">
        <w:rPr>
          <w:rFonts w:ascii="Arial" w:hAnsi="Arial"/>
          <w:sz w:val="22"/>
          <w:szCs w:val="22"/>
        </w:rPr>
        <w:t>highlight</w:t>
      </w:r>
      <w:r w:rsidR="0066371C">
        <w:rPr>
          <w:rFonts w:ascii="Arial" w:hAnsi="Arial"/>
          <w:sz w:val="22"/>
          <w:szCs w:val="22"/>
        </w:rPr>
        <w:t xml:space="preserve">s an obvious </w:t>
      </w:r>
      <w:r w:rsidR="00F16C96">
        <w:rPr>
          <w:rFonts w:ascii="Arial" w:hAnsi="Arial"/>
          <w:sz w:val="22"/>
          <w:szCs w:val="22"/>
        </w:rPr>
        <w:t xml:space="preserve">need </w:t>
      </w:r>
      <w:r w:rsidR="00454877">
        <w:rPr>
          <w:rFonts w:ascii="Arial" w:hAnsi="Arial"/>
          <w:sz w:val="22"/>
          <w:szCs w:val="22"/>
        </w:rPr>
        <w:t xml:space="preserve">for improvements </w:t>
      </w:r>
      <w:r w:rsidR="00A75629">
        <w:rPr>
          <w:rFonts w:ascii="Arial" w:hAnsi="Arial"/>
          <w:sz w:val="22"/>
          <w:szCs w:val="22"/>
        </w:rPr>
        <w:t>in</w:t>
      </w:r>
      <w:r w:rsidR="005E3CD0">
        <w:rPr>
          <w:rFonts w:ascii="Arial" w:hAnsi="Arial"/>
          <w:sz w:val="22"/>
          <w:szCs w:val="22"/>
        </w:rPr>
        <w:t xml:space="preserve"> </w:t>
      </w:r>
      <w:r w:rsidR="00454877">
        <w:rPr>
          <w:rFonts w:ascii="Arial" w:hAnsi="Arial"/>
          <w:sz w:val="22"/>
          <w:szCs w:val="22"/>
        </w:rPr>
        <w:t>data access</w:t>
      </w:r>
      <w:r w:rsidR="005E3CD0">
        <w:rPr>
          <w:rFonts w:ascii="Arial" w:hAnsi="Arial"/>
          <w:sz w:val="22"/>
          <w:szCs w:val="22"/>
        </w:rPr>
        <w:t xml:space="preserve">, </w:t>
      </w:r>
      <w:r w:rsidR="00CA33D0">
        <w:rPr>
          <w:rFonts w:ascii="Arial" w:hAnsi="Arial"/>
          <w:sz w:val="22"/>
          <w:szCs w:val="22"/>
        </w:rPr>
        <w:t>data linkage, and</w:t>
      </w:r>
      <w:r w:rsidR="00F94E00">
        <w:rPr>
          <w:rFonts w:ascii="Arial" w:hAnsi="Arial"/>
          <w:sz w:val="22"/>
          <w:szCs w:val="22"/>
        </w:rPr>
        <w:t xml:space="preserve"> </w:t>
      </w:r>
      <w:r w:rsidR="007D72DD">
        <w:rPr>
          <w:rFonts w:ascii="Arial" w:hAnsi="Arial"/>
          <w:sz w:val="22"/>
          <w:szCs w:val="22"/>
        </w:rPr>
        <w:t xml:space="preserve">data collection </w:t>
      </w:r>
      <w:r w:rsidR="00D82B43">
        <w:rPr>
          <w:rFonts w:ascii="Arial" w:hAnsi="Arial"/>
          <w:sz w:val="22"/>
          <w:szCs w:val="22"/>
        </w:rPr>
        <w:t xml:space="preserve">by </w:t>
      </w:r>
      <w:r w:rsidR="00AB0447">
        <w:rPr>
          <w:rFonts w:ascii="Arial" w:hAnsi="Arial"/>
          <w:sz w:val="22"/>
          <w:szCs w:val="22"/>
        </w:rPr>
        <w:t xml:space="preserve">public sector agencies </w:t>
      </w:r>
      <w:r w:rsidR="007D72DD">
        <w:rPr>
          <w:rFonts w:ascii="Arial" w:hAnsi="Arial"/>
          <w:sz w:val="22"/>
          <w:szCs w:val="22"/>
        </w:rPr>
        <w:t xml:space="preserve">in this </w:t>
      </w:r>
      <w:r w:rsidR="00F94E00">
        <w:rPr>
          <w:rFonts w:ascii="Arial" w:hAnsi="Arial"/>
          <w:sz w:val="22"/>
          <w:szCs w:val="22"/>
        </w:rPr>
        <w:t>field</w:t>
      </w:r>
      <w:r w:rsidR="00454877">
        <w:rPr>
          <w:rFonts w:ascii="Arial" w:hAnsi="Arial"/>
          <w:sz w:val="22"/>
          <w:szCs w:val="22"/>
        </w:rPr>
        <w:t>.</w:t>
      </w:r>
      <w:r w:rsidR="00C53636">
        <w:rPr>
          <w:rFonts w:ascii="Arial" w:hAnsi="Arial"/>
          <w:sz w:val="22"/>
          <w:szCs w:val="22"/>
        </w:rPr>
        <w:t xml:space="preserve"> </w:t>
      </w:r>
      <w:r w:rsidR="00AD39F8">
        <w:rPr>
          <w:rFonts w:ascii="Arial" w:hAnsi="Arial"/>
          <w:sz w:val="22"/>
          <w:szCs w:val="22"/>
        </w:rPr>
        <w:t xml:space="preserve">Such improvements are critical to </w:t>
      </w:r>
      <w:r w:rsidR="00F67F62">
        <w:rPr>
          <w:rFonts w:ascii="Arial" w:hAnsi="Arial"/>
          <w:sz w:val="22"/>
          <w:szCs w:val="22"/>
        </w:rPr>
        <w:t xml:space="preserve">the </w:t>
      </w:r>
      <w:r w:rsidR="007F76F8">
        <w:rPr>
          <w:rFonts w:ascii="Arial" w:hAnsi="Arial"/>
          <w:sz w:val="22"/>
          <w:szCs w:val="22"/>
        </w:rPr>
        <w:t xml:space="preserve">development of </w:t>
      </w:r>
      <w:r w:rsidR="00F67F62">
        <w:rPr>
          <w:rFonts w:ascii="Arial" w:hAnsi="Arial"/>
          <w:sz w:val="22"/>
          <w:szCs w:val="22"/>
        </w:rPr>
        <w:t xml:space="preserve">evidence-based </w:t>
      </w:r>
      <w:r w:rsidR="00F94E00">
        <w:rPr>
          <w:rFonts w:ascii="Arial" w:hAnsi="Arial"/>
          <w:sz w:val="22"/>
          <w:szCs w:val="22"/>
        </w:rPr>
        <w:t xml:space="preserve">and effective </w:t>
      </w:r>
      <w:r w:rsidR="00F67F62">
        <w:rPr>
          <w:rFonts w:ascii="Arial" w:hAnsi="Arial"/>
          <w:sz w:val="22"/>
          <w:szCs w:val="22"/>
        </w:rPr>
        <w:t>program and policy directions in education</w:t>
      </w:r>
      <w:r w:rsidR="007F76F8">
        <w:rPr>
          <w:rFonts w:ascii="Arial" w:hAnsi="Arial"/>
          <w:sz w:val="22"/>
          <w:szCs w:val="22"/>
        </w:rPr>
        <w:t>, training</w:t>
      </w:r>
      <w:r w:rsidR="00F67F62">
        <w:rPr>
          <w:rFonts w:ascii="Arial" w:hAnsi="Arial"/>
          <w:sz w:val="22"/>
          <w:szCs w:val="22"/>
        </w:rPr>
        <w:t xml:space="preserve"> and </w:t>
      </w:r>
      <w:r w:rsidR="007F76F8">
        <w:rPr>
          <w:rFonts w:ascii="Arial" w:hAnsi="Arial"/>
          <w:sz w:val="22"/>
          <w:szCs w:val="22"/>
        </w:rPr>
        <w:t>employment</w:t>
      </w:r>
      <w:r w:rsidR="00F94E00">
        <w:rPr>
          <w:rFonts w:ascii="Arial" w:hAnsi="Arial"/>
          <w:sz w:val="22"/>
          <w:szCs w:val="22"/>
        </w:rPr>
        <w:t xml:space="preserve"> for prisoners and ex-prisoners</w:t>
      </w:r>
      <w:r w:rsidR="007F76F8">
        <w:rPr>
          <w:rFonts w:ascii="Arial" w:hAnsi="Arial"/>
          <w:sz w:val="22"/>
          <w:szCs w:val="22"/>
        </w:rPr>
        <w:t>.</w:t>
      </w:r>
      <w:r w:rsidR="00030E9A">
        <w:rPr>
          <w:rFonts w:ascii="Arial" w:hAnsi="Arial"/>
          <w:sz w:val="22"/>
          <w:szCs w:val="22"/>
        </w:rPr>
        <w:t xml:space="preserve">  </w:t>
      </w:r>
      <w:r w:rsidR="00205E6E">
        <w:rPr>
          <w:rFonts w:ascii="Arial" w:hAnsi="Arial"/>
          <w:sz w:val="22"/>
          <w:szCs w:val="22"/>
        </w:rPr>
        <w:t xml:space="preserve">  </w:t>
      </w:r>
    </w:p>
    <w:p w14:paraId="3FB3586E" w14:textId="77777777" w:rsidR="00925F1E" w:rsidRDefault="00925F1E" w:rsidP="002F3AB3">
      <w:pPr>
        <w:spacing w:line="360" w:lineRule="auto"/>
        <w:jc w:val="both"/>
        <w:rPr>
          <w:rFonts w:ascii="Arial" w:hAnsi="Arial"/>
          <w:sz w:val="22"/>
          <w:szCs w:val="22"/>
        </w:rPr>
      </w:pPr>
    </w:p>
    <w:p w14:paraId="660D46D9" w14:textId="45C8A252" w:rsidR="009B5889" w:rsidRPr="009B5889" w:rsidRDefault="00925F1E" w:rsidP="002F3AB3">
      <w:pPr>
        <w:spacing w:line="360" w:lineRule="auto"/>
        <w:jc w:val="both"/>
        <w:rPr>
          <w:rFonts w:ascii="Arial" w:hAnsi="Arial"/>
          <w:i/>
          <w:sz w:val="22"/>
          <w:szCs w:val="22"/>
        </w:rPr>
      </w:pPr>
      <w:r>
        <w:rPr>
          <w:rFonts w:ascii="Arial" w:hAnsi="Arial"/>
          <w:sz w:val="22"/>
          <w:szCs w:val="22"/>
        </w:rPr>
        <w:t xml:space="preserve">In various sections of this submission we draw on </w:t>
      </w:r>
      <w:r w:rsidR="00A75629">
        <w:rPr>
          <w:rFonts w:ascii="Arial" w:hAnsi="Arial"/>
          <w:sz w:val="22"/>
          <w:szCs w:val="22"/>
        </w:rPr>
        <w:t xml:space="preserve">national data about </w:t>
      </w:r>
      <w:r w:rsidR="00C53636">
        <w:rPr>
          <w:rFonts w:ascii="Arial" w:hAnsi="Arial"/>
          <w:sz w:val="22"/>
          <w:szCs w:val="22"/>
        </w:rPr>
        <w:t xml:space="preserve">adult </w:t>
      </w:r>
      <w:r>
        <w:rPr>
          <w:rFonts w:ascii="Arial" w:hAnsi="Arial"/>
          <w:sz w:val="22"/>
          <w:szCs w:val="22"/>
        </w:rPr>
        <w:t xml:space="preserve">prisoner participation </w:t>
      </w:r>
      <w:r w:rsidR="00C53636">
        <w:rPr>
          <w:rFonts w:ascii="Arial" w:hAnsi="Arial"/>
          <w:sz w:val="22"/>
          <w:szCs w:val="22"/>
        </w:rPr>
        <w:t>in education, training and employment</w:t>
      </w:r>
      <w:r w:rsidR="009E4EB4">
        <w:rPr>
          <w:rFonts w:ascii="Arial" w:hAnsi="Arial"/>
          <w:sz w:val="22"/>
          <w:szCs w:val="22"/>
        </w:rPr>
        <w:t xml:space="preserve"> in Australia</w:t>
      </w:r>
      <w:r w:rsidR="00A75629">
        <w:rPr>
          <w:rFonts w:ascii="Arial" w:hAnsi="Arial"/>
          <w:sz w:val="22"/>
          <w:szCs w:val="22"/>
        </w:rPr>
        <w:t xml:space="preserve">, collated </w:t>
      </w:r>
      <w:r w:rsidR="00C211CB">
        <w:rPr>
          <w:rFonts w:ascii="Arial" w:hAnsi="Arial"/>
          <w:sz w:val="22"/>
          <w:szCs w:val="22"/>
        </w:rPr>
        <w:t xml:space="preserve">as part </w:t>
      </w:r>
      <w:r w:rsidR="00332495">
        <w:rPr>
          <w:rFonts w:ascii="Arial" w:hAnsi="Arial"/>
          <w:sz w:val="22"/>
          <w:szCs w:val="22"/>
        </w:rPr>
        <w:t>of the Future Beyond the Wall</w:t>
      </w:r>
      <w:r w:rsidR="00C211CB">
        <w:rPr>
          <w:rFonts w:ascii="Arial" w:hAnsi="Arial"/>
          <w:sz w:val="22"/>
          <w:szCs w:val="22"/>
        </w:rPr>
        <w:t xml:space="preserve"> pr</w:t>
      </w:r>
      <w:r w:rsidR="008E2B5F">
        <w:rPr>
          <w:rFonts w:ascii="Arial" w:hAnsi="Arial"/>
          <w:sz w:val="22"/>
          <w:szCs w:val="22"/>
        </w:rPr>
        <w:t>oject</w:t>
      </w:r>
      <w:r w:rsidR="00A75629">
        <w:rPr>
          <w:rFonts w:ascii="Arial" w:hAnsi="Arial"/>
          <w:sz w:val="22"/>
          <w:szCs w:val="22"/>
        </w:rPr>
        <w:t xml:space="preserve">. A report has been </w:t>
      </w:r>
      <w:r w:rsidR="00175C72">
        <w:rPr>
          <w:rFonts w:ascii="Arial" w:hAnsi="Arial"/>
          <w:sz w:val="22"/>
          <w:szCs w:val="22"/>
        </w:rPr>
        <w:t xml:space="preserve">circulated to </w:t>
      </w:r>
      <w:r w:rsidR="005B5A22">
        <w:rPr>
          <w:rFonts w:ascii="Arial" w:hAnsi="Arial"/>
          <w:sz w:val="22"/>
          <w:szCs w:val="22"/>
        </w:rPr>
        <w:t xml:space="preserve">Corrective Services </w:t>
      </w:r>
      <w:r w:rsidR="00C211CB">
        <w:rPr>
          <w:rFonts w:ascii="Arial" w:hAnsi="Arial"/>
          <w:sz w:val="22"/>
          <w:szCs w:val="22"/>
        </w:rPr>
        <w:t xml:space="preserve">Commissioners </w:t>
      </w:r>
      <w:r w:rsidR="00175C72">
        <w:rPr>
          <w:rFonts w:ascii="Arial" w:hAnsi="Arial"/>
          <w:sz w:val="22"/>
          <w:szCs w:val="22"/>
        </w:rPr>
        <w:t>in each</w:t>
      </w:r>
      <w:r w:rsidR="00C211CB">
        <w:rPr>
          <w:rFonts w:ascii="Arial" w:hAnsi="Arial"/>
          <w:sz w:val="22"/>
          <w:szCs w:val="22"/>
        </w:rPr>
        <w:t xml:space="preserve"> </w:t>
      </w:r>
      <w:r w:rsidR="005B5A22">
        <w:rPr>
          <w:rFonts w:ascii="Arial" w:hAnsi="Arial"/>
          <w:sz w:val="22"/>
          <w:szCs w:val="22"/>
        </w:rPr>
        <w:t xml:space="preserve">Australian </w:t>
      </w:r>
      <w:r w:rsidR="00C211CB">
        <w:rPr>
          <w:rFonts w:ascii="Arial" w:hAnsi="Arial"/>
          <w:sz w:val="22"/>
          <w:szCs w:val="22"/>
        </w:rPr>
        <w:t>jurisdiction</w:t>
      </w:r>
      <w:r w:rsidR="00A75629">
        <w:rPr>
          <w:rFonts w:ascii="Arial" w:hAnsi="Arial"/>
          <w:sz w:val="22"/>
          <w:szCs w:val="22"/>
        </w:rPr>
        <w:t xml:space="preserve"> and</w:t>
      </w:r>
      <w:r w:rsidR="00626674">
        <w:rPr>
          <w:rFonts w:ascii="Arial" w:hAnsi="Arial"/>
          <w:sz w:val="22"/>
          <w:szCs w:val="22"/>
        </w:rPr>
        <w:t xml:space="preserve"> </w:t>
      </w:r>
      <w:r w:rsidR="00AD6544">
        <w:rPr>
          <w:rFonts w:ascii="Arial" w:hAnsi="Arial"/>
          <w:sz w:val="22"/>
          <w:szCs w:val="22"/>
        </w:rPr>
        <w:t>is not yet public</w:t>
      </w:r>
      <w:r w:rsidR="00C211CB">
        <w:rPr>
          <w:rFonts w:ascii="Arial" w:hAnsi="Arial"/>
          <w:sz w:val="22"/>
          <w:szCs w:val="22"/>
        </w:rPr>
        <w:t xml:space="preserve">ly available.  </w:t>
      </w:r>
    </w:p>
    <w:p w14:paraId="54183532" w14:textId="77777777" w:rsidR="009508AC" w:rsidRPr="00205B31" w:rsidRDefault="009508AC" w:rsidP="002F3AB3">
      <w:pPr>
        <w:spacing w:line="360" w:lineRule="auto"/>
        <w:jc w:val="both"/>
        <w:rPr>
          <w:rFonts w:ascii="Arial" w:hAnsi="Arial"/>
          <w:sz w:val="22"/>
          <w:szCs w:val="22"/>
        </w:rPr>
      </w:pPr>
    </w:p>
    <w:p w14:paraId="0F68C9BB" w14:textId="1C6BA0C9" w:rsidR="005B1ECB" w:rsidRPr="00E43CB4" w:rsidRDefault="00513FC0" w:rsidP="002F3AB3">
      <w:pPr>
        <w:spacing w:line="360" w:lineRule="auto"/>
        <w:jc w:val="both"/>
        <w:rPr>
          <w:rFonts w:ascii="Arial" w:hAnsi="Arial"/>
          <w:b/>
        </w:rPr>
      </w:pPr>
      <w:r>
        <w:rPr>
          <w:rFonts w:ascii="Arial" w:hAnsi="Arial"/>
          <w:b/>
        </w:rPr>
        <w:t>1</w:t>
      </w:r>
      <w:r w:rsidR="00B53576">
        <w:rPr>
          <w:rFonts w:ascii="Arial" w:hAnsi="Arial"/>
          <w:b/>
          <w:sz w:val="22"/>
          <w:szCs w:val="22"/>
        </w:rPr>
        <w:t xml:space="preserve">. Data Linkage: </w:t>
      </w:r>
      <w:r w:rsidR="00891095">
        <w:rPr>
          <w:rFonts w:ascii="Arial" w:hAnsi="Arial"/>
          <w:b/>
          <w:sz w:val="22"/>
          <w:szCs w:val="22"/>
        </w:rPr>
        <w:t>Improving the employment prospects of ex-prisoners</w:t>
      </w:r>
    </w:p>
    <w:p w14:paraId="78558A46" w14:textId="17B85FA3" w:rsidR="00621932" w:rsidRDefault="00621932" w:rsidP="002F3AB3">
      <w:pPr>
        <w:spacing w:line="360" w:lineRule="auto"/>
        <w:jc w:val="both"/>
        <w:rPr>
          <w:rFonts w:ascii="Arial" w:hAnsi="Arial" w:cs="Arial"/>
          <w:sz w:val="22"/>
          <w:szCs w:val="22"/>
        </w:rPr>
      </w:pPr>
      <w:r>
        <w:rPr>
          <w:rFonts w:ascii="Arial" w:hAnsi="Arial" w:cs="Arial"/>
          <w:sz w:val="22"/>
          <w:szCs w:val="22"/>
        </w:rPr>
        <w:t xml:space="preserve">The </w:t>
      </w:r>
      <w:r w:rsidR="0034487D">
        <w:rPr>
          <w:rFonts w:ascii="Arial" w:hAnsi="Arial" w:cs="Arial"/>
          <w:sz w:val="22"/>
          <w:szCs w:val="22"/>
        </w:rPr>
        <w:t>Productivity Commission</w:t>
      </w:r>
      <w:r>
        <w:rPr>
          <w:rFonts w:ascii="Arial" w:hAnsi="Arial" w:cs="Arial"/>
          <w:sz w:val="22"/>
          <w:szCs w:val="22"/>
        </w:rPr>
        <w:t xml:space="preserve"> is examining the benefits and costs of options for increasing availability of public sector data </w:t>
      </w:r>
      <w:r w:rsidR="0034487D">
        <w:rPr>
          <w:rFonts w:ascii="Arial" w:hAnsi="Arial" w:cs="Arial"/>
          <w:sz w:val="22"/>
          <w:szCs w:val="22"/>
        </w:rPr>
        <w:t>to other public sector agencies.</w:t>
      </w:r>
      <w:r>
        <w:rPr>
          <w:rFonts w:ascii="Arial" w:hAnsi="Arial" w:cs="Arial"/>
          <w:sz w:val="22"/>
          <w:szCs w:val="22"/>
        </w:rPr>
        <w:t xml:space="preserve"> </w:t>
      </w:r>
      <w:r w:rsidR="0034487D">
        <w:rPr>
          <w:rFonts w:ascii="Arial" w:hAnsi="Arial" w:cs="Arial"/>
          <w:sz w:val="22"/>
          <w:szCs w:val="22"/>
        </w:rPr>
        <w:t>Where</w:t>
      </w:r>
      <w:r>
        <w:rPr>
          <w:rFonts w:ascii="Arial" w:hAnsi="Arial" w:cs="Arial"/>
          <w:sz w:val="22"/>
          <w:szCs w:val="22"/>
        </w:rPr>
        <w:t xml:space="preserve"> there are clear benefits, </w:t>
      </w:r>
      <w:r w:rsidR="00C95362">
        <w:rPr>
          <w:rFonts w:ascii="Arial" w:hAnsi="Arial" w:cs="Arial"/>
          <w:sz w:val="22"/>
          <w:szCs w:val="22"/>
        </w:rPr>
        <w:t xml:space="preserve">the </w:t>
      </w:r>
      <w:r w:rsidR="0034487D">
        <w:rPr>
          <w:rFonts w:ascii="Arial" w:hAnsi="Arial" w:cs="Arial"/>
          <w:sz w:val="22"/>
          <w:szCs w:val="22"/>
        </w:rPr>
        <w:t xml:space="preserve">Commission is to </w:t>
      </w:r>
      <w:r>
        <w:rPr>
          <w:rFonts w:ascii="Arial" w:hAnsi="Arial" w:cs="Arial"/>
          <w:sz w:val="22"/>
          <w:szCs w:val="22"/>
        </w:rPr>
        <w:t xml:space="preserve">recommend ways to increase and improve data linking and availability.  </w:t>
      </w:r>
    </w:p>
    <w:p w14:paraId="676093CE" w14:textId="77777777" w:rsidR="00D90E76" w:rsidRDefault="00D90E76" w:rsidP="00925F1E">
      <w:pPr>
        <w:spacing w:line="360" w:lineRule="auto"/>
        <w:jc w:val="both"/>
        <w:rPr>
          <w:rFonts w:ascii="Arial" w:hAnsi="Arial" w:cs="Arial"/>
          <w:sz w:val="22"/>
          <w:szCs w:val="22"/>
        </w:rPr>
      </w:pPr>
    </w:p>
    <w:p w14:paraId="3318C735" w14:textId="17A6A39D" w:rsidR="00D25582" w:rsidRDefault="00E1672F" w:rsidP="00925F1E">
      <w:pPr>
        <w:spacing w:line="360" w:lineRule="auto"/>
        <w:jc w:val="both"/>
        <w:rPr>
          <w:rFonts w:ascii="Arial" w:hAnsi="Arial" w:cs="Arial"/>
          <w:sz w:val="22"/>
          <w:szCs w:val="22"/>
        </w:rPr>
      </w:pPr>
      <w:r>
        <w:rPr>
          <w:rFonts w:ascii="Arial" w:hAnsi="Arial" w:cs="Arial"/>
          <w:sz w:val="22"/>
          <w:szCs w:val="22"/>
        </w:rPr>
        <w:t>Stable employment is one of the most cited correlates of desistance from crime</w:t>
      </w:r>
      <w:r w:rsidR="00131B8C">
        <w:rPr>
          <w:rStyle w:val="FootnoteReference"/>
          <w:rFonts w:ascii="Arial" w:hAnsi="Arial" w:cs="Arial"/>
          <w:sz w:val="22"/>
          <w:szCs w:val="22"/>
        </w:rPr>
        <w:footnoteReference w:id="2"/>
      </w:r>
      <w:r w:rsidR="007B40DA">
        <w:rPr>
          <w:rFonts w:ascii="Arial" w:hAnsi="Arial" w:cs="Arial"/>
          <w:sz w:val="22"/>
          <w:szCs w:val="22"/>
        </w:rPr>
        <w:t>,</w:t>
      </w:r>
      <w:r>
        <w:rPr>
          <w:rFonts w:ascii="Arial" w:hAnsi="Arial" w:cs="Arial"/>
          <w:sz w:val="22"/>
          <w:szCs w:val="22"/>
        </w:rPr>
        <w:t xml:space="preserve"> and </w:t>
      </w:r>
      <w:r w:rsidR="00810968">
        <w:rPr>
          <w:rFonts w:ascii="Arial" w:hAnsi="Arial" w:cs="Arial"/>
          <w:sz w:val="22"/>
          <w:szCs w:val="22"/>
        </w:rPr>
        <w:t xml:space="preserve">as such the targeted provision of vocationally relevant </w:t>
      </w:r>
      <w:r w:rsidR="008733D1">
        <w:rPr>
          <w:rFonts w:ascii="Arial" w:hAnsi="Arial" w:cs="Arial"/>
          <w:sz w:val="22"/>
          <w:szCs w:val="22"/>
        </w:rPr>
        <w:t xml:space="preserve">education, </w:t>
      </w:r>
      <w:r w:rsidR="00810968">
        <w:rPr>
          <w:rFonts w:ascii="Arial" w:hAnsi="Arial" w:cs="Arial"/>
          <w:sz w:val="22"/>
          <w:szCs w:val="22"/>
        </w:rPr>
        <w:t xml:space="preserve">training and employment programs for </w:t>
      </w:r>
      <w:r w:rsidR="00810968">
        <w:rPr>
          <w:rFonts w:ascii="Arial" w:hAnsi="Arial" w:cs="Arial"/>
          <w:sz w:val="22"/>
          <w:szCs w:val="22"/>
        </w:rPr>
        <w:lastRenderedPageBreak/>
        <w:t xml:space="preserve">prisoners </w:t>
      </w:r>
      <w:r w:rsidR="00AF6898">
        <w:rPr>
          <w:rFonts w:ascii="Arial" w:hAnsi="Arial" w:cs="Arial"/>
          <w:sz w:val="22"/>
          <w:szCs w:val="22"/>
        </w:rPr>
        <w:t xml:space="preserve">and ex-prisoners </w:t>
      </w:r>
      <w:r w:rsidR="00810968">
        <w:rPr>
          <w:rFonts w:ascii="Arial" w:hAnsi="Arial" w:cs="Arial"/>
          <w:sz w:val="22"/>
          <w:szCs w:val="22"/>
        </w:rPr>
        <w:t xml:space="preserve">has been </w:t>
      </w:r>
      <w:r w:rsidR="00982F3C">
        <w:rPr>
          <w:rFonts w:ascii="Arial" w:hAnsi="Arial" w:cs="Arial"/>
          <w:sz w:val="22"/>
          <w:szCs w:val="22"/>
        </w:rPr>
        <w:t>suggested to be a</w:t>
      </w:r>
      <w:r w:rsidR="00810968">
        <w:rPr>
          <w:rFonts w:ascii="Arial" w:hAnsi="Arial" w:cs="Arial"/>
          <w:sz w:val="22"/>
          <w:szCs w:val="22"/>
        </w:rPr>
        <w:t xml:space="preserve"> key element in addressing recidivism</w:t>
      </w:r>
      <w:r w:rsidR="00433057">
        <w:rPr>
          <w:rStyle w:val="FootnoteReference"/>
          <w:rFonts w:ascii="Arial" w:hAnsi="Arial" w:cs="Arial"/>
          <w:sz w:val="22"/>
          <w:szCs w:val="22"/>
        </w:rPr>
        <w:footnoteReference w:id="3"/>
      </w:r>
      <w:r w:rsidR="00164A7C">
        <w:rPr>
          <w:rFonts w:ascii="Arial" w:hAnsi="Arial" w:cs="Arial"/>
          <w:sz w:val="22"/>
          <w:szCs w:val="22"/>
        </w:rPr>
        <w:t>.</w:t>
      </w:r>
      <w:r w:rsidR="00810968">
        <w:rPr>
          <w:rFonts w:ascii="Arial" w:hAnsi="Arial" w:cs="Arial"/>
          <w:sz w:val="22"/>
          <w:szCs w:val="22"/>
        </w:rPr>
        <w:t xml:space="preserve"> </w:t>
      </w:r>
      <w:r w:rsidR="00164A7C">
        <w:rPr>
          <w:rFonts w:ascii="Arial" w:hAnsi="Arial" w:cs="Arial"/>
          <w:sz w:val="22"/>
          <w:szCs w:val="22"/>
        </w:rPr>
        <w:t>In financial terms alone, the impact of re-offending on the Australian community is costly</w:t>
      </w:r>
      <w:r w:rsidR="00164A7C">
        <w:rPr>
          <w:rStyle w:val="FootnoteReference"/>
          <w:rFonts w:ascii="Arial" w:hAnsi="Arial" w:cs="Arial"/>
          <w:sz w:val="22"/>
          <w:szCs w:val="22"/>
        </w:rPr>
        <w:footnoteReference w:id="4"/>
      </w:r>
      <w:r w:rsidR="00164A7C">
        <w:rPr>
          <w:rFonts w:ascii="Arial" w:hAnsi="Arial" w:cs="Arial"/>
          <w:sz w:val="22"/>
          <w:szCs w:val="22"/>
        </w:rPr>
        <w:t xml:space="preserve">. </w:t>
      </w:r>
      <w:r w:rsidR="00C92F4A">
        <w:rPr>
          <w:rFonts w:ascii="Arial" w:hAnsi="Arial" w:cs="Arial"/>
          <w:sz w:val="22"/>
          <w:szCs w:val="22"/>
        </w:rPr>
        <w:t xml:space="preserve">The Future Beyond the Wall </w:t>
      </w:r>
      <w:r w:rsidR="00AF6898">
        <w:rPr>
          <w:rFonts w:ascii="Arial" w:hAnsi="Arial" w:cs="Arial"/>
          <w:sz w:val="22"/>
          <w:szCs w:val="22"/>
        </w:rPr>
        <w:t>project</w:t>
      </w:r>
      <w:r w:rsidR="00797FF1">
        <w:rPr>
          <w:rFonts w:ascii="Arial" w:hAnsi="Arial" w:cs="Arial"/>
          <w:sz w:val="22"/>
          <w:szCs w:val="22"/>
        </w:rPr>
        <w:t xml:space="preserve"> </w:t>
      </w:r>
      <w:r w:rsidR="00C92F4A">
        <w:rPr>
          <w:rFonts w:ascii="Arial" w:hAnsi="Arial" w:cs="Arial"/>
          <w:sz w:val="22"/>
          <w:szCs w:val="22"/>
        </w:rPr>
        <w:t>has as it</w:t>
      </w:r>
      <w:r w:rsidR="00A818D4">
        <w:rPr>
          <w:rFonts w:ascii="Arial" w:hAnsi="Arial" w:cs="Arial"/>
          <w:sz w:val="22"/>
          <w:szCs w:val="22"/>
        </w:rPr>
        <w:t>s principal focus the identification of ways to improve the e</w:t>
      </w:r>
      <w:r w:rsidR="00631F14">
        <w:rPr>
          <w:rFonts w:ascii="Arial" w:hAnsi="Arial" w:cs="Arial"/>
          <w:sz w:val="22"/>
          <w:szCs w:val="22"/>
        </w:rPr>
        <w:t>mployment</w:t>
      </w:r>
      <w:r w:rsidR="00EF3020">
        <w:rPr>
          <w:rFonts w:ascii="Arial" w:hAnsi="Arial" w:cs="Arial"/>
          <w:sz w:val="22"/>
          <w:szCs w:val="22"/>
        </w:rPr>
        <w:t xml:space="preserve"> prospects of ex-prisoners, </w:t>
      </w:r>
      <w:r w:rsidR="008633E9">
        <w:rPr>
          <w:rFonts w:ascii="Arial" w:hAnsi="Arial" w:cs="Arial"/>
          <w:sz w:val="22"/>
          <w:szCs w:val="22"/>
        </w:rPr>
        <w:t>thereby</w:t>
      </w:r>
      <w:r w:rsidR="00EF3020">
        <w:rPr>
          <w:rFonts w:ascii="Arial" w:hAnsi="Arial" w:cs="Arial"/>
          <w:sz w:val="22"/>
          <w:szCs w:val="22"/>
        </w:rPr>
        <w:t xml:space="preserve"> </w:t>
      </w:r>
      <w:r w:rsidR="00C92F4A">
        <w:rPr>
          <w:rFonts w:ascii="Arial" w:hAnsi="Arial" w:cs="Arial"/>
          <w:sz w:val="22"/>
          <w:szCs w:val="22"/>
        </w:rPr>
        <w:t>reducing</w:t>
      </w:r>
      <w:r w:rsidR="00631F14">
        <w:rPr>
          <w:rFonts w:ascii="Arial" w:hAnsi="Arial" w:cs="Arial"/>
          <w:sz w:val="22"/>
          <w:szCs w:val="22"/>
        </w:rPr>
        <w:t xml:space="preserve"> </w:t>
      </w:r>
      <w:r w:rsidR="00C92F4A">
        <w:rPr>
          <w:rFonts w:ascii="Arial" w:hAnsi="Arial" w:cs="Arial"/>
          <w:sz w:val="22"/>
          <w:szCs w:val="22"/>
        </w:rPr>
        <w:t xml:space="preserve">the fiscal and social </w:t>
      </w:r>
      <w:r w:rsidR="00531F4A">
        <w:rPr>
          <w:rFonts w:ascii="Arial" w:hAnsi="Arial" w:cs="Arial"/>
          <w:sz w:val="22"/>
          <w:szCs w:val="22"/>
        </w:rPr>
        <w:t>burden</w:t>
      </w:r>
      <w:r w:rsidR="00C92F4A">
        <w:rPr>
          <w:rFonts w:ascii="Arial" w:hAnsi="Arial" w:cs="Arial"/>
          <w:sz w:val="22"/>
          <w:szCs w:val="22"/>
        </w:rPr>
        <w:t xml:space="preserve"> of </w:t>
      </w:r>
      <w:r w:rsidR="00A818D4">
        <w:rPr>
          <w:rFonts w:ascii="Arial" w:hAnsi="Arial" w:cs="Arial"/>
          <w:sz w:val="22"/>
          <w:szCs w:val="22"/>
        </w:rPr>
        <w:t xml:space="preserve">re-offending. </w:t>
      </w:r>
    </w:p>
    <w:p w14:paraId="51F85EB5" w14:textId="77777777" w:rsidR="00707144" w:rsidRDefault="00707144" w:rsidP="00AC6D6D">
      <w:pPr>
        <w:spacing w:line="360" w:lineRule="auto"/>
        <w:jc w:val="both"/>
        <w:rPr>
          <w:rFonts w:ascii="Arial" w:hAnsi="Arial" w:cs="Arial"/>
          <w:sz w:val="22"/>
          <w:szCs w:val="22"/>
        </w:rPr>
      </w:pPr>
    </w:p>
    <w:p w14:paraId="2009499C" w14:textId="2F49E901" w:rsidR="00AC6D6D" w:rsidRPr="0068720C" w:rsidRDefault="00D25582" w:rsidP="00AC6D6D">
      <w:pPr>
        <w:spacing w:line="360" w:lineRule="auto"/>
        <w:jc w:val="both"/>
        <w:rPr>
          <w:rFonts w:ascii="Arial" w:hAnsi="Arial" w:cs="Arial"/>
          <w:sz w:val="22"/>
          <w:szCs w:val="22"/>
        </w:rPr>
      </w:pPr>
      <w:r>
        <w:rPr>
          <w:rFonts w:ascii="Arial" w:hAnsi="Arial" w:cs="Arial"/>
          <w:sz w:val="22"/>
          <w:szCs w:val="22"/>
        </w:rPr>
        <w:t xml:space="preserve">Access to </w:t>
      </w:r>
      <w:r w:rsidR="00D7337D">
        <w:rPr>
          <w:rFonts w:ascii="Arial" w:hAnsi="Arial" w:cs="Arial"/>
          <w:sz w:val="22"/>
          <w:szCs w:val="22"/>
        </w:rPr>
        <w:t>reliable data about pre-prison employment histories and post-release employment outcome</w:t>
      </w:r>
      <w:r w:rsidR="009C5DBA">
        <w:rPr>
          <w:rFonts w:ascii="Arial" w:hAnsi="Arial" w:cs="Arial"/>
          <w:sz w:val="22"/>
          <w:szCs w:val="22"/>
        </w:rPr>
        <w:t xml:space="preserve">s </w:t>
      </w:r>
      <w:r w:rsidR="00921C80">
        <w:rPr>
          <w:rFonts w:ascii="Arial" w:hAnsi="Arial" w:cs="Arial"/>
          <w:sz w:val="22"/>
          <w:szCs w:val="22"/>
        </w:rPr>
        <w:t xml:space="preserve">would </w:t>
      </w:r>
      <w:r w:rsidR="009C5DBA">
        <w:rPr>
          <w:rFonts w:ascii="Arial" w:hAnsi="Arial" w:cs="Arial"/>
          <w:sz w:val="22"/>
          <w:szCs w:val="22"/>
        </w:rPr>
        <w:t xml:space="preserve">provide an extremely valuable </w:t>
      </w:r>
      <w:r w:rsidR="00B510B0">
        <w:rPr>
          <w:rFonts w:ascii="Arial" w:hAnsi="Arial" w:cs="Arial"/>
          <w:sz w:val="22"/>
          <w:szCs w:val="22"/>
        </w:rPr>
        <w:t xml:space="preserve">foundation toward </w:t>
      </w:r>
      <w:r w:rsidR="009C5DBA">
        <w:rPr>
          <w:rFonts w:ascii="Arial" w:hAnsi="Arial" w:cs="Arial"/>
          <w:sz w:val="22"/>
          <w:szCs w:val="22"/>
        </w:rPr>
        <w:t>achieving this aim.</w:t>
      </w:r>
      <w:r w:rsidR="00525DAE" w:rsidRPr="00525DAE">
        <w:rPr>
          <w:rFonts w:ascii="Arial" w:hAnsi="Arial" w:cs="Arial"/>
          <w:sz w:val="22"/>
          <w:szCs w:val="22"/>
        </w:rPr>
        <w:t xml:space="preserve"> </w:t>
      </w:r>
      <w:r w:rsidR="004A504A">
        <w:rPr>
          <w:rFonts w:ascii="Arial" w:hAnsi="Arial" w:cs="Arial"/>
          <w:sz w:val="22"/>
          <w:szCs w:val="22"/>
        </w:rPr>
        <w:t>E</w:t>
      </w:r>
      <w:r w:rsidR="00525DAE">
        <w:rPr>
          <w:rFonts w:ascii="Arial" w:hAnsi="Arial" w:cs="Arial"/>
          <w:sz w:val="22"/>
          <w:szCs w:val="22"/>
        </w:rPr>
        <w:t xml:space="preserve">vidence indicates that prison and post-prison education, training and employment programs are most effective if they are properly targeted to those individuals who have been assessed as being at a high risk of </w:t>
      </w:r>
      <w:proofErr w:type="spellStart"/>
      <w:r w:rsidR="00525DAE">
        <w:rPr>
          <w:rFonts w:ascii="Arial" w:hAnsi="Arial" w:cs="Arial"/>
          <w:sz w:val="22"/>
          <w:szCs w:val="22"/>
        </w:rPr>
        <w:t>recidivating</w:t>
      </w:r>
      <w:proofErr w:type="spellEnd"/>
      <w:r w:rsidR="00525DAE">
        <w:rPr>
          <w:rFonts w:ascii="Arial" w:hAnsi="Arial" w:cs="Arial"/>
          <w:sz w:val="22"/>
          <w:szCs w:val="22"/>
        </w:rPr>
        <w:t>, along with those who</w:t>
      </w:r>
      <w:r w:rsidR="00991F42">
        <w:rPr>
          <w:rFonts w:ascii="Arial" w:hAnsi="Arial" w:cs="Arial"/>
          <w:sz w:val="22"/>
          <w:szCs w:val="22"/>
        </w:rPr>
        <w:t xml:space="preserve"> have never been employed</w:t>
      </w:r>
      <w:r w:rsidR="00525DAE">
        <w:rPr>
          <w:rStyle w:val="FootnoteReference"/>
          <w:rFonts w:ascii="Arial" w:hAnsi="Arial" w:cs="Arial"/>
          <w:sz w:val="22"/>
          <w:szCs w:val="22"/>
        </w:rPr>
        <w:footnoteReference w:id="5"/>
      </w:r>
      <w:r w:rsidR="007D1849">
        <w:rPr>
          <w:rFonts w:ascii="Arial" w:hAnsi="Arial" w:cs="Arial"/>
          <w:sz w:val="22"/>
          <w:szCs w:val="22"/>
        </w:rPr>
        <w:t xml:space="preserve">. </w:t>
      </w:r>
      <w:r w:rsidR="00991F42">
        <w:rPr>
          <w:rFonts w:ascii="Arial" w:hAnsi="Arial" w:cs="Arial"/>
          <w:sz w:val="22"/>
          <w:szCs w:val="22"/>
        </w:rPr>
        <w:t xml:space="preserve">Yet </w:t>
      </w:r>
      <w:r w:rsidR="00525DAE">
        <w:rPr>
          <w:rFonts w:ascii="Arial" w:hAnsi="Arial" w:cs="Arial"/>
          <w:sz w:val="22"/>
          <w:szCs w:val="22"/>
        </w:rPr>
        <w:t xml:space="preserve">reliable data about the employment </w:t>
      </w:r>
      <w:r w:rsidR="00991F42">
        <w:rPr>
          <w:rFonts w:ascii="Arial" w:hAnsi="Arial" w:cs="Arial"/>
          <w:sz w:val="22"/>
          <w:szCs w:val="22"/>
        </w:rPr>
        <w:t xml:space="preserve">status </w:t>
      </w:r>
      <w:r w:rsidR="00525DAE">
        <w:rPr>
          <w:rFonts w:ascii="Arial" w:hAnsi="Arial" w:cs="Arial"/>
          <w:sz w:val="22"/>
          <w:szCs w:val="22"/>
        </w:rPr>
        <w:t>of prisoners</w:t>
      </w:r>
      <w:r w:rsidR="00991F42">
        <w:rPr>
          <w:rFonts w:ascii="Arial" w:hAnsi="Arial" w:cs="Arial"/>
          <w:sz w:val="22"/>
          <w:szCs w:val="22"/>
        </w:rPr>
        <w:t xml:space="preserve"> pre-</w:t>
      </w:r>
      <w:r w:rsidR="00A75629">
        <w:rPr>
          <w:rFonts w:ascii="Arial" w:hAnsi="Arial" w:cs="Arial"/>
          <w:sz w:val="22"/>
          <w:szCs w:val="22"/>
        </w:rPr>
        <w:t>incarceration</w:t>
      </w:r>
      <w:r w:rsidR="00096C40">
        <w:rPr>
          <w:rFonts w:ascii="Arial" w:hAnsi="Arial" w:cs="Arial"/>
          <w:sz w:val="22"/>
          <w:szCs w:val="22"/>
        </w:rPr>
        <w:t xml:space="preserve"> and post-release do</w:t>
      </w:r>
      <w:r w:rsidR="00991F42">
        <w:rPr>
          <w:rFonts w:ascii="Arial" w:hAnsi="Arial" w:cs="Arial"/>
          <w:sz w:val="22"/>
          <w:szCs w:val="22"/>
        </w:rPr>
        <w:t xml:space="preserve"> not exist. As such, it </w:t>
      </w:r>
      <w:r w:rsidR="00525DAE">
        <w:rPr>
          <w:rFonts w:ascii="Arial" w:hAnsi="Arial" w:cs="Arial"/>
          <w:sz w:val="22"/>
          <w:szCs w:val="22"/>
        </w:rPr>
        <w:t xml:space="preserve">is impossible to accurately </w:t>
      </w:r>
      <w:r w:rsidR="00A75629">
        <w:rPr>
          <w:rFonts w:ascii="Arial" w:hAnsi="Arial" w:cs="Arial"/>
          <w:sz w:val="22"/>
          <w:szCs w:val="22"/>
        </w:rPr>
        <w:t>match prisoners and ex-prisoners to services and programs that are most likely to improve employment outcomes.</w:t>
      </w:r>
      <w:r w:rsidR="00525DAE">
        <w:rPr>
          <w:rFonts w:ascii="Arial" w:hAnsi="Arial" w:cs="Arial"/>
          <w:sz w:val="22"/>
          <w:szCs w:val="22"/>
        </w:rPr>
        <w:t xml:space="preserve"> </w:t>
      </w:r>
      <w:r w:rsidR="00AC6D6D">
        <w:rPr>
          <w:rFonts w:ascii="Arial" w:hAnsi="Arial" w:cs="Arial"/>
          <w:sz w:val="22"/>
          <w:szCs w:val="22"/>
        </w:rPr>
        <w:t>The inability to determine the employment status of prisoners pre-</w:t>
      </w:r>
      <w:r w:rsidR="00A75629">
        <w:rPr>
          <w:rFonts w:ascii="Arial" w:hAnsi="Arial" w:cs="Arial"/>
          <w:sz w:val="22"/>
          <w:szCs w:val="22"/>
        </w:rPr>
        <w:t>incarceration</w:t>
      </w:r>
      <w:r w:rsidR="00AC6D6D">
        <w:rPr>
          <w:rFonts w:ascii="Arial" w:hAnsi="Arial" w:cs="Arial"/>
          <w:sz w:val="22"/>
          <w:szCs w:val="22"/>
        </w:rPr>
        <w:t xml:space="preserve"> and post-release also makes it difficult to isolate any effects of in-prison work experience and/ or in-prison education and training, whether on future employment or on re-offending. </w:t>
      </w:r>
      <w:r w:rsidR="00AC6D6D">
        <w:rPr>
          <w:rFonts w:ascii="Arial" w:hAnsi="Arial"/>
          <w:sz w:val="22"/>
          <w:szCs w:val="22"/>
        </w:rPr>
        <w:t xml:space="preserve"> </w:t>
      </w:r>
    </w:p>
    <w:p w14:paraId="1DD61D72" w14:textId="77777777" w:rsidR="00490878" w:rsidRDefault="00490878" w:rsidP="00AC6D6D">
      <w:pPr>
        <w:spacing w:line="360" w:lineRule="auto"/>
        <w:jc w:val="both"/>
        <w:rPr>
          <w:rFonts w:ascii="Arial" w:hAnsi="Arial" w:cs="Arial"/>
          <w:sz w:val="22"/>
          <w:szCs w:val="22"/>
        </w:rPr>
      </w:pPr>
    </w:p>
    <w:p w14:paraId="22E7A9A4" w14:textId="6B62C95E" w:rsidR="00415B2D" w:rsidRDefault="00047325" w:rsidP="00AC6D6D">
      <w:pPr>
        <w:spacing w:line="360" w:lineRule="auto"/>
        <w:jc w:val="both"/>
        <w:rPr>
          <w:rFonts w:ascii="Arial" w:hAnsi="Arial" w:cs="Arial"/>
          <w:sz w:val="22"/>
          <w:szCs w:val="22"/>
        </w:rPr>
      </w:pPr>
      <w:r>
        <w:rPr>
          <w:rFonts w:ascii="Arial" w:hAnsi="Arial" w:cs="Arial"/>
          <w:sz w:val="22"/>
          <w:szCs w:val="22"/>
        </w:rPr>
        <w:t>Collectively</w:t>
      </w:r>
      <w:r w:rsidR="0015169B">
        <w:rPr>
          <w:rFonts w:ascii="Arial" w:hAnsi="Arial" w:cs="Arial"/>
          <w:sz w:val="22"/>
          <w:szCs w:val="22"/>
        </w:rPr>
        <w:t xml:space="preserve"> these issues point to </w:t>
      </w:r>
      <w:r w:rsidR="00AF5732">
        <w:rPr>
          <w:rFonts w:ascii="Arial" w:hAnsi="Arial" w:cs="Arial"/>
          <w:sz w:val="22"/>
          <w:szCs w:val="22"/>
        </w:rPr>
        <w:t xml:space="preserve">the benefits of </w:t>
      </w:r>
      <w:r w:rsidR="00AB0447">
        <w:rPr>
          <w:rFonts w:ascii="Arial" w:hAnsi="Arial" w:cs="Arial"/>
          <w:sz w:val="22"/>
          <w:szCs w:val="22"/>
        </w:rPr>
        <w:t xml:space="preserve">developing data linkage between </w:t>
      </w:r>
      <w:r w:rsidR="00CD66D0">
        <w:rPr>
          <w:rFonts w:ascii="Arial" w:hAnsi="Arial" w:cs="Arial"/>
          <w:sz w:val="22"/>
          <w:szCs w:val="22"/>
        </w:rPr>
        <w:t xml:space="preserve">Centrelink and </w:t>
      </w:r>
      <w:r w:rsidR="00AB0447">
        <w:rPr>
          <w:rFonts w:ascii="Arial" w:hAnsi="Arial" w:cs="Arial"/>
          <w:sz w:val="22"/>
          <w:szCs w:val="22"/>
        </w:rPr>
        <w:t xml:space="preserve">Correctional Services </w:t>
      </w:r>
      <w:r w:rsidR="007C4634">
        <w:rPr>
          <w:rFonts w:ascii="Arial" w:hAnsi="Arial" w:cs="Arial"/>
          <w:sz w:val="22"/>
          <w:szCs w:val="22"/>
        </w:rPr>
        <w:t xml:space="preserve">in order </w:t>
      </w:r>
      <w:r w:rsidR="00AB0447">
        <w:rPr>
          <w:rFonts w:ascii="Arial" w:hAnsi="Arial" w:cs="Arial"/>
          <w:sz w:val="22"/>
          <w:szCs w:val="22"/>
        </w:rPr>
        <w:t>to determine the employment status</w:t>
      </w:r>
      <w:r w:rsidR="00AB0447">
        <w:rPr>
          <w:rStyle w:val="FootnoteReference"/>
          <w:rFonts w:ascii="Arial" w:hAnsi="Arial" w:cs="Arial"/>
          <w:sz w:val="22"/>
          <w:szCs w:val="22"/>
        </w:rPr>
        <w:footnoteReference w:id="6"/>
      </w:r>
      <w:r w:rsidR="00AB0447">
        <w:rPr>
          <w:rFonts w:ascii="Arial" w:hAnsi="Arial" w:cs="Arial"/>
          <w:sz w:val="22"/>
          <w:szCs w:val="22"/>
        </w:rPr>
        <w:t xml:space="preserve"> of an individual prior to and following incarceration. </w:t>
      </w:r>
      <w:r w:rsidR="00CB0251">
        <w:rPr>
          <w:rFonts w:ascii="Arial" w:hAnsi="Arial" w:cs="Arial"/>
          <w:sz w:val="22"/>
          <w:szCs w:val="22"/>
        </w:rPr>
        <w:t>Such a data exchange is technically feasible, although privacy issues will need to be addressed. A one-way data exchange between these two public sector agencies already takes place</w:t>
      </w:r>
      <w:r w:rsidR="00A75629">
        <w:rPr>
          <w:rFonts w:ascii="Arial" w:hAnsi="Arial" w:cs="Arial"/>
          <w:sz w:val="22"/>
          <w:szCs w:val="22"/>
        </w:rPr>
        <w:t xml:space="preserve"> in some parts of the country</w:t>
      </w:r>
      <w:r w:rsidR="00CB0251">
        <w:rPr>
          <w:rFonts w:ascii="Arial" w:hAnsi="Arial" w:cs="Arial"/>
          <w:sz w:val="22"/>
          <w:szCs w:val="22"/>
        </w:rPr>
        <w:t>. For example, a system of automatic notification has been set up in NSW whereby Corrective Services NSW informs Centrelink about all persons coming into custody to ensure that Centrelink benefit</w:t>
      </w:r>
      <w:r w:rsidR="00AF4274">
        <w:rPr>
          <w:rFonts w:ascii="Arial" w:hAnsi="Arial" w:cs="Arial"/>
          <w:sz w:val="22"/>
          <w:szCs w:val="22"/>
        </w:rPr>
        <w:t>s</w:t>
      </w:r>
      <w:r w:rsidR="00CB0251">
        <w:rPr>
          <w:rFonts w:ascii="Arial" w:hAnsi="Arial" w:cs="Arial"/>
          <w:sz w:val="22"/>
          <w:szCs w:val="22"/>
        </w:rPr>
        <w:t xml:space="preserve"> are ceased from the date </w:t>
      </w:r>
      <w:r w:rsidR="00AF4274">
        <w:rPr>
          <w:rFonts w:ascii="Arial" w:hAnsi="Arial" w:cs="Arial"/>
          <w:sz w:val="22"/>
          <w:szCs w:val="22"/>
        </w:rPr>
        <w:t xml:space="preserve">the recipient </w:t>
      </w:r>
      <w:r w:rsidR="00CB0251">
        <w:rPr>
          <w:rFonts w:ascii="Arial" w:hAnsi="Arial" w:cs="Arial"/>
          <w:sz w:val="22"/>
          <w:szCs w:val="22"/>
        </w:rPr>
        <w:t>enters custody.</w:t>
      </w:r>
    </w:p>
    <w:p w14:paraId="0BB1AE60" w14:textId="77777777" w:rsidR="00415B2D" w:rsidRDefault="00415B2D" w:rsidP="00AC6D6D">
      <w:pPr>
        <w:spacing w:line="360" w:lineRule="auto"/>
        <w:jc w:val="both"/>
        <w:rPr>
          <w:rFonts w:ascii="Arial" w:hAnsi="Arial" w:cs="Arial"/>
          <w:sz w:val="22"/>
          <w:szCs w:val="22"/>
        </w:rPr>
      </w:pPr>
    </w:p>
    <w:p w14:paraId="2FB9568E" w14:textId="21F4749B" w:rsidR="007C4634" w:rsidRDefault="009836C0" w:rsidP="00AC6D6D">
      <w:pPr>
        <w:spacing w:line="360" w:lineRule="auto"/>
        <w:jc w:val="both"/>
        <w:rPr>
          <w:rFonts w:ascii="Arial" w:hAnsi="Arial" w:cs="Arial"/>
          <w:sz w:val="22"/>
          <w:szCs w:val="22"/>
        </w:rPr>
      </w:pPr>
      <w:r>
        <w:rPr>
          <w:rFonts w:ascii="Arial" w:hAnsi="Arial" w:cs="Arial"/>
          <w:sz w:val="22"/>
          <w:szCs w:val="22"/>
        </w:rPr>
        <w:lastRenderedPageBreak/>
        <w:t>With respect to the Commission’s</w:t>
      </w:r>
      <w:r w:rsidR="000F5AC6">
        <w:rPr>
          <w:rFonts w:ascii="Arial" w:hAnsi="Arial" w:cs="Arial"/>
          <w:sz w:val="22"/>
          <w:szCs w:val="22"/>
        </w:rPr>
        <w:t xml:space="preserve"> </w:t>
      </w:r>
      <w:r>
        <w:rPr>
          <w:rFonts w:ascii="Arial" w:hAnsi="Arial" w:cs="Arial"/>
          <w:sz w:val="22"/>
          <w:szCs w:val="22"/>
        </w:rPr>
        <w:t>interest in</w:t>
      </w:r>
      <w:r w:rsidR="000F5AC6">
        <w:rPr>
          <w:rFonts w:ascii="Arial" w:hAnsi="Arial" w:cs="Arial"/>
          <w:sz w:val="22"/>
          <w:szCs w:val="22"/>
        </w:rPr>
        <w:t xml:space="preserve"> domestic and international best practice and the measures adopted internationally to encourage sharing and linking of both public and private data</w:t>
      </w:r>
      <w:r>
        <w:rPr>
          <w:rFonts w:ascii="Arial" w:hAnsi="Arial" w:cs="Arial"/>
          <w:sz w:val="22"/>
          <w:szCs w:val="22"/>
        </w:rPr>
        <w:t>,</w:t>
      </w:r>
      <w:r w:rsidR="000F5AC6">
        <w:rPr>
          <w:rFonts w:ascii="Arial" w:hAnsi="Arial" w:cs="Arial"/>
          <w:sz w:val="22"/>
          <w:szCs w:val="22"/>
        </w:rPr>
        <w:t xml:space="preserve"> </w:t>
      </w:r>
      <w:r>
        <w:rPr>
          <w:rFonts w:ascii="Arial" w:hAnsi="Arial" w:cs="Arial"/>
          <w:sz w:val="22"/>
          <w:szCs w:val="22"/>
        </w:rPr>
        <w:t xml:space="preserve">we point to the advanced systems of data linking </w:t>
      </w:r>
      <w:r w:rsidR="000F6AC3">
        <w:rPr>
          <w:rFonts w:ascii="Arial" w:hAnsi="Arial" w:cs="Arial"/>
          <w:sz w:val="22"/>
          <w:szCs w:val="22"/>
        </w:rPr>
        <w:t xml:space="preserve">between public sector agencies </w:t>
      </w:r>
      <w:r>
        <w:rPr>
          <w:rFonts w:ascii="Arial" w:hAnsi="Arial" w:cs="Arial"/>
          <w:sz w:val="22"/>
          <w:szCs w:val="22"/>
        </w:rPr>
        <w:t xml:space="preserve">operating in </w:t>
      </w:r>
      <w:r w:rsidR="00061607">
        <w:rPr>
          <w:rFonts w:ascii="Arial" w:hAnsi="Arial" w:cs="Arial"/>
          <w:sz w:val="22"/>
          <w:szCs w:val="22"/>
        </w:rPr>
        <w:t>Finland.</w:t>
      </w:r>
      <w:r>
        <w:rPr>
          <w:rFonts w:ascii="Arial" w:hAnsi="Arial" w:cs="Arial"/>
          <w:sz w:val="22"/>
          <w:szCs w:val="22"/>
        </w:rPr>
        <w:t xml:space="preserve"> Here, researchers have access to datasets that include the personal identification numbers </w:t>
      </w:r>
      <w:r w:rsidR="007C4634">
        <w:rPr>
          <w:rFonts w:ascii="Arial" w:hAnsi="Arial" w:cs="Arial"/>
          <w:sz w:val="22"/>
          <w:szCs w:val="22"/>
        </w:rPr>
        <w:t>of convict</w:t>
      </w:r>
      <w:r w:rsidR="00061607">
        <w:rPr>
          <w:rFonts w:ascii="Arial" w:hAnsi="Arial" w:cs="Arial"/>
          <w:sz w:val="22"/>
          <w:szCs w:val="22"/>
        </w:rPr>
        <w:t>ed</w:t>
      </w:r>
      <w:r w:rsidR="007C4634">
        <w:rPr>
          <w:rFonts w:ascii="Arial" w:hAnsi="Arial" w:cs="Arial"/>
          <w:sz w:val="22"/>
          <w:szCs w:val="22"/>
        </w:rPr>
        <w:t xml:space="preserve"> individuals</w:t>
      </w:r>
      <w:r w:rsidR="00061607">
        <w:rPr>
          <w:rFonts w:ascii="Arial" w:hAnsi="Arial" w:cs="Arial"/>
          <w:sz w:val="22"/>
          <w:szCs w:val="22"/>
        </w:rPr>
        <w:t xml:space="preserve"> that can be linked to data from the Criminal Sanctions Agency, Population Register Centre, Ministry of Employment and the Economy</w:t>
      </w:r>
      <w:r w:rsidR="007C4634">
        <w:rPr>
          <w:rFonts w:ascii="Arial" w:hAnsi="Arial" w:cs="Arial"/>
          <w:sz w:val="22"/>
          <w:szCs w:val="22"/>
        </w:rPr>
        <w:t xml:space="preserve"> </w:t>
      </w:r>
      <w:r w:rsidR="00061607">
        <w:rPr>
          <w:rFonts w:ascii="Arial" w:hAnsi="Arial" w:cs="Arial"/>
          <w:sz w:val="22"/>
          <w:szCs w:val="22"/>
        </w:rPr>
        <w:t>and Finish Tax Administration</w:t>
      </w:r>
      <w:r w:rsidR="00DC0B8F">
        <w:rPr>
          <w:rFonts w:ascii="Arial" w:hAnsi="Arial" w:cs="Arial"/>
          <w:sz w:val="22"/>
          <w:szCs w:val="22"/>
        </w:rPr>
        <w:t>.</w:t>
      </w:r>
      <w:r w:rsidR="006A5BD8">
        <w:rPr>
          <w:rStyle w:val="FootnoteReference"/>
          <w:rFonts w:ascii="Arial" w:hAnsi="Arial" w:cs="Arial"/>
          <w:sz w:val="22"/>
          <w:szCs w:val="22"/>
        </w:rPr>
        <w:footnoteReference w:id="7"/>
      </w:r>
    </w:p>
    <w:p w14:paraId="78FAB063" w14:textId="77777777" w:rsidR="00AB635F" w:rsidRDefault="00AB635F" w:rsidP="00AC6D6D">
      <w:pPr>
        <w:spacing w:line="360" w:lineRule="auto"/>
        <w:jc w:val="both"/>
        <w:rPr>
          <w:rFonts w:ascii="Arial" w:hAnsi="Arial" w:cs="Arial"/>
          <w:sz w:val="22"/>
          <w:szCs w:val="22"/>
        </w:rPr>
      </w:pPr>
    </w:p>
    <w:p w14:paraId="5B8ED6F5" w14:textId="77777777" w:rsidR="00742C1E" w:rsidRDefault="00742C1E" w:rsidP="00925F1E">
      <w:pPr>
        <w:spacing w:line="360" w:lineRule="auto"/>
        <w:jc w:val="both"/>
        <w:rPr>
          <w:rFonts w:ascii="Arial" w:hAnsi="Arial" w:cs="Arial"/>
          <w:sz w:val="22"/>
          <w:szCs w:val="22"/>
        </w:rPr>
      </w:pPr>
    </w:p>
    <w:p w14:paraId="31A4AC3C" w14:textId="2C24271B" w:rsidR="00791BF1" w:rsidRPr="00801D38" w:rsidRDefault="00D04C83" w:rsidP="00801D38">
      <w:pPr>
        <w:spacing w:line="360" w:lineRule="auto"/>
        <w:jc w:val="both"/>
        <w:rPr>
          <w:rFonts w:ascii="Arial" w:hAnsi="Arial" w:cs="Arial"/>
          <w:b/>
          <w:sz w:val="22"/>
          <w:szCs w:val="22"/>
        </w:rPr>
      </w:pPr>
      <w:r w:rsidRPr="00801D38">
        <w:rPr>
          <w:rFonts w:ascii="Arial" w:hAnsi="Arial" w:cs="Arial"/>
          <w:b/>
          <w:sz w:val="22"/>
          <w:szCs w:val="22"/>
        </w:rPr>
        <w:t xml:space="preserve">2. Standardising data collection: </w:t>
      </w:r>
      <w:r w:rsidR="00415B2D" w:rsidRPr="00801D38">
        <w:rPr>
          <w:rFonts w:ascii="Arial" w:hAnsi="Arial" w:cs="Arial"/>
          <w:b/>
          <w:sz w:val="22"/>
          <w:szCs w:val="22"/>
        </w:rPr>
        <w:t xml:space="preserve">Improving the provision and performance of correctional education and </w:t>
      </w:r>
      <w:r w:rsidR="002912B4">
        <w:rPr>
          <w:rFonts w:ascii="Arial" w:hAnsi="Arial" w:cs="Arial"/>
          <w:b/>
          <w:sz w:val="22"/>
          <w:szCs w:val="22"/>
        </w:rPr>
        <w:t>training</w:t>
      </w:r>
      <w:r w:rsidR="00415B2D" w:rsidRPr="00801D38">
        <w:rPr>
          <w:rFonts w:ascii="Arial" w:hAnsi="Arial" w:cs="Arial"/>
          <w:b/>
          <w:sz w:val="22"/>
          <w:szCs w:val="22"/>
        </w:rPr>
        <w:t xml:space="preserve"> programs</w:t>
      </w:r>
    </w:p>
    <w:p w14:paraId="341753AD" w14:textId="64B74DAE" w:rsidR="00BB0046" w:rsidRDefault="00801D38" w:rsidP="00801D38">
      <w:pPr>
        <w:spacing w:line="360" w:lineRule="auto"/>
        <w:jc w:val="both"/>
        <w:rPr>
          <w:rFonts w:ascii="Arial" w:hAnsi="Arial" w:cs="Arial"/>
          <w:sz w:val="22"/>
          <w:szCs w:val="22"/>
        </w:rPr>
      </w:pPr>
      <w:r w:rsidRPr="00801D38">
        <w:rPr>
          <w:rFonts w:ascii="Arial" w:hAnsi="Arial" w:cs="Arial"/>
          <w:sz w:val="22"/>
          <w:szCs w:val="22"/>
        </w:rPr>
        <w:t xml:space="preserve">The Commission </w:t>
      </w:r>
      <w:r>
        <w:rPr>
          <w:rFonts w:ascii="Arial" w:hAnsi="Arial" w:cs="Arial"/>
          <w:sz w:val="22"/>
          <w:szCs w:val="22"/>
        </w:rPr>
        <w:t>is examining the options for, and benefits and costs of, standardising the collection, sharing and release of public and private sector data.</w:t>
      </w:r>
    </w:p>
    <w:p w14:paraId="19F41506" w14:textId="77777777" w:rsidR="00AE0CD4" w:rsidRDefault="00AE0CD4" w:rsidP="00801D38">
      <w:pPr>
        <w:spacing w:line="360" w:lineRule="auto"/>
        <w:jc w:val="both"/>
        <w:rPr>
          <w:rFonts w:ascii="Arial" w:hAnsi="Arial" w:cs="Arial"/>
          <w:sz w:val="22"/>
          <w:szCs w:val="22"/>
        </w:rPr>
      </w:pPr>
    </w:p>
    <w:p w14:paraId="77225DED" w14:textId="22E34FBF" w:rsidR="000917DB" w:rsidRDefault="00AB635F" w:rsidP="00801D38">
      <w:pPr>
        <w:spacing w:line="360" w:lineRule="auto"/>
        <w:jc w:val="both"/>
        <w:rPr>
          <w:rFonts w:ascii="Arial" w:hAnsi="Arial"/>
          <w:sz w:val="22"/>
          <w:szCs w:val="22"/>
        </w:rPr>
      </w:pPr>
      <w:r>
        <w:rPr>
          <w:rFonts w:ascii="Arial" w:hAnsi="Arial" w:cs="Arial"/>
          <w:sz w:val="22"/>
          <w:szCs w:val="22"/>
        </w:rPr>
        <w:t xml:space="preserve">It is increasingly </w:t>
      </w:r>
      <w:r w:rsidR="00F70134">
        <w:rPr>
          <w:rFonts w:ascii="Arial" w:hAnsi="Arial" w:cs="Arial"/>
          <w:sz w:val="22"/>
          <w:szCs w:val="22"/>
        </w:rPr>
        <w:t>acknowledged</w:t>
      </w:r>
      <w:r>
        <w:rPr>
          <w:rFonts w:ascii="Arial" w:hAnsi="Arial" w:cs="Arial"/>
          <w:sz w:val="22"/>
          <w:szCs w:val="22"/>
        </w:rPr>
        <w:t xml:space="preserve"> that a</w:t>
      </w:r>
      <w:r w:rsidR="00AE0CD4">
        <w:rPr>
          <w:rFonts w:ascii="Arial" w:hAnsi="Arial" w:cs="Arial"/>
          <w:sz w:val="22"/>
          <w:szCs w:val="22"/>
        </w:rPr>
        <w:t>ccess to e</w:t>
      </w:r>
      <w:r w:rsidR="002912B4">
        <w:rPr>
          <w:rFonts w:ascii="Arial" w:hAnsi="Arial" w:cs="Arial"/>
          <w:sz w:val="22"/>
          <w:szCs w:val="22"/>
        </w:rPr>
        <w:t xml:space="preserve">ducation and </w:t>
      </w:r>
      <w:r w:rsidR="00AE0CD4">
        <w:rPr>
          <w:rFonts w:ascii="Arial" w:hAnsi="Arial" w:cs="Arial"/>
          <w:sz w:val="22"/>
          <w:szCs w:val="22"/>
        </w:rPr>
        <w:t xml:space="preserve">training programs for prisoners </w:t>
      </w:r>
      <w:r w:rsidR="00A02898">
        <w:rPr>
          <w:rFonts w:ascii="Arial" w:hAnsi="Arial" w:cs="Arial"/>
          <w:sz w:val="22"/>
          <w:szCs w:val="22"/>
        </w:rPr>
        <w:t xml:space="preserve">is </w:t>
      </w:r>
      <w:r>
        <w:rPr>
          <w:rFonts w:ascii="Arial" w:hAnsi="Arial" w:cs="Arial"/>
          <w:sz w:val="22"/>
          <w:szCs w:val="22"/>
        </w:rPr>
        <w:t>a</w:t>
      </w:r>
      <w:r w:rsidR="00AE0CD4">
        <w:rPr>
          <w:rFonts w:ascii="Arial" w:hAnsi="Arial" w:cs="Arial"/>
          <w:sz w:val="22"/>
          <w:szCs w:val="22"/>
        </w:rPr>
        <w:t xml:space="preserve"> critical component in ensuring the rehabilitation of offenders, of improving skills and education to m</w:t>
      </w:r>
      <w:r>
        <w:rPr>
          <w:rFonts w:ascii="Arial" w:hAnsi="Arial" w:cs="Arial"/>
          <w:sz w:val="22"/>
          <w:szCs w:val="22"/>
        </w:rPr>
        <w:t>aximise post-release employment</w:t>
      </w:r>
      <w:r w:rsidR="006C38F0">
        <w:rPr>
          <w:rFonts w:ascii="Arial" w:hAnsi="Arial" w:cs="Arial"/>
          <w:sz w:val="22"/>
          <w:szCs w:val="22"/>
        </w:rPr>
        <w:t>,</w:t>
      </w:r>
      <w:r w:rsidR="00AE0CD4">
        <w:rPr>
          <w:rFonts w:ascii="Arial" w:hAnsi="Arial" w:cs="Arial"/>
          <w:sz w:val="22"/>
          <w:szCs w:val="22"/>
        </w:rPr>
        <w:t xml:space="preserve"> and </w:t>
      </w:r>
      <w:r w:rsidR="00ED06F1">
        <w:rPr>
          <w:rFonts w:ascii="Arial" w:hAnsi="Arial" w:cs="Arial"/>
          <w:sz w:val="22"/>
          <w:szCs w:val="22"/>
        </w:rPr>
        <w:t>to</w:t>
      </w:r>
      <w:r w:rsidR="00AE0CD4">
        <w:rPr>
          <w:rFonts w:ascii="Arial" w:hAnsi="Arial" w:cs="Arial"/>
          <w:sz w:val="22"/>
          <w:szCs w:val="22"/>
        </w:rPr>
        <w:t xml:space="preserve"> reduc</w:t>
      </w:r>
      <w:r w:rsidR="00ED06F1">
        <w:rPr>
          <w:rFonts w:ascii="Arial" w:hAnsi="Arial" w:cs="Arial"/>
          <w:sz w:val="22"/>
          <w:szCs w:val="22"/>
        </w:rPr>
        <w:t>ing</w:t>
      </w:r>
      <w:r w:rsidR="00AE0CD4">
        <w:rPr>
          <w:rFonts w:ascii="Arial" w:hAnsi="Arial" w:cs="Arial"/>
          <w:sz w:val="22"/>
          <w:szCs w:val="22"/>
        </w:rPr>
        <w:t xml:space="preserve"> recidivism</w:t>
      </w:r>
      <w:r w:rsidR="00AE0CD4">
        <w:rPr>
          <w:rStyle w:val="FootnoteReference"/>
          <w:rFonts w:ascii="Arial" w:hAnsi="Arial" w:cs="Arial"/>
          <w:sz w:val="22"/>
          <w:szCs w:val="22"/>
        </w:rPr>
        <w:footnoteReference w:id="8"/>
      </w:r>
      <w:r w:rsidR="00AE0CD4">
        <w:rPr>
          <w:rFonts w:ascii="Arial" w:hAnsi="Arial" w:cs="Arial"/>
          <w:sz w:val="22"/>
          <w:szCs w:val="22"/>
        </w:rPr>
        <w:t xml:space="preserve">. </w:t>
      </w:r>
      <w:r w:rsidR="00E81E2E">
        <w:rPr>
          <w:rFonts w:ascii="Arial" w:hAnsi="Arial" w:cs="Arial"/>
          <w:sz w:val="22"/>
          <w:szCs w:val="22"/>
        </w:rPr>
        <w:t>In some jurisdictions t</w:t>
      </w:r>
      <w:r w:rsidR="002F3103">
        <w:rPr>
          <w:rFonts w:ascii="Arial" w:hAnsi="Arial" w:cs="Arial"/>
          <w:sz w:val="22"/>
          <w:szCs w:val="22"/>
        </w:rPr>
        <w:t>he right of prisoners to access education and training program</w:t>
      </w:r>
      <w:r w:rsidR="00E81E2E">
        <w:rPr>
          <w:rFonts w:ascii="Arial" w:hAnsi="Arial" w:cs="Arial"/>
          <w:sz w:val="22"/>
          <w:szCs w:val="22"/>
        </w:rPr>
        <w:t>s</w:t>
      </w:r>
      <w:r w:rsidR="002F3103">
        <w:rPr>
          <w:rFonts w:ascii="Arial" w:hAnsi="Arial" w:cs="Arial"/>
          <w:sz w:val="22"/>
          <w:szCs w:val="22"/>
        </w:rPr>
        <w:t xml:space="preserve"> in adult prisons is legislated</w:t>
      </w:r>
      <w:r w:rsidR="00E81E2E">
        <w:rPr>
          <w:rFonts w:ascii="Arial" w:hAnsi="Arial" w:cs="Arial"/>
          <w:sz w:val="22"/>
          <w:szCs w:val="22"/>
        </w:rPr>
        <w:t xml:space="preserve">, for </w:t>
      </w:r>
      <w:r w:rsidR="00C0414C">
        <w:rPr>
          <w:rFonts w:ascii="Arial" w:hAnsi="Arial" w:cs="Arial"/>
          <w:sz w:val="22"/>
          <w:szCs w:val="22"/>
        </w:rPr>
        <w:t xml:space="preserve">example </w:t>
      </w:r>
      <w:r w:rsidR="00E81E2E">
        <w:rPr>
          <w:rFonts w:ascii="Arial" w:hAnsi="Arial" w:cs="Arial"/>
          <w:sz w:val="22"/>
          <w:szCs w:val="22"/>
        </w:rPr>
        <w:t>in Victoria</w:t>
      </w:r>
      <w:r w:rsidR="002F3103">
        <w:rPr>
          <w:rFonts w:ascii="Arial" w:hAnsi="Arial" w:cs="Arial"/>
          <w:sz w:val="22"/>
          <w:szCs w:val="22"/>
        </w:rPr>
        <w:t xml:space="preserve"> under Section 47(1) (o</w:t>
      </w:r>
      <w:r w:rsidR="00C47190">
        <w:rPr>
          <w:rFonts w:ascii="Arial" w:hAnsi="Arial" w:cs="Arial"/>
          <w:sz w:val="22"/>
          <w:szCs w:val="22"/>
        </w:rPr>
        <w:t xml:space="preserve">) of the Corrections Act 1986. </w:t>
      </w:r>
      <w:r w:rsidR="00AE0CD4">
        <w:rPr>
          <w:rFonts w:ascii="Arial" w:hAnsi="Arial" w:cs="Arial"/>
          <w:sz w:val="22"/>
          <w:szCs w:val="22"/>
        </w:rPr>
        <w:t>Yet</w:t>
      </w:r>
      <w:r w:rsidR="005E0916">
        <w:rPr>
          <w:rFonts w:ascii="Arial" w:hAnsi="Arial" w:cs="Arial"/>
          <w:sz w:val="22"/>
          <w:szCs w:val="22"/>
        </w:rPr>
        <w:t xml:space="preserve"> </w:t>
      </w:r>
      <w:r w:rsidR="00AE0CD4">
        <w:rPr>
          <w:rFonts w:ascii="Arial" w:hAnsi="Arial" w:cs="Arial"/>
          <w:sz w:val="22"/>
          <w:szCs w:val="22"/>
        </w:rPr>
        <w:t>our research reveals</w:t>
      </w:r>
      <w:r w:rsidR="005E0916">
        <w:rPr>
          <w:rFonts w:ascii="Arial" w:hAnsi="Arial" w:cs="Arial"/>
          <w:sz w:val="22"/>
          <w:szCs w:val="22"/>
        </w:rPr>
        <w:t xml:space="preserve"> that </w:t>
      </w:r>
      <w:r w:rsidR="00AE0CD4">
        <w:rPr>
          <w:rFonts w:ascii="Arial" w:hAnsi="Arial" w:cs="Arial"/>
          <w:sz w:val="22"/>
          <w:szCs w:val="22"/>
        </w:rPr>
        <w:t>currently in Australia there is no standardised measure</w:t>
      </w:r>
      <w:r w:rsidR="00AB6AFA">
        <w:rPr>
          <w:rFonts w:ascii="Arial" w:hAnsi="Arial" w:cs="Arial"/>
          <w:sz w:val="22"/>
          <w:szCs w:val="22"/>
        </w:rPr>
        <w:t xml:space="preserve"> </w:t>
      </w:r>
      <w:r w:rsidR="00AE0CD4">
        <w:rPr>
          <w:rFonts w:ascii="Arial" w:hAnsi="Arial" w:cs="Arial"/>
          <w:sz w:val="22"/>
          <w:szCs w:val="22"/>
        </w:rPr>
        <w:t>of correctional performance in relation to prisoner education</w:t>
      </w:r>
      <w:r w:rsidR="002912B4">
        <w:rPr>
          <w:rFonts w:ascii="Arial" w:hAnsi="Arial" w:cs="Arial"/>
          <w:sz w:val="22"/>
          <w:szCs w:val="22"/>
        </w:rPr>
        <w:t xml:space="preserve"> and </w:t>
      </w:r>
      <w:r w:rsidR="00AE0CD4">
        <w:rPr>
          <w:rFonts w:ascii="Arial" w:hAnsi="Arial" w:cs="Arial"/>
          <w:sz w:val="22"/>
          <w:szCs w:val="22"/>
        </w:rPr>
        <w:t>training</w:t>
      </w:r>
      <w:r w:rsidR="00792D6F">
        <w:rPr>
          <w:rStyle w:val="FootnoteReference"/>
          <w:rFonts w:ascii="Arial" w:hAnsi="Arial" w:cs="Arial"/>
          <w:sz w:val="22"/>
          <w:szCs w:val="22"/>
        </w:rPr>
        <w:footnoteReference w:id="9"/>
      </w:r>
      <w:r w:rsidR="00AE0CD4">
        <w:rPr>
          <w:rFonts w:ascii="Arial" w:hAnsi="Arial" w:cs="Arial"/>
          <w:sz w:val="22"/>
          <w:szCs w:val="22"/>
        </w:rPr>
        <w:t>.</w:t>
      </w:r>
      <w:r w:rsidR="00FC1605">
        <w:rPr>
          <w:rFonts w:ascii="Arial" w:hAnsi="Arial" w:cs="Arial"/>
          <w:sz w:val="22"/>
          <w:szCs w:val="22"/>
        </w:rPr>
        <w:t xml:space="preserve"> This makes it difficult to</w:t>
      </w:r>
      <w:r w:rsidR="00AE0CD4">
        <w:rPr>
          <w:rFonts w:ascii="Arial" w:hAnsi="Arial" w:cs="Arial"/>
          <w:sz w:val="22"/>
          <w:szCs w:val="22"/>
        </w:rPr>
        <w:t xml:space="preserve"> </w:t>
      </w:r>
      <w:r w:rsidR="00AB6AFA">
        <w:rPr>
          <w:rFonts w:ascii="Arial" w:hAnsi="Arial" w:cs="Arial"/>
          <w:sz w:val="22"/>
          <w:szCs w:val="22"/>
        </w:rPr>
        <w:t>compare rates of education and training participation</w:t>
      </w:r>
      <w:r w:rsidR="00DB498F">
        <w:rPr>
          <w:rFonts w:ascii="Arial" w:hAnsi="Arial" w:cs="Arial"/>
          <w:sz w:val="22"/>
          <w:szCs w:val="22"/>
        </w:rPr>
        <w:t>. Relatedly, it is difficult to</w:t>
      </w:r>
      <w:r w:rsidR="00D41ADF">
        <w:rPr>
          <w:rFonts w:ascii="Arial" w:hAnsi="Arial" w:cs="Arial"/>
          <w:sz w:val="22"/>
          <w:szCs w:val="22"/>
        </w:rPr>
        <w:t xml:space="preserve"> </w:t>
      </w:r>
      <w:r w:rsidR="00AB6AFA">
        <w:rPr>
          <w:rFonts w:ascii="Arial" w:hAnsi="Arial" w:cs="Arial"/>
          <w:sz w:val="22"/>
          <w:szCs w:val="22"/>
        </w:rPr>
        <w:t>measure the effectiveness of education and training programs</w:t>
      </w:r>
      <w:r w:rsidR="00DB498F">
        <w:rPr>
          <w:rFonts w:ascii="Arial" w:hAnsi="Arial" w:cs="Arial"/>
          <w:sz w:val="22"/>
          <w:szCs w:val="22"/>
        </w:rPr>
        <w:t>,</w:t>
      </w:r>
      <w:r w:rsidR="00AB6AFA">
        <w:rPr>
          <w:rFonts w:ascii="Arial" w:hAnsi="Arial" w:cs="Arial"/>
          <w:sz w:val="22"/>
          <w:szCs w:val="22"/>
        </w:rPr>
        <w:t xml:space="preserve"> and</w:t>
      </w:r>
      <w:r w:rsidR="002912B4">
        <w:rPr>
          <w:rFonts w:ascii="Arial" w:hAnsi="Arial" w:cs="Arial"/>
          <w:sz w:val="22"/>
          <w:szCs w:val="22"/>
        </w:rPr>
        <w:t xml:space="preserve"> </w:t>
      </w:r>
      <w:r w:rsidR="00DB498F">
        <w:rPr>
          <w:rFonts w:ascii="Arial" w:hAnsi="Arial" w:cs="Arial"/>
          <w:sz w:val="22"/>
          <w:szCs w:val="22"/>
        </w:rPr>
        <w:t xml:space="preserve">to </w:t>
      </w:r>
      <w:r w:rsidR="00AB6AFA">
        <w:rPr>
          <w:rFonts w:ascii="Arial" w:hAnsi="Arial"/>
          <w:sz w:val="22"/>
          <w:szCs w:val="22"/>
        </w:rPr>
        <w:t>identify effe</w:t>
      </w:r>
      <w:r w:rsidR="002912B4">
        <w:rPr>
          <w:rFonts w:ascii="Arial" w:hAnsi="Arial"/>
          <w:sz w:val="22"/>
          <w:szCs w:val="22"/>
        </w:rPr>
        <w:t xml:space="preserve">ctive elements, strategies, </w:t>
      </w:r>
      <w:r w:rsidR="00AB6AFA">
        <w:rPr>
          <w:rFonts w:ascii="Arial" w:hAnsi="Arial"/>
          <w:sz w:val="22"/>
          <w:szCs w:val="22"/>
        </w:rPr>
        <w:t>program and policy directions in offender education</w:t>
      </w:r>
      <w:r w:rsidR="00DB498F">
        <w:rPr>
          <w:rFonts w:ascii="Arial" w:hAnsi="Arial"/>
          <w:sz w:val="22"/>
          <w:szCs w:val="22"/>
        </w:rPr>
        <w:t xml:space="preserve">, </w:t>
      </w:r>
      <w:r w:rsidR="00AB6AFA">
        <w:rPr>
          <w:rFonts w:ascii="Arial" w:hAnsi="Arial"/>
          <w:sz w:val="22"/>
          <w:szCs w:val="22"/>
        </w:rPr>
        <w:t>training and employment.</w:t>
      </w:r>
      <w:r w:rsidR="00273E0B">
        <w:rPr>
          <w:rFonts w:ascii="Arial" w:hAnsi="Arial"/>
          <w:sz w:val="22"/>
          <w:szCs w:val="22"/>
        </w:rPr>
        <w:t xml:space="preserve"> </w:t>
      </w:r>
    </w:p>
    <w:p w14:paraId="79B822F1" w14:textId="77777777" w:rsidR="000917DB" w:rsidRDefault="000917DB" w:rsidP="00801D38">
      <w:pPr>
        <w:spacing w:line="360" w:lineRule="auto"/>
        <w:jc w:val="both"/>
        <w:rPr>
          <w:rFonts w:ascii="Arial" w:hAnsi="Arial"/>
          <w:sz w:val="22"/>
          <w:szCs w:val="22"/>
        </w:rPr>
      </w:pPr>
    </w:p>
    <w:p w14:paraId="04B57F7E" w14:textId="59E3EA92" w:rsidR="00EC3F1B" w:rsidRDefault="00AF7E72" w:rsidP="00801D38">
      <w:pPr>
        <w:spacing w:line="360" w:lineRule="auto"/>
        <w:jc w:val="both"/>
        <w:rPr>
          <w:rFonts w:ascii="Arial" w:hAnsi="Arial"/>
          <w:sz w:val="22"/>
          <w:szCs w:val="22"/>
        </w:rPr>
      </w:pPr>
      <w:r>
        <w:rPr>
          <w:rFonts w:ascii="Arial" w:hAnsi="Arial"/>
          <w:sz w:val="22"/>
          <w:szCs w:val="22"/>
        </w:rPr>
        <w:t>The</w:t>
      </w:r>
      <w:r w:rsidR="008647B9">
        <w:rPr>
          <w:rFonts w:ascii="Arial" w:hAnsi="Arial"/>
          <w:sz w:val="22"/>
          <w:szCs w:val="22"/>
        </w:rPr>
        <w:t xml:space="preserve"> benefit</w:t>
      </w:r>
      <w:r>
        <w:rPr>
          <w:rFonts w:ascii="Arial" w:hAnsi="Arial"/>
          <w:sz w:val="22"/>
          <w:szCs w:val="22"/>
        </w:rPr>
        <w:t>s</w:t>
      </w:r>
      <w:r w:rsidR="008647B9">
        <w:rPr>
          <w:rFonts w:ascii="Arial" w:hAnsi="Arial"/>
          <w:sz w:val="22"/>
          <w:szCs w:val="22"/>
        </w:rPr>
        <w:t xml:space="preserve"> </w:t>
      </w:r>
      <w:r>
        <w:rPr>
          <w:rFonts w:ascii="Arial" w:hAnsi="Arial"/>
          <w:sz w:val="22"/>
          <w:szCs w:val="22"/>
        </w:rPr>
        <w:t>of</w:t>
      </w:r>
      <w:r w:rsidR="00273E0B">
        <w:rPr>
          <w:rFonts w:ascii="Arial" w:hAnsi="Arial"/>
          <w:sz w:val="22"/>
          <w:szCs w:val="22"/>
        </w:rPr>
        <w:t xml:space="preserve"> standardising the collection </w:t>
      </w:r>
      <w:r w:rsidR="00D33BA6">
        <w:rPr>
          <w:rFonts w:ascii="Arial" w:hAnsi="Arial"/>
          <w:sz w:val="22"/>
          <w:szCs w:val="22"/>
        </w:rPr>
        <w:t xml:space="preserve">of </w:t>
      </w:r>
      <w:r w:rsidR="00273E0B">
        <w:rPr>
          <w:rFonts w:ascii="Arial" w:hAnsi="Arial"/>
          <w:sz w:val="22"/>
          <w:szCs w:val="22"/>
        </w:rPr>
        <w:t xml:space="preserve">data relating to the </w:t>
      </w:r>
      <w:r w:rsidR="00031100">
        <w:rPr>
          <w:rFonts w:ascii="Arial" w:hAnsi="Arial"/>
          <w:sz w:val="22"/>
          <w:szCs w:val="22"/>
        </w:rPr>
        <w:t>provision of education</w:t>
      </w:r>
      <w:r w:rsidR="003E20EC">
        <w:rPr>
          <w:rFonts w:ascii="Arial" w:hAnsi="Arial"/>
          <w:sz w:val="22"/>
          <w:szCs w:val="22"/>
        </w:rPr>
        <w:t xml:space="preserve"> and </w:t>
      </w:r>
      <w:r w:rsidR="00031100">
        <w:rPr>
          <w:rFonts w:ascii="Arial" w:hAnsi="Arial"/>
          <w:sz w:val="22"/>
          <w:szCs w:val="22"/>
        </w:rPr>
        <w:t>training programs for prisoners</w:t>
      </w:r>
      <w:r>
        <w:rPr>
          <w:rFonts w:ascii="Arial" w:hAnsi="Arial"/>
          <w:sz w:val="22"/>
          <w:szCs w:val="22"/>
        </w:rPr>
        <w:t xml:space="preserve"> are undeniable</w:t>
      </w:r>
      <w:r w:rsidR="00031100">
        <w:rPr>
          <w:rFonts w:ascii="Arial" w:hAnsi="Arial"/>
          <w:sz w:val="22"/>
          <w:szCs w:val="22"/>
        </w:rPr>
        <w:t xml:space="preserve">. </w:t>
      </w:r>
      <w:r w:rsidR="00D33BA6">
        <w:rPr>
          <w:rFonts w:ascii="Arial" w:hAnsi="Arial"/>
          <w:sz w:val="22"/>
          <w:szCs w:val="22"/>
        </w:rPr>
        <w:t xml:space="preserve">We propose that a </w:t>
      </w:r>
      <w:r w:rsidR="00616D2D">
        <w:rPr>
          <w:rFonts w:ascii="Arial" w:hAnsi="Arial"/>
          <w:sz w:val="22"/>
          <w:szCs w:val="22"/>
        </w:rPr>
        <w:t xml:space="preserve">valid and reliable </w:t>
      </w:r>
      <w:r w:rsidR="00031100">
        <w:rPr>
          <w:rFonts w:ascii="Arial" w:hAnsi="Arial"/>
          <w:sz w:val="22"/>
          <w:szCs w:val="22"/>
        </w:rPr>
        <w:t>measure would involve</w:t>
      </w:r>
      <w:r w:rsidR="00616D2D">
        <w:rPr>
          <w:rFonts w:ascii="Arial" w:hAnsi="Arial"/>
          <w:sz w:val="22"/>
          <w:szCs w:val="22"/>
        </w:rPr>
        <w:t xml:space="preserve"> the nation-wide adoption of</w:t>
      </w:r>
      <w:r w:rsidR="00D41ADF">
        <w:rPr>
          <w:rFonts w:ascii="Arial" w:hAnsi="Arial"/>
          <w:sz w:val="22"/>
          <w:szCs w:val="22"/>
        </w:rPr>
        <w:t>:</w:t>
      </w:r>
      <w:r w:rsidR="00031100">
        <w:rPr>
          <w:rFonts w:ascii="Arial" w:hAnsi="Arial"/>
          <w:sz w:val="22"/>
          <w:szCs w:val="22"/>
        </w:rPr>
        <w:t xml:space="preserve"> </w:t>
      </w:r>
      <w:r w:rsidR="00344620">
        <w:rPr>
          <w:rFonts w:ascii="Arial" w:hAnsi="Arial"/>
          <w:sz w:val="22"/>
          <w:szCs w:val="22"/>
        </w:rPr>
        <w:t>a</w:t>
      </w:r>
      <w:r w:rsidR="00792D6F">
        <w:rPr>
          <w:rFonts w:ascii="Arial" w:hAnsi="Arial"/>
          <w:sz w:val="22"/>
          <w:szCs w:val="22"/>
        </w:rPr>
        <w:t xml:space="preserve">) uniform </w:t>
      </w:r>
      <w:r w:rsidR="00D33BA6">
        <w:rPr>
          <w:rFonts w:ascii="Arial" w:hAnsi="Arial"/>
          <w:sz w:val="22"/>
          <w:szCs w:val="22"/>
        </w:rPr>
        <w:t xml:space="preserve">eligibility and </w:t>
      </w:r>
      <w:r w:rsidR="000917DB">
        <w:rPr>
          <w:rFonts w:ascii="Arial" w:hAnsi="Arial"/>
          <w:sz w:val="22"/>
          <w:szCs w:val="22"/>
        </w:rPr>
        <w:t>exclusion</w:t>
      </w:r>
      <w:r w:rsidR="00D33BA6">
        <w:rPr>
          <w:rFonts w:ascii="Arial" w:hAnsi="Arial"/>
          <w:sz w:val="22"/>
          <w:szCs w:val="22"/>
        </w:rPr>
        <w:t xml:space="preserve"> criteria for participation in correctional education and training programs; b) a </w:t>
      </w:r>
      <w:r w:rsidR="00616D2D">
        <w:rPr>
          <w:rFonts w:ascii="Arial" w:hAnsi="Arial"/>
          <w:sz w:val="22"/>
          <w:szCs w:val="22"/>
        </w:rPr>
        <w:t xml:space="preserve">uniform </w:t>
      </w:r>
      <w:r w:rsidR="00D33BA6">
        <w:rPr>
          <w:rFonts w:ascii="Arial" w:hAnsi="Arial"/>
          <w:sz w:val="22"/>
          <w:szCs w:val="22"/>
        </w:rPr>
        <w:t>standardised assessment tool to determin</w:t>
      </w:r>
      <w:r w:rsidR="007A52AF">
        <w:rPr>
          <w:rFonts w:ascii="Arial" w:hAnsi="Arial"/>
          <w:sz w:val="22"/>
          <w:szCs w:val="22"/>
        </w:rPr>
        <w:t xml:space="preserve">e target groups for education and training </w:t>
      </w:r>
      <w:r w:rsidR="00D33BA6">
        <w:rPr>
          <w:rFonts w:ascii="Arial" w:hAnsi="Arial"/>
          <w:sz w:val="22"/>
          <w:szCs w:val="22"/>
        </w:rPr>
        <w:t>programs; and</w:t>
      </w:r>
      <w:r w:rsidR="004355BB">
        <w:rPr>
          <w:rFonts w:ascii="Arial" w:hAnsi="Arial"/>
          <w:sz w:val="22"/>
          <w:szCs w:val="22"/>
        </w:rPr>
        <w:t xml:space="preserve"> c</w:t>
      </w:r>
      <w:r w:rsidR="00D33BA6">
        <w:rPr>
          <w:rFonts w:ascii="Arial" w:hAnsi="Arial"/>
          <w:sz w:val="22"/>
          <w:szCs w:val="22"/>
        </w:rPr>
        <w:t>)</w:t>
      </w:r>
      <w:r w:rsidR="00616D2D">
        <w:rPr>
          <w:rFonts w:ascii="Arial" w:hAnsi="Arial"/>
          <w:sz w:val="22"/>
          <w:szCs w:val="22"/>
        </w:rPr>
        <w:t xml:space="preserve"> uniform counting methods for prisoner</w:t>
      </w:r>
      <w:r w:rsidR="00D33BA6">
        <w:rPr>
          <w:rFonts w:ascii="Arial" w:hAnsi="Arial"/>
          <w:sz w:val="22"/>
          <w:szCs w:val="22"/>
        </w:rPr>
        <w:t xml:space="preserve"> participation </w:t>
      </w:r>
      <w:r w:rsidR="00EC3F1B">
        <w:rPr>
          <w:rFonts w:ascii="Arial" w:hAnsi="Arial"/>
          <w:sz w:val="22"/>
          <w:szCs w:val="22"/>
        </w:rPr>
        <w:t xml:space="preserve">in education and training over a one year period. </w:t>
      </w:r>
    </w:p>
    <w:p w14:paraId="40FEDFFB" w14:textId="77777777" w:rsidR="00EC3F1B" w:rsidRDefault="00EC3F1B" w:rsidP="00801D38">
      <w:pPr>
        <w:spacing w:line="360" w:lineRule="auto"/>
        <w:jc w:val="both"/>
        <w:rPr>
          <w:rFonts w:ascii="Arial" w:hAnsi="Arial"/>
          <w:sz w:val="22"/>
          <w:szCs w:val="22"/>
        </w:rPr>
      </w:pPr>
    </w:p>
    <w:p w14:paraId="0FCCB2D6" w14:textId="17221CCC" w:rsidR="00EC3F1B" w:rsidRDefault="00EC3F1B" w:rsidP="00801D38">
      <w:pPr>
        <w:spacing w:line="360" w:lineRule="auto"/>
        <w:jc w:val="both"/>
        <w:rPr>
          <w:rFonts w:ascii="Arial" w:hAnsi="Arial"/>
          <w:sz w:val="22"/>
          <w:szCs w:val="22"/>
        </w:rPr>
      </w:pPr>
      <w:r>
        <w:rPr>
          <w:rFonts w:ascii="Arial" w:hAnsi="Arial"/>
          <w:sz w:val="22"/>
          <w:szCs w:val="22"/>
        </w:rPr>
        <w:lastRenderedPageBreak/>
        <w:t xml:space="preserve">With respect to </w:t>
      </w:r>
      <w:r w:rsidR="000917DB">
        <w:rPr>
          <w:rFonts w:ascii="Arial" w:hAnsi="Arial"/>
          <w:sz w:val="22"/>
          <w:szCs w:val="22"/>
        </w:rPr>
        <w:t>eligibility and exclusion criteria, c</w:t>
      </w:r>
      <w:r>
        <w:rPr>
          <w:rFonts w:ascii="Arial" w:hAnsi="Arial"/>
          <w:sz w:val="22"/>
          <w:szCs w:val="22"/>
        </w:rPr>
        <w:t xml:space="preserve">urrently </w:t>
      </w:r>
      <w:r w:rsidR="000917DB">
        <w:rPr>
          <w:rFonts w:ascii="Arial" w:hAnsi="Arial"/>
          <w:sz w:val="22"/>
          <w:szCs w:val="22"/>
        </w:rPr>
        <w:t xml:space="preserve">there is wide variation in </w:t>
      </w:r>
      <w:r w:rsidR="003D6269">
        <w:rPr>
          <w:rFonts w:ascii="Arial" w:hAnsi="Arial"/>
          <w:sz w:val="22"/>
          <w:szCs w:val="22"/>
        </w:rPr>
        <w:t xml:space="preserve">how eligibility </w:t>
      </w:r>
      <w:r w:rsidR="006C2442">
        <w:rPr>
          <w:rFonts w:ascii="Arial" w:hAnsi="Arial"/>
          <w:sz w:val="22"/>
          <w:szCs w:val="22"/>
        </w:rPr>
        <w:t>for</w:t>
      </w:r>
      <w:r w:rsidR="002F3103">
        <w:rPr>
          <w:rFonts w:ascii="Arial" w:hAnsi="Arial"/>
          <w:sz w:val="22"/>
          <w:szCs w:val="22"/>
        </w:rPr>
        <w:t xml:space="preserve"> education and training programs is</w:t>
      </w:r>
      <w:r w:rsidR="003D6269">
        <w:rPr>
          <w:rFonts w:ascii="Arial" w:hAnsi="Arial"/>
          <w:sz w:val="22"/>
          <w:szCs w:val="22"/>
        </w:rPr>
        <w:t xml:space="preserve"> defined</w:t>
      </w:r>
      <w:r w:rsidR="002F3103">
        <w:rPr>
          <w:rFonts w:ascii="Arial" w:hAnsi="Arial"/>
          <w:sz w:val="22"/>
          <w:szCs w:val="22"/>
        </w:rPr>
        <w:t>,</w:t>
      </w:r>
      <w:r w:rsidR="003D6269">
        <w:rPr>
          <w:rFonts w:ascii="Arial" w:hAnsi="Arial"/>
          <w:sz w:val="22"/>
          <w:szCs w:val="22"/>
        </w:rPr>
        <w:t xml:space="preserve"> and</w:t>
      </w:r>
      <w:r w:rsidR="002F3103">
        <w:rPr>
          <w:rFonts w:ascii="Arial" w:hAnsi="Arial"/>
          <w:sz w:val="22"/>
          <w:szCs w:val="22"/>
        </w:rPr>
        <w:t xml:space="preserve"> </w:t>
      </w:r>
      <w:r w:rsidR="006C2442">
        <w:rPr>
          <w:rFonts w:ascii="Arial" w:hAnsi="Arial"/>
          <w:sz w:val="22"/>
          <w:szCs w:val="22"/>
        </w:rPr>
        <w:t>what</w:t>
      </w:r>
      <w:r w:rsidR="003D6269">
        <w:rPr>
          <w:rFonts w:ascii="Arial" w:hAnsi="Arial"/>
          <w:sz w:val="22"/>
          <w:szCs w:val="22"/>
        </w:rPr>
        <w:t xml:space="preserve"> groups of prisoners are excluded</w:t>
      </w:r>
      <w:r w:rsidR="005C4CE6">
        <w:rPr>
          <w:rFonts w:ascii="Arial" w:hAnsi="Arial"/>
          <w:sz w:val="22"/>
          <w:szCs w:val="22"/>
        </w:rPr>
        <w:t>.</w:t>
      </w:r>
      <w:r w:rsidR="003D6269">
        <w:rPr>
          <w:rFonts w:ascii="Arial" w:hAnsi="Arial"/>
          <w:sz w:val="22"/>
          <w:szCs w:val="22"/>
        </w:rPr>
        <w:t xml:space="preserve"> </w:t>
      </w:r>
      <w:r w:rsidR="006C2442">
        <w:rPr>
          <w:rFonts w:ascii="Arial" w:hAnsi="Arial"/>
          <w:sz w:val="22"/>
          <w:szCs w:val="22"/>
        </w:rPr>
        <w:t xml:space="preserve">Current exclusion criteria may include hospital patients who are medically unable to participate, fine defaulters who are incarcerated for only a few days at a time, prisoners held at centres where education and training programs are not provided as a matter of policy (for example, 24-hour court cells), prisoners with a sentence length of less than 3 or 6 months, prisoners with a particular classifications such as being on </w:t>
      </w:r>
      <w:proofErr w:type="spellStart"/>
      <w:r w:rsidR="006C2442">
        <w:rPr>
          <w:rFonts w:ascii="Arial" w:hAnsi="Arial"/>
          <w:sz w:val="22"/>
          <w:szCs w:val="22"/>
        </w:rPr>
        <w:t>protenction</w:t>
      </w:r>
      <w:proofErr w:type="spellEnd"/>
      <w:r w:rsidR="006C2442">
        <w:rPr>
          <w:rFonts w:ascii="Arial" w:hAnsi="Arial"/>
          <w:sz w:val="22"/>
          <w:szCs w:val="22"/>
        </w:rPr>
        <w:t xml:space="preserve"> or in segregation, and </w:t>
      </w:r>
      <w:proofErr w:type="spellStart"/>
      <w:r w:rsidR="006C2442">
        <w:rPr>
          <w:rFonts w:ascii="Arial" w:hAnsi="Arial"/>
          <w:sz w:val="22"/>
          <w:szCs w:val="22"/>
        </w:rPr>
        <w:t>remandees</w:t>
      </w:r>
      <w:proofErr w:type="spellEnd"/>
      <w:r w:rsidR="006C2442">
        <w:rPr>
          <w:rFonts w:ascii="Arial" w:hAnsi="Arial"/>
          <w:sz w:val="22"/>
          <w:szCs w:val="22"/>
        </w:rPr>
        <w:t>.</w:t>
      </w:r>
      <w:r w:rsidR="006C2442">
        <w:rPr>
          <w:rStyle w:val="FootnoteReference"/>
          <w:rFonts w:ascii="Arial" w:hAnsi="Arial"/>
          <w:sz w:val="22"/>
          <w:szCs w:val="22"/>
        </w:rPr>
        <w:footnoteReference w:id="10"/>
      </w:r>
      <w:r w:rsidR="005C4CE6">
        <w:rPr>
          <w:rFonts w:ascii="Arial" w:hAnsi="Arial"/>
          <w:sz w:val="22"/>
          <w:szCs w:val="22"/>
        </w:rPr>
        <w:t xml:space="preserve"> </w:t>
      </w:r>
      <w:r w:rsidR="002F3103">
        <w:rPr>
          <w:rFonts w:ascii="Arial" w:hAnsi="Arial"/>
          <w:sz w:val="22"/>
          <w:szCs w:val="22"/>
        </w:rPr>
        <w:t xml:space="preserve">For example, in South Australia thirty five per cent of all prisoners, including all </w:t>
      </w:r>
      <w:proofErr w:type="spellStart"/>
      <w:r w:rsidR="002F3103">
        <w:rPr>
          <w:rFonts w:ascii="Arial" w:hAnsi="Arial"/>
          <w:sz w:val="22"/>
          <w:szCs w:val="22"/>
        </w:rPr>
        <w:t>remandees</w:t>
      </w:r>
      <w:proofErr w:type="spellEnd"/>
      <w:r w:rsidR="002F3103">
        <w:rPr>
          <w:rFonts w:ascii="Arial" w:hAnsi="Arial"/>
          <w:sz w:val="22"/>
          <w:szCs w:val="22"/>
        </w:rPr>
        <w:t xml:space="preserve">, are </w:t>
      </w:r>
      <w:r w:rsidR="005C4CE6">
        <w:rPr>
          <w:rFonts w:ascii="Arial" w:hAnsi="Arial"/>
          <w:sz w:val="22"/>
          <w:szCs w:val="22"/>
        </w:rPr>
        <w:t>currently excluded from</w:t>
      </w:r>
      <w:r w:rsidR="002F3103">
        <w:rPr>
          <w:rFonts w:ascii="Arial" w:hAnsi="Arial"/>
          <w:sz w:val="22"/>
          <w:szCs w:val="22"/>
        </w:rPr>
        <w:t xml:space="preserve"> participation</w:t>
      </w:r>
      <w:r w:rsidR="005C4CE6">
        <w:rPr>
          <w:rFonts w:ascii="Arial" w:hAnsi="Arial"/>
          <w:sz w:val="22"/>
          <w:szCs w:val="22"/>
        </w:rPr>
        <w:t>.</w:t>
      </w:r>
      <w:r w:rsidR="00D41ADF" w:rsidRPr="00D41ADF">
        <w:t xml:space="preserve"> </w:t>
      </w:r>
      <w:r w:rsidR="002F3103">
        <w:rPr>
          <w:rFonts w:ascii="Arial" w:hAnsi="Arial"/>
          <w:sz w:val="22"/>
          <w:szCs w:val="22"/>
        </w:rPr>
        <w:t xml:space="preserve">In New South Wales, approximately fifteen per cent of all prisoners are </w:t>
      </w:r>
      <w:r w:rsidR="005C4CE6">
        <w:rPr>
          <w:rFonts w:ascii="Arial" w:hAnsi="Arial"/>
          <w:sz w:val="22"/>
          <w:szCs w:val="22"/>
        </w:rPr>
        <w:t>excluded from participation for various reasons</w:t>
      </w:r>
      <w:r w:rsidR="002F3103">
        <w:rPr>
          <w:rFonts w:ascii="Arial" w:hAnsi="Arial"/>
          <w:sz w:val="22"/>
          <w:szCs w:val="22"/>
        </w:rPr>
        <w:t xml:space="preserve">, whereas in Western Australia all prisoners are </w:t>
      </w:r>
      <w:r w:rsidR="00E369FE">
        <w:rPr>
          <w:rFonts w:ascii="Arial" w:hAnsi="Arial"/>
          <w:sz w:val="22"/>
          <w:szCs w:val="22"/>
        </w:rPr>
        <w:t>considered eligible and there are no automatic exclusions</w:t>
      </w:r>
      <w:r w:rsidR="000E376A">
        <w:rPr>
          <w:rStyle w:val="FootnoteReference"/>
          <w:rFonts w:ascii="Arial" w:hAnsi="Arial"/>
          <w:sz w:val="22"/>
          <w:szCs w:val="22"/>
        </w:rPr>
        <w:footnoteReference w:id="11"/>
      </w:r>
      <w:r w:rsidR="002F3103">
        <w:rPr>
          <w:rFonts w:ascii="Arial" w:hAnsi="Arial"/>
          <w:sz w:val="22"/>
          <w:szCs w:val="22"/>
        </w:rPr>
        <w:t xml:space="preserve">. These differences have a correspondingly inflationary or deflationary effect on recorded rates of participation, and for this reason rates of participation </w:t>
      </w:r>
      <w:r w:rsidR="00BC212F">
        <w:rPr>
          <w:rFonts w:ascii="Arial" w:hAnsi="Arial"/>
          <w:sz w:val="22"/>
          <w:szCs w:val="22"/>
        </w:rPr>
        <w:t xml:space="preserve">as reported in RoGS </w:t>
      </w:r>
      <w:r w:rsidR="002F3103">
        <w:rPr>
          <w:rFonts w:ascii="Arial" w:hAnsi="Arial"/>
          <w:sz w:val="22"/>
          <w:szCs w:val="22"/>
        </w:rPr>
        <w:t>can be considered at best indicative.</w:t>
      </w:r>
      <w:r w:rsidR="00E851BA">
        <w:rPr>
          <w:rFonts w:ascii="Arial" w:hAnsi="Arial"/>
          <w:sz w:val="22"/>
          <w:szCs w:val="22"/>
        </w:rPr>
        <w:t xml:space="preserve"> </w:t>
      </w:r>
      <w:r w:rsidR="007F7AAB">
        <w:rPr>
          <w:rFonts w:ascii="Arial" w:hAnsi="Arial"/>
          <w:sz w:val="22"/>
          <w:szCs w:val="22"/>
        </w:rPr>
        <w:t>A standardised</w:t>
      </w:r>
      <w:r w:rsidR="00CC3A5E">
        <w:rPr>
          <w:rFonts w:ascii="Arial" w:hAnsi="Arial"/>
          <w:sz w:val="22"/>
          <w:szCs w:val="22"/>
        </w:rPr>
        <w:t xml:space="preserve"> and consistent approach to </w:t>
      </w:r>
      <w:r w:rsidR="007F7AAB">
        <w:rPr>
          <w:rFonts w:ascii="Arial" w:hAnsi="Arial"/>
          <w:sz w:val="22"/>
          <w:szCs w:val="22"/>
        </w:rPr>
        <w:t xml:space="preserve">eligibility </w:t>
      </w:r>
      <w:r w:rsidR="00CC3A5E">
        <w:rPr>
          <w:rFonts w:ascii="Arial" w:hAnsi="Arial"/>
          <w:sz w:val="22"/>
          <w:szCs w:val="22"/>
        </w:rPr>
        <w:t xml:space="preserve">and exclusion criteria for participating </w:t>
      </w:r>
      <w:r w:rsidR="007F7AAB">
        <w:rPr>
          <w:rFonts w:ascii="Arial" w:hAnsi="Arial"/>
          <w:sz w:val="22"/>
          <w:szCs w:val="22"/>
        </w:rPr>
        <w:t xml:space="preserve">in correctional education and training programs would facilitate more meaningful comparisons of jurisdictional performance. </w:t>
      </w:r>
    </w:p>
    <w:p w14:paraId="3E967567" w14:textId="77777777" w:rsidR="007F7AAB" w:rsidRDefault="007F7AAB" w:rsidP="00801D38">
      <w:pPr>
        <w:spacing w:line="360" w:lineRule="auto"/>
        <w:jc w:val="both"/>
        <w:rPr>
          <w:rFonts w:ascii="Arial" w:hAnsi="Arial"/>
          <w:sz w:val="22"/>
          <w:szCs w:val="22"/>
        </w:rPr>
      </w:pPr>
    </w:p>
    <w:p w14:paraId="2D22B979" w14:textId="054E3540" w:rsidR="007F7AAB" w:rsidRDefault="0074533E" w:rsidP="00801D38">
      <w:pPr>
        <w:spacing w:line="360" w:lineRule="auto"/>
        <w:jc w:val="both"/>
        <w:rPr>
          <w:rFonts w:ascii="Arial" w:hAnsi="Arial"/>
          <w:sz w:val="22"/>
          <w:szCs w:val="22"/>
        </w:rPr>
      </w:pPr>
      <w:r>
        <w:rPr>
          <w:rFonts w:ascii="Arial" w:hAnsi="Arial"/>
          <w:sz w:val="22"/>
          <w:szCs w:val="22"/>
        </w:rPr>
        <w:t xml:space="preserve">The adoption of a </w:t>
      </w:r>
      <w:r w:rsidR="00D71FB2">
        <w:rPr>
          <w:rFonts w:ascii="Arial" w:hAnsi="Arial"/>
          <w:sz w:val="22"/>
          <w:szCs w:val="22"/>
        </w:rPr>
        <w:t>national</w:t>
      </w:r>
      <w:r>
        <w:rPr>
          <w:rFonts w:ascii="Arial" w:hAnsi="Arial"/>
          <w:sz w:val="22"/>
          <w:szCs w:val="22"/>
        </w:rPr>
        <w:t>ly agreed</w:t>
      </w:r>
      <w:r w:rsidR="00D71FB2">
        <w:rPr>
          <w:rFonts w:ascii="Arial" w:hAnsi="Arial"/>
          <w:sz w:val="22"/>
          <w:szCs w:val="22"/>
        </w:rPr>
        <w:t xml:space="preserve"> standardised </w:t>
      </w:r>
      <w:r>
        <w:rPr>
          <w:rFonts w:ascii="Arial" w:hAnsi="Arial"/>
          <w:sz w:val="22"/>
          <w:szCs w:val="22"/>
        </w:rPr>
        <w:t xml:space="preserve">education </w:t>
      </w:r>
      <w:r w:rsidR="00D71FB2">
        <w:rPr>
          <w:rFonts w:ascii="Arial" w:hAnsi="Arial"/>
          <w:sz w:val="22"/>
          <w:szCs w:val="22"/>
        </w:rPr>
        <w:t>assessment tool by which to determine target groups for participation in correctional education and training programs is also required. C</w:t>
      </w:r>
      <w:r w:rsidR="007A52AF">
        <w:rPr>
          <w:rFonts w:ascii="Arial" w:hAnsi="Arial"/>
          <w:sz w:val="22"/>
          <w:szCs w:val="22"/>
        </w:rPr>
        <w:t xml:space="preserve">urrently all jurisdictions employ some form of </w:t>
      </w:r>
      <w:r>
        <w:rPr>
          <w:rFonts w:ascii="Arial" w:hAnsi="Arial"/>
          <w:sz w:val="22"/>
          <w:szCs w:val="22"/>
        </w:rPr>
        <w:t xml:space="preserve">initial </w:t>
      </w:r>
      <w:r w:rsidR="007A52AF">
        <w:rPr>
          <w:rFonts w:ascii="Arial" w:hAnsi="Arial"/>
          <w:sz w:val="22"/>
          <w:szCs w:val="22"/>
        </w:rPr>
        <w:t>literacy/ numeracy assessment, but it is not clear what proportion of prisoners are assessed, or at what stage of their sente</w:t>
      </w:r>
      <w:r w:rsidR="00D51591">
        <w:rPr>
          <w:rFonts w:ascii="Arial" w:hAnsi="Arial"/>
          <w:sz w:val="22"/>
          <w:szCs w:val="22"/>
        </w:rPr>
        <w:t xml:space="preserve">nce. </w:t>
      </w:r>
      <w:r>
        <w:rPr>
          <w:rFonts w:ascii="Arial" w:hAnsi="Arial"/>
          <w:sz w:val="22"/>
          <w:szCs w:val="22"/>
        </w:rPr>
        <w:t>Nor is it known how many in this group are actually engaged in education. Given the fiscal importance of directing finite educational resources to those with the highest need, and the important contribution of education and vocational skill development to enhancing employment and rehabilitative outcomes, the</w:t>
      </w:r>
      <w:r w:rsidR="00D51591">
        <w:rPr>
          <w:rFonts w:ascii="Arial" w:hAnsi="Arial"/>
          <w:sz w:val="22"/>
          <w:szCs w:val="22"/>
        </w:rPr>
        <w:t xml:space="preserve"> </w:t>
      </w:r>
      <w:r w:rsidR="006459B7">
        <w:rPr>
          <w:rFonts w:ascii="Arial" w:hAnsi="Arial"/>
          <w:sz w:val="22"/>
          <w:szCs w:val="22"/>
        </w:rPr>
        <w:t xml:space="preserve">adoption of a standardised </w:t>
      </w:r>
      <w:r>
        <w:rPr>
          <w:rFonts w:ascii="Arial" w:hAnsi="Arial"/>
          <w:sz w:val="22"/>
          <w:szCs w:val="22"/>
        </w:rPr>
        <w:t xml:space="preserve">initial </w:t>
      </w:r>
      <w:r w:rsidR="006459B7">
        <w:rPr>
          <w:rFonts w:ascii="Arial" w:hAnsi="Arial"/>
          <w:sz w:val="22"/>
          <w:szCs w:val="22"/>
        </w:rPr>
        <w:t xml:space="preserve">assessment tool </w:t>
      </w:r>
      <w:r>
        <w:rPr>
          <w:rFonts w:ascii="Arial" w:hAnsi="Arial"/>
          <w:sz w:val="22"/>
          <w:szCs w:val="22"/>
        </w:rPr>
        <w:t xml:space="preserve">to determine a </w:t>
      </w:r>
      <w:proofErr w:type="spellStart"/>
      <w:r>
        <w:rPr>
          <w:rFonts w:ascii="Arial" w:hAnsi="Arial"/>
          <w:sz w:val="22"/>
          <w:szCs w:val="22"/>
        </w:rPr>
        <w:t>heirachy</w:t>
      </w:r>
      <w:proofErr w:type="spellEnd"/>
      <w:r>
        <w:rPr>
          <w:rFonts w:ascii="Arial" w:hAnsi="Arial"/>
          <w:sz w:val="22"/>
          <w:szCs w:val="22"/>
        </w:rPr>
        <w:t xml:space="preserve"> of need for education and training is </w:t>
      </w:r>
      <w:r w:rsidR="006459B7">
        <w:rPr>
          <w:rFonts w:ascii="Arial" w:hAnsi="Arial"/>
          <w:sz w:val="22"/>
          <w:szCs w:val="22"/>
        </w:rPr>
        <w:t>a key area for improvement</w:t>
      </w:r>
      <w:r w:rsidR="006459B7">
        <w:rPr>
          <w:rStyle w:val="FootnoteReference"/>
          <w:rFonts w:ascii="Arial" w:hAnsi="Arial"/>
          <w:sz w:val="22"/>
          <w:szCs w:val="22"/>
        </w:rPr>
        <w:footnoteReference w:id="12"/>
      </w:r>
      <w:r w:rsidR="006459B7">
        <w:rPr>
          <w:rFonts w:ascii="Arial" w:hAnsi="Arial"/>
          <w:sz w:val="22"/>
          <w:szCs w:val="22"/>
        </w:rPr>
        <w:t>.</w:t>
      </w:r>
      <w:r w:rsidR="00D51591">
        <w:rPr>
          <w:rFonts w:ascii="Arial" w:hAnsi="Arial"/>
          <w:sz w:val="22"/>
          <w:szCs w:val="22"/>
        </w:rPr>
        <w:t xml:space="preserve"> </w:t>
      </w:r>
      <w:r>
        <w:rPr>
          <w:rFonts w:ascii="Arial" w:hAnsi="Arial"/>
          <w:sz w:val="22"/>
          <w:szCs w:val="22"/>
        </w:rPr>
        <w:t>Relevant participation rates for prisoners might then be measured in terms of the proportion of eligible prisoners in education assessed as needing education, as well as the proportion of all eligible prisoners in education, in a given year.</w:t>
      </w:r>
    </w:p>
    <w:p w14:paraId="1F5BD327" w14:textId="77777777" w:rsidR="00D71FB2" w:rsidRDefault="00D71FB2" w:rsidP="00801D38">
      <w:pPr>
        <w:spacing w:line="360" w:lineRule="auto"/>
        <w:jc w:val="both"/>
        <w:rPr>
          <w:rFonts w:ascii="Arial" w:hAnsi="Arial"/>
          <w:sz w:val="22"/>
          <w:szCs w:val="22"/>
        </w:rPr>
      </w:pPr>
    </w:p>
    <w:p w14:paraId="316816D1" w14:textId="7AA9A2A2" w:rsidR="004355BB" w:rsidRDefault="004355BB" w:rsidP="00801D38">
      <w:pPr>
        <w:spacing w:line="360" w:lineRule="auto"/>
        <w:jc w:val="both"/>
        <w:rPr>
          <w:rFonts w:ascii="Arial" w:hAnsi="Arial"/>
          <w:sz w:val="22"/>
          <w:szCs w:val="22"/>
        </w:rPr>
      </w:pPr>
      <w:r>
        <w:rPr>
          <w:rFonts w:ascii="Arial" w:hAnsi="Arial"/>
          <w:sz w:val="22"/>
          <w:szCs w:val="22"/>
        </w:rPr>
        <w:t xml:space="preserve">Currently there are wide jurisdictional differences in the counting measure used to calculate the number of individual prisoners engaged in education and training over a one-year period. For example, the percentage rates provided by correctional services in Victoria, Western Australia, Tasmania and the Northern Territory are based on the number of people in education and training on a single day as a proportion of the number of eligible people in custody on that day, whereas </w:t>
      </w:r>
      <w:r>
        <w:rPr>
          <w:rFonts w:ascii="Arial" w:hAnsi="Arial"/>
          <w:sz w:val="22"/>
          <w:szCs w:val="22"/>
        </w:rPr>
        <w:lastRenderedPageBreak/>
        <w:t>the percentage rates provided by other jurisdictions are based on an average of the proportion</w:t>
      </w:r>
      <w:r w:rsidR="00EC729C">
        <w:rPr>
          <w:rFonts w:ascii="Arial" w:hAnsi="Arial"/>
          <w:sz w:val="22"/>
          <w:szCs w:val="22"/>
        </w:rPr>
        <w:t xml:space="preserve"> of eligible prisoners enrolled on the first day of each month for the twelve months of the year (or, in the case of New South Wales, ten months).</w:t>
      </w:r>
      <w:r w:rsidR="00EC729C">
        <w:rPr>
          <w:rStyle w:val="FootnoteReference"/>
          <w:rFonts w:ascii="Arial" w:hAnsi="Arial"/>
          <w:sz w:val="22"/>
          <w:szCs w:val="22"/>
        </w:rPr>
        <w:footnoteReference w:id="13"/>
      </w:r>
      <w:r w:rsidR="00EC729C">
        <w:rPr>
          <w:rFonts w:ascii="Arial" w:hAnsi="Arial"/>
          <w:sz w:val="22"/>
          <w:szCs w:val="22"/>
        </w:rPr>
        <w:t xml:space="preserve"> The effects of these differences are not known; however to achieve more reliable comparability, uniform counting methods for the participation of prisoners engaged in education and training over a one year period should be adopted nationally.</w:t>
      </w:r>
    </w:p>
    <w:p w14:paraId="43122304" w14:textId="77777777" w:rsidR="00D71FB2" w:rsidRDefault="00D71FB2" w:rsidP="00801D38">
      <w:pPr>
        <w:spacing w:line="360" w:lineRule="auto"/>
        <w:jc w:val="both"/>
        <w:rPr>
          <w:rFonts w:ascii="Arial" w:hAnsi="Arial"/>
          <w:sz w:val="22"/>
          <w:szCs w:val="22"/>
        </w:rPr>
      </w:pPr>
    </w:p>
    <w:p w14:paraId="00CD2189" w14:textId="77777777" w:rsidR="00BB0046" w:rsidRPr="00742C1E" w:rsidRDefault="00BB0046" w:rsidP="00742C1E">
      <w:pPr>
        <w:spacing w:line="276" w:lineRule="auto"/>
        <w:jc w:val="both"/>
        <w:rPr>
          <w:rFonts w:ascii="Times New Roman" w:hAnsi="Times New Roman" w:cs="Times New Roman"/>
          <w:b/>
          <w:sz w:val="22"/>
          <w:szCs w:val="22"/>
        </w:rPr>
      </w:pPr>
    </w:p>
    <w:p w14:paraId="672FE454" w14:textId="77777777" w:rsidR="00BB7609" w:rsidRPr="00742C1E" w:rsidRDefault="00BB7609" w:rsidP="00742C1E">
      <w:pPr>
        <w:spacing w:line="276" w:lineRule="auto"/>
        <w:jc w:val="both"/>
        <w:rPr>
          <w:rFonts w:ascii="Times New Roman" w:hAnsi="Times New Roman" w:cs="Times New Roman"/>
          <w:color w:val="FF0000"/>
          <w:sz w:val="22"/>
          <w:szCs w:val="22"/>
        </w:rPr>
      </w:pPr>
    </w:p>
    <w:sectPr w:rsidR="00BB7609" w:rsidRPr="00742C1E" w:rsidSect="00D20599">
      <w:footerReference w:type="even" r:id="rId14"/>
      <w:footerReference w:type="default" r:id="rId15"/>
      <w:pgSz w:w="11900" w:h="16840"/>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FECAF" w15:done="0"/>
  <w15:commentEx w15:paraId="73F0C157" w15:done="0"/>
  <w15:commentEx w15:paraId="19646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6DA1F" w14:textId="77777777" w:rsidR="005C4CE6" w:rsidRDefault="005C4CE6" w:rsidP="003B2006">
      <w:r>
        <w:separator/>
      </w:r>
    </w:p>
  </w:endnote>
  <w:endnote w:type="continuationSeparator" w:id="0">
    <w:p w14:paraId="6C33EC43" w14:textId="77777777" w:rsidR="005C4CE6" w:rsidRDefault="005C4CE6" w:rsidP="003B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9060D" w14:textId="77777777" w:rsidR="005C4CE6" w:rsidRDefault="005C4CE6" w:rsidP="00162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2DA2F" w14:textId="77777777" w:rsidR="005C4CE6" w:rsidRDefault="005C4CE6" w:rsidP="009114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E06C" w14:textId="77777777" w:rsidR="005C4CE6" w:rsidRDefault="005C4CE6" w:rsidP="00162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173">
      <w:rPr>
        <w:rStyle w:val="PageNumber"/>
        <w:noProof/>
      </w:rPr>
      <w:t>1</w:t>
    </w:r>
    <w:r>
      <w:rPr>
        <w:rStyle w:val="PageNumber"/>
      </w:rPr>
      <w:fldChar w:fldCharType="end"/>
    </w:r>
  </w:p>
  <w:p w14:paraId="76753B46" w14:textId="77777777" w:rsidR="005C4CE6" w:rsidRDefault="005C4CE6" w:rsidP="009114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BA604" w14:textId="77777777" w:rsidR="005C4CE6" w:rsidRDefault="005C4CE6" w:rsidP="003B2006">
      <w:r>
        <w:separator/>
      </w:r>
    </w:p>
  </w:footnote>
  <w:footnote w:type="continuationSeparator" w:id="0">
    <w:p w14:paraId="1E796D45" w14:textId="77777777" w:rsidR="005C4CE6" w:rsidRDefault="005C4CE6" w:rsidP="003B2006">
      <w:r>
        <w:continuationSeparator/>
      </w:r>
    </w:p>
  </w:footnote>
  <w:footnote w:id="1">
    <w:p w14:paraId="00CE9FBA" w14:textId="77777777" w:rsidR="005C4CE6" w:rsidRDefault="005C4CE6" w:rsidP="00E85DA7">
      <w:pPr>
        <w:pStyle w:val="FootnoteText"/>
        <w:rPr>
          <w:rFonts w:asciiTheme="majorHAnsi" w:hAnsiTheme="majorHAnsi" w:cs="Arial"/>
          <w:sz w:val="22"/>
          <w:szCs w:val="22"/>
          <w:lang w:val="en-US"/>
        </w:rPr>
      </w:pPr>
      <w:r w:rsidRPr="00D9221C">
        <w:rPr>
          <w:rStyle w:val="FootnoteReference"/>
          <w:rFonts w:asciiTheme="majorHAnsi" w:hAnsiTheme="majorHAnsi" w:cs="Arial"/>
          <w:sz w:val="22"/>
          <w:szCs w:val="22"/>
        </w:rPr>
        <w:footnoteRef/>
      </w:r>
      <w:r w:rsidRPr="00D9221C">
        <w:rPr>
          <w:rFonts w:asciiTheme="majorHAnsi" w:hAnsiTheme="majorHAnsi" w:cs="Arial"/>
          <w:sz w:val="22"/>
          <w:szCs w:val="22"/>
        </w:rPr>
        <w:t xml:space="preserve"> </w:t>
      </w:r>
      <w:r w:rsidRPr="00D9221C">
        <w:rPr>
          <w:rFonts w:asciiTheme="majorHAnsi" w:hAnsiTheme="majorHAnsi" w:cs="Arial"/>
          <w:sz w:val="22"/>
          <w:szCs w:val="22"/>
          <w:lang w:val="en-US"/>
        </w:rPr>
        <w:t xml:space="preserve">The authors of this submission are researchers from the Future Beyond the Wall ARC Linkage project. </w:t>
      </w:r>
    </w:p>
    <w:p w14:paraId="264F702B" w14:textId="77777777" w:rsidR="005C4CE6" w:rsidRDefault="005C4CE6" w:rsidP="00E85DA7">
      <w:pPr>
        <w:pStyle w:val="FootnoteText"/>
        <w:rPr>
          <w:rFonts w:ascii="Arial" w:hAnsi="Arial" w:cs="Arial"/>
          <w:sz w:val="22"/>
          <w:szCs w:val="22"/>
          <w:lang w:val="en-US"/>
        </w:rPr>
      </w:pPr>
      <w:r w:rsidRPr="00D9221C">
        <w:rPr>
          <w:rFonts w:asciiTheme="majorHAnsi" w:hAnsiTheme="majorHAnsi" w:cs="Arial"/>
          <w:sz w:val="22"/>
          <w:szCs w:val="22"/>
          <w:lang w:val="en-US"/>
        </w:rPr>
        <w:t xml:space="preserve">The project is being undertaken with assistance of project partners: NSW Corrective Services, ACT Corrective Services, Australasian Correctional Education Association, Australian Community Support </w:t>
      </w:r>
      <w:proofErr w:type="spellStart"/>
      <w:r w:rsidRPr="00D9221C">
        <w:rPr>
          <w:rFonts w:asciiTheme="majorHAnsi" w:hAnsiTheme="majorHAnsi" w:cs="Arial"/>
          <w:sz w:val="22"/>
          <w:szCs w:val="22"/>
          <w:lang w:val="en-US"/>
        </w:rPr>
        <w:t>Organisation</w:t>
      </w:r>
      <w:proofErr w:type="spellEnd"/>
      <w:r w:rsidRPr="00D9221C">
        <w:rPr>
          <w:rFonts w:asciiTheme="majorHAnsi" w:hAnsiTheme="majorHAnsi" w:cs="Arial"/>
          <w:sz w:val="22"/>
          <w:szCs w:val="22"/>
          <w:lang w:val="en-US"/>
        </w:rPr>
        <w:t>, Break Thru People Solutions, WISE Employment.</w:t>
      </w:r>
      <w:r w:rsidRPr="00D9221C">
        <w:rPr>
          <w:rFonts w:ascii="Arial" w:hAnsi="Arial" w:cs="Arial"/>
          <w:sz w:val="22"/>
          <w:szCs w:val="22"/>
          <w:lang w:val="en-US"/>
        </w:rPr>
        <w:t xml:space="preserve"> </w:t>
      </w:r>
    </w:p>
    <w:p w14:paraId="0D69E440" w14:textId="508ED638" w:rsidR="005C4CE6" w:rsidRPr="00D9221C" w:rsidRDefault="005C4CE6" w:rsidP="00E85DA7">
      <w:pPr>
        <w:pStyle w:val="FootnoteText"/>
        <w:rPr>
          <w:rFonts w:asciiTheme="majorHAnsi" w:hAnsiTheme="majorHAnsi" w:cs="Arial"/>
          <w:sz w:val="22"/>
          <w:szCs w:val="22"/>
          <w:lang w:val="en-US"/>
        </w:rPr>
      </w:pPr>
      <w:r w:rsidRPr="00D9221C">
        <w:rPr>
          <w:rFonts w:asciiTheme="majorHAnsi" w:hAnsiTheme="majorHAnsi" w:cs="Arial"/>
          <w:sz w:val="22"/>
          <w:szCs w:val="22"/>
          <w:lang w:val="en-US"/>
        </w:rPr>
        <w:t>For more information on the project, visit our website: https://socialsciences.arts.unsw.edu.au/research/research-initiatives/a-future-beyond-the-wall/</w:t>
      </w:r>
    </w:p>
    <w:p w14:paraId="7E6844FE" w14:textId="7E13A58E" w:rsidR="005C4CE6" w:rsidRPr="00D9221C" w:rsidRDefault="005C4CE6" w:rsidP="00E85DA7">
      <w:pPr>
        <w:pStyle w:val="FootnoteText"/>
        <w:rPr>
          <w:rFonts w:ascii="Arial" w:hAnsi="Arial" w:cs="Arial"/>
          <w:sz w:val="22"/>
          <w:szCs w:val="22"/>
          <w:lang w:val="en-US"/>
        </w:rPr>
      </w:pPr>
    </w:p>
  </w:footnote>
  <w:footnote w:id="2">
    <w:p w14:paraId="04FEF1E3" w14:textId="28EDAB7D" w:rsidR="005C4CE6" w:rsidRPr="00D9221C" w:rsidRDefault="005C4CE6" w:rsidP="00C15D05">
      <w:pPr>
        <w:pStyle w:val="FootnoteText"/>
        <w:rPr>
          <w:rFonts w:asciiTheme="majorHAnsi" w:hAnsiTheme="majorHAnsi" w:cs="Arial"/>
          <w:sz w:val="22"/>
          <w:szCs w:val="22"/>
          <w:lang w:val="en-US"/>
        </w:rPr>
      </w:pPr>
      <w:r w:rsidRPr="00D9221C">
        <w:rPr>
          <w:rStyle w:val="FootnoteReference"/>
          <w:rFonts w:asciiTheme="majorHAnsi" w:hAnsiTheme="majorHAnsi" w:cs="Arial"/>
          <w:sz w:val="22"/>
          <w:szCs w:val="22"/>
        </w:rPr>
        <w:footnoteRef/>
      </w:r>
      <w:r w:rsidRPr="00D9221C">
        <w:rPr>
          <w:rFonts w:asciiTheme="majorHAnsi" w:hAnsiTheme="majorHAnsi" w:cs="Arial"/>
          <w:sz w:val="22"/>
          <w:szCs w:val="22"/>
        </w:rPr>
        <w:t xml:space="preserve"> </w:t>
      </w:r>
      <w:proofErr w:type="spellStart"/>
      <w:r w:rsidRPr="00D9221C">
        <w:rPr>
          <w:rFonts w:asciiTheme="majorHAnsi" w:hAnsiTheme="majorHAnsi" w:cs="Arial"/>
          <w:sz w:val="22"/>
          <w:szCs w:val="22"/>
          <w:lang w:val="en-US"/>
        </w:rPr>
        <w:t>Farrall</w:t>
      </w:r>
      <w:proofErr w:type="spellEnd"/>
      <w:r>
        <w:rPr>
          <w:rFonts w:asciiTheme="majorHAnsi" w:hAnsiTheme="majorHAnsi" w:cs="Arial"/>
          <w:sz w:val="22"/>
          <w:szCs w:val="22"/>
          <w:lang w:val="en-US"/>
        </w:rPr>
        <w:t>,</w:t>
      </w:r>
      <w:r w:rsidRPr="00D9221C">
        <w:rPr>
          <w:rFonts w:asciiTheme="majorHAnsi" w:hAnsiTheme="majorHAnsi" w:cs="Arial"/>
          <w:sz w:val="22"/>
          <w:szCs w:val="22"/>
          <w:lang w:val="en-US"/>
        </w:rPr>
        <w:t xml:space="preserve"> S</w:t>
      </w:r>
      <w:r>
        <w:rPr>
          <w:rFonts w:asciiTheme="majorHAnsi" w:hAnsiTheme="majorHAnsi" w:cs="Arial"/>
          <w:sz w:val="22"/>
          <w:szCs w:val="22"/>
          <w:lang w:val="en-US"/>
        </w:rPr>
        <w:t>.</w:t>
      </w:r>
      <w:r w:rsidRPr="00D9221C">
        <w:rPr>
          <w:rFonts w:asciiTheme="majorHAnsi" w:hAnsiTheme="majorHAnsi" w:cs="Arial"/>
          <w:sz w:val="22"/>
          <w:szCs w:val="22"/>
          <w:lang w:val="en-US"/>
        </w:rPr>
        <w:t xml:space="preserve"> (2004) Social capital and offender reintegration: making probation desistance focused, In S</w:t>
      </w:r>
      <w:r>
        <w:rPr>
          <w:rFonts w:asciiTheme="majorHAnsi" w:hAnsiTheme="majorHAnsi" w:cs="Arial"/>
          <w:sz w:val="22"/>
          <w:szCs w:val="22"/>
          <w:lang w:val="en-US"/>
        </w:rPr>
        <w:t>.</w:t>
      </w:r>
      <w:r w:rsidRPr="00D9221C">
        <w:rPr>
          <w:rFonts w:asciiTheme="majorHAnsi" w:hAnsiTheme="majorHAnsi" w:cs="Arial"/>
          <w:sz w:val="22"/>
          <w:szCs w:val="22"/>
          <w:lang w:val="en-US"/>
        </w:rPr>
        <w:t xml:space="preserve"> </w:t>
      </w:r>
      <w:proofErr w:type="spellStart"/>
      <w:r w:rsidRPr="00D9221C">
        <w:rPr>
          <w:rFonts w:asciiTheme="majorHAnsi" w:hAnsiTheme="majorHAnsi" w:cs="Arial"/>
          <w:sz w:val="22"/>
          <w:szCs w:val="22"/>
          <w:lang w:val="en-US"/>
        </w:rPr>
        <w:t>Maruna</w:t>
      </w:r>
      <w:proofErr w:type="spellEnd"/>
      <w:r w:rsidRPr="00D9221C">
        <w:rPr>
          <w:rFonts w:asciiTheme="majorHAnsi" w:hAnsiTheme="majorHAnsi" w:cs="Arial"/>
          <w:sz w:val="22"/>
          <w:szCs w:val="22"/>
          <w:lang w:val="en-US"/>
        </w:rPr>
        <w:t xml:space="preserve"> &amp; R</w:t>
      </w:r>
      <w:r>
        <w:rPr>
          <w:rFonts w:asciiTheme="majorHAnsi" w:hAnsiTheme="majorHAnsi" w:cs="Arial"/>
          <w:sz w:val="22"/>
          <w:szCs w:val="22"/>
          <w:lang w:val="en-US"/>
        </w:rPr>
        <w:t>.</w:t>
      </w:r>
      <w:r w:rsidRPr="00D9221C">
        <w:rPr>
          <w:rFonts w:asciiTheme="majorHAnsi" w:hAnsiTheme="majorHAnsi" w:cs="Arial"/>
          <w:sz w:val="22"/>
          <w:szCs w:val="22"/>
          <w:lang w:val="en-US"/>
        </w:rPr>
        <w:t xml:space="preserve"> </w:t>
      </w:r>
      <w:proofErr w:type="spellStart"/>
      <w:r w:rsidRPr="00D9221C">
        <w:rPr>
          <w:rFonts w:asciiTheme="majorHAnsi" w:hAnsiTheme="majorHAnsi" w:cs="Arial"/>
          <w:sz w:val="22"/>
          <w:szCs w:val="22"/>
          <w:lang w:val="en-US"/>
        </w:rPr>
        <w:t>Immarigeon</w:t>
      </w:r>
      <w:proofErr w:type="spellEnd"/>
      <w:r w:rsidRPr="00D9221C">
        <w:rPr>
          <w:rFonts w:asciiTheme="majorHAnsi" w:hAnsiTheme="majorHAnsi" w:cs="Arial"/>
          <w:sz w:val="22"/>
          <w:szCs w:val="22"/>
          <w:lang w:val="en-US"/>
        </w:rPr>
        <w:t xml:space="preserve"> (</w:t>
      </w:r>
      <w:r>
        <w:rPr>
          <w:rFonts w:asciiTheme="majorHAnsi" w:hAnsiTheme="majorHAnsi" w:cs="Arial"/>
          <w:sz w:val="22"/>
          <w:szCs w:val="22"/>
          <w:lang w:val="en-US"/>
        </w:rPr>
        <w:t>E</w:t>
      </w:r>
      <w:r w:rsidRPr="00D9221C">
        <w:rPr>
          <w:rFonts w:asciiTheme="majorHAnsi" w:hAnsiTheme="majorHAnsi" w:cs="Arial"/>
          <w:sz w:val="22"/>
          <w:szCs w:val="22"/>
          <w:lang w:val="en-US"/>
        </w:rPr>
        <w:t>ds</w:t>
      </w:r>
      <w:r>
        <w:rPr>
          <w:rFonts w:asciiTheme="majorHAnsi" w:hAnsiTheme="majorHAnsi" w:cs="Arial"/>
          <w:sz w:val="22"/>
          <w:szCs w:val="22"/>
          <w:lang w:val="en-US"/>
        </w:rPr>
        <w:t>.</w:t>
      </w:r>
      <w:r w:rsidRPr="00D9221C">
        <w:rPr>
          <w:rFonts w:asciiTheme="majorHAnsi" w:hAnsiTheme="majorHAnsi" w:cs="Arial"/>
          <w:sz w:val="22"/>
          <w:szCs w:val="22"/>
          <w:lang w:val="en-US"/>
        </w:rPr>
        <w:t xml:space="preserve">), </w:t>
      </w:r>
      <w:r w:rsidRPr="00D9221C">
        <w:rPr>
          <w:rFonts w:asciiTheme="majorHAnsi" w:hAnsiTheme="majorHAnsi" w:cs="Arial"/>
          <w:i/>
          <w:sz w:val="22"/>
          <w:szCs w:val="22"/>
          <w:lang w:val="en-US"/>
        </w:rPr>
        <w:t>After crime and punishment: Pathways to offender reintegration</w:t>
      </w:r>
      <w:r w:rsidRPr="00D9221C">
        <w:rPr>
          <w:rFonts w:asciiTheme="majorHAnsi" w:hAnsiTheme="majorHAnsi" w:cs="Arial"/>
          <w:sz w:val="22"/>
          <w:szCs w:val="22"/>
          <w:lang w:val="en-US"/>
        </w:rPr>
        <w:t xml:space="preserve">, </w:t>
      </w:r>
      <w:r>
        <w:rPr>
          <w:rFonts w:asciiTheme="majorHAnsi" w:hAnsiTheme="majorHAnsi" w:cs="Arial"/>
          <w:sz w:val="22"/>
          <w:szCs w:val="22"/>
          <w:lang w:val="en-US"/>
        </w:rPr>
        <w:t xml:space="preserve">Devon: </w:t>
      </w:r>
      <w:proofErr w:type="spellStart"/>
      <w:r w:rsidRPr="00D9221C">
        <w:rPr>
          <w:rFonts w:asciiTheme="majorHAnsi" w:hAnsiTheme="majorHAnsi" w:cs="Arial"/>
          <w:sz w:val="22"/>
          <w:szCs w:val="22"/>
          <w:lang w:val="en-US"/>
        </w:rPr>
        <w:t>Willan</w:t>
      </w:r>
      <w:proofErr w:type="spellEnd"/>
      <w:r w:rsidRPr="00D9221C">
        <w:rPr>
          <w:rFonts w:asciiTheme="majorHAnsi" w:hAnsiTheme="majorHAnsi" w:cs="Arial"/>
          <w:sz w:val="22"/>
          <w:szCs w:val="22"/>
          <w:lang w:val="en-US"/>
        </w:rPr>
        <w:t>.</w:t>
      </w:r>
    </w:p>
  </w:footnote>
  <w:footnote w:id="3">
    <w:p w14:paraId="71AC5CF0" w14:textId="72063D17" w:rsidR="005C4CE6" w:rsidRPr="00D9221C" w:rsidRDefault="005C4CE6" w:rsidP="00433057">
      <w:pPr>
        <w:pStyle w:val="FootnoteText"/>
        <w:rPr>
          <w:rFonts w:asciiTheme="majorHAnsi" w:hAnsiTheme="majorHAnsi"/>
          <w:sz w:val="22"/>
          <w:szCs w:val="22"/>
          <w:lang w:val="en-US"/>
        </w:rPr>
      </w:pPr>
      <w:r w:rsidRPr="00D9221C">
        <w:rPr>
          <w:rStyle w:val="FootnoteReference"/>
          <w:rFonts w:asciiTheme="majorHAnsi" w:hAnsiTheme="majorHAnsi"/>
          <w:sz w:val="22"/>
          <w:szCs w:val="22"/>
        </w:rPr>
        <w:footnoteRef/>
      </w:r>
      <w:r w:rsidRPr="00D9221C">
        <w:rPr>
          <w:rFonts w:asciiTheme="majorHAnsi" w:hAnsiTheme="majorHAnsi"/>
          <w:sz w:val="22"/>
          <w:szCs w:val="22"/>
        </w:rPr>
        <w:t xml:space="preserve"> </w:t>
      </w:r>
      <w:r w:rsidRPr="00D9221C">
        <w:rPr>
          <w:rFonts w:asciiTheme="majorHAnsi" w:hAnsiTheme="majorHAnsi"/>
          <w:sz w:val="22"/>
          <w:szCs w:val="22"/>
          <w:lang w:val="en-US"/>
        </w:rPr>
        <w:t xml:space="preserve">Giles, M (2007), The role of education and training in prison to work transitions, In S </w:t>
      </w:r>
      <w:proofErr w:type="spellStart"/>
      <w:r w:rsidRPr="00D9221C">
        <w:rPr>
          <w:rFonts w:asciiTheme="majorHAnsi" w:hAnsiTheme="majorHAnsi"/>
          <w:sz w:val="22"/>
          <w:szCs w:val="22"/>
          <w:lang w:val="en-US"/>
        </w:rPr>
        <w:t>Dawe</w:t>
      </w:r>
      <w:proofErr w:type="spellEnd"/>
      <w:r w:rsidRPr="00D9221C">
        <w:rPr>
          <w:rFonts w:asciiTheme="majorHAnsi" w:hAnsiTheme="majorHAnsi"/>
          <w:sz w:val="22"/>
          <w:szCs w:val="22"/>
          <w:lang w:val="en-US"/>
        </w:rPr>
        <w:t xml:space="preserve"> (</w:t>
      </w:r>
      <w:proofErr w:type="spellStart"/>
      <w:r w:rsidRPr="00D9221C">
        <w:rPr>
          <w:rFonts w:asciiTheme="majorHAnsi" w:hAnsiTheme="majorHAnsi"/>
          <w:sz w:val="22"/>
          <w:szCs w:val="22"/>
          <w:lang w:val="en-US"/>
        </w:rPr>
        <w:t>ed</w:t>
      </w:r>
      <w:proofErr w:type="spellEnd"/>
      <w:r w:rsidRPr="00D9221C">
        <w:rPr>
          <w:rFonts w:asciiTheme="majorHAnsi" w:hAnsiTheme="majorHAnsi"/>
          <w:sz w:val="22"/>
          <w:szCs w:val="22"/>
          <w:lang w:val="en-US"/>
        </w:rPr>
        <w:t>), Vocational education and training for adult prisoners and offenders in Australia: Research readings, National Centre for Vocational Research.</w:t>
      </w:r>
    </w:p>
  </w:footnote>
  <w:footnote w:id="4">
    <w:p w14:paraId="1F4CBAD9" w14:textId="77777777" w:rsidR="005C4CE6" w:rsidRPr="00D9221C" w:rsidRDefault="005C4CE6" w:rsidP="00164A7C">
      <w:pPr>
        <w:pStyle w:val="FootnoteText"/>
        <w:rPr>
          <w:rFonts w:asciiTheme="majorHAnsi" w:hAnsiTheme="majorHAnsi"/>
          <w:sz w:val="22"/>
          <w:szCs w:val="22"/>
        </w:rPr>
      </w:pPr>
      <w:r w:rsidRPr="00D9221C">
        <w:rPr>
          <w:rStyle w:val="FootnoteReference"/>
          <w:rFonts w:asciiTheme="majorHAnsi" w:hAnsiTheme="majorHAnsi"/>
          <w:sz w:val="22"/>
          <w:szCs w:val="22"/>
        </w:rPr>
        <w:footnoteRef/>
      </w:r>
      <w:r w:rsidRPr="00D9221C">
        <w:rPr>
          <w:rFonts w:asciiTheme="majorHAnsi" w:hAnsiTheme="majorHAnsi"/>
          <w:sz w:val="22"/>
          <w:szCs w:val="22"/>
        </w:rPr>
        <w:t xml:space="preserve"> For evidence of the financial cost to government agencies, non-government organisations, communities and families of individuals becoming entrenched in the criminal justice system rather than being engaged in employment and education, see Baldry E, Dowse L, </w:t>
      </w:r>
      <w:proofErr w:type="spellStart"/>
      <w:r w:rsidRPr="00D9221C">
        <w:rPr>
          <w:rFonts w:asciiTheme="majorHAnsi" w:hAnsiTheme="majorHAnsi"/>
          <w:sz w:val="22"/>
          <w:szCs w:val="22"/>
        </w:rPr>
        <w:t>McCausland</w:t>
      </w:r>
      <w:proofErr w:type="spellEnd"/>
      <w:r w:rsidRPr="00D9221C">
        <w:rPr>
          <w:rFonts w:asciiTheme="majorHAnsi" w:hAnsiTheme="majorHAnsi"/>
          <w:sz w:val="22"/>
          <w:szCs w:val="22"/>
        </w:rPr>
        <w:t xml:space="preserve"> R &amp; Clarence M (2012) </w:t>
      </w:r>
      <w:proofErr w:type="spellStart"/>
      <w:r w:rsidRPr="00D9221C">
        <w:rPr>
          <w:rFonts w:asciiTheme="majorHAnsi" w:hAnsiTheme="majorHAnsi"/>
          <w:sz w:val="22"/>
          <w:szCs w:val="22"/>
        </w:rPr>
        <w:t>Lifecourse</w:t>
      </w:r>
      <w:proofErr w:type="spellEnd"/>
      <w:r w:rsidRPr="00D9221C">
        <w:rPr>
          <w:rFonts w:asciiTheme="majorHAnsi" w:hAnsiTheme="majorHAnsi"/>
          <w:sz w:val="22"/>
          <w:szCs w:val="22"/>
        </w:rPr>
        <w:t xml:space="preserve"> institutional costs for vulnerable groups, </w:t>
      </w:r>
      <w:proofErr w:type="spellStart"/>
      <w:r w:rsidRPr="00D9221C">
        <w:rPr>
          <w:rFonts w:asciiTheme="majorHAnsi" w:hAnsiTheme="majorHAnsi"/>
          <w:sz w:val="22"/>
          <w:szCs w:val="22"/>
        </w:rPr>
        <w:t>FaHCSIA</w:t>
      </w:r>
      <w:proofErr w:type="spellEnd"/>
      <w:r w:rsidRPr="00D9221C">
        <w:rPr>
          <w:rFonts w:asciiTheme="majorHAnsi" w:hAnsiTheme="majorHAnsi"/>
          <w:sz w:val="22"/>
          <w:szCs w:val="22"/>
        </w:rPr>
        <w:t>, Canberra, http://</w:t>
      </w:r>
      <w:proofErr w:type="spellStart"/>
      <w:r w:rsidRPr="00D9221C">
        <w:rPr>
          <w:rFonts w:asciiTheme="majorHAnsi" w:hAnsiTheme="majorHAnsi"/>
          <w:sz w:val="22"/>
          <w:szCs w:val="22"/>
        </w:rPr>
        <w:t>www.mhdcd.unsw.edu.au</w:t>
      </w:r>
      <w:proofErr w:type="spellEnd"/>
      <w:r w:rsidRPr="00D9221C">
        <w:rPr>
          <w:rFonts w:asciiTheme="majorHAnsi" w:hAnsiTheme="majorHAnsi"/>
          <w:sz w:val="22"/>
          <w:szCs w:val="22"/>
        </w:rPr>
        <w:t>/</w:t>
      </w:r>
      <w:proofErr w:type="spellStart"/>
      <w:r w:rsidRPr="00D9221C">
        <w:rPr>
          <w:rFonts w:asciiTheme="majorHAnsi" w:hAnsiTheme="majorHAnsi"/>
          <w:sz w:val="22"/>
          <w:szCs w:val="22"/>
        </w:rPr>
        <w:t>mhdcd</w:t>
      </w:r>
      <w:proofErr w:type="spellEnd"/>
      <w:r w:rsidRPr="00D9221C">
        <w:rPr>
          <w:rFonts w:asciiTheme="majorHAnsi" w:hAnsiTheme="majorHAnsi"/>
          <w:sz w:val="22"/>
          <w:szCs w:val="22"/>
        </w:rPr>
        <w:t>-projects-</w:t>
      </w:r>
      <w:proofErr w:type="spellStart"/>
      <w:r w:rsidRPr="00D9221C">
        <w:rPr>
          <w:rFonts w:asciiTheme="majorHAnsi" w:hAnsiTheme="majorHAnsi"/>
          <w:sz w:val="22"/>
          <w:szCs w:val="22"/>
        </w:rPr>
        <w:t>studies.html</w:t>
      </w:r>
      <w:proofErr w:type="spellEnd"/>
    </w:p>
  </w:footnote>
  <w:footnote w:id="5">
    <w:p w14:paraId="02FD8D0D" w14:textId="36C3C7A6" w:rsidR="005C4CE6" w:rsidRPr="00D9221C" w:rsidRDefault="005C4CE6" w:rsidP="00791BF1">
      <w:pPr>
        <w:widowControl w:val="0"/>
        <w:autoSpaceDE w:val="0"/>
        <w:autoSpaceDN w:val="0"/>
        <w:adjustRightInd w:val="0"/>
        <w:spacing w:after="240"/>
        <w:rPr>
          <w:rFonts w:asciiTheme="majorHAnsi" w:hAnsiTheme="majorHAnsi" w:cs="Times"/>
          <w:sz w:val="22"/>
          <w:szCs w:val="22"/>
          <w:lang w:val="en-US"/>
        </w:rPr>
      </w:pPr>
      <w:r w:rsidRPr="00D9221C">
        <w:rPr>
          <w:rStyle w:val="FootnoteReference"/>
          <w:rFonts w:asciiTheme="majorHAnsi" w:hAnsiTheme="majorHAnsi"/>
          <w:sz w:val="22"/>
          <w:szCs w:val="22"/>
        </w:rPr>
        <w:footnoteRef/>
      </w:r>
      <w:r w:rsidRPr="00D9221C">
        <w:rPr>
          <w:rFonts w:asciiTheme="majorHAnsi" w:hAnsiTheme="majorHAnsi"/>
          <w:sz w:val="22"/>
          <w:szCs w:val="22"/>
        </w:rPr>
        <w:t xml:space="preserve"> </w:t>
      </w:r>
      <w:r w:rsidRPr="00D9221C">
        <w:rPr>
          <w:rFonts w:asciiTheme="majorHAnsi" w:hAnsiTheme="majorHAnsi"/>
          <w:sz w:val="22"/>
          <w:szCs w:val="22"/>
          <w:lang w:val="en-US"/>
        </w:rPr>
        <w:t xml:space="preserve">Newton D, Day A, Giles M, </w:t>
      </w:r>
      <w:proofErr w:type="spellStart"/>
      <w:r w:rsidRPr="00D9221C">
        <w:rPr>
          <w:rFonts w:asciiTheme="majorHAnsi" w:hAnsiTheme="majorHAnsi"/>
          <w:sz w:val="22"/>
          <w:szCs w:val="22"/>
          <w:lang w:val="en-US"/>
        </w:rPr>
        <w:t>Wodak</w:t>
      </w:r>
      <w:proofErr w:type="spellEnd"/>
      <w:r w:rsidRPr="00D9221C">
        <w:rPr>
          <w:rFonts w:asciiTheme="majorHAnsi" w:hAnsiTheme="majorHAnsi"/>
          <w:sz w:val="22"/>
          <w:szCs w:val="22"/>
          <w:lang w:val="en-US"/>
        </w:rPr>
        <w:t xml:space="preserve"> J, </w:t>
      </w:r>
      <w:proofErr w:type="spellStart"/>
      <w:r w:rsidRPr="00D9221C">
        <w:rPr>
          <w:rFonts w:asciiTheme="majorHAnsi" w:hAnsiTheme="majorHAnsi"/>
          <w:sz w:val="22"/>
          <w:szCs w:val="22"/>
          <w:lang w:val="en-US"/>
        </w:rPr>
        <w:t>Graffam</w:t>
      </w:r>
      <w:proofErr w:type="spellEnd"/>
      <w:r w:rsidRPr="00D9221C">
        <w:rPr>
          <w:rFonts w:asciiTheme="majorHAnsi" w:hAnsiTheme="majorHAnsi"/>
          <w:sz w:val="22"/>
          <w:szCs w:val="22"/>
          <w:lang w:val="en-US"/>
        </w:rPr>
        <w:t xml:space="preserve"> J &amp; </w:t>
      </w:r>
      <w:proofErr w:type="spellStart"/>
      <w:r w:rsidRPr="00D9221C">
        <w:rPr>
          <w:rFonts w:asciiTheme="majorHAnsi" w:hAnsiTheme="majorHAnsi"/>
          <w:sz w:val="22"/>
          <w:szCs w:val="22"/>
          <w:lang w:val="en-US"/>
        </w:rPr>
        <w:t>Baldry</w:t>
      </w:r>
      <w:proofErr w:type="spellEnd"/>
      <w:r w:rsidRPr="00D9221C">
        <w:rPr>
          <w:rFonts w:asciiTheme="majorHAnsi" w:hAnsiTheme="majorHAnsi"/>
          <w:sz w:val="22"/>
          <w:szCs w:val="22"/>
          <w:lang w:val="en-US"/>
        </w:rPr>
        <w:t xml:space="preserve"> E (2016) The impact of vocational education and training programs on recidivism: A systematic review of the current experimental evidence, </w:t>
      </w:r>
      <w:r w:rsidRPr="00D9221C">
        <w:rPr>
          <w:rFonts w:asciiTheme="majorHAnsi" w:hAnsiTheme="majorHAnsi"/>
          <w:i/>
          <w:sz w:val="22"/>
          <w:szCs w:val="22"/>
          <w:lang w:val="en-US"/>
        </w:rPr>
        <w:t>International Journal of Offender Therapy and Comparative Criminology</w:t>
      </w:r>
      <w:r w:rsidRPr="00D9221C">
        <w:rPr>
          <w:rFonts w:asciiTheme="majorHAnsi" w:hAnsiTheme="majorHAnsi"/>
          <w:sz w:val="22"/>
          <w:szCs w:val="22"/>
          <w:lang w:val="en-US"/>
        </w:rPr>
        <w:t xml:space="preserve">, p. 17-18, DOI: </w:t>
      </w:r>
      <w:r w:rsidRPr="00D9221C">
        <w:rPr>
          <w:rFonts w:asciiTheme="majorHAnsi" w:hAnsiTheme="majorHAnsi" w:cs="Times"/>
          <w:sz w:val="22"/>
          <w:szCs w:val="22"/>
          <w:lang w:val="en-US"/>
        </w:rPr>
        <w:t xml:space="preserve">10.1177/0306624X16645083 </w:t>
      </w:r>
    </w:p>
  </w:footnote>
  <w:footnote w:id="6">
    <w:p w14:paraId="72296597" w14:textId="33E215CF" w:rsidR="005C4CE6" w:rsidRPr="001E035D" w:rsidRDefault="005C4CE6" w:rsidP="00792D6F">
      <w:pPr>
        <w:pStyle w:val="FootnoteText"/>
        <w:rPr>
          <w:rFonts w:asciiTheme="majorHAnsi" w:hAnsiTheme="majorHAnsi"/>
          <w:sz w:val="22"/>
          <w:szCs w:val="22"/>
          <w:lang w:val="en-US"/>
        </w:rPr>
      </w:pPr>
      <w:r w:rsidRPr="001E035D">
        <w:rPr>
          <w:rStyle w:val="FootnoteReference"/>
          <w:rFonts w:asciiTheme="majorHAnsi" w:hAnsiTheme="majorHAnsi"/>
          <w:sz w:val="22"/>
          <w:szCs w:val="22"/>
        </w:rPr>
        <w:footnoteRef/>
      </w:r>
      <w:r w:rsidRPr="001E035D">
        <w:rPr>
          <w:rFonts w:asciiTheme="majorHAnsi" w:hAnsiTheme="majorHAnsi"/>
          <w:sz w:val="22"/>
          <w:szCs w:val="22"/>
        </w:rPr>
        <w:t xml:space="preserve"> Employment status would be indicated by receipt of unemployment, single parent, </w:t>
      </w:r>
      <w:proofErr w:type="spellStart"/>
      <w:r w:rsidRPr="001E035D">
        <w:rPr>
          <w:rFonts w:asciiTheme="majorHAnsi" w:hAnsiTheme="majorHAnsi"/>
          <w:sz w:val="22"/>
          <w:szCs w:val="22"/>
        </w:rPr>
        <w:t>newstart</w:t>
      </w:r>
      <w:proofErr w:type="spellEnd"/>
      <w:r w:rsidRPr="001E035D">
        <w:rPr>
          <w:rFonts w:asciiTheme="majorHAnsi" w:hAnsiTheme="majorHAnsi"/>
          <w:sz w:val="22"/>
          <w:szCs w:val="22"/>
        </w:rPr>
        <w:t xml:space="preserve"> allowance etc. </w:t>
      </w:r>
    </w:p>
  </w:footnote>
  <w:footnote w:id="7">
    <w:p w14:paraId="685DCA54" w14:textId="7B7B1CC5" w:rsidR="005C4CE6" w:rsidRPr="001E035D" w:rsidRDefault="005C4CE6" w:rsidP="00792D6F">
      <w:pPr>
        <w:pStyle w:val="FootnoteText"/>
        <w:rPr>
          <w:rFonts w:asciiTheme="majorHAnsi" w:hAnsiTheme="majorHAnsi"/>
          <w:sz w:val="22"/>
          <w:szCs w:val="22"/>
          <w:lang w:val="en-US"/>
        </w:rPr>
      </w:pPr>
      <w:r w:rsidRPr="001E035D">
        <w:rPr>
          <w:rStyle w:val="FootnoteReference"/>
          <w:rFonts w:asciiTheme="majorHAnsi" w:hAnsiTheme="majorHAnsi"/>
          <w:sz w:val="22"/>
          <w:szCs w:val="22"/>
        </w:rPr>
        <w:footnoteRef/>
      </w:r>
      <w:r w:rsidRPr="001E035D">
        <w:rPr>
          <w:rFonts w:asciiTheme="majorHAnsi" w:hAnsiTheme="majorHAnsi"/>
          <w:sz w:val="22"/>
          <w:szCs w:val="22"/>
        </w:rPr>
        <w:t xml:space="preserve"> </w:t>
      </w:r>
      <w:proofErr w:type="spellStart"/>
      <w:r w:rsidRPr="001E035D">
        <w:rPr>
          <w:rFonts w:asciiTheme="majorHAnsi" w:hAnsiTheme="majorHAnsi"/>
          <w:sz w:val="22"/>
          <w:szCs w:val="22"/>
          <w:lang w:val="en-US"/>
        </w:rPr>
        <w:t>Aaltonen</w:t>
      </w:r>
      <w:proofErr w:type="spellEnd"/>
      <w:r w:rsidRPr="001E035D">
        <w:rPr>
          <w:rFonts w:asciiTheme="majorHAnsi" w:hAnsiTheme="majorHAnsi"/>
          <w:sz w:val="22"/>
          <w:szCs w:val="22"/>
          <w:lang w:val="en-US"/>
        </w:rPr>
        <w:t xml:space="preserve">, M (2016) Post-release employment of desisting inmates, </w:t>
      </w:r>
      <w:r w:rsidRPr="001E035D">
        <w:rPr>
          <w:rFonts w:asciiTheme="majorHAnsi" w:hAnsiTheme="majorHAnsi"/>
          <w:i/>
          <w:sz w:val="22"/>
          <w:szCs w:val="22"/>
          <w:lang w:val="en-US"/>
        </w:rPr>
        <w:t>British Journal of Criminology</w:t>
      </w:r>
      <w:r w:rsidRPr="001E035D">
        <w:rPr>
          <w:rFonts w:asciiTheme="majorHAnsi" w:hAnsiTheme="majorHAnsi"/>
          <w:sz w:val="22"/>
          <w:szCs w:val="22"/>
          <w:lang w:val="en-US"/>
        </w:rPr>
        <w:t xml:space="preserve">, 56, p. 356-357. </w:t>
      </w:r>
    </w:p>
  </w:footnote>
  <w:footnote w:id="8">
    <w:p w14:paraId="259386D2" w14:textId="5FA633FF" w:rsidR="005C4CE6" w:rsidRDefault="005C4CE6" w:rsidP="00792D6F">
      <w:pPr>
        <w:pStyle w:val="FootnoteText"/>
        <w:rPr>
          <w:rFonts w:asciiTheme="majorHAnsi" w:hAnsiTheme="majorHAnsi"/>
          <w:sz w:val="22"/>
          <w:szCs w:val="22"/>
        </w:rPr>
      </w:pPr>
      <w:r w:rsidRPr="001E035D">
        <w:rPr>
          <w:rStyle w:val="FootnoteReference"/>
          <w:rFonts w:asciiTheme="majorHAnsi" w:hAnsiTheme="majorHAnsi"/>
          <w:sz w:val="22"/>
          <w:szCs w:val="22"/>
        </w:rPr>
        <w:footnoteRef/>
      </w:r>
      <w:r w:rsidRPr="001E035D">
        <w:rPr>
          <w:rFonts w:asciiTheme="majorHAnsi" w:hAnsiTheme="majorHAnsi"/>
          <w:sz w:val="22"/>
          <w:szCs w:val="22"/>
        </w:rPr>
        <w:t xml:space="preserve"> Victorian Ombudsman (2014) </w:t>
      </w:r>
      <w:r w:rsidRPr="001E035D">
        <w:rPr>
          <w:rFonts w:asciiTheme="majorHAnsi" w:hAnsiTheme="majorHAnsi"/>
          <w:i/>
          <w:sz w:val="22"/>
          <w:szCs w:val="22"/>
        </w:rPr>
        <w:t>Investigation into the rehabilitation and reintegration of prisoners in Victoria</w:t>
      </w:r>
      <w:r>
        <w:rPr>
          <w:rFonts w:asciiTheme="majorHAnsi" w:hAnsiTheme="majorHAnsi"/>
          <w:sz w:val="22"/>
          <w:szCs w:val="22"/>
        </w:rPr>
        <w:t>, Discussion Paper, p. 20.</w:t>
      </w:r>
    </w:p>
    <w:p w14:paraId="43E5BD91" w14:textId="59301921" w:rsidR="005C4CE6" w:rsidRPr="001E035D" w:rsidRDefault="005C4CE6" w:rsidP="00792D6F">
      <w:pPr>
        <w:pStyle w:val="FootnoteText"/>
        <w:rPr>
          <w:rFonts w:asciiTheme="majorHAnsi" w:hAnsiTheme="majorHAnsi"/>
          <w:sz w:val="22"/>
          <w:szCs w:val="22"/>
          <w:lang w:val="en-US"/>
        </w:rPr>
      </w:pPr>
      <w:r>
        <w:rPr>
          <w:rFonts w:asciiTheme="majorHAnsi" w:hAnsiTheme="majorHAnsi"/>
          <w:sz w:val="22"/>
          <w:szCs w:val="22"/>
          <w:lang w:val="en-US"/>
        </w:rPr>
        <w:t xml:space="preserve">United National Office on Drugs and Crime (2012)  </w:t>
      </w:r>
      <w:r w:rsidRPr="006E1999">
        <w:rPr>
          <w:rFonts w:asciiTheme="majorHAnsi" w:hAnsiTheme="majorHAnsi"/>
          <w:i/>
          <w:sz w:val="22"/>
          <w:szCs w:val="22"/>
          <w:lang w:val="en-US"/>
        </w:rPr>
        <w:t>Introductory handbook on the prevention of recidivism and the social reintegration of offenders</w:t>
      </w:r>
      <w:r>
        <w:rPr>
          <w:rFonts w:asciiTheme="majorHAnsi" w:hAnsiTheme="majorHAnsi"/>
          <w:sz w:val="22"/>
          <w:szCs w:val="22"/>
          <w:lang w:val="en-US"/>
        </w:rPr>
        <w:t>, Vienna: United Nations.</w:t>
      </w:r>
    </w:p>
  </w:footnote>
  <w:footnote w:id="9">
    <w:p w14:paraId="4FC057AA" w14:textId="2B144FC2" w:rsidR="005C4CE6" w:rsidRPr="00792D6F" w:rsidRDefault="005C4CE6" w:rsidP="00792D6F">
      <w:pPr>
        <w:pStyle w:val="FootnoteText"/>
        <w:rPr>
          <w:lang w:val="en-US"/>
        </w:rPr>
      </w:pPr>
      <w:r w:rsidRPr="001E035D">
        <w:rPr>
          <w:rStyle w:val="FootnoteReference"/>
          <w:rFonts w:asciiTheme="majorHAnsi" w:hAnsiTheme="majorHAnsi"/>
          <w:sz w:val="22"/>
          <w:szCs w:val="22"/>
        </w:rPr>
        <w:footnoteRef/>
      </w:r>
      <w:r w:rsidRPr="001E035D">
        <w:rPr>
          <w:rFonts w:asciiTheme="majorHAnsi" w:hAnsiTheme="majorHAnsi"/>
          <w:sz w:val="22"/>
          <w:szCs w:val="22"/>
        </w:rPr>
        <w:t xml:space="preserve"> </w:t>
      </w:r>
      <w:r w:rsidRPr="001E035D">
        <w:rPr>
          <w:rFonts w:asciiTheme="majorHAnsi" w:hAnsiTheme="majorHAnsi"/>
          <w:i/>
          <w:sz w:val="22"/>
          <w:szCs w:val="22"/>
          <w:lang w:val="en-US"/>
        </w:rPr>
        <w:t>Adult prisoner participation in education, training and employment in Australia 2008-2015</w:t>
      </w:r>
      <w:r w:rsidRPr="001E035D">
        <w:rPr>
          <w:rFonts w:asciiTheme="majorHAnsi" w:hAnsiTheme="majorHAnsi"/>
          <w:sz w:val="22"/>
          <w:szCs w:val="22"/>
          <w:lang w:val="en-US"/>
        </w:rPr>
        <w:t>, Unpublished audit report completed as part of the Future Beyond the Wall research project.</w:t>
      </w:r>
    </w:p>
  </w:footnote>
  <w:footnote w:id="10">
    <w:p w14:paraId="3A3D47C8" w14:textId="77777777" w:rsidR="005C4CE6" w:rsidRPr="00E851BA" w:rsidRDefault="005C4CE6" w:rsidP="006C2442">
      <w:pPr>
        <w:pStyle w:val="FootnoteText"/>
        <w:rPr>
          <w:rFonts w:asciiTheme="majorHAnsi" w:hAnsiTheme="majorHAnsi"/>
          <w:sz w:val="22"/>
          <w:szCs w:val="22"/>
          <w:lang w:val="en-US"/>
        </w:rPr>
      </w:pPr>
      <w:r w:rsidRPr="00E851BA">
        <w:rPr>
          <w:rStyle w:val="FootnoteReference"/>
          <w:rFonts w:asciiTheme="majorHAnsi" w:hAnsiTheme="majorHAnsi"/>
          <w:sz w:val="22"/>
          <w:szCs w:val="22"/>
        </w:rPr>
        <w:footnoteRef/>
      </w:r>
      <w:r w:rsidRPr="00E851BA">
        <w:rPr>
          <w:rFonts w:asciiTheme="majorHAnsi" w:hAnsiTheme="majorHAnsi"/>
          <w:sz w:val="22"/>
          <w:szCs w:val="22"/>
        </w:rPr>
        <w:t xml:space="preserve"> </w:t>
      </w:r>
      <w:r>
        <w:rPr>
          <w:rFonts w:asciiTheme="majorHAnsi" w:hAnsiTheme="majorHAnsi"/>
          <w:sz w:val="22"/>
          <w:szCs w:val="22"/>
        </w:rPr>
        <w:t>Report on Government Services (2015) Corrective Services, p. 8.44</w:t>
      </w:r>
    </w:p>
  </w:footnote>
  <w:footnote w:id="11">
    <w:p w14:paraId="6CB6108F" w14:textId="027DF790" w:rsidR="005C4CE6" w:rsidRPr="000E376A" w:rsidRDefault="005C4CE6">
      <w:pPr>
        <w:pStyle w:val="FootnoteText"/>
        <w:rPr>
          <w:lang w:val="en-US"/>
        </w:rPr>
      </w:pPr>
      <w:r>
        <w:rPr>
          <w:rStyle w:val="FootnoteReference"/>
        </w:rPr>
        <w:footnoteRef/>
      </w:r>
      <w:r>
        <w:t xml:space="preserve"> </w:t>
      </w:r>
      <w:r w:rsidRPr="001E035D">
        <w:rPr>
          <w:rFonts w:asciiTheme="majorHAnsi" w:hAnsiTheme="majorHAnsi"/>
          <w:i/>
          <w:sz w:val="22"/>
          <w:szCs w:val="22"/>
          <w:lang w:val="en-US"/>
        </w:rPr>
        <w:t>Adult prisoner participation in education, training and employment in Australia 2008-2015</w:t>
      </w:r>
      <w:r w:rsidRPr="001E035D">
        <w:rPr>
          <w:rFonts w:asciiTheme="majorHAnsi" w:hAnsiTheme="majorHAnsi"/>
          <w:sz w:val="22"/>
          <w:szCs w:val="22"/>
          <w:lang w:val="en-US"/>
        </w:rPr>
        <w:t>, Unpublished audit report completed as part of the Future Beyond the Wall research project</w:t>
      </w:r>
      <w:r>
        <w:rPr>
          <w:rFonts w:asciiTheme="majorHAnsi" w:hAnsiTheme="majorHAnsi"/>
          <w:sz w:val="22"/>
          <w:szCs w:val="22"/>
          <w:lang w:val="en-US"/>
        </w:rPr>
        <w:t>, p. 22.</w:t>
      </w:r>
    </w:p>
  </w:footnote>
  <w:footnote w:id="12">
    <w:p w14:paraId="7DF7C020" w14:textId="614000B6" w:rsidR="005C4CE6" w:rsidRPr="006459B7" w:rsidRDefault="005C4CE6">
      <w:pPr>
        <w:pStyle w:val="FootnoteText"/>
        <w:rPr>
          <w:lang w:val="en-US"/>
        </w:rPr>
      </w:pPr>
      <w:r>
        <w:rPr>
          <w:rStyle w:val="FootnoteReference"/>
        </w:rPr>
        <w:footnoteRef/>
      </w:r>
      <w:r>
        <w:t xml:space="preserve"> </w:t>
      </w:r>
      <w:r w:rsidRPr="001E035D">
        <w:rPr>
          <w:rFonts w:asciiTheme="majorHAnsi" w:hAnsiTheme="majorHAnsi"/>
          <w:sz w:val="22"/>
          <w:szCs w:val="22"/>
        </w:rPr>
        <w:t xml:space="preserve">Victorian Ombudsman (2014) </w:t>
      </w:r>
      <w:r w:rsidRPr="001E035D">
        <w:rPr>
          <w:rFonts w:asciiTheme="majorHAnsi" w:hAnsiTheme="majorHAnsi"/>
          <w:i/>
          <w:sz w:val="22"/>
          <w:szCs w:val="22"/>
        </w:rPr>
        <w:t>Investigation into the rehabilitation and reintegration of prisoners in Victoria</w:t>
      </w:r>
      <w:r w:rsidRPr="001E035D">
        <w:rPr>
          <w:rFonts w:asciiTheme="majorHAnsi" w:hAnsiTheme="majorHAnsi"/>
          <w:sz w:val="22"/>
          <w:szCs w:val="22"/>
        </w:rPr>
        <w:t>, Discussion Paper</w:t>
      </w:r>
      <w:r>
        <w:rPr>
          <w:rFonts w:asciiTheme="majorHAnsi" w:hAnsiTheme="majorHAnsi"/>
          <w:sz w:val="22"/>
          <w:szCs w:val="22"/>
        </w:rPr>
        <w:t>, p. 20.</w:t>
      </w:r>
    </w:p>
  </w:footnote>
  <w:footnote w:id="13">
    <w:p w14:paraId="58D1239A" w14:textId="6783D679" w:rsidR="005C4CE6" w:rsidRPr="00EC729C" w:rsidRDefault="005C4CE6">
      <w:pPr>
        <w:pStyle w:val="FootnoteText"/>
        <w:rPr>
          <w:lang w:val="en-US"/>
        </w:rPr>
      </w:pPr>
      <w:r>
        <w:rPr>
          <w:rStyle w:val="FootnoteReference"/>
        </w:rPr>
        <w:footnoteRef/>
      </w:r>
      <w:r>
        <w:t xml:space="preserve"> </w:t>
      </w:r>
      <w:r w:rsidRPr="001E035D">
        <w:rPr>
          <w:rFonts w:asciiTheme="majorHAnsi" w:hAnsiTheme="majorHAnsi"/>
          <w:i/>
          <w:sz w:val="22"/>
          <w:szCs w:val="22"/>
          <w:lang w:val="en-US"/>
        </w:rPr>
        <w:t>Adult prisoner participation in education, training and employment in Australia 2008-2015</w:t>
      </w:r>
      <w:r w:rsidRPr="001E035D">
        <w:rPr>
          <w:rFonts w:asciiTheme="majorHAnsi" w:hAnsiTheme="majorHAnsi"/>
          <w:sz w:val="22"/>
          <w:szCs w:val="22"/>
          <w:lang w:val="en-US"/>
        </w:rPr>
        <w:t>, Unpublished audit report completed as part of the Future Beyond the Wall research project</w:t>
      </w:r>
      <w:r>
        <w:rPr>
          <w:rFonts w:asciiTheme="majorHAnsi" w:hAnsiTheme="majorHAnsi"/>
          <w:sz w:val="22"/>
          <w:szCs w:val="22"/>
          <w:lang w:val="en-US"/>
        </w:rPr>
        <w:t>, p.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286488"/>
    <w:multiLevelType w:val="hybridMultilevel"/>
    <w:tmpl w:val="F60A86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54124"/>
    <w:multiLevelType w:val="hybridMultilevel"/>
    <w:tmpl w:val="A7CCCD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D7BB7"/>
    <w:multiLevelType w:val="hybridMultilevel"/>
    <w:tmpl w:val="BEC2D34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4543D4"/>
    <w:multiLevelType w:val="hybridMultilevel"/>
    <w:tmpl w:val="4502C3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586412"/>
    <w:multiLevelType w:val="hybridMultilevel"/>
    <w:tmpl w:val="9022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F547E5"/>
    <w:multiLevelType w:val="hybridMultilevel"/>
    <w:tmpl w:val="9A0A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9E57C4"/>
    <w:multiLevelType w:val="hybridMultilevel"/>
    <w:tmpl w:val="639003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A56E00"/>
    <w:multiLevelType w:val="hybridMultilevel"/>
    <w:tmpl w:val="9CA01A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406595"/>
    <w:multiLevelType w:val="hybridMultilevel"/>
    <w:tmpl w:val="417A784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8E151C"/>
    <w:multiLevelType w:val="hybridMultilevel"/>
    <w:tmpl w:val="CBD646D8"/>
    <w:lvl w:ilvl="0" w:tplc="1EE0DD3A">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5"/>
  </w:num>
  <w:num w:numId="6">
    <w:abstractNumId w:val="8"/>
  </w:num>
  <w:num w:numId="7">
    <w:abstractNumId w:val="7"/>
  </w:num>
  <w:num w:numId="8">
    <w:abstractNumId w:val="6"/>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ay">
    <w15:presenceInfo w15:providerId="AD" w15:userId="S-1-5-21-248963057-614103661-3067232799-87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AD"/>
    <w:rsid w:val="000029D7"/>
    <w:rsid w:val="000140E7"/>
    <w:rsid w:val="00016D77"/>
    <w:rsid w:val="00025BDA"/>
    <w:rsid w:val="00030E9A"/>
    <w:rsid w:val="00031100"/>
    <w:rsid w:val="00047325"/>
    <w:rsid w:val="000508F0"/>
    <w:rsid w:val="00061607"/>
    <w:rsid w:val="00061C64"/>
    <w:rsid w:val="00070370"/>
    <w:rsid w:val="00070E3B"/>
    <w:rsid w:val="000721D8"/>
    <w:rsid w:val="00090656"/>
    <w:rsid w:val="000911DD"/>
    <w:rsid w:val="000917DB"/>
    <w:rsid w:val="0009432D"/>
    <w:rsid w:val="00095CA2"/>
    <w:rsid w:val="00096C40"/>
    <w:rsid w:val="000A4A01"/>
    <w:rsid w:val="000B272F"/>
    <w:rsid w:val="000E376A"/>
    <w:rsid w:val="000F5AC6"/>
    <w:rsid w:val="000F6AC3"/>
    <w:rsid w:val="0010198B"/>
    <w:rsid w:val="00103E8F"/>
    <w:rsid w:val="00131B8C"/>
    <w:rsid w:val="001459EA"/>
    <w:rsid w:val="0015169B"/>
    <w:rsid w:val="00162A01"/>
    <w:rsid w:val="00164173"/>
    <w:rsid w:val="001649E2"/>
    <w:rsid w:val="00164A7C"/>
    <w:rsid w:val="00172042"/>
    <w:rsid w:val="00172AA9"/>
    <w:rsid w:val="00174FA6"/>
    <w:rsid w:val="00175C72"/>
    <w:rsid w:val="00192AA0"/>
    <w:rsid w:val="001B6801"/>
    <w:rsid w:val="001B7C53"/>
    <w:rsid w:val="001C3164"/>
    <w:rsid w:val="001C73AD"/>
    <w:rsid w:val="001D1710"/>
    <w:rsid w:val="001D6B76"/>
    <w:rsid w:val="001E035D"/>
    <w:rsid w:val="00205033"/>
    <w:rsid w:val="00205B31"/>
    <w:rsid w:val="00205E6E"/>
    <w:rsid w:val="00231C42"/>
    <w:rsid w:val="00232535"/>
    <w:rsid w:val="002446B4"/>
    <w:rsid w:val="0026434A"/>
    <w:rsid w:val="00273E0B"/>
    <w:rsid w:val="0028288E"/>
    <w:rsid w:val="00283078"/>
    <w:rsid w:val="00287C51"/>
    <w:rsid w:val="002912B4"/>
    <w:rsid w:val="0029177A"/>
    <w:rsid w:val="00291977"/>
    <w:rsid w:val="00295271"/>
    <w:rsid w:val="002A0AC0"/>
    <w:rsid w:val="002B7D4C"/>
    <w:rsid w:val="002C2BFE"/>
    <w:rsid w:val="002D1671"/>
    <w:rsid w:val="002E27DD"/>
    <w:rsid w:val="002E5C9D"/>
    <w:rsid w:val="002F27D6"/>
    <w:rsid w:val="002F3103"/>
    <w:rsid w:val="002F3AB3"/>
    <w:rsid w:val="002F5B23"/>
    <w:rsid w:val="00301E6D"/>
    <w:rsid w:val="00312919"/>
    <w:rsid w:val="00314558"/>
    <w:rsid w:val="00326FD8"/>
    <w:rsid w:val="00327284"/>
    <w:rsid w:val="00330199"/>
    <w:rsid w:val="00332495"/>
    <w:rsid w:val="00344620"/>
    <w:rsid w:val="0034487D"/>
    <w:rsid w:val="00367D03"/>
    <w:rsid w:val="00374828"/>
    <w:rsid w:val="00395589"/>
    <w:rsid w:val="00395A5D"/>
    <w:rsid w:val="003B2006"/>
    <w:rsid w:val="003B5502"/>
    <w:rsid w:val="003C534C"/>
    <w:rsid w:val="003D6269"/>
    <w:rsid w:val="003E20EC"/>
    <w:rsid w:val="003F6888"/>
    <w:rsid w:val="004021DD"/>
    <w:rsid w:val="00407EB9"/>
    <w:rsid w:val="00415B2D"/>
    <w:rsid w:val="0041659F"/>
    <w:rsid w:val="00425EB1"/>
    <w:rsid w:val="00426707"/>
    <w:rsid w:val="00430973"/>
    <w:rsid w:val="00430CD5"/>
    <w:rsid w:val="00433057"/>
    <w:rsid w:val="004355BB"/>
    <w:rsid w:val="00451226"/>
    <w:rsid w:val="00454877"/>
    <w:rsid w:val="00455517"/>
    <w:rsid w:val="00456441"/>
    <w:rsid w:val="00461CF5"/>
    <w:rsid w:val="00463DED"/>
    <w:rsid w:val="00475F99"/>
    <w:rsid w:val="00480DC9"/>
    <w:rsid w:val="00480E58"/>
    <w:rsid w:val="00490878"/>
    <w:rsid w:val="00491C7D"/>
    <w:rsid w:val="004A504A"/>
    <w:rsid w:val="004B0D1A"/>
    <w:rsid w:val="004D73C4"/>
    <w:rsid w:val="005128EF"/>
    <w:rsid w:val="00512FEE"/>
    <w:rsid w:val="00513C19"/>
    <w:rsid w:val="00513FC0"/>
    <w:rsid w:val="00525DAE"/>
    <w:rsid w:val="00527432"/>
    <w:rsid w:val="00531F4A"/>
    <w:rsid w:val="005433D9"/>
    <w:rsid w:val="005526E3"/>
    <w:rsid w:val="005672B1"/>
    <w:rsid w:val="00575284"/>
    <w:rsid w:val="00586BC6"/>
    <w:rsid w:val="005A4798"/>
    <w:rsid w:val="005A56F6"/>
    <w:rsid w:val="005B1ECB"/>
    <w:rsid w:val="005B5A22"/>
    <w:rsid w:val="005C1098"/>
    <w:rsid w:val="005C4CE6"/>
    <w:rsid w:val="005C7B34"/>
    <w:rsid w:val="005D033A"/>
    <w:rsid w:val="005D1140"/>
    <w:rsid w:val="005E0916"/>
    <w:rsid w:val="005E3CD0"/>
    <w:rsid w:val="005F1035"/>
    <w:rsid w:val="005F565F"/>
    <w:rsid w:val="005F715A"/>
    <w:rsid w:val="00603928"/>
    <w:rsid w:val="00606FFF"/>
    <w:rsid w:val="00611D55"/>
    <w:rsid w:val="00616D2D"/>
    <w:rsid w:val="0061760B"/>
    <w:rsid w:val="006179F3"/>
    <w:rsid w:val="00621932"/>
    <w:rsid w:val="00626674"/>
    <w:rsid w:val="00631F14"/>
    <w:rsid w:val="00635D72"/>
    <w:rsid w:val="00640641"/>
    <w:rsid w:val="006459B7"/>
    <w:rsid w:val="006477F4"/>
    <w:rsid w:val="006561C7"/>
    <w:rsid w:val="006578EF"/>
    <w:rsid w:val="0066215A"/>
    <w:rsid w:val="0066371C"/>
    <w:rsid w:val="0067269B"/>
    <w:rsid w:val="00676989"/>
    <w:rsid w:val="00683586"/>
    <w:rsid w:val="0068720C"/>
    <w:rsid w:val="0069719B"/>
    <w:rsid w:val="006A07B1"/>
    <w:rsid w:val="006A4CDA"/>
    <w:rsid w:val="006A5BD8"/>
    <w:rsid w:val="006A6CDE"/>
    <w:rsid w:val="006B1F2C"/>
    <w:rsid w:val="006B5B1A"/>
    <w:rsid w:val="006C2442"/>
    <w:rsid w:val="006C38F0"/>
    <w:rsid w:val="006D2148"/>
    <w:rsid w:val="006D6229"/>
    <w:rsid w:val="006E1999"/>
    <w:rsid w:val="006E3392"/>
    <w:rsid w:val="00705BB3"/>
    <w:rsid w:val="007062A6"/>
    <w:rsid w:val="00707144"/>
    <w:rsid w:val="00716720"/>
    <w:rsid w:val="00742C1E"/>
    <w:rsid w:val="0074533E"/>
    <w:rsid w:val="00750203"/>
    <w:rsid w:val="00773F61"/>
    <w:rsid w:val="00791BF1"/>
    <w:rsid w:val="007927EB"/>
    <w:rsid w:val="00792D6F"/>
    <w:rsid w:val="00793D7A"/>
    <w:rsid w:val="00795231"/>
    <w:rsid w:val="00797FF1"/>
    <w:rsid w:val="007A52AF"/>
    <w:rsid w:val="007B0FD0"/>
    <w:rsid w:val="007B40DA"/>
    <w:rsid w:val="007C42E6"/>
    <w:rsid w:val="007C4634"/>
    <w:rsid w:val="007D1849"/>
    <w:rsid w:val="007D72DD"/>
    <w:rsid w:val="007F76F8"/>
    <w:rsid w:val="007F7AAB"/>
    <w:rsid w:val="00801D38"/>
    <w:rsid w:val="00803BD5"/>
    <w:rsid w:val="00810968"/>
    <w:rsid w:val="00810F7B"/>
    <w:rsid w:val="0084424D"/>
    <w:rsid w:val="008633E9"/>
    <w:rsid w:val="008647B9"/>
    <w:rsid w:val="008733D1"/>
    <w:rsid w:val="00891095"/>
    <w:rsid w:val="00891991"/>
    <w:rsid w:val="008D689F"/>
    <w:rsid w:val="008E2B5F"/>
    <w:rsid w:val="008E5366"/>
    <w:rsid w:val="00907405"/>
    <w:rsid w:val="0091143E"/>
    <w:rsid w:val="00911CE0"/>
    <w:rsid w:val="00921C80"/>
    <w:rsid w:val="0092523B"/>
    <w:rsid w:val="00925F1E"/>
    <w:rsid w:val="00932E98"/>
    <w:rsid w:val="009508AC"/>
    <w:rsid w:val="00955A48"/>
    <w:rsid w:val="009671B8"/>
    <w:rsid w:val="00972AAA"/>
    <w:rsid w:val="00972EF6"/>
    <w:rsid w:val="009816EB"/>
    <w:rsid w:val="00982F3C"/>
    <w:rsid w:val="009836C0"/>
    <w:rsid w:val="009836F6"/>
    <w:rsid w:val="00987613"/>
    <w:rsid w:val="00991F42"/>
    <w:rsid w:val="009A2EA6"/>
    <w:rsid w:val="009A3231"/>
    <w:rsid w:val="009B5889"/>
    <w:rsid w:val="009C3B87"/>
    <w:rsid w:val="009C5DBA"/>
    <w:rsid w:val="009D3629"/>
    <w:rsid w:val="009D6D2D"/>
    <w:rsid w:val="009E4EB4"/>
    <w:rsid w:val="009E5405"/>
    <w:rsid w:val="009F16D0"/>
    <w:rsid w:val="00A02898"/>
    <w:rsid w:val="00A0546B"/>
    <w:rsid w:val="00A411F5"/>
    <w:rsid w:val="00A5115B"/>
    <w:rsid w:val="00A54F5B"/>
    <w:rsid w:val="00A60E3A"/>
    <w:rsid w:val="00A75629"/>
    <w:rsid w:val="00A818D4"/>
    <w:rsid w:val="00A87E78"/>
    <w:rsid w:val="00A9735E"/>
    <w:rsid w:val="00AA5B93"/>
    <w:rsid w:val="00AA635C"/>
    <w:rsid w:val="00AA69F2"/>
    <w:rsid w:val="00AB0447"/>
    <w:rsid w:val="00AB4A34"/>
    <w:rsid w:val="00AB635F"/>
    <w:rsid w:val="00AB6AFA"/>
    <w:rsid w:val="00AC3948"/>
    <w:rsid w:val="00AC6D6D"/>
    <w:rsid w:val="00AC6F6A"/>
    <w:rsid w:val="00AD39F8"/>
    <w:rsid w:val="00AD6544"/>
    <w:rsid w:val="00AE0CD4"/>
    <w:rsid w:val="00AF4274"/>
    <w:rsid w:val="00AF5732"/>
    <w:rsid w:val="00AF6898"/>
    <w:rsid w:val="00AF7E72"/>
    <w:rsid w:val="00B066B3"/>
    <w:rsid w:val="00B42AA4"/>
    <w:rsid w:val="00B510B0"/>
    <w:rsid w:val="00B53576"/>
    <w:rsid w:val="00B87742"/>
    <w:rsid w:val="00BA7270"/>
    <w:rsid w:val="00BB0046"/>
    <w:rsid w:val="00BB7609"/>
    <w:rsid w:val="00BC212F"/>
    <w:rsid w:val="00BC3EBF"/>
    <w:rsid w:val="00BD2533"/>
    <w:rsid w:val="00BE52C3"/>
    <w:rsid w:val="00C0414C"/>
    <w:rsid w:val="00C158DE"/>
    <w:rsid w:val="00C15D05"/>
    <w:rsid w:val="00C1736F"/>
    <w:rsid w:val="00C211CB"/>
    <w:rsid w:val="00C45ABD"/>
    <w:rsid w:val="00C47190"/>
    <w:rsid w:val="00C474FF"/>
    <w:rsid w:val="00C53636"/>
    <w:rsid w:val="00C53E16"/>
    <w:rsid w:val="00C576DF"/>
    <w:rsid w:val="00C607C5"/>
    <w:rsid w:val="00C65C36"/>
    <w:rsid w:val="00C86A6E"/>
    <w:rsid w:val="00C87312"/>
    <w:rsid w:val="00C9119E"/>
    <w:rsid w:val="00C92402"/>
    <w:rsid w:val="00C92F4A"/>
    <w:rsid w:val="00C93423"/>
    <w:rsid w:val="00C95362"/>
    <w:rsid w:val="00CA11E0"/>
    <w:rsid w:val="00CA1C03"/>
    <w:rsid w:val="00CA33D0"/>
    <w:rsid w:val="00CA4BDF"/>
    <w:rsid w:val="00CB0251"/>
    <w:rsid w:val="00CB0FAB"/>
    <w:rsid w:val="00CB43F6"/>
    <w:rsid w:val="00CC3A5E"/>
    <w:rsid w:val="00CD66D0"/>
    <w:rsid w:val="00CE2BAB"/>
    <w:rsid w:val="00CF6008"/>
    <w:rsid w:val="00D04C83"/>
    <w:rsid w:val="00D10C50"/>
    <w:rsid w:val="00D16E04"/>
    <w:rsid w:val="00D20599"/>
    <w:rsid w:val="00D25582"/>
    <w:rsid w:val="00D2606F"/>
    <w:rsid w:val="00D33BA6"/>
    <w:rsid w:val="00D41ADF"/>
    <w:rsid w:val="00D43997"/>
    <w:rsid w:val="00D44B87"/>
    <w:rsid w:val="00D51591"/>
    <w:rsid w:val="00D71FB2"/>
    <w:rsid w:val="00D7337D"/>
    <w:rsid w:val="00D82B43"/>
    <w:rsid w:val="00D90E76"/>
    <w:rsid w:val="00D9221C"/>
    <w:rsid w:val="00D957E8"/>
    <w:rsid w:val="00D96796"/>
    <w:rsid w:val="00DB327A"/>
    <w:rsid w:val="00DB498F"/>
    <w:rsid w:val="00DC0B8F"/>
    <w:rsid w:val="00DC2FAE"/>
    <w:rsid w:val="00DF2838"/>
    <w:rsid w:val="00DF7676"/>
    <w:rsid w:val="00E1575C"/>
    <w:rsid w:val="00E1672F"/>
    <w:rsid w:val="00E312FA"/>
    <w:rsid w:val="00E369FE"/>
    <w:rsid w:val="00E4233B"/>
    <w:rsid w:val="00E429A0"/>
    <w:rsid w:val="00E432A9"/>
    <w:rsid w:val="00E43CB4"/>
    <w:rsid w:val="00E5599E"/>
    <w:rsid w:val="00E81E2E"/>
    <w:rsid w:val="00E851BA"/>
    <w:rsid w:val="00E85DA7"/>
    <w:rsid w:val="00E92081"/>
    <w:rsid w:val="00E925B3"/>
    <w:rsid w:val="00EA2B92"/>
    <w:rsid w:val="00EB6B39"/>
    <w:rsid w:val="00EC3F1B"/>
    <w:rsid w:val="00EC729C"/>
    <w:rsid w:val="00EC7352"/>
    <w:rsid w:val="00ED06F1"/>
    <w:rsid w:val="00ED3119"/>
    <w:rsid w:val="00EE0A4A"/>
    <w:rsid w:val="00EE29E9"/>
    <w:rsid w:val="00EF3020"/>
    <w:rsid w:val="00F11F87"/>
    <w:rsid w:val="00F16C96"/>
    <w:rsid w:val="00F24C71"/>
    <w:rsid w:val="00F42C41"/>
    <w:rsid w:val="00F44E7A"/>
    <w:rsid w:val="00F5297C"/>
    <w:rsid w:val="00F67F62"/>
    <w:rsid w:val="00F70134"/>
    <w:rsid w:val="00F75E76"/>
    <w:rsid w:val="00F85A52"/>
    <w:rsid w:val="00F868EF"/>
    <w:rsid w:val="00F9221F"/>
    <w:rsid w:val="00F94E00"/>
    <w:rsid w:val="00FC02DF"/>
    <w:rsid w:val="00FC1605"/>
    <w:rsid w:val="00FC1C98"/>
    <w:rsid w:val="00FC3CDB"/>
    <w:rsid w:val="00FD36E2"/>
    <w:rsid w:val="00FE09B0"/>
    <w:rsid w:val="00FE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A0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58"/>
    <w:pPr>
      <w:ind w:left="720"/>
      <w:contextualSpacing/>
    </w:pPr>
  </w:style>
  <w:style w:type="paragraph" w:styleId="FootnoteText">
    <w:name w:val="footnote text"/>
    <w:basedOn w:val="Normal"/>
    <w:link w:val="FootnoteTextChar"/>
    <w:unhideWhenUsed/>
    <w:rsid w:val="003B2006"/>
    <w:rPr>
      <w:rFonts w:eastAsiaTheme="minorHAnsi"/>
    </w:rPr>
  </w:style>
  <w:style w:type="character" w:customStyle="1" w:styleId="FootnoteTextChar">
    <w:name w:val="Footnote Text Char"/>
    <w:basedOn w:val="DefaultParagraphFont"/>
    <w:link w:val="FootnoteText"/>
    <w:rsid w:val="003B2006"/>
    <w:rPr>
      <w:rFonts w:eastAsiaTheme="minorHAnsi"/>
      <w:lang w:val="en-AU"/>
    </w:rPr>
  </w:style>
  <w:style w:type="character" w:styleId="FootnoteReference">
    <w:name w:val="footnote reference"/>
    <w:basedOn w:val="DefaultParagraphFont"/>
    <w:unhideWhenUsed/>
    <w:rsid w:val="003B2006"/>
    <w:rPr>
      <w:vertAlign w:val="superscript"/>
    </w:rPr>
  </w:style>
  <w:style w:type="paragraph" w:styleId="Footer">
    <w:name w:val="footer"/>
    <w:basedOn w:val="Normal"/>
    <w:link w:val="FooterChar"/>
    <w:uiPriority w:val="99"/>
    <w:unhideWhenUsed/>
    <w:rsid w:val="0091143E"/>
    <w:pPr>
      <w:tabs>
        <w:tab w:val="center" w:pos="4320"/>
        <w:tab w:val="right" w:pos="8640"/>
      </w:tabs>
    </w:pPr>
  </w:style>
  <w:style w:type="character" w:customStyle="1" w:styleId="FooterChar">
    <w:name w:val="Footer Char"/>
    <w:basedOn w:val="DefaultParagraphFont"/>
    <w:link w:val="Footer"/>
    <w:uiPriority w:val="99"/>
    <w:rsid w:val="0091143E"/>
    <w:rPr>
      <w:lang w:val="en-AU"/>
    </w:rPr>
  </w:style>
  <w:style w:type="character" w:styleId="PageNumber">
    <w:name w:val="page number"/>
    <w:basedOn w:val="DefaultParagraphFont"/>
    <w:uiPriority w:val="99"/>
    <w:semiHidden/>
    <w:unhideWhenUsed/>
    <w:rsid w:val="0091143E"/>
  </w:style>
  <w:style w:type="paragraph" w:styleId="NormalWeb">
    <w:name w:val="Normal (Web)"/>
    <w:basedOn w:val="Normal"/>
    <w:uiPriority w:val="99"/>
    <w:unhideWhenUsed/>
    <w:rsid w:val="005B1ECB"/>
    <w:pPr>
      <w:spacing w:before="100" w:beforeAutospacing="1" w:after="100" w:afterAutospacing="1"/>
      <w:jc w:val="both"/>
    </w:pPr>
    <w:rPr>
      <w:rFonts w:ascii="Times New Roman" w:eastAsiaTheme="minorHAnsi" w:hAnsi="Times New Roman" w:cs="Times New Roman"/>
      <w:sz w:val="22"/>
      <w:lang w:eastAsia="en-AU"/>
    </w:rPr>
  </w:style>
  <w:style w:type="paragraph" w:styleId="BalloonText">
    <w:name w:val="Balloon Text"/>
    <w:basedOn w:val="Normal"/>
    <w:link w:val="BalloonTextChar"/>
    <w:uiPriority w:val="99"/>
    <w:semiHidden/>
    <w:unhideWhenUsed/>
    <w:rsid w:val="005B1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ECB"/>
    <w:rPr>
      <w:rFonts w:ascii="Lucida Grande" w:hAnsi="Lucida Grande" w:cs="Lucida Grande"/>
      <w:sz w:val="18"/>
      <w:szCs w:val="18"/>
      <w:lang w:val="en-AU"/>
    </w:rPr>
  </w:style>
  <w:style w:type="character" w:styleId="Hyperlink">
    <w:name w:val="Hyperlink"/>
    <w:basedOn w:val="DefaultParagraphFont"/>
    <w:uiPriority w:val="99"/>
    <w:unhideWhenUsed/>
    <w:rsid w:val="005C1098"/>
    <w:rPr>
      <w:color w:val="0000FF" w:themeColor="hyperlink"/>
      <w:u w:val="single"/>
    </w:rPr>
  </w:style>
  <w:style w:type="character" w:styleId="FollowedHyperlink">
    <w:name w:val="FollowedHyperlink"/>
    <w:basedOn w:val="DefaultParagraphFont"/>
    <w:uiPriority w:val="99"/>
    <w:semiHidden/>
    <w:unhideWhenUsed/>
    <w:rsid w:val="005C1098"/>
    <w:rPr>
      <w:color w:val="800080" w:themeColor="followedHyperlink"/>
      <w:u w:val="single"/>
    </w:rPr>
  </w:style>
  <w:style w:type="character" w:styleId="CommentReference">
    <w:name w:val="annotation reference"/>
    <w:basedOn w:val="DefaultParagraphFont"/>
    <w:uiPriority w:val="99"/>
    <w:semiHidden/>
    <w:unhideWhenUsed/>
    <w:rsid w:val="005B5A22"/>
    <w:rPr>
      <w:sz w:val="18"/>
      <w:szCs w:val="18"/>
    </w:rPr>
  </w:style>
  <w:style w:type="paragraph" w:styleId="CommentText">
    <w:name w:val="annotation text"/>
    <w:basedOn w:val="Normal"/>
    <w:link w:val="CommentTextChar"/>
    <w:uiPriority w:val="99"/>
    <w:semiHidden/>
    <w:unhideWhenUsed/>
    <w:rsid w:val="005B5A22"/>
  </w:style>
  <w:style w:type="character" w:customStyle="1" w:styleId="CommentTextChar">
    <w:name w:val="Comment Text Char"/>
    <w:basedOn w:val="DefaultParagraphFont"/>
    <w:link w:val="CommentText"/>
    <w:uiPriority w:val="99"/>
    <w:semiHidden/>
    <w:rsid w:val="005B5A22"/>
    <w:rPr>
      <w:lang w:val="en-AU"/>
    </w:rPr>
  </w:style>
  <w:style w:type="paragraph" w:styleId="CommentSubject">
    <w:name w:val="annotation subject"/>
    <w:basedOn w:val="CommentText"/>
    <w:next w:val="CommentText"/>
    <w:link w:val="CommentSubjectChar"/>
    <w:uiPriority w:val="99"/>
    <w:semiHidden/>
    <w:unhideWhenUsed/>
    <w:rsid w:val="005B5A22"/>
    <w:rPr>
      <w:b/>
      <w:bCs/>
      <w:sz w:val="20"/>
      <w:szCs w:val="20"/>
    </w:rPr>
  </w:style>
  <w:style w:type="character" w:customStyle="1" w:styleId="CommentSubjectChar">
    <w:name w:val="Comment Subject Char"/>
    <w:basedOn w:val="CommentTextChar"/>
    <w:link w:val="CommentSubject"/>
    <w:uiPriority w:val="99"/>
    <w:semiHidden/>
    <w:rsid w:val="005B5A22"/>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58"/>
    <w:pPr>
      <w:ind w:left="720"/>
      <w:contextualSpacing/>
    </w:pPr>
  </w:style>
  <w:style w:type="paragraph" w:styleId="FootnoteText">
    <w:name w:val="footnote text"/>
    <w:basedOn w:val="Normal"/>
    <w:link w:val="FootnoteTextChar"/>
    <w:unhideWhenUsed/>
    <w:rsid w:val="003B2006"/>
    <w:rPr>
      <w:rFonts w:eastAsiaTheme="minorHAnsi"/>
    </w:rPr>
  </w:style>
  <w:style w:type="character" w:customStyle="1" w:styleId="FootnoteTextChar">
    <w:name w:val="Footnote Text Char"/>
    <w:basedOn w:val="DefaultParagraphFont"/>
    <w:link w:val="FootnoteText"/>
    <w:rsid w:val="003B2006"/>
    <w:rPr>
      <w:rFonts w:eastAsiaTheme="minorHAnsi"/>
      <w:lang w:val="en-AU"/>
    </w:rPr>
  </w:style>
  <w:style w:type="character" w:styleId="FootnoteReference">
    <w:name w:val="footnote reference"/>
    <w:basedOn w:val="DefaultParagraphFont"/>
    <w:unhideWhenUsed/>
    <w:rsid w:val="003B2006"/>
    <w:rPr>
      <w:vertAlign w:val="superscript"/>
    </w:rPr>
  </w:style>
  <w:style w:type="paragraph" w:styleId="Footer">
    <w:name w:val="footer"/>
    <w:basedOn w:val="Normal"/>
    <w:link w:val="FooterChar"/>
    <w:uiPriority w:val="99"/>
    <w:unhideWhenUsed/>
    <w:rsid w:val="0091143E"/>
    <w:pPr>
      <w:tabs>
        <w:tab w:val="center" w:pos="4320"/>
        <w:tab w:val="right" w:pos="8640"/>
      </w:tabs>
    </w:pPr>
  </w:style>
  <w:style w:type="character" w:customStyle="1" w:styleId="FooterChar">
    <w:name w:val="Footer Char"/>
    <w:basedOn w:val="DefaultParagraphFont"/>
    <w:link w:val="Footer"/>
    <w:uiPriority w:val="99"/>
    <w:rsid w:val="0091143E"/>
    <w:rPr>
      <w:lang w:val="en-AU"/>
    </w:rPr>
  </w:style>
  <w:style w:type="character" w:styleId="PageNumber">
    <w:name w:val="page number"/>
    <w:basedOn w:val="DefaultParagraphFont"/>
    <w:uiPriority w:val="99"/>
    <w:semiHidden/>
    <w:unhideWhenUsed/>
    <w:rsid w:val="0091143E"/>
  </w:style>
  <w:style w:type="paragraph" w:styleId="NormalWeb">
    <w:name w:val="Normal (Web)"/>
    <w:basedOn w:val="Normal"/>
    <w:uiPriority w:val="99"/>
    <w:unhideWhenUsed/>
    <w:rsid w:val="005B1ECB"/>
    <w:pPr>
      <w:spacing w:before="100" w:beforeAutospacing="1" w:after="100" w:afterAutospacing="1"/>
      <w:jc w:val="both"/>
    </w:pPr>
    <w:rPr>
      <w:rFonts w:ascii="Times New Roman" w:eastAsiaTheme="minorHAnsi" w:hAnsi="Times New Roman" w:cs="Times New Roman"/>
      <w:sz w:val="22"/>
      <w:lang w:eastAsia="en-AU"/>
    </w:rPr>
  </w:style>
  <w:style w:type="paragraph" w:styleId="BalloonText">
    <w:name w:val="Balloon Text"/>
    <w:basedOn w:val="Normal"/>
    <w:link w:val="BalloonTextChar"/>
    <w:uiPriority w:val="99"/>
    <w:semiHidden/>
    <w:unhideWhenUsed/>
    <w:rsid w:val="005B1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ECB"/>
    <w:rPr>
      <w:rFonts w:ascii="Lucida Grande" w:hAnsi="Lucida Grande" w:cs="Lucida Grande"/>
      <w:sz w:val="18"/>
      <w:szCs w:val="18"/>
      <w:lang w:val="en-AU"/>
    </w:rPr>
  </w:style>
  <w:style w:type="character" w:styleId="Hyperlink">
    <w:name w:val="Hyperlink"/>
    <w:basedOn w:val="DefaultParagraphFont"/>
    <w:uiPriority w:val="99"/>
    <w:unhideWhenUsed/>
    <w:rsid w:val="005C1098"/>
    <w:rPr>
      <w:color w:val="0000FF" w:themeColor="hyperlink"/>
      <w:u w:val="single"/>
    </w:rPr>
  </w:style>
  <w:style w:type="character" w:styleId="FollowedHyperlink">
    <w:name w:val="FollowedHyperlink"/>
    <w:basedOn w:val="DefaultParagraphFont"/>
    <w:uiPriority w:val="99"/>
    <w:semiHidden/>
    <w:unhideWhenUsed/>
    <w:rsid w:val="005C1098"/>
    <w:rPr>
      <w:color w:val="800080" w:themeColor="followedHyperlink"/>
      <w:u w:val="single"/>
    </w:rPr>
  </w:style>
  <w:style w:type="character" w:styleId="CommentReference">
    <w:name w:val="annotation reference"/>
    <w:basedOn w:val="DefaultParagraphFont"/>
    <w:uiPriority w:val="99"/>
    <w:semiHidden/>
    <w:unhideWhenUsed/>
    <w:rsid w:val="005B5A22"/>
    <w:rPr>
      <w:sz w:val="18"/>
      <w:szCs w:val="18"/>
    </w:rPr>
  </w:style>
  <w:style w:type="paragraph" w:styleId="CommentText">
    <w:name w:val="annotation text"/>
    <w:basedOn w:val="Normal"/>
    <w:link w:val="CommentTextChar"/>
    <w:uiPriority w:val="99"/>
    <w:semiHidden/>
    <w:unhideWhenUsed/>
    <w:rsid w:val="005B5A22"/>
  </w:style>
  <w:style w:type="character" w:customStyle="1" w:styleId="CommentTextChar">
    <w:name w:val="Comment Text Char"/>
    <w:basedOn w:val="DefaultParagraphFont"/>
    <w:link w:val="CommentText"/>
    <w:uiPriority w:val="99"/>
    <w:semiHidden/>
    <w:rsid w:val="005B5A22"/>
    <w:rPr>
      <w:lang w:val="en-AU"/>
    </w:rPr>
  </w:style>
  <w:style w:type="paragraph" w:styleId="CommentSubject">
    <w:name w:val="annotation subject"/>
    <w:basedOn w:val="CommentText"/>
    <w:next w:val="CommentText"/>
    <w:link w:val="CommentSubjectChar"/>
    <w:uiPriority w:val="99"/>
    <w:semiHidden/>
    <w:unhideWhenUsed/>
    <w:rsid w:val="005B5A22"/>
    <w:rPr>
      <w:b/>
      <w:bCs/>
      <w:sz w:val="20"/>
      <w:szCs w:val="20"/>
    </w:rPr>
  </w:style>
  <w:style w:type="character" w:customStyle="1" w:styleId="CommentSubjectChar">
    <w:name w:val="Comment Subject Char"/>
    <w:basedOn w:val="CommentTextChar"/>
    <w:link w:val="CommentSubject"/>
    <w:uiPriority w:val="99"/>
    <w:semiHidden/>
    <w:rsid w:val="005B5A22"/>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8B540-D405-44B8-9C0A-FD2F7D462D17}">
  <ds:schemaRefs>
    <ds:schemaRef ds:uri="http://schemas.microsoft.com/sharepoint/v3/contenttype/forms"/>
  </ds:schemaRefs>
</ds:datastoreItem>
</file>

<file path=customXml/itemProps2.xml><?xml version="1.0" encoding="utf-8"?>
<ds:datastoreItem xmlns:ds="http://schemas.openxmlformats.org/officeDocument/2006/customXml" ds:itemID="{17E60CE9-BA0B-4365-814E-CFB4B2EE5064}">
  <ds:schemaRefs>
    <ds:schemaRef ds:uri="http://schemas.microsoft.com/sharepoint/events"/>
  </ds:schemaRefs>
</ds:datastoreItem>
</file>

<file path=customXml/itemProps3.xml><?xml version="1.0" encoding="utf-8"?>
<ds:datastoreItem xmlns:ds="http://schemas.openxmlformats.org/officeDocument/2006/customXml" ds:itemID="{4A2C5DCF-8C61-4D23-94C1-501D187DFFC5}">
  <ds:schemaRefs>
    <ds:schemaRef ds:uri="http://schemas.microsoft.com/office/2006/metadata/customXsn"/>
  </ds:schemaRefs>
</ds:datastoreItem>
</file>

<file path=customXml/itemProps4.xml><?xml version="1.0" encoding="utf-8"?>
<ds:datastoreItem xmlns:ds="http://schemas.openxmlformats.org/officeDocument/2006/customXml" ds:itemID="{4D7D25A7-CD50-42D7-BC12-CAD50E1543C6}">
  <ds:schemaRefs>
    <ds:schemaRef ds:uri="Microsoft.SharePoint.Taxonomy.ContentTypeSync"/>
  </ds:schemaRefs>
</ds:datastoreItem>
</file>

<file path=customXml/itemProps5.xml><?xml version="1.0" encoding="utf-8"?>
<ds:datastoreItem xmlns:ds="http://schemas.openxmlformats.org/officeDocument/2006/customXml" ds:itemID="{12FFEC0D-959E-4B58-B1D5-9116F4359746}">
  <ds:schemaRefs>
    <ds:schemaRef ds:uri="http://schemas.microsoft.com/office/2006/documentManagement/types"/>
    <ds:schemaRef ds:uri="http://schemas.microsoft.com/office/infopath/2007/PartnerControls"/>
    <ds:schemaRef ds:uri="8044c801-d84b-4ee1-a77e-678f8dcdee17"/>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3f4bcce7-ac1a-4c9d-aa3e-7e77695652db"/>
    <ds:schemaRef ds:uri="http://purl.org/dc/dcmitype/"/>
  </ds:schemaRefs>
</ds:datastoreItem>
</file>

<file path=customXml/itemProps6.xml><?xml version="1.0" encoding="utf-8"?>
<ds:datastoreItem xmlns:ds="http://schemas.openxmlformats.org/officeDocument/2006/customXml" ds:itemID="{611A1B23-AAB2-4F30-B69E-6FD0345C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82 - A Future Beyond the Wall, ARC Linkage Project - Data Availability and Use - Public inquiry</vt:lpstr>
    </vt:vector>
  </TitlesOfParts>
  <Company>A future beyond the Wall – ARC Linkage Project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82 - A Future Beyond the Wall, ARC Linkage Project - Data Availability and Use - Public inquiry</dc:title>
  <dc:subject/>
  <dc:creator>A future beyond the Wall – ARC Linkage Project </dc:creator>
  <cp:keywords/>
  <dc:description/>
  <cp:lastModifiedBy>Productivity Commission</cp:lastModifiedBy>
  <cp:revision>30</cp:revision>
  <dcterms:created xsi:type="dcterms:W3CDTF">2016-07-26T00:46:00Z</dcterms:created>
  <dcterms:modified xsi:type="dcterms:W3CDTF">2016-08-02T04:46:00Z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11000</vt:r8>
  </property>
  <property fmtid="{D5CDD505-2E9C-101B-9397-08002B2CF9AE}" pid="4" name="TaxKeyword">
    <vt:lpwstr/>
  </property>
  <property fmtid="{D5CDD505-2E9C-101B-9397-08002B2CF9AE}" pid="5" name="Record Tag">
    <vt:lpwstr>139;#Submissions|c6e0dbf8-5444-433c-844d-d567dd519a05</vt:lpwstr>
  </property>
</Properties>
</file>