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C0" w:rsidRDefault="006833BE" w:rsidP="00103FAC">
      <w:pPr>
        <w:rPr>
          <w:rFonts w:ascii="Century Gothic" w:hAnsi="Century Gothic" w:cs="Calibri"/>
          <w:b/>
          <w:bCs/>
          <w:kern w:val="32"/>
          <w:sz w:val="28"/>
          <w:szCs w:val="22"/>
        </w:rPr>
      </w:pPr>
      <w:bookmarkStart w:id="0" w:name="_GoBack"/>
      <w:bookmarkEnd w:id="0"/>
      <w:r>
        <w:rPr>
          <w:rFonts w:ascii="Century Gothic" w:hAnsi="Century Gothic" w:cs="Calibri"/>
          <w:caps/>
          <w:noProof/>
          <w:szCs w:val="22"/>
          <w:lang w:eastAsia="en-AU"/>
        </w:rPr>
        <w:drawing>
          <wp:anchor distT="0" distB="0" distL="114300" distR="114300" simplePos="0" relativeHeight="251657728" behindDoc="1" locked="0" layoutInCell="1" allowOverlap="1" wp14:anchorId="3D9FBBD0" wp14:editId="33F4E066">
            <wp:simplePos x="0" y="0"/>
            <wp:positionH relativeFrom="column">
              <wp:posOffset>2857500</wp:posOffset>
            </wp:positionH>
            <wp:positionV relativeFrom="paragraph">
              <wp:posOffset>-1184910</wp:posOffset>
            </wp:positionV>
            <wp:extent cx="3876040" cy="1830705"/>
            <wp:effectExtent l="0" t="0" r="0" b="0"/>
            <wp:wrapNone/>
            <wp:docPr id="8" name="Picture 8" descr="inline-red-PMS-1807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red-PMS-1807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040" cy="1830705"/>
                    </a:xfrm>
                    <a:prstGeom prst="rect">
                      <a:avLst/>
                    </a:prstGeom>
                    <a:noFill/>
                  </pic:spPr>
                </pic:pic>
              </a:graphicData>
            </a:graphic>
            <wp14:sizeRelH relativeFrom="page">
              <wp14:pctWidth>0</wp14:pctWidth>
            </wp14:sizeRelH>
            <wp14:sizeRelV relativeFrom="page">
              <wp14:pctHeight>0</wp14:pctHeight>
            </wp14:sizeRelV>
          </wp:anchor>
        </w:drawing>
      </w:r>
      <w:r w:rsidR="006B47D4" w:rsidRPr="001E313D">
        <w:rPr>
          <w:rFonts w:ascii="Century Gothic" w:hAnsi="Century Gothic" w:cs="Calibri"/>
          <w:color w:val="B5121B"/>
          <w:szCs w:val="22"/>
        </w:rPr>
        <w:br/>
      </w:r>
    </w:p>
    <w:p w:rsidR="00103FAC" w:rsidRDefault="00103FAC" w:rsidP="00103FAC">
      <w:pPr>
        <w:rPr>
          <w:rFonts w:ascii="Century Gothic" w:hAnsi="Century Gothic" w:cs="Calibri"/>
          <w:b/>
          <w:bCs/>
          <w:kern w:val="32"/>
          <w:sz w:val="28"/>
          <w:szCs w:val="22"/>
        </w:rPr>
      </w:pPr>
      <w:r>
        <w:rPr>
          <w:rFonts w:ascii="Century Gothic" w:hAnsi="Century Gothic" w:cs="Calibri"/>
          <w:b/>
          <w:bCs/>
          <w:kern w:val="32"/>
          <w:sz w:val="28"/>
          <w:szCs w:val="22"/>
        </w:rPr>
        <w:t>Cancer Australia Submission</w:t>
      </w:r>
    </w:p>
    <w:p w:rsidR="00103FAC" w:rsidRPr="00B85382" w:rsidRDefault="00103FAC" w:rsidP="00103FAC">
      <w:pPr>
        <w:rPr>
          <w:rFonts w:ascii="Century Gothic" w:hAnsi="Century Gothic" w:cs="Calibri"/>
          <w:b/>
          <w:bCs/>
          <w:kern w:val="32"/>
          <w:sz w:val="28"/>
          <w:szCs w:val="22"/>
        </w:rPr>
      </w:pPr>
      <w:r>
        <w:rPr>
          <w:rFonts w:ascii="Century Gothic" w:hAnsi="Century Gothic" w:cs="Calibri"/>
          <w:b/>
          <w:bCs/>
          <w:kern w:val="32"/>
          <w:sz w:val="28"/>
          <w:szCs w:val="22"/>
        </w:rPr>
        <w:t xml:space="preserve">Productivity Commission </w:t>
      </w:r>
      <w:r w:rsidR="00B36EBD">
        <w:rPr>
          <w:rFonts w:ascii="Century Gothic" w:hAnsi="Century Gothic" w:cs="Calibri"/>
          <w:b/>
          <w:bCs/>
          <w:kern w:val="32"/>
          <w:sz w:val="28"/>
          <w:szCs w:val="22"/>
        </w:rPr>
        <w:t>Inquiry</w:t>
      </w:r>
      <w:r>
        <w:rPr>
          <w:rFonts w:ascii="Century Gothic" w:hAnsi="Century Gothic" w:cs="Calibri"/>
          <w:b/>
          <w:bCs/>
          <w:kern w:val="32"/>
          <w:sz w:val="28"/>
          <w:szCs w:val="22"/>
        </w:rPr>
        <w:t xml:space="preserve"> – Data Availability and Use</w:t>
      </w:r>
    </w:p>
    <w:p w:rsidR="00751DF4" w:rsidRPr="00103FAC" w:rsidRDefault="00103FAC" w:rsidP="00751DF4">
      <w:pPr>
        <w:pStyle w:val="Heading1"/>
        <w:pBdr>
          <w:bottom w:val="single" w:sz="4" w:space="1" w:color="auto"/>
        </w:pBdr>
        <w:spacing w:before="240" w:line="360" w:lineRule="auto"/>
        <w:rPr>
          <w:rFonts w:ascii="Century Gothic" w:hAnsi="Century Gothic" w:cs="Calibri"/>
          <w:caps w:val="0"/>
          <w:sz w:val="24"/>
        </w:rPr>
      </w:pPr>
      <w:r w:rsidRPr="00103FAC">
        <w:rPr>
          <w:rFonts w:ascii="Century Gothic" w:hAnsi="Century Gothic" w:cs="Calibri"/>
          <w:caps w:val="0"/>
          <w:sz w:val="24"/>
        </w:rPr>
        <w:t>July 2016</w:t>
      </w:r>
    </w:p>
    <w:p w:rsidR="00C54827" w:rsidRDefault="00103FAC" w:rsidP="00C54827">
      <w:pPr>
        <w:spacing w:before="240" w:line="276" w:lineRule="auto"/>
        <w:rPr>
          <w:rFonts w:ascii="Century Gothic" w:hAnsi="Century Gothic" w:cs="Calibri"/>
          <w:b/>
          <w:color w:val="C00000"/>
        </w:rPr>
      </w:pPr>
      <w:r>
        <w:rPr>
          <w:rFonts w:ascii="Century Gothic" w:hAnsi="Century Gothic" w:cs="Calibri"/>
          <w:b/>
          <w:color w:val="C00000"/>
        </w:rPr>
        <w:t>Introduction</w:t>
      </w:r>
    </w:p>
    <w:p w:rsidR="0051456B" w:rsidRDefault="00147ECE" w:rsidP="00C54827">
      <w:pPr>
        <w:spacing w:before="240" w:line="276" w:lineRule="auto"/>
        <w:rPr>
          <w:rFonts w:ascii="Century Gothic" w:hAnsi="Century Gothic" w:cs="Calibri"/>
          <w:sz w:val="20"/>
          <w:szCs w:val="20"/>
        </w:rPr>
      </w:pPr>
      <w:r>
        <w:rPr>
          <w:rFonts w:ascii="Century Gothic" w:hAnsi="Century Gothic" w:cs="Calibri"/>
          <w:sz w:val="20"/>
          <w:szCs w:val="20"/>
        </w:rPr>
        <w:t>A</w:t>
      </w:r>
      <w:r w:rsidR="007746F5">
        <w:rPr>
          <w:rFonts w:ascii="Century Gothic" w:hAnsi="Century Gothic" w:cs="Calibri"/>
          <w:sz w:val="20"/>
          <w:szCs w:val="20"/>
        </w:rPr>
        <w:t xml:space="preserve">ccurate and up-to-date data is critical </w:t>
      </w:r>
      <w:r w:rsidR="00455EA7">
        <w:rPr>
          <w:rFonts w:ascii="Century Gothic" w:hAnsi="Century Gothic" w:cs="Calibri"/>
          <w:sz w:val="20"/>
          <w:szCs w:val="20"/>
        </w:rPr>
        <w:t xml:space="preserve">for </w:t>
      </w:r>
      <w:r w:rsidR="007746F5">
        <w:rPr>
          <w:rFonts w:ascii="Century Gothic" w:hAnsi="Century Gothic" w:cs="Calibri"/>
          <w:sz w:val="20"/>
          <w:szCs w:val="20"/>
        </w:rPr>
        <w:t>evidence-based decision-making</w:t>
      </w:r>
      <w:r>
        <w:rPr>
          <w:rFonts w:ascii="Century Gothic" w:hAnsi="Century Gothic" w:cs="Calibri"/>
          <w:sz w:val="20"/>
          <w:szCs w:val="20"/>
        </w:rPr>
        <w:t xml:space="preserve"> in all areas of public policy</w:t>
      </w:r>
      <w:r w:rsidR="007746F5">
        <w:rPr>
          <w:rFonts w:ascii="Century Gothic" w:hAnsi="Century Gothic" w:cs="Calibri"/>
          <w:sz w:val="20"/>
          <w:szCs w:val="20"/>
        </w:rPr>
        <w:t xml:space="preserve">. </w:t>
      </w:r>
      <w:r w:rsidR="00F32E56">
        <w:rPr>
          <w:rFonts w:ascii="Century Gothic" w:hAnsi="Century Gothic" w:cs="Calibri"/>
          <w:sz w:val="20"/>
          <w:szCs w:val="20"/>
        </w:rPr>
        <w:t>In particular,</w:t>
      </w:r>
      <w:r w:rsidR="009762F9">
        <w:rPr>
          <w:rFonts w:ascii="Century Gothic" w:hAnsi="Century Gothic" w:cs="Calibri"/>
          <w:sz w:val="20"/>
          <w:szCs w:val="20"/>
        </w:rPr>
        <w:t xml:space="preserve"> the availability of </w:t>
      </w:r>
      <w:r w:rsidR="00042782">
        <w:rPr>
          <w:rFonts w:ascii="Century Gothic" w:hAnsi="Century Gothic" w:cs="Calibri"/>
          <w:sz w:val="20"/>
          <w:szCs w:val="20"/>
        </w:rPr>
        <w:t>high</w:t>
      </w:r>
      <w:r w:rsidR="009762F9">
        <w:rPr>
          <w:rFonts w:ascii="Century Gothic" w:hAnsi="Century Gothic" w:cs="Calibri"/>
          <w:sz w:val="20"/>
          <w:szCs w:val="20"/>
        </w:rPr>
        <w:t xml:space="preserve"> </w:t>
      </w:r>
      <w:r w:rsidR="00042782">
        <w:rPr>
          <w:rFonts w:ascii="Century Gothic" w:hAnsi="Century Gothic" w:cs="Calibri"/>
          <w:sz w:val="20"/>
          <w:szCs w:val="20"/>
        </w:rPr>
        <w:t xml:space="preserve">quality </w:t>
      </w:r>
      <w:r w:rsidR="00F32E56" w:rsidRPr="00F32E56">
        <w:rPr>
          <w:rFonts w:ascii="Century Gothic" w:hAnsi="Century Gothic" w:cs="Calibri"/>
          <w:sz w:val="20"/>
          <w:szCs w:val="20"/>
        </w:rPr>
        <w:t>data</w:t>
      </w:r>
      <w:r w:rsidR="009762F9">
        <w:rPr>
          <w:rFonts w:ascii="Century Gothic" w:hAnsi="Century Gothic" w:cs="Calibri"/>
          <w:sz w:val="20"/>
          <w:szCs w:val="20"/>
        </w:rPr>
        <w:t xml:space="preserve"> </w:t>
      </w:r>
      <w:r w:rsidR="0086091D">
        <w:rPr>
          <w:rFonts w:ascii="Century Gothic" w:hAnsi="Century Gothic" w:cs="Calibri"/>
          <w:sz w:val="20"/>
          <w:szCs w:val="20"/>
        </w:rPr>
        <w:t xml:space="preserve">across the </w:t>
      </w:r>
      <w:r w:rsidR="009762F9">
        <w:rPr>
          <w:rFonts w:ascii="Century Gothic" w:hAnsi="Century Gothic" w:cs="Calibri"/>
          <w:sz w:val="20"/>
          <w:szCs w:val="20"/>
        </w:rPr>
        <w:t xml:space="preserve">cancer </w:t>
      </w:r>
      <w:r w:rsidR="00041A55">
        <w:rPr>
          <w:rFonts w:ascii="Century Gothic" w:hAnsi="Century Gothic" w:cs="Calibri"/>
          <w:sz w:val="20"/>
          <w:szCs w:val="20"/>
        </w:rPr>
        <w:t xml:space="preserve">control </w:t>
      </w:r>
      <w:r w:rsidR="0086091D">
        <w:rPr>
          <w:rFonts w:ascii="Century Gothic" w:hAnsi="Century Gothic" w:cs="Calibri"/>
          <w:sz w:val="20"/>
          <w:szCs w:val="20"/>
        </w:rPr>
        <w:t>continuum (i.e. from prevention</w:t>
      </w:r>
      <w:r w:rsidR="009762F9">
        <w:rPr>
          <w:rFonts w:ascii="Century Gothic" w:hAnsi="Century Gothic" w:cs="Calibri"/>
          <w:sz w:val="20"/>
          <w:szCs w:val="20"/>
        </w:rPr>
        <w:t>,</w:t>
      </w:r>
      <w:r w:rsidR="009B1461">
        <w:rPr>
          <w:rFonts w:ascii="Century Gothic" w:hAnsi="Century Gothic" w:cs="Calibri"/>
          <w:sz w:val="20"/>
          <w:szCs w:val="20"/>
        </w:rPr>
        <w:t xml:space="preserve"> </w:t>
      </w:r>
      <w:r w:rsidR="0086091D">
        <w:rPr>
          <w:rFonts w:ascii="Century Gothic" w:hAnsi="Century Gothic" w:cs="Calibri"/>
          <w:sz w:val="20"/>
          <w:szCs w:val="20"/>
        </w:rPr>
        <w:t>screening</w:t>
      </w:r>
      <w:r w:rsidR="009762F9">
        <w:rPr>
          <w:rFonts w:ascii="Century Gothic" w:hAnsi="Century Gothic" w:cs="Calibri"/>
          <w:sz w:val="20"/>
          <w:szCs w:val="20"/>
        </w:rPr>
        <w:t xml:space="preserve"> and</w:t>
      </w:r>
      <w:r w:rsidR="0086091D">
        <w:rPr>
          <w:rFonts w:ascii="Century Gothic" w:hAnsi="Century Gothic" w:cs="Calibri"/>
          <w:sz w:val="20"/>
          <w:szCs w:val="20"/>
        </w:rPr>
        <w:t xml:space="preserve"> diagnosis,</w:t>
      </w:r>
      <w:r w:rsidR="009762F9">
        <w:rPr>
          <w:rFonts w:ascii="Century Gothic" w:hAnsi="Century Gothic" w:cs="Calibri"/>
          <w:sz w:val="20"/>
          <w:szCs w:val="20"/>
        </w:rPr>
        <w:t xml:space="preserve"> through to</w:t>
      </w:r>
      <w:r w:rsidR="0086091D">
        <w:rPr>
          <w:rFonts w:ascii="Century Gothic" w:hAnsi="Century Gothic" w:cs="Calibri"/>
          <w:sz w:val="20"/>
          <w:szCs w:val="20"/>
        </w:rPr>
        <w:t xml:space="preserve"> treatment and survivorship) </w:t>
      </w:r>
      <w:r w:rsidR="00F32E56" w:rsidRPr="00F32E56">
        <w:rPr>
          <w:rFonts w:ascii="Century Gothic" w:hAnsi="Century Gothic" w:cs="Calibri"/>
          <w:sz w:val="20"/>
          <w:szCs w:val="20"/>
        </w:rPr>
        <w:t xml:space="preserve">is </w:t>
      </w:r>
      <w:r w:rsidR="00C04535">
        <w:rPr>
          <w:rFonts w:ascii="Century Gothic" w:hAnsi="Century Gothic" w:cs="Calibri"/>
          <w:sz w:val="20"/>
          <w:szCs w:val="20"/>
        </w:rPr>
        <w:t>vital</w:t>
      </w:r>
      <w:r w:rsidR="00F32E56" w:rsidRPr="00F32E56">
        <w:rPr>
          <w:rFonts w:ascii="Century Gothic" w:hAnsi="Century Gothic" w:cs="Calibri"/>
          <w:sz w:val="20"/>
          <w:szCs w:val="20"/>
        </w:rPr>
        <w:t xml:space="preserve"> to </w:t>
      </w:r>
      <w:r w:rsidR="00C04535">
        <w:rPr>
          <w:rFonts w:ascii="Century Gothic" w:hAnsi="Century Gothic" w:cs="Calibri"/>
          <w:sz w:val="20"/>
          <w:szCs w:val="20"/>
        </w:rPr>
        <w:t xml:space="preserve">ultimately </w:t>
      </w:r>
      <w:r w:rsidR="00814C2E">
        <w:rPr>
          <w:rFonts w:ascii="Century Gothic" w:hAnsi="Century Gothic" w:cs="Calibri"/>
          <w:sz w:val="20"/>
          <w:szCs w:val="20"/>
        </w:rPr>
        <w:t>improving cancer outcomes.</w:t>
      </w:r>
    </w:p>
    <w:p w:rsidR="00864D3F" w:rsidRDefault="00F32E56" w:rsidP="00C54827">
      <w:pPr>
        <w:spacing w:before="240" w:line="276" w:lineRule="auto"/>
        <w:rPr>
          <w:rFonts w:ascii="Century Gothic" w:hAnsi="Century Gothic" w:cs="Calibri"/>
          <w:sz w:val="20"/>
          <w:szCs w:val="20"/>
        </w:rPr>
      </w:pPr>
      <w:r w:rsidRPr="00F32E56">
        <w:rPr>
          <w:rFonts w:ascii="Century Gothic" w:hAnsi="Century Gothic" w:cs="Calibri"/>
          <w:sz w:val="20"/>
          <w:szCs w:val="20"/>
        </w:rPr>
        <w:t xml:space="preserve">Improving </w:t>
      </w:r>
      <w:r w:rsidR="0086091D">
        <w:rPr>
          <w:rFonts w:ascii="Century Gothic" w:hAnsi="Century Gothic" w:cs="Calibri"/>
          <w:sz w:val="20"/>
          <w:szCs w:val="20"/>
        </w:rPr>
        <w:t>the collection</w:t>
      </w:r>
      <w:r w:rsidR="007F6AC8">
        <w:rPr>
          <w:rFonts w:ascii="Century Gothic" w:hAnsi="Century Gothic" w:cs="Calibri"/>
          <w:sz w:val="20"/>
          <w:szCs w:val="20"/>
        </w:rPr>
        <w:t>, standardisation</w:t>
      </w:r>
      <w:r w:rsidR="0086091D">
        <w:rPr>
          <w:rFonts w:ascii="Century Gothic" w:hAnsi="Century Gothic" w:cs="Calibri"/>
          <w:sz w:val="20"/>
          <w:szCs w:val="20"/>
        </w:rPr>
        <w:t>, access, linkage</w:t>
      </w:r>
      <w:r w:rsidR="00A20148">
        <w:rPr>
          <w:rFonts w:ascii="Century Gothic" w:hAnsi="Century Gothic" w:cs="Calibri"/>
          <w:sz w:val="20"/>
          <w:szCs w:val="20"/>
        </w:rPr>
        <w:t xml:space="preserve"> (or data integration)</w:t>
      </w:r>
      <w:r w:rsidR="0086091D">
        <w:rPr>
          <w:rFonts w:ascii="Century Gothic" w:hAnsi="Century Gothic" w:cs="Calibri"/>
          <w:sz w:val="20"/>
          <w:szCs w:val="20"/>
        </w:rPr>
        <w:t xml:space="preserve">, </w:t>
      </w:r>
      <w:r w:rsidRPr="00F32E56">
        <w:rPr>
          <w:rFonts w:ascii="Century Gothic" w:hAnsi="Century Gothic" w:cs="Calibri"/>
          <w:sz w:val="20"/>
          <w:szCs w:val="20"/>
        </w:rPr>
        <w:t xml:space="preserve">analysis and reporting of national cancer data will help </w:t>
      </w:r>
      <w:r w:rsidR="001B7DCB">
        <w:rPr>
          <w:rFonts w:ascii="Century Gothic" w:hAnsi="Century Gothic" w:cs="Calibri"/>
          <w:sz w:val="20"/>
          <w:szCs w:val="20"/>
        </w:rPr>
        <w:t xml:space="preserve">us to </w:t>
      </w:r>
      <w:r w:rsidRPr="00F32E56">
        <w:rPr>
          <w:rFonts w:ascii="Century Gothic" w:hAnsi="Century Gothic" w:cs="Calibri"/>
          <w:sz w:val="20"/>
          <w:szCs w:val="20"/>
        </w:rPr>
        <w:t>better understand unwarranted variations in cancer outcomes across the Australian population</w:t>
      </w:r>
      <w:r w:rsidR="0089136D">
        <w:rPr>
          <w:rFonts w:ascii="Century Gothic" w:hAnsi="Century Gothic" w:cs="Calibri"/>
          <w:sz w:val="20"/>
          <w:szCs w:val="20"/>
        </w:rPr>
        <w:t>, and allow for more targeted policy and practice approaches in areas of need</w:t>
      </w:r>
      <w:r w:rsidRPr="00F32E56">
        <w:rPr>
          <w:rFonts w:ascii="Century Gothic" w:hAnsi="Century Gothic" w:cs="Calibri"/>
          <w:sz w:val="20"/>
          <w:szCs w:val="20"/>
        </w:rPr>
        <w:t>.</w:t>
      </w:r>
      <w:r w:rsidR="000D4AEC">
        <w:rPr>
          <w:rFonts w:ascii="Century Gothic" w:hAnsi="Century Gothic" w:cs="Calibri"/>
          <w:sz w:val="20"/>
          <w:szCs w:val="20"/>
        </w:rPr>
        <w:t xml:space="preserve"> </w:t>
      </w:r>
      <w:r w:rsidR="00CC563B">
        <w:rPr>
          <w:rFonts w:ascii="Century Gothic" w:hAnsi="Century Gothic" w:cs="Calibri"/>
          <w:sz w:val="20"/>
          <w:szCs w:val="20"/>
        </w:rPr>
        <w:t>In addition to improving the evidence</w:t>
      </w:r>
      <w:r w:rsidR="00FA059E">
        <w:rPr>
          <w:rFonts w:ascii="Century Gothic" w:hAnsi="Century Gothic" w:cs="Calibri"/>
          <w:sz w:val="20"/>
          <w:szCs w:val="20"/>
        </w:rPr>
        <w:t xml:space="preserve"> </w:t>
      </w:r>
      <w:r w:rsidR="00CC563B">
        <w:rPr>
          <w:rFonts w:ascii="Century Gothic" w:hAnsi="Century Gothic" w:cs="Calibri"/>
          <w:sz w:val="20"/>
          <w:szCs w:val="20"/>
        </w:rPr>
        <w:t xml:space="preserve">base for policy decision-making, </w:t>
      </w:r>
      <w:r w:rsidR="00FD3A63">
        <w:rPr>
          <w:rFonts w:ascii="Century Gothic" w:hAnsi="Century Gothic" w:cs="Calibri"/>
          <w:sz w:val="20"/>
          <w:szCs w:val="20"/>
        </w:rPr>
        <w:t>people affected by cancer</w:t>
      </w:r>
      <w:r w:rsidR="00FA059E">
        <w:rPr>
          <w:rFonts w:ascii="Century Gothic" w:hAnsi="Century Gothic" w:cs="Calibri"/>
          <w:sz w:val="20"/>
          <w:szCs w:val="20"/>
        </w:rPr>
        <w:t xml:space="preserve"> </w:t>
      </w:r>
      <w:r w:rsidR="0020217F">
        <w:rPr>
          <w:rFonts w:ascii="Century Gothic" w:hAnsi="Century Gothic" w:cs="Calibri"/>
          <w:sz w:val="20"/>
          <w:szCs w:val="20"/>
        </w:rPr>
        <w:t xml:space="preserve">see improving the availability and use of </w:t>
      </w:r>
      <w:r w:rsidR="0092373D">
        <w:rPr>
          <w:rFonts w:ascii="Century Gothic" w:hAnsi="Century Gothic" w:cs="Calibri"/>
          <w:sz w:val="20"/>
          <w:szCs w:val="20"/>
        </w:rPr>
        <w:t xml:space="preserve">data </w:t>
      </w:r>
      <w:r w:rsidR="0020217F">
        <w:rPr>
          <w:rFonts w:ascii="Century Gothic" w:hAnsi="Century Gothic" w:cs="Calibri"/>
          <w:sz w:val="20"/>
          <w:szCs w:val="20"/>
        </w:rPr>
        <w:t xml:space="preserve">as a priority </w:t>
      </w:r>
      <w:r w:rsidR="00D05598">
        <w:rPr>
          <w:rFonts w:ascii="Century Gothic" w:hAnsi="Century Gothic" w:cs="Calibri"/>
          <w:sz w:val="20"/>
          <w:szCs w:val="20"/>
        </w:rPr>
        <w:t>to improving cancer care and outcomes in Australia</w:t>
      </w:r>
      <w:r w:rsidR="000D4AEC" w:rsidRPr="000D4AEC">
        <w:rPr>
          <w:rFonts w:ascii="Century Gothic" w:hAnsi="Century Gothic" w:cs="Calibri"/>
          <w:sz w:val="20"/>
          <w:szCs w:val="20"/>
        </w:rPr>
        <w:t>.</w:t>
      </w:r>
    </w:p>
    <w:p w:rsidR="00D241C8" w:rsidRDefault="00A3144E" w:rsidP="00C54827">
      <w:pPr>
        <w:spacing w:before="240" w:line="276" w:lineRule="auto"/>
        <w:rPr>
          <w:rFonts w:ascii="Century Gothic" w:hAnsi="Century Gothic" w:cs="Calibri"/>
          <w:sz w:val="20"/>
          <w:szCs w:val="20"/>
        </w:rPr>
      </w:pPr>
      <w:r w:rsidRPr="00C54827">
        <w:rPr>
          <w:rFonts w:ascii="Century Gothic" w:hAnsi="Century Gothic" w:cs="Calibri"/>
          <w:sz w:val="20"/>
          <w:szCs w:val="20"/>
        </w:rPr>
        <w:t xml:space="preserve">Cancer Australia welcomes the opportunity to provide input </w:t>
      </w:r>
      <w:r w:rsidR="00151C5A">
        <w:rPr>
          <w:rFonts w:ascii="Century Gothic" w:hAnsi="Century Gothic" w:cs="Calibri"/>
          <w:sz w:val="20"/>
          <w:szCs w:val="20"/>
        </w:rPr>
        <w:t>in</w:t>
      </w:r>
      <w:r w:rsidRPr="00C54827">
        <w:rPr>
          <w:rFonts w:ascii="Century Gothic" w:hAnsi="Century Gothic" w:cs="Calibri"/>
          <w:sz w:val="20"/>
          <w:szCs w:val="20"/>
        </w:rPr>
        <w:t xml:space="preserve">to the </w:t>
      </w:r>
      <w:r w:rsidRPr="00334B68">
        <w:rPr>
          <w:rFonts w:ascii="Century Gothic" w:hAnsi="Century Gothic" w:cs="Calibri"/>
          <w:i/>
          <w:sz w:val="20"/>
          <w:szCs w:val="20"/>
        </w:rPr>
        <w:t>Productivity Commission Inquiry into Data Availability and Use</w:t>
      </w:r>
      <w:r>
        <w:rPr>
          <w:rFonts w:ascii="Century Gothic" w:hAnsi="Century Gothic" w:cs="Calibri"/>
          <w:sz w:val="20"/>
          <w:szCs w:val="20"/>
        </w:rPr>
        <w:t>.</w:t>
      </w:r>
      <w:r w:rsidRPr="00C54827">
        <w:rPr>
          <w:rFonts w:ascii="Century Gothic" w:hAnsi="Century Gothic" w:cs="Calibri"/>
          <w:sz w:val="20"/>
          <w:szCs w:val="20"/>
        </w:rPr>
        <w:t xml:space="preserve"> </w:t>
      </w:r>
      <w:r>
        <w:rPr>
          <w:rFonts w:ascii="Century Gothic" w:hAnsi="Century Gothic" w:cs="Calibri"/>
          <w:sz w:val="20"/>
          <w:szCs w:val="20"/>
        </w:rPr>
        <w:t xml:space="preserve">Given the broad scope of the inquiry, </w:t>
      </w:r>
      <w:r w:rsidR="00A4112C">
        <w:rPr>
          <w:rFonts w:ascii="Century Gothic" w:hAnsi="Century Gothic" w:cs="Calibri"/>
          <w:sz w:val="20"/>
          <w:szCs w:val="20"/>
        </w:rPr>
        <w:t>this submission</w:t>
      </w:r>
      <w:r w:rsidR="00BD0347">
        <w:rPr>
          <w:rFonts w:ascii="Century Gothic" w:hAnsi="Century Gothic" w:cs="Calibri"/>
          <w:sz w:val="20"/>
          <w:szCs w:val="20"/>
        </w:rPr>
        <w:t xml:space="preserve"> </w:t>
      </w:r>
      <w:r w:rsidR="00D241C8">
        <w:rPr>
          <w:rFonts w:ascii="Century Gothic" w:hAnsi="Century Gothic" w:cs="Calibri"/>
          <w:sz w:val="20"/>
          <w:szCs w:val="20"/>
        </w:rPr>
        <w:t>is structured as follows:</w:t>
      </w:r>
    </w:p>
    <w:p w:rsidR="00D241C8" w:rsidRDefault="00D241C8" w:rsidP="00D241C8">
      <w:pPr>
        <w:pStyle w:val="ListParagraph"/>
        <w:numPr>
          <w:ilvl w:val="0"/>
          <w:numId w:val="32"/>
        </w:numPr>
        <w:spacing w:before="240" w:line="276" w:lineRule="auto"/>
        <w:rPr>
          <w:rFonts w:ascii="Century Gothic" w:hAnsi="Century Gothic" w:cs="Calibri"/>
          <w:sz w:val="20"/>
          <w:szCs w:val="20"/>
        </w:rPr>
      </w:pPr>
      <w:r>
        <w:rPr>
          <w:rFonts w:ascii="Century Gothic" w:hAnsi="Century Gothic" w:cs="Calibri"/>
          <w:sz w:val="20"/>
          <w:szCs w:val="20"/>
        </w:rPr>
        <w:t>An overview of Cancer Australia’s role and remit;</w:t>
      </w:r>
    </w:p>
    <w:p w:rsidR="00D241C8" w:rsidRDefault="00D241C8" w:rsidP="00D241C8">
      <w:pPr>
        <w:pStyle w:val="ListParagraph"/>
        <w:numPr>
          <w:ilvl w:val="0"/>
          <w:numId w:val="32"/>
        </w:numPr>
        <w:spacing w:before="240" w:line="276" w:lineRule="auto"/>
        <w:rPr>
          <w:rFonts w:ascii="Century Gothic" w:hAnsi="Century Gothic" w:cs="Calibri"/>
          <w:sz w:val="20"/>
          <w:szCs w:val="20"/>
        </w:rPr>
      </w:pPr>
      <w:r>
        <w:rPr>
          <w:rFonts w:ascii="Century Gothic" w:hAnsi="Century Gothic" w:cs="Calibri"/>
          <w:sz w:val="20"/>
          <w:szCs w:val="20"/>
        </w:rPr>
        <w:t>A</w:t>
      </w:r>
      <w:r w:rsidR="00E62A83" w:rsidRPr="00D241C8">
        <w:rPr>
          <w:rFonts w:ascii="Century Gothic" w:hAnsi="Century Gothic" w:cs="Calibri"/>
          <w:sz w:val="20"/>
          <w:szCs w:val="20"/>
        </w:rPr>
        <w:t>n</w:t>
      </w:r>
      <w:r w:rsidR="000E59B8" w:rsidRPr="00D241C8">
        <w:rPr>
          <w:rFonts w:ascii="Century Gothic" w:hAnsi="Century Gothic" w:cs="Calibri"/>
          <w:sz w:val="20"/>
          <w:szCs w:val="20"/>
        </w:rPr>
        <w:t xml:space="preserve"> overview</w:t>
      </w:r>
      <w:r w:rsidR="00E62A83" w:rsidRPr="00D241C8">
        <w:rPr>
          <w:rFonts w:ascii="Century Gothic" w:hAnsi="Century Gothic" w:cs="Calibri"/>
          <w:sz w:val="20"/>
          <w:szCs w:val="20"/>
        </w:rPr>
        <w:t xml:space="preserve"> of </w:t>
      </w:r>
      <w:r w:rsidR="00BD0347" w:rsidRPr="00D241C8">
        <w:rPr>
          <w:rFonts w:ascii="Century Gothic" w:hAnsi="Century Gothic" w:cs="Calibri"/>
          <w:sz w:val="20"/>
          <w:szCs w:val="20"/>
        </w:rPr>
        <w:t xml:space="preserve">the </w:t>
      </w:r>
      <w:r w:rsidR="00C27DA9" w:rsidRPr="00D241C8">
        <w:rPr>
          <w:rFonts w:ascii="Century Gothic" w:hAnsi="Century Gothic" w:cs="Calibri"/>
          <w:sz w:val="20"/>
          <w:szCs w:val="20"/>
        </w:rPr>
        <w:t>matters</w:t>
      </w:r>
      <w:r w:rsidR="00BD0347" w:rsidRPr="00D241C8">
        <w:rPr>
          <w:rFonts w:ascii="Century Gothic" w:hAnsi="Century Gothic" w:cs="Calibri"/>
          <w:sz w:val="20"/>
          <w:szCs w:val="20"/>
        </w:rPr>
        <w:t xml:space="preserve"> raised in the</w:t>
      </w:r>
      <w:r w:rsidR="009D01EC">
        <w:rPr>
          <w:rFonts w:ascii="Century Gothic" w:hAnsi="Century Gothic" w:cs="Calibri"/>
          <w:sz w:val="20"/>
          <w:szCs w:val="20"/>
        </w:rPr>
        <w:t xml:space="preserve"> Inquiry</w:t>
      </w:r>
      <w:r w:rsidR="00BD0347" w:rsidRPr="00D241C8">
        <w:rPr>
          <w:rFonts w:ascii="Century Gothic" w:hAnsi="Century Gothic" w:cs="Calibri"/>
          <w:sz w:val="20"/>
          <w:szCs w:val="20"/>
        </w:rPr>
        <w:t xml:space="preserve"> Issues Paper</w:t>
      </w:r>
      <w:r w:rsidR="00C464CE" w:rsidRPr="00D241C8">
        <w:rPr>
          <w:rFonts w:ascii="Century Gothic" w:hAnsi="Century Gothic" w:cs="Calibri"/>
          <w:sz w:val="20"/>
          <w:szCs w:val="20"/>
        </w:rPr>
        <w:t xml:space="preserve">, </w:t>
      </w:r>
      <w:r w:rsidR="00BD0347" w:rsidRPr="00D241C8">
        <w:rPr>
          <w:rFonts w:ascii="Century Gothic" w:hAnsi="Century Gothic" w:cs="Calibri"/>
          <w:sz w:val="20"/>
          <w:szCs w:val="20"/>
        </w:rPr>
        <w:t>as they pertain to cancer-related data</w:t>
      </w:r>
      <w:r w:rsidR="008A3631" w:rsidRPr="00D241C8">
        <w:rPr>
          <w:rFonts w:ascii="Century Gothic" w:hAnsi="Century Gothic" w:cs="Calibri"/>
          <w:sz w:val="20"/>
          <w:szCs w:val="20"/>
        </w:rPr>
        <w:t xml:space="preserve">, </w:t>
      </w:r>
      <w:r>
        <w:rPr>
          <w:rFonts w:ascii="Century Gothic" w:hAnsi="Century Gothic" w:cs="Calibri"/>
          <w:sz w:val="20"/>
          <w:szCs w:val="20"/>
        </w:rPr>
        <w:t xml:space="preserve">including Cancer Australia’s </w:t>
      </w:r>
      <w:r w:rsidR="00FA059E">
        <w:rPr>
          <w:rFonts w:ascii="Century Gothic" w:hAnsi="Century Gothic" w:cs="Calibri"/>
          <w:sz w:val="20"/>
          <w:szCs w:val="20"/>
        </w:rPr>
        <w:t xml:space="preserve">program of </w:t>
      </w:r>
      <w:r>
        <w:rPr>
          <w:rFonts w:ascii="Century Gothic" w:hAnsi="Century Gothic" w:cs="Calibri"/>
          <w:sz w:val="20"/>
          <w:szCs w:val="20"/>
        </w:rPr>
        <w:t>work in data; and</w:t>
      </w:r>
    </w:p>
    <w:p w:rsidR="00E33B30" w:rsidRPr="00D241C8" w:rsidRDefault="00D241C8" w:rsidP="00D241C8">
      <w:pPr>
        <w:pStyle w:val="ListParagraph"/>
        <w:numPr>
          <w:ilvl w:val="0"/>
          <w:numId w:val="32"/>
        </w:numPr>
        <w:spacing w:before="240" w:line="276" w:lineRule="auto"/>
        <w:rPr>
          <w:rFonts w:ascii="Century Gothic" w:hAnsi="Century Gothic" w:cs="Calibri"/>
          <w:sz w:val="20"/>
          <w:szCs w:val="20"/>
        </w:rPr>
      </w:pPr>
      <w:r>
        <w:rPr>
          <w:rFonts w:ascii="Century Gothic" w:hAnsi="Century Gothic" w:cs="Calibri"/>
          <w:sz w:val="20"/>
          <w:szCs w:val="20"/>
        </w:rPr>
        <w:t>Specific issues under</w:t>
      </w:r>
      <w:r w:rsidR="00A3144E" w:rsidRPr="00D241C8">
        <w:rPr>
          <w:rFonts w:ascii="Century Gothic" w:hAnsi="Century Gothic" w:cs="Calibri"/>
          <w:sz w:val="20"/>
          <w:szCs w:val="20"/>
        </w:rPr>
        <w:t xml:space="preserve"> Terms of Reference 1</w:t>
      </w:r>
      <w:r w:rsidR="00C464CE" w:rsidRPr="00D241C8">
        <w:rPr>
          <w:rFonts w:ascii="Century Gothic" w:hAnsi="Century Gothic" w:cs="Calibri"/>
          <w:sz w:val="20"/>
          <w:szCs w:val="20"/>
        </w:rPr>
        <w:t>,</w:t>
      </w:r>
      <w:r w:rsidR="00A4112C" w:rsidRPr="00D241C8">
        <w:rPr>
          <w:rFonts w:ascii="Century Gothic" w:hAnsi="Century Gothic" w:cs="Calibri"/>
          <w:sz w:val="20"/>
          <w:szCs w:val="20"/>
        </w:rPr>
        <w:t xml:space="preserve"> 2</w:t>
      </w:r>
      <w:r w:rsidR="00A3144E" w:rsidRPr="00D241C8">
        <w:rPr>
          <w:rFonts w:ascii="Century Gothic" w:hAnsi="Century Gothic" w:cs="Calibri"/>
          <w:sz w:val="20"/>
          <w:szCs w:val="20"/>
        </w:rPr>
        <w:t xml:space="preserve"> and 4</w:t>
      </w:r>
      <w:r w:rsidR="00C464CE" w:rsidRPr="00D241C8">
        <w:rPr>
          <w:rFonts w:ascii="Century Gothic" w:hAnsi="Century Gothic" w:cs="Calibri"/>
          <w:sz w:val="20"/>
          <w:szCs w:val="20"/>
        </w:rPr>
        <w:t xml:space="preserve"> of the Inquiry</w:t>
      </w:r>
      <w:r w:rsidR="009B1313">
        <w:rPr>
          <w:rFonts w:ascii="Century Gothic" w:hAnsi="Century Gothic" w:cs="Calibri"/>
          <w:sz w:val="20"/>
          <w:szCs w:val="20"/>
        </w:rPr>
        <w:t xml:space="preserve">, including </w:t>
      </w:r>
      <w:r w:rsidR="000321F5">
        <w:rPr>
          <w:rFonts w:ascii="Century Gothic" w:hAnsi="Century Gothic" w:cs="Calibri"/>
          <w:sz w:val="20"/>
          <w:szCs w:val="20"/>
        </w:rPr>
        <w:t>−</w:t>
      </w:r>
      <w:r w:rsidR="009B1313">
        <w:rPr>
          <w:rFonts w:ascii="Century Gothic" w:hAnsi="Century Gothic" w:cs="Calibri"/>
          <w:sz w:val="20"/>
          <w:szCs w:val="20"/>
        </w:rPr>
        <w:t xml:space="preserve"> as requested in the Issues Paper </w:t>
      </w:r>
      <w:r w:rsidR="000321F5">
        <w:rPr>
          <w:rFonts w:ascii="Century Gothic" w:hAnsi="Century Gothic" w:cs="Calibri"/>
          <w:sz w:val="20"/>
          <w:szCs w:val="20"/>
        </w:rPr>
        <w:t>−</w:t>
      </w:r>
      <w:r w:rsidR="009B1313">
        <w:rPr>
          <w:rFonts w:ascii="Century Gothic" w:hAnsi="Century Gothic" w:cs="Calibri"/>
          <w:sz w:val="20"/>
          <w:szCs w:val="20"/>
        </w:rPr>
        <w:t xml:space="preserve"> examples of best practice</w:t>
      </w:r>
      <w:r w:rsidR="00A3144E" w:rsidRPr="00D241C8">
        <w:rPr>
          <w:rFonts w:ascii="Century Gothic" w:hAnsi="Century Gothic" w:cs="Calibri"/>
          <w:sz w:val="20"/>
          <w:szCs w:val="20"/>
        </w:rPr>
        <w:t>.</w:t>
      </w:r>
      <w:r w:rsidR="00041A55" w:rsidRPr="00D241C8">
        <w:rPr>
          <w:rFonts w:ascii="Century Gothic" w:hAnsi="Century Gothic" w:cs="Calibri"/>
          <w:sz w:val="20"/>
          <w:szCs w:val="20"/>
        </w:rPr>
        <w:t xml:space="preserve"> </w:t>
      </w:r>
    </w:p>
    <w:p w:rsidR="00A3144E" w:rsidRDefault="00C464CE" w:rsidP="00C54827">
      <w:pPr>
        <w:spacing w:before="240" w:line="276" w:lineRule="auto"/>
        <w:rPr>
          <w:rFonts w:ascii="Century Gothic" w:hAnsi="Century Gothic" w:cs="Calibri"/>
          <w:sz w:val="20"/>
          <w:szCs w:val="20"/>
        </w:rPr>
      </w:pPr>
      <w:r>
        <w:rPr>
          <w:rFonts w:ascii="Century Gothic" w:hAnsi="Century Gothic" w:cs="Calibri"/>
          <w:sz w:val="20"/>
          <w:szCs w:val="20"/>
        </w:rPr>
        <w:t>W</w:t>
      </w:r>
      <w:r w:rsidR="00E33B30">
        <w:rPr>
          <w:rFonts w:ascii="Century Gothic" w:hAnsi="Century Gothic" w:cs="Calibri"/>
          <w:sz w:val="20"/>
          <w:szCs w:val="20"/>
        </w:rPr>
        <w:t xml:space="preserve">hile </w:t>
      </w:r>
      <w:r w:rsidR="00041A55">
        <w:rPr>
          <w:rFonts w:ascii="Century Gothic" w:hAnsi="Century Gothic" w:cs="Calibri"/>
          <w:sz w:val="20"/>
          <w:szCs w:val="20"/>
        </w:rPr>
        <w:t xml:space="preserve">this submission focuses on cancer data, many of the issues discussed are common to </w:t>
      </w:r>
      <w:r w:rsidR="00BD0347">
        <w:rPr>
          <w:rFonts w:ascii="Century Gothic" w:hAnsi="Century Gothic" w:cs="Calibri"/>
          <w:sz w:val="20"/>
          <w:szCs w:val="20"/>
        </w:rPr>
        <w:t>health data in general</w:t>
      </w:r>
      <w:r w:rsidR="00041A55">
        <w:rPr>
          <w:rFonts w:ascii="Century Gothic" w:hAnsi="Century Gothic" w:cs="Calibri"/>
          <w:sz w:val="20"/>
          <w:szCs w:val="20"/>
        </w:rPr>
        <w:t>.</w:t>
      </w:r>
      <w:r w:rsidR="00E33B30">
        <w:rPr>
          <w:rFonts w:ascii="Century Gothic" w:hAnsi="Century Gothic" w:cs="Calibri"/>
          <w:sz w:val="20"/>
          <w:szCs w:val="20"/>
        </w:rPr>
        <w:t xml:space="preserve"> </w:t>
      </w:r>
      <w:r>
        <w:rPr>
          <w:rFonts w:ascii="Century Gothic" w:hAnsi="Century Gothic" w:cs="Calibri"/>
          <w:sz w:val="20"/>
          <w:szCs w:val="20"/>
        </w:rPr>
        <w:t xml:space="preserve">As </w:t>
      </w:r>
      <w:r w:rsidR="00E33B30">
        <w:rPr>
          <w:rFonts w:ascii="Century Gothic" w:hAnsi="Century Gothic" w:cs="Calibri"/>
          <w:sz w:val="20"/>
          <w:szCs w:val="20"/>
        </w:rPr>
        <w:t>the</w:t>
      </w:r>
      <w:r w:rsidR="008D510E">
        <w:rPr>
          <w:rFonts w:ascii="Century Gothic" w:hAnsi="Century Gothic" w:cs="Calibri"/>
          <w:sz w:val="20"/>
          <w:szCs w:val="20"/>
        </w:rPr>
        <w:t xml:space="preserve"> subject of data availability and use is </w:t>
      </w:r>
      <w:r w:rsidR="001A4CF8">
        <w:rPr>
          <w:rFonts w:ascii="Century Gothic" w:hAnsi="Century Gothic" w:cs="Calibri"/>
          <w:sz w:val="20"/>
          <w:szCs w:val="20"/>
        </w:rPr>
        <w:t xml:space="preserve">both complex and </w:t>
      </w:r>
      <w:r w:rsidR="008D510E">
        <w:rPr>
          <w:rFonts w:ascii="Century Gothic" w:hAnsi="Century Gothic" w:cs="Calibri"/>
          <w:sz w:val="20"/>
          <w:szCs w:val="20"/>
        </w:rPr>
        <w:t>wide-ranging</w:t>
      </w:r>
      <w:r w:rsidR="00FA059E">
        <w:rPr>
          <w:rFonts w:ascii="Century Gothic" w:hAnsi="Century Gothic" w:cs="Calibri"/>
          <w:sz w:val="20"/>
          <w:szCs w:val="20"/>
        </w:rPr>
        <w:t>,</w:t>
      </w:r>
      <w:r>
        <w:rPr>
          <w:rFonts w:ascii="Century Gothic" w:hAnsi="Century Gothic" w:cs="Calibri"/>
          <w:sz w:val="20"/>
          <w:szCs w:val="20"/>
        </w:rPr>
        <w:t xml:space="preserve"> and given</w:t>
      </w:r>
      <w:r w:rsidR="000E59B8">
        <w:rPr>
          <w:rFonts w:ascii="Century Gothic" w:hAnsi="Century Gothic" w:cs="Calibri"/>
          <w:sz w:val="20"/>
          <w:szCs w:val="20"/>
        </w:rPr>
        <w:t xml:space="preserve"> </w:t>
      </w:r>
      <w:r w:rsidR="00AE42F6">
        <w:rPr>
          <w:rFonts w:ascii="Century Gothic" w:hAnsi="Century Gothic" w:cs="Calibri"/>
          <w:sz w:val="20"/>
          <w:szCs w:val="20"/>
        </w:rPr>
        <w:t xml:space="preserve">the environment of health data analytics is </w:t>
      </w:r>
      <w:r w:rsidR="00FA059E">
        <w:rPr>
          <w:rFonts w:ascii="Century Gothic" w:hAnsi="Century Gothic" w:cs="Calibri"/>
          <w:sz w:val="20"/>
          <w:szCs w:val="20"/>
        </w:rPr>
        <w:t xml:space="preserve">rapidly </w:t>
      </w:r>
      <w:r w:rsidR="00AE42F6">
        <w:rPr>
          <w:rFonts w:ascii="Century Gothic" w:hAnsi="Century Gothic" w:cs="Calibri"/>
          <w:sz w:val="20"/>
          <w:szCs w:val="20"/>
        </w:rPr>
        <w:t>changing</w:t>
      </w:r>
      <w:r>
        <w:rPr>
          <w:rFonts w:ascii="Century Gothic" w:hAnsi="Century Gothic" w:cs="Calibri"/>
          <w:sz w:val="20"/>
          <w:szCs w:val="20"/>
        </w:rPr>
        <w:t>, t</w:t>
      </w:r>
      <w:r w:rsidR="008D510E">
        <w:rPr>
          <w:rFonts w:ascii="Century Gothic" w:hAnsi="Century Gothic" w:cs="Calibri"/>
          <w:sz w:val="20"/>
          <w:szCs w:val="20"/>
        </w:rPr>
        <w:t xml:space="preserve">his submission </w:t>
      </w:r>
      <w:r w:rsidR="004D2543">
        <w:rPr>
          <w:rFonts w:ascii="Century Gothic" w:hAnsi="Century Gothic" w:cs="Calibri"/>
          <w:sz w:val="20"/>
          <w:szCs w:val="20"/>
        </w:rPr>
        <w:t xml:space="preserve">and the examples provided are </w:t>
      </w:r>
      <w:r w:rsidR="008D510E">
        <w:rPr>
          <w:rFonts w:ascii="Century Gothic" w:hAnsi="Century Gothic" w:cs="Calibri"/>
          <w:sz w:val="20"/>
          <w:szCs w:val="20"/>
        </w:rPr>
        <w:t xml:space="preserve">not </w:t>
      </w:r>
      <w:r w:rsidR="001A4CF8">
        <w:rPr>
          <w:rFonts w:ascii="Century Gothic" w:hAnsi="Century Gothic" w:cs="Calibri"/>
          <w:sz w:val="20"/>
          <w:szCs w:val="20"/>
        </w:rPr>
        <w:t xml:space="preserve">intended to be </w:t>
      </w:r>
      <w:r w:rsidR="008D510E">
        <w:rPr>
          <w:rFonts w:ascii="Century Gothic" w:hAnsi="Century Gothic" w:cs="Calibri"/>
          <w:sz w:val="20"/>
          <w:szCs w:val="20"/>
        </w:rPr>
        <w:t>comprehensive</w:t>
      </w:r>
      <w:r w:rsidR="008A7948">
        <w:rPr>
          <w:rFonts w:ascii="Century Gothic" w:hAnsi="Century Gothic" w:cs="Calibri"/>
          <w:sz w:val="20"/>
          <w:szCs w:val="20"/>
        </w:rPr>
        <w:t xml:space="preserve"> in addressing all aspects of the Issues Paper</w:t>
      </w:r>
      <w:r w:rsidR="008D510E">
        <w:rPr>
          <w:rFonts w:ascii="Century Gothic" w:hAnsi="Century Gothic" w:cs="Calibri"/>
          <w:sz w:val="20"/>
          <w:szCs w:val="20"/>
        </w:rPr>
        <w:t>.</w:t>
      </w:r>
    </w:p>
    <w:p w:rsidR="00CD0E87" w:rsidRPr="001E313D" w:rsidRDefault="00CD0E87" w:rsidP="00CD0E87">
      <w:pPr>
        <w:spacing w:before="360" w:after="120" w:line="276" w:lineRule="auto"/>
        <w:rPr>
          <w:rFonts w:ascii="Century Gothic" w:hAnsi="Century Gothic" w:cs="Calibri"/>
          <w:b/>
          <w:color w:val="C00000"/>
        </w:rPr>
      </w:pPr>
      <w:r w:rsidRPr="00103FAC">
        <w:rPr>
          <w:rFonts w:ascii="Century Gothic" w:hAnsi="Century Gothic" w:cs="Calibri"/>
          <w:b/>
          <w:color w:val="C00000"/>
        </w:rPr>
        <w:t>About Cancer Australia</w:t>
      </w:r>
    </w:p>
    <w:p w:rsidR="00CD0E87" w:rsidRPr="00885C19" w:rsidRDefault="00CD0E87" w:rsidP="00CD0E87">
      <w:pPr>
        <w:spacing w:after="200" w:line="276" w:lineRule="auto"/>
        <w:rPr>
          <w:rFonts w:ascii="Century Gothic" w:hAnsi="Century Gothic" w:cs="Calibri"/>
          <w:sz w:val="20"/>
          <w:szCs w:val="20"/>
        </w:rPr>
      </w:pPr>
      <w:r w:rsidRPr="00885C19">
        <w:rPr>
          <w:rFonts w:ascii="Century Gothic" w:hAnsi="Century Gothic" w:cs="Calibri"/>
          <w:sz w:val="20"/>
          <w:szCs w:val="20"/>
        </w:rPr>
        <w:t xml:space="preserve">Cancer Australia is the Australian Government’s national cancer control agency and was established in 2006 to benefit all Australians affected by cancer, and their families and carers. </w:t>
      </w:r>
    </w:p>
    <w:p w:rsidR="00CD0E87" w:rsidRPr="00885C19" w:rsidRDefault="00CD0E87" w:rsidP="00CD0E87">
      <w:pPr>
        <w:spacing w:after="200" w:line="276" w:lineRule="auto"/>
        <w:rPr>
          <w:rFonts w:ascii="Century Gothic" w:hAnsi="Century Gothic" w:cs="Calibri"/>
          <w:sz w:val="20"/>
          <w:szCs w:val="20"/>
        </w:rPr>
      </w:pPr>
      <w:r w:rsidRPr="00885C19">
        <w:rPr>
          <w:rFonts w:ascii="Century Gothic" w:hAnsi="Century Gothic" w:cs="Calibri"/>
          <w:sz w:val="20"/>
          <w:szCs w:val="20"/>
        </w:rPr>
        <w:t>In line with functions specified in the Cancer Australia Act 2006 (Refer Appendix 1), Cancer Australia provides national leadership and coordination in cancer control</w:t>
      </w:r>
      <w:r w:rsidR="00151C5A">
        <w:rPr>
          <w:rFonts w:ascii="Century Gothic" w:hAnsi="Century Gothic" w:cs="Calibri"/>
          <w:sz w:val="20"/>
          <w:szCs w:val="20"/>
        </w:rPr>
        <w:t>,</w:t>
      </w:r>
      <w:r w:rsidRPr="00885C19">
        <w:rPr>
          <w:rFonts w:ascii="Century Gothic" w:hAnsi="Century Gothic" w:cs="Calibri"/>
          <w:sz w:val="20"/>
          <w:szCs w:val="20"/>
        </w:rPr>
        <w:t xml:space="preserve"> and guides scientific improvements across the cancer control continuum, from prevention, screening and early detection, to diagnosis, treatment, foll</w:t>
      </w:r>
      <w:r w:rsidR="00D77DE8">
        <w:rPr>
          <w:rFonts w:ascii="Century Gothic" w:hAnsi="Century Gothic" w:cs="Calibri"/>
          <w:sz w:val="20"/>
          <w:szCs w:val="20"/>
        </w:rPr>
        <w:t>ow-up care and supportive care.</w:t>
      </w:r>
    </w:p>
    <w:p w:rsidR="00CD0E87" w:rsidRDefault="00CD0E87" w:rsidP="00CD0E87">
      <w:pPr>
        <w:spacing w:after="200" w:line="276" w:lineRule="auto"/>
        <w:rPr>
          <w:rFonts w:ascii="Century Gothic" w:hAnsi="Century Gothic" w:cs="Calibri"/>
          <w:sz w:val="20"/>
          <w:szCs w:val="20"/>
        </w:rPr>
      </w:pPr>
      <w:r w:rsidRPr="00885C19">
        <w:rPr>
          <w:rFonts w:ascii="Century Gothic" w:hAnsi="Century Gothic" w:cs="Calibri"/>
          <w:sz w:val="20"/>
          <w:szCs w:val="20"/>
        </w:rPr>
        <w:lastRenderedPageBreak/>
        <w:t>The agency undertakes its work in partnership with a wide range of stakeholders, including health professionals and professional colleges, researchers and research</w:t>
      </w:r>
      <w:r w:rsidR="00465DBB">
        <w:rPr>
          <w:rFonts w:ascii="Century Gothic" w:hAnsi="Century Gothic" w:cs="Calibri"/>
          <w:sz w:val="20"/>
          <w:szCs w:val="20"/>
        </w:rPr>
        <w:t>-</w:t>
      </w:r>
      <w:r w:rsidRPr="00885C19">
        <w:rPr>
          <w:rFonts w:ascii="Century Gothic" w:hAnsi="Century Gothic" w:cs="Calibri"/>
          <w:sz w:val="20"/>
          <w:szCs w:val="20"/>
        </w:rPr>
        <w:t>funding bodies, non-government cancer and health organisations, other health portfolio agencies</w:t>
      </w:r>
      <w:r w:rsidR="00BF7670">
        <w:rPr>
          <w:rFonts w:ascii="Century Gothic" w:hAnsi="Century Gothic" w:cs="Calibri"/>
          <w:sz w:val="20"/>
          <w:szCs w:val="20"/>
        </w:rPr>
        <w:t xml:space="preserve"> and cancer consumers</w:t>
      </w:r>
      <w:r w:rsidRPr="00885C19">
        <w:rPr>
          <w:rFonts w:ascii="Century Gothic" w:hAnsi="Century Gothic" w:cs="Calibri"/>
          <w:sz w:val="20"/>
          <w:szCs w:val="20"/>
        </w:rPr>
        <w:t>. Cancer Australia maintains a strategic and inclusive approach to consumer engagement, which ensures that its work is informed by</w:t>
      </w:r>
      <w:r w:rsidR="00151C5A">
        <w:rPr>
          <w:rFonts w:ascii="Century Gothic" w:hAnsi="Century Gothic" w:cs="Calibri"/>
          <w:sz w:val="20"/>
          <w:szCs w:val="20"/>
        </w:rPr>
        <w:t>,</w:t>
      </w:r>
      <w:r w:rsidRPr="00885C19">
        <w:rPr>
          <w:rFonts w:ascii="Century Gothic" w:hAnsi="Century Gothic" w:cs="Calibri"/>
          <w:sz w:val="20"/>
          <w:szCs w:val="20"/>
        </w:rPr>
        <w:t xml:space="preserve"> and responsive to</w:t>
      </w:r>
      <w:r w:rsidR="00151C5A">
        <w:rPr>
          <w:rFonts w:ascii="Century Gothic" w:hAnsi="Century Gothic" w:cs="Calibri"/>
          <w:sz w:val="20"/>
          <w:szCs w:val="20"/>
        </w:rPr>
        <w:t>,</w:t>
      </w:r>
      <w:r w:rsidRPr="00885C19">
        <w:rPr>
          <w:rFonts w:ascii="Century Gothic" w:hAnsi="Century Gothic" w:cs="Calibri"/>
          <w:sz w:val="20"/>
          <w:szCs w:val="20"/>
        </w:rPr>
        <w:t xml:space="preserve"> the needs of people affected by cancer and the broader community.</w:t>
      </w:r>
    </w:p>
    <w:p w:rsidR="00CD0E87" w:rsidRPr="00CD0E87" w:rsidRDefault="00CD0E87" w:rsidP="00CD0E87">
      <w:pPr>
        <w:spacing w:before="360" w:after="120" w:line="276" w:lineRule="auto"/>
        <w:rPr>
          <w:rFonts w:ascii="Century Gothic" w:hAnsi="Century Gothic" w:cs="Calibri"/>
          <w:b/>
          <w:color w:val="C00000"/>
        </w:rPr>
      </w:pPr>
      <w:r w:rsidRPr="00103FAC">
        <w:rPr>
          <w:rFonts w:ascii="Century Gothic" w:hAnsi="Century Gothic" w:cs="Calibri"/>
          <w:b/>
          <w:color w:val="C00000"/>
        </w:rPr>
        <w:t xml:space="preserve">Cancer </w:t>
      </w:r>
      <w:r>
        <w:rPr>
          <w:rFonts w:ascii="Century Gothic" w:hAnsi="Century Gothic" w:cs="Calibri"/>
          <w:b/>
          <w:color w:val="C00000"/>
        </w:rPr>
        <w:t xml:space="preserve">Data in </w:t>
      </w:r>
      <w:r w:rsidRPr="00103FAC">
        <w:rPr>
          <w:rFonts w:ascii="Century Gothic" w:hAnsi="Century Gothic" w:cs="Calibri"/>
          <w:b/>
          <w:color w:val="C00000"/>
        </w:rPr>
        <w:t>Australia</w:t>
      </w:r>
    </w:p>
    <w:p w:rsidR="00337ADD" w:rsidRDefault="00337ADD" w:rsidP="00337ADD">
      <w:pPr>
        <w:spacing w:before="240" w:line="276" w:lineRule="auto"/>
        <w:rPr>
          <w:rFonts w:ascii="Century Gothic" w:hAnsi="Century Gothic" w:cs="Calibri"/>
          <w:sz w:val="20"/>
          <w:szCs w:val="20"/>
        </w:rPr>
      </w:pPr>
      <w:r>
        <w:rPr>
          <w:rFonts w:ascii="Century Gothic" w:hAnsi="Century Gothic" w:cs="Calibri"/>
          <w:sz w:val="20"/>
          <w:szCs w:val="20"/>
        </w:rPr>
        <w:t>T</w:t>
      </w:r>
      <w:r w:rsidRPr="00165EFA">
        <w:rPr>
          <w:rFonts w:ascii="Century Gothic" w:hAnsi="Century Gothic" w:cs="Calibri"/>
          <w:sz w:val="20"/>
          <w:szCs w:val="20"/>
        </w:rPr>
        <w:t xml:space="preserve">he </w:t>
      </w:r>
      <w:r>
        <w:rPr>
          <w:rFonts w:ascii="Century Gothic" w:hAnsi="Century Gothic" w:cs="Calibri"/>
          <w:sz w:val="20"/>
          <w:szCs w:val="20"/>
        </w:rPr>
        <w:t xml:space="preserve">projected </w:t>
      </w:r>
      <w:r w:rsidRPr="00165EFA">
        <w:rPr>
          <w:rFonts w:ascii="Century Gothic" w:hAnsi="Century Gothic" w:cs="Calibri"/>
          <w:sz w:val="20"/>
          <w:szCs w:val="20"/>
        </w:rPr>
        <w:t>increase in the number of people diagnosed with, and surviving</w:t>
      </w:r>
      <w:r>
        <w:rPr>
          <w:rFonts w:ascii="Century Gothic" w:hAnsi="Century Gothic" w:cs="Calibri"/>
          <w:sz w:val="20"/>
          <w:szCs w:val="20"/>
        </w:rPr>
        <w:t>,</w:t>
      </w:r>
      <w:r w:rsidRPr="00165EFA">
        <w:rPr>
          <w:rFonts w:ascii="Century Gothic" w:hAnsi="Century Gothic" w:cs="Calibri"/>
          <w:sz w:val="20"/>
          <w:szCs w:val="20"/>
        </w:rPr>
        <w:t xml:space="preserve"> cancer</w:t>
      </w:r>
      <w:r>
        <w:rPr>
          <w:rFonts w:ascii="Century Gothic" w:hAnsi="Century Gothic" w:cs="Calibri"/>
          <w:sz w:val="20"/>
          <w:szCs w:val="20"/>
          <w:vertAlign w:val="superscript"/>
        </w:rPr>
        <w:t>3</w:t>
      </w:r>
      <w:r w:rsidRPr="00165EFA">
        <w:rPr>
          <w:rFonts w:ascii="Century Gothic" w:hAnsi="Century Gothic" w:cs="Calibri"/>
          <w:sz w:val="20"/>
          <w:szCs w:val="20"/>
        </w:rPr>
        <w:t xml:space="preserve"> </w:t>
      </w:r>
      <w:r>
        <w:rPr>
          <w:rFonts w:ascii="Century Gothic" w:hAnsi="Century Gothic" w:cs="Calibri"/>
          <w:sz w:val="20"/>
          <w:szCs w:val="20"/>
        </w:rPr>
        <w:t>will create</w:t>
      </w:r>
      <w:r w:rsidRPr="00165EFA">
        <w:rPr>
          <w:rFonts w:ascii="Century Gothic" w:hAnsi="Century Gothic" w:cs="Calibri"/>
          <w:sz w:val="20"/>
          <w:szCs w:val="20"/>
        </w:rPr>
        <w:t xml:space="preserve"> greater demand</w:t>
      </w:r>
      <w:r>
        <w:rPr>
          <w:rFonts w:ascii="Century Gothic" w:hAnsi="Century Gothic" w:cs="Calibri"/>
          <w:sz w:val="20"/>
          <w:szCs w:val="20"/>
        </w:rPr>
        <w:t xml:space="preserve"> across the health system. A better understanding of patterns of care and variations in outcomes will become increasingly important in order to target resources to where they can make the most difference. In order for this to occur, improvements in </w:t>
      </w:r>
      <w:r w:rsidR="0023465A">
        <w:rPr>
          <w:rFonts w:ascii="Century Gothic" w:hAnsi="Century Gothic" w:cs="Calibri"/>
          <w:sz w:val="20"/>
          <w:szCs w:val="20"/>
        </w:rPr>
        <w:t xml:space="preserve">access and </w:t>
      </w:r>
      <w:r>
        <w:rPr>
          <w:rFonts w:ascii="Century Gothic" w:hAnsi="Century Gothic" w:cs="Calibri"/>
          <w:sz w:val="20"/>
          <w:szCs w:val="20"/>
        </w:rPr>
        <w:t>use of data will be required.</w:t>
      </w:r>
    </w:p>
    <w:p w:rsidR="00E47D33" w:rsidRDefault="0023465A" w:rsidP="00C54827">
      <w:pPr>
        <w:spacing w:before="240" w:line="276" w:lineRule="auto"/>
        <w:rPr>
          <w:rFonts w:ascii="Century Gothic" w:hAnsi="Century Gothic" w:cs="Calibri"/>
          <w:sz w:val="20"/>
          <w:szCs w:val="20"/>
        </w:rPr>
      </w:pPr>
      <w:r>
        <w:rPr>
          <w:rFonts w:ascii="Century Gothic" w:hAnsi="Century Gothic" w:cs="Calibri"/>
          <w:sz w:val="20"/>
          <w:szCs w:val="20"/>
        </w:rPr>
        <w:t>T</w:t>
      </w:r>
      <w:r w:rsidR="00E47D33">
        <w:rPr>
          <w:rFonts w:ascii="Century Gothic" w:hAnsi="Century Gothic" w:cs="Calibri"/>
          <w:sz w:val="20"/>
          <w:szCs w:val="20"/>
        </w:rPr>
        <w:t xml:space="preserve">wo </w:t>
      </w:r>
      <w:r w:rsidR="00EF6C58">
        <w:rPr>
          <w:rFonts w:ascii="Century Gothic" w:hAnsi="Century Gothic" w:cs="Calibri"/>
          <w:sz w:val="20"/>
          <w:szCs w:val="20"/>
        </w:rPr>
        <w:t>main</w:t>
      </w:r>
      <w:r w:rsidR="000A524B">
        <w:rPr>
          <w:rFonts w:ascii="Century Gothic" w:hAnsi="Century Gothic" w:cs="Calibri"/>
          <w:sz w:val="20"/>
          <w:szCs w:val="20"/>
        </w:rPr>
        <w:t xml:space="preserve"> </w:t>
      </w:r>
      <w:r w:rsidR="00E47D33">
        <w:rPr>
          <w:rFonts w:ascii="Century Gothic" w:hAnsi="Century Gothic" w:cs="Calibri"/>
          <w:sz w:val="20"/>
          <w:szCs w:val="20"/>
        </w:rPr>
        <w:t xml:space="preserve">types of data used </w:t>
      </w:r>
      <w:r w:rsidR="00EF6C58">
        <w:rPr>
          <w:rFonts w:ascii="Century Gothic" w:hAnsi="Century Gothic" w:cs="Calibri"/>
          <w:sz w:val="20"/>
          <w:szCs w:val="20"/>
        </w:rPr>
        <w:t xml:space="preserve">to inform </w:t>
      </w:r>
      <w:r w:rsidR="005868A7">
        <w:rPr>
          <w:rFonts w:ascii="Century Gothic" w:hAnsi="Century Gothic" w:cs="Calibri"/>
          <w:sz w:val="20"/>
          <w:szCs w:val="20"/>
        </w:rPr>
        <w:t>cancer control in Australia</w:t>
      </w:r>
      <w:r w:rsidR="000A524B">
        <w:rPr>
          <w:rFonts w:ascii="Century Gothic" w:hAnsi="Century Gothic" w:cs="Calibri"/>
          <w:sz w:val="20"/>
          <w:szCs w:val="20"/>
        </w:rPr>
        <w:t xml:space="preserve"> are</w:t>
      </w:r>
      <w:r w:rsidR="005868A7">
        <w:rPr>
          <w:rFonts w:ascii="Century Gothic" w:hAnsi="Century Gothic" w:cs="Calibri"/>
          <w:sz w:val="20"/>
          <w:szCs w:val="20"/>
        </w:rPr>
        <w:t xml:space="preserve">: </w:t>
      </w:r>
      <w:r w:rsidR="00041A55">
        <w:rPr>
          <w:rFonts w:ascii="Century Gothic" w:hAnsi="Century Gothic" w:cs="Calibri"/>
          <w:sz w:val="20"/>
          <w:szCs w:val="20"/>
        </w:rPr>
        <w:t xml:space="preserve">(1) </w:t>
      </w:r>
      <w:r w:rsidR="005868A7">
        <w:rPr>
          <w:rFonts w:ascii="Century Gothic" w:hAnsi="Century Gothic" w:cs="Calibri"/>
          <w:sz w:val="20"/>
          <w:szCs w:val="20"/>
        </w:rPr>
        <w:t xml:space="preserve">clinical </w:t>
      </w:r>
      <w:r w:rsidR="00D60F32">
        <w:rPr>
          <w:rFonts w:ascii="Century Gothic" w:hAnsi="Century Gothic" w:cs="Calibri"/>
          <w:sz w:val="20"/>
          <w:szCs w:val="20"/>
        </w:rPr>
        <w:t xml:space="preserve">cancer </w:t>
      </w:r>
      <w:r w:rsidR="005868A7">
        <w:rPr>
          <w:rFonts w:ascii="Century Gothic" w:hAnsi="Century Gothic" w:cs="Calibri"/>
          <w:sz w:val="20"/>
          <w:szCs w:val="20"/>
        </w:rPr>
        <w:t>data</w:t>
      </w:r>
      <w:r w:rsidR="00CF359E">
        <w:rPr>
          <w:rFonts w:ascii="Century Gothic" w:hAnsi="Century Gothic" w:cs="Calibri"/>
          <w:sz w:val="20"/>
          <w:szCs w:val="20"/>
        </w:rPr>
        <w:t>,</w:t>
      </w:r>
      <w:r w:rsidR="005868A7">
        <w:rPr>
          <w:rFonts w:ascii="Century Gothic" w:hAnsi="Century Gothic" w:cs="Calibri"/>
          <w:sz w:val="20"/>
          <w:szCs w:val="20"/>
        </w:rPr>
        <w:t xml:space="preserve"> which primarily informs</w:t>
      </w:r>
      <w:r w:rsidR="004570AA">
        <w:rPr>
          <w:rFonts w:ascii="Century Gothic" w:hAnsi="Century Gothic" w:cs="Calibri"/>
          <w:sz w:val="20"/>
          <w:szCs w:val="20"/>
        </w:rPr>
        <w:t xml:space="preserve"> the treatment of individual patients; and </w:t>
      </w:r>
      <w:r w:rsidR="00041A55">
        <w:rPr>
          <w:rFonts w:ascii="Century Gothic" w:hAnsi="Century Gothic" w:cs="Calibri"/>
          <w:sz w:val="20"/>
          <w:szCs w:val="20"/>
        </w:rPr>
        <w:t xml:space="preserve">(2) </w:t>
      </w:r>
      <w:r w:rsidR="004570AA">
        <w:rPr>
          <w:rFonts w:ascii="Century Gothic" w:hAnsi="Century Gothic" w:cs="Calibri"/>
          <w:sz w:val="20"/>
          <w:szCs w:val="20"/>
        </w:rPr>
        <w:t xml:space="preserve">population </w:t>
      </w:r>
      <w:r w:rsidR="00D60F32">
        <w:rPr>
          <w:rFonts w:ascii="Century Gothic" w:hAnsi="Century Gothic" w:cs="Calibri"/>
          <w:sz w:val="20"/>
          <w:szCs w:val="20"/>
        </w:rPr>
        <w:t xml:space="preserve">cancer </w:t>
      </w:r>
      <w:r w:rsidR="004570AA">
        <w:rPr>
          <w:rFonts w:ascii="Century Gothic" w:hAnsi="Century Gothic" w:cs="Calibri"/>
          <w:sz w:val="20"/>
          <w:szCs w:val="20"/>
        </w:rPr>
        <w:t>data</w:t>
      </w:r>
      <w:r w:rsidR="00CF359E">
        <w:rPr>
          <w:rFonts w:ascii="Century Gothic" w:hAnsi="Century Gothic" w:cs="Calibri"/>
          <w:sz w:val="20"/>
          <w:szCs w:val="20"/>
        </w:rPr>
        <w:t>,</w:t>
      </w:r>
      <w:r w:rsidR="004570AA">
        <w:rPr>
          <w:rFonts w:ascii="Century Gothic" w:hAnsi="Century Gothic" w:cs="Calibri"/>
          <w:sz w:val="20"/>
          <w:szCs w:val="20"/>
        </w:rPr>
        <w:t xml:space="preserve"> which </w:t>
      </w:r>
      <w:r w:rsidR="004136E7">
        <w:rPr>
          <w:rFonts w:ascii="Century Gothic" w:hAnsi="Century Gothic" w:cs="Calibri"/>
          <w:sz w:val="20"/>
          <w:szCs w:val="20"/>
        </w:rPr>
        <w:t xml:space="preserve">provides </w:t>
      </w:r>
      <w:r w:rsidR="004570AA">
        <w:rPr>
          <w:rFonts w:ascii="Century Gothic" w:hAnsi="Century Gothic" w:cs="Calibri"/>
          <w:sz w:val="20"/>
          <w:szCs w:val="20"/>
        </w:rPr>
        <w:t xml:space="preserve">a broader picture of cancer control </w:t>
      </w:r>
      <w:r w:rsidR="00ED7203">
        <w:rPr>
          <w:rFonts w:ascii="Century Gothic" w:hAnsi="Century Gothic" w:cs="Calibri"/>
          <w:sz w:val="20"/>
          <w:szCs w:val="20"/>
        </w:rPr>
        <w:t>across the country</w:t>
      </w:r>
      <w:r w:rsidR="004570AA">
        <w:rPr>
          <w:rFonts w:ascii="Century Gothic" w:hAnsi="Century Gothic" w:cs="Calibri"/>
          <w:sz w:val="20"/>
          <w:szCs w:val="20"/>
        </w:rPr>
        <w:t xml:space="preserve">. Given Cancer Australia’s role and remit, this submission primarily </w:t>
      </w:r>
      <w:r w:rsidR="00D60F32">
        <w:rPr>
          <w:rFonts w:ascii="Century Gothic" w:hAnsi="Century Gothic" w:cs="Calibri"/>
          <w:sz w:val="20"/>
          <w:szCs w:val="20"/>
        </w:rPr>
        <w:t>focuses on population</w:t>
      </w:r>
      <w:r w:rsidR="00FF5384">
        <w:rPr>
          <w:rFonts w:ascii="Century Gothic" w:hAnsi="Century Gothic" w:cs="Calibri"/>
          <w:sz w:val="20"/>
          <w:szCs w:val="20"/>
        </w:rPr>
        <w:t>-level</w:t>
      </w:r>
      <w:r w:rsidR="004570AA">
        <w:rPr>
          <w:rFonts w:ascii="Century Gothic" w:hAnsi="Century Gothic" w:cs="Calibri"/>
          <w:sz w:val="20"/>
          <w:szCs w:val="20"/>
        </w:rPr>
        <w:t xml:space="preserve"> data.</w:t>
      </w:r>
    </w:p>
    <w:p w:rsidR="00E47C9F" w:rsidRDefault="0014728D" w:rsidP="00C54827">
      <w:pPr>
        <w:spacing w:before="240" w:line="276" w:lineRule="auto"/>
        <w:rPr>
          <w:rFonts w:ascii="Century Gothic" w:hAnsi="Century Gothic" w:cs="Calibri"/>
          <w:sz w:val="20"/>
          <w:szCs w:val="20"/>
        </w:rPr>
      </w:pPr>
      <w:r>
        <w:rPr>
          <w:rFonts w:ascii="Century Gothic" w:hAnsi="Century Gothic" w:cs="Calibri"/>
          <w:sz w:val="20"/>
          <w:szCs w:val="20"/>
        </w:rPr>
        <w:t>Australia is fortunate that</w:t>
      </w:r>
      <w:r w:rsidR="00BF0225">
        <w:rPr>
          <w:rFonts w:ascii="Century Gothic" w:hAnsi="Century Gothic" w:cs="Calibri"/>
          <w:sz w:val="20"/>
          <w:szCs w:val="20"/>
        </w:rPr>
        <w:t xml:space="preserve"> – by world standards – </w:t>
      </w:r>
      <w:r w:rsidR="0036285F">
        <w:rPr>
          <w:rFonts w:ascii="Century Gothic" w:hAnsi="Century Gothic" w:cs="Calibri"/>
          <w:sz w:val="20"/>
          <w:szCs w:val="20"/>
        </w:rPr>
        <w:t>there is</w:t>
      </w:r>
      <w:r w:rsidR="00131576">
        <w:rPr>
          <w:rFonts w:ascii="Century Gothic" w:hAnsi="Century Gothic" w:cs="Calibri"/>
          <w:sz w:val="20"/>
          <w:szCs w:val="20"/>
        </w:rPr>
        <w:t>,</w:t>
      </w:r>
      <w:r w:rsidR="0036285F">
        <w:rPr>
          <w:rFonts w:ascii="Century Gothic" w:hAnsi="Century Gothic" w:cs="Calibri"/>
          <w:sz w:val="20"/>
          <w:szCs w:val="20"/>
        </w:rPr>
        <w:t xml:space="preserve"> </w:t>
      </w:r>
      <w:r w:rsidR="00271029">
        <w:rPr>
          <w:rFonts w:ascii="Century Gothic" w:hAnsi="Century Gothic" w:cs="Calibri"/>
          <w:sz w:val="20"/>
          <w:szCs w:val="20"/>
        </w:rPr>
        <w:t>at present</w:t>
      </w:r>
      <w:r w:rsidR="00131576">
        <w:rPr>
          <w:rFonts w:ascii="Century Gothic" w:hAnsi="Century Gothic" w:cs="Calibri"/>
          <w:sz w:val="20"/>
          <w:szCs w:val="20"/>
        </w:rPr>
        <w:t>,</w:t>
      </w:r>
      <w:r w:rsidR="00271029">
        <w:rPr>
          <w:rFonts w:ascii="Century Gothic" w:hAnsi="Century Gothic" w:cs="Calibri"/>
          <w:sz w:val="20"/>
          <w:szCs w:val="20"/>
        </w:rPr>
        <w:t xml:space="preserve"> </w:t>
      </w:r>
      <w:r w:rsidR="0036285F">
        <w:rPr>
          <w:rFonts w:ascii="Century Gothic" w:hAnsi="Century Gothic" w:cs="Calibri"/>
          <w:sz w:val="20"/>
          <w:szCs w:val="20"/>
        </w:rPr>
        <w:t xml:space="preserve">comprehensive coverage of data being collected </w:t>
      </w:r>
      <w:r w:rsidR="006F5C8C">
        <w:rPr>
          <w:rFonts w:ascii="Century Gothic" w:hAnsi="Century Gothic" w:cs="Calibri"/>
          <w:sz w:val="20"/>
          <w:szCs w:val="20"/>
        </w:rPr>
        <w:t xml:space="preserve">at certain points of </w:t>
      </w:r>
      <w:r w:rsidR="0036285F">
        <w:rPr>
          <w:rFonts w:ascii="Century Gothic" w:hAnsi="Century Gothic" w:cs="Calibri"/>
          <w:sz w:val="20"/>
          <w:szCs w:val="20"/>
        </w:rPr>
        <w:t>the cancer control continuum.</w:t>
      </w:r>
      <w:r w:rsidR="00426E79">
        <w:rPr>
          <w:rFonts w:ascii="Century Gothic" w:hAnsi="Century Gothic" w:cs="Calibri"/>
          <w:sz w:val="20"/>
          <w:szCs w:val="20"/>
        </w:rPr>
        <w:t xml:space="preserve"> </w:t>
      </w:r>
      <w:r w:rsidR="00E47C9F">
        <w:rPr>
          <w:rFonts w:ascii="Century Gothic" w:hAnsi="Century Gothic" w:cs="Calibri"/>
          <w:sz w:val="20"/>
          <w:szCs w:val="20"/>
        </w:rPr>
        <w:t>For cancer incidence, mortality and survival, mandatory collection of these data allows for comprehensive national reporting of these measures over time and for subgroups of the population.</w:t>
      </w:r>
    </w:p>
    <w:p w:rsidR="0014728D" w:rsidRDefault="00426E79" w:rsidP="00C54827">
      <w:pPr>
        <w:spacing w:before="240" w:line="276" w:lineRule="auto"/>
        <w:rPr>
          <w:rFonts w:ascii="Century Gothic" w:hAnsi="Century Gothic" w:cs="Calibri"/>
          <w:sz w:val="20"/>
          <w:szCs w:val="20"/>
        </w:rPr>
      </w:pPr>
      <w:r>
        <w:rPr>
          <w:rFonts w:ascii="Century Gothic" w:hAnsi="Century Gothic" w:cs="Calibri"/>
          <w:sz w:val="20"/>
          <w:szCs w:val="20"/>
        </w:rPr>
        <w:t xml:space="preserve">It should </w:t>
      </w:r>
      <w:r w:rsidR="00C86C41">
        <w:rPr>
          <w:rFonts w:ascii="Century Gothic" w:hAnsi="Century Gothic" w:cs="Calibri"/>
          <w:sz w:val="20"/>
          <w:szCs w:val="20"/>
        </w:rPr>
        <w:t xml:space="preserve">also </w:t>
      </w:r>
      <w:r>
        <w:rPr>
          <w:rFonts w:ascii="Century Gothic" w:hAnsi="Century Gothic" w:cs="Calibri"/>
          <w:sz w:val="20"/>
          <w:szCs w:val="20"/>
        </w:rPr>
        <w:t>be noted that recent initiatives</w:t>
      </w:r>
      <w:r w:rsidR="009F0945">
        <w:rPr>
          <w:rFonts w:ascii="Century Gothic" w:hAnsi="Century Gothic" w:cs="Calibri"/>
          <w:sz w:val="20"/>
          <w:szCs w:val="20"/>
        </w:rPr>
        <w:t>,</w:t>
      </w:r>
      <w:r>
        <w:rPr>
          <w:rFonts w:ascii="Century Gothic" w:hAnsi="Century Gothic" w:cs="Calibri"/>
          <w:sz w:val="20"/>
          <w:szCs w:val="20"/>
        </w:rPr>
        <w:t xml:space="preserve"> at the Commonwealth level in particular</w:t>
      </w:r>
      <w:r w:rsidR="009F0945">
        <w:rPr>
          <w:rFonts w:ascii="Century Gothic" w:hAnsi="Century Gothic" w:cs="Calibri"/>
          <w:sz w:val="20"/>
          <w:szCs w:val="20"/>
        </w:rPr>
        <w:t>,</w:t>
      </w:r>
      <w:r>
        <w:rPr>
          <w:rFonts w:ascii="Century Gothic" w:hAnsi="Century Gothic" w:cs="Calibri"/>
          <w:sz w:val="20"/>
          <w:szCs w:val="20"/>
        </w:rPr>
        <w:t xml:space="preserve"> have increased the availability of public sector data (e.g. the establishment of data.gov.au and the Integrating Authorities).</w:t>
      </w:r>
      <w:r w:rsidR="007F34AF">
        <w:rPr>
          <w:rFonts w:ascii="Century Gothic" w:hAnsi="Century Gothic" w:cs="Calibri"/>
          <w:sz w:val="20"/>
          <w:szCs w:val="20"/>
        </w:rPr>
        <w:t xml:space="preserve"> </w:t>
      </w:r>
      <w:r>
        <w:rPr>
          <w:rFonts w:ascii="Century Gothic" w:hAnsi="Century Gothic" w:cs="Calibri"/>
          <w:sz w:val="20"/>
          <w:szCs w:val="20"/>
        </w:rPr>
        <w:t>However, t</w:t>
      </w:r>
      <w:r w:rsidR="007F34AF">
        <w:rPr>
          <w:rFonts w:ascii="Century Gothic" w:hAnsi="Century Gothic" w:cs="Calibri"/>
          <w:sz w:val="20"/>
          <w:szCs w:val="20"/>
        </w:rPr>
        <w:t xml:space="preserve">here </w:t>
      </w:r>
      <w:r>
        <w:rPr>
          <w:rFonts w:ascii="Century Gothic" w:hAnsi="Century Gothic" w:cs="Calibri"/>
          <w:sz w:val="20"/>
          <w:szCs w:val="20"/>
        </w:rPr>
        <w:t xml:space="preserve">still exist </w:t>
      </w:r>
      <w:r w:rsidR="007F34AF">
        <w:rPr>
          <w:rFonts w:ascii="Century Gothic" w:hAnsi="Century Gothic" w:cs="Calibri"/>
          <w:sz w:val="20"/>
          <w:szCs w:val="20"/>
        </w:rPr>
        <w:t>a number of broad issues relevant to the present Inquiry</w:t>
      </w:r>
      <w:r w:rsidR="00C04CE0" w:rsidRPr="00C04CE0">
        <w:rPr>
          <w:rFonts w:ascii="Century Gothic" w:hAnsi="Century Gothic" w:cs="Calibri"/>
          <w:sz w:val="20"/>
          <w:szCs w:val="20"/>
          <w:vertAlign w:val="superscript"/>
        </w:rPr>
        <w:t>1</w:t>
      </w:r>
      <w:r w:rsidR="007F34AF">
        <w:rPr>
          <w:rFonts w:ascii="Century Gothic" w:hAnsi="Century Gothic" w:cs="Calibri"/>
          <w:sz w:val="20"/>
          <w:szCs w:val="20"/>
        </w:rPr>
        <w:t xml:space="preserve">, </w:t>
      </w:r>
      <w:r w:rsidR="00C918C1">
        <w:rPr>
          <w:rFonts w:ascii="Century Gothic" w:hAnsi="Century Gothic" w:cs="Calibri"/>
          <w:sz w:val="20"/>
          <w:szCs w:val="20"/>
        </w:rPr>
        <w:t xml:space="preserve">as </w:t>
      </w:r>
      <w:r w:rsidR="007F34AF">
        <w:rPr>
          <w:rFonts w:ascii="Century Gothic" w:hAnsi="Century Gothic" w:cs="Calibri"/>
          <w:sz w:val="20"/>
          <w:szCs w:val="20"/>
        </w:rPr>
        <w:t>summarised below</w:t>
      </w:r>
      <w:r w:rsidR="00C450DE">
        <w:rPr>
          <w:rFonts w:ascii="Century Gothic" w:hAnsi="Century Gothic" w:cs="Calibri"/>
          <w:sz w:val="20"/>
          <w:szCs w:val="20"/>
        </w:rPr>
        <w:t xml:space="preserve"> (not</w:t>
      </w:r>
      <w:r w:rsidR="005D6F61">
        <w:rPr>
          <w:rFonts w:ascii="Century Gothic" w:hAnsi="Century Gothic" w:cs="Calibri"/>
          <w:sz w:val="20"/>
          <w:szCs w:val="20"/>
        </w:rPr>
        <w:t>ing</w:t>
      </w:r>
      <w:r w:rsidR="00C450DE">
        <w:rPr>
          <w:rFonts w:ascii="Century Gothic" w:hAnsi="Century Gothic" w:cs="Calibri"/>
          <w:sz w:val="20"/>
          <w:szCs w:val="20"/>
        </w:rPr>
        <w:t xml:space="preserve"> that these issues are also applicable to health data in general)</w:t>
      </w:r>
      <w:r w:rsidR="007F34AF">
        <w:rPr>
          <w:rFonts w:ascii="Century Gothic" w:hAnsi="Century Gothic" w:cs="Calibri"/>
          <w:sz w:val="20"/>
          <w:szCs w:val="20"/>
        </w:rPr>
        <w:t>:</w:t>
      </w:r>
    </w:p>
    <w:p w:rsidR="008B3723" w:rsidRDefault="00DC4BB6" w:rsidP="008B3723">
      <w:pPr>
        <w:pStyle w:val="ListParagraph"/>
        <w:numPr>
          <w:ilvl w:val="0"/>
          <w:numId w:val="25"/>
        </w:numPr>
        <w:spacing w:before="240" w:line="276" w:lineRule="auto"/>
        <w:rPr>
          <w:rFonts w:ascii="Century Gothic" w:hAnsi="Century Gothic" w:cs="Calibri"/>
          <w:sz w:val="20"/>
          <w:szCs w:val="20"/>
        </w:rPr>
      </w:pPr>
      <w:r>
        <w:rPr>
          <w:rFonts w:ascii="Century Gothic" w:hAnsi="Century Gothic" w:cs="Calibri"/>
          <w:sz w:val="20"/>
          <w:szCs w:val="20"/>
        </w:rPr>
        <w:t>Data relevant to cancer control</w:t>
      </w:r>
      <w:r w:rsidR="001722D5">
        <w:rPr>
          <w:rFonts w:ascii="Century Gothic" w:hAnsi="Century Gothic" w:cs="Calibri"/>
          <w:sz w:val="20"/>
          <w:szCs w:val="20"/>
        </w:rPr>
        <w:t xml:space="preserve"> is collected and held by a wide range of different, mostly public sector organisations. These include various Commonwealth and state/territory agencies, </w:t>
      </w:r>
      <w:r w:rsidR="005B42C2">
        <w:rPr>
          <w:rFonts w:ascii="Century Gothic" w:hAnsi="Century Gothic" w:cs="Calibri"/>
          <w:sz w:val="20"/>
          <w:szCs w:val="20"/>
        </w:rPr>
        <w:t xml:space="preserve">and to a lesser extent some </w:t>
      </w:r>
      <w:r w:rsidR="001722D5">
        <w:rPr>
          <w:rFonts w:ascii="Century Gothic" w:hAnsi="Century Gothic" w:cs="Calibri"/>
          <w:sz w:val="20"/>
          <w:szCs w:val="20"/>
        </w:rPr>
        <w:t>non-government organisations</w:t>
      </w:r>
      <w:r w:rsidR="00125455">
        <w:rPr>
          <w:rFonts w:ascii="Century Gothic" w:hAnsi="Century Gothic" w:cs="Calibri"/>
          <w:sz w:val="20"/>
          <w:szCs w:val="20"/>
        </w:rPr>
        <w:t>.</w:t>
      </w:r>
      <w:r w:rsidR="00A34882">
        <w:rPr>
          <w:rFonts w:ascii="Century Gothic" w:hAnsi="Century Gothic" w:cs="Calibri"/>
          <w:sz w:val="20"/>
          <w:szCs w:val="20"/>
        </w:rPr>
        <w:t xml:space="preserve"> There is no overarching process</w:t>
      </w:r>
      <w:r w:rsidR="00E15BF3">
        <w:rPr>
          <w:rFonts w:ascii="Century Gothic" w:hAnsi="Century Gothic" w:cs="Calibri"/>
          <w:sz w:val="20"/>
          <w:szCs w:val="20"/>
        </w:rPr>
        <w:t xml:space="preserve"> or mandate</w:t>
      </w:r>
      <w:r w:rsidR="00A34882">
        <w:rPr>
          <w:rFonts w:ascii="Century Gothic" w:hAnsi="Century Gothic" w:cs="Calibri"/>
          <w:sz w:val="20"/>
          <w:szCs w:val="20"/>
        </w:rPr>
        <w:t xml:space="preserve"> for these </w:t>
      </w:r>
      <w:r w:rsidR="00E15BF3">
        <w:rPr>
          <w:rFonts w:ascii="Century Gothic" w:hAnsi="Century Gothic" w:cs="Calibri"/>
          <w:sz w:val="20"/>
          <w:szCs w:val="20"/>
        </w:rPr>
        <w:t>organisations</w:t>
      </w:r>
      <w:r w:rsidR="00A34882">
        <w:rPr>
          <w:rFonts w:ascii="Century Gothic" w:hAnsi="Century Gothic" w:cs="Calibri"/>
          <w:sz w:val="20"/>
          <w:szCs w:val="20"/>
        </w:rPr>
        <w:t xml:space="preserve"> to share these data, and access is usually predicated on </w:t>
      </w:r>
      <w:r w:rsidR="00A34882" w:rsidRPr="007079C2">
        <w:rPr>
          <w:rFonts w:ascii="Century Gothic" w:hAnsi="Century Gothic" w:cs="Calibri"/>
          <w:i/>
          <w:sz w:val="20"/>
          <w:szCs w:val="20"/>
        </w:rPr>
        <w:t>ad hoc</w:t>
      </w:r>
      <w:r w:rsidR="00A34882">
        <w:rPr>
          <w:rFonts w:ascii="Century Gothic" w:hAnsi="Century Gothic" w:cs="Calibri"/>
          <w:sz w:val="20"/>
          <w:szCs w:val="20"/>
        </w:rPr>
        <w:t>, bilateral agreements.</w:t>
      </w:r>
    </w:p>
    <w:p w:rsidR="00B016EB" w:rsidRDefault="008D707E" w:rsidP="008D707E">
      <w:pPr>
        <w:pStyle w:val="ListParagraph"/>
        <w:numPr>
          <w:ilvl w:val="0"/>
          <w:numId w:val="25"/>
        </w:numPr>
        <w:spacing w:before="240" w:line="276" w:lineRule="auto"/>
        <w:rPr>
          <w:rFonts w:ascii="Century Gothic" w:hAnsi="Century Gothic" w:cs="Calibri"/>
          <w:sz w:val="20"/>
          <w:szCs w:val="20"/>
        </w:rPr>
      </w:pPr>
      <w:r>
        <w:rPr>
          <w:rFonts w:ascii="Century Gothic" w:hAnsi="Century Gothic" w:cs="Calibri"/>
          <w:sz w:val="20"/>
          <w:szCs w:val="20"/>
        </w:rPr>
        <w:t xml:space="preserve">Gaining approval to access data can </w:t>
      </w:r>
      <w:r w:rsidR="00EF6C58">
        <w:rPr>
          <w:rFonts w:ascii="Century Gothic" w:hAnsi="Century Gothic" w:cs="Calibri"/>
          <w:sz w:val="20"/>
          <w:szCs w:val="20"/>
        </w:rPr>
        <w:t>be resource-intensive. As outlined</w:t>
      </w:r>
      <w:r>
        <w:rPr>
          <w:rFonts w:ascii="Century Gothic" w:hAnsi="Century Gothic" w:cs="Calibri"/>
          <w:sz w:val="20"/>
          <w:szCs w:val="20"/>
        </w:rPr>
        <w:t xml:space="preserve"> in </w:t>
      </w:r>
      <w:r w:rsidRPr="008D707E">
        <w:rPr>
          <w:rFonts w:ascii="Century Gothic" w:hAnsi="Century Gothic" w:cs="Calibri"/>
          <w:i/>
          <w:sz w:val="20"/>
          <w:szCs w:val="20"/>
        </w:rPr>
        <w:t>A National Cancer Data Strategy for Australia</w:t>
      </w:r>
      <w:r>
        <w:rPr>
          <w:rFonts w:ascii="Century Gothic" w:hAnsi="Century Gothic" w:cs="Calibri"/>
          <w:sz w:val="20"/>
          <w:szCs w:val="20"/>
        </w:rPr>
        <w:t xml:space="preserve">: </w:t>
      </w:r>
      <w:r w:rsidR="00B016EB">
        <w:rPr>
          <w:rFonts w:ascii="Century Gothic" w:hAnsi="Century Gothic" w:cs="Calibri"/>
          <w:sz w:val="20"/>
          <w:szCs w:val="20"/>
        </w:rPr>
        <w:t>“w</w:t>
      </w:r>
      <w:r w:rsidR="00B016EB" w:rsidRPr="00B016EB">
        <w:rPr>
          <w:rFonts w:ascii="Century Gothic" w:hAnsi="Century Gothic" w:cs="Calibri"/>
          <w:sz w:val="20"/>
          <w:szCs w:val="20"/>
        </w:rPr>
        <w:t>hile due regard for ethical standards and privacy protocols is very important, the need for multiple clearances and multiple approval processes is a major source of inefficiency and often, a barrier to progress</w:t>
      </w:r>
      <w:r w:rsidR="00B016EB">
        <w:rPr>
          <w:rFonts w:ascii="Century Gothic" w:hAnsi="Century Gothic" w:cs="Calibri"/>
          <w:sz w:val="20"/>
          <w:szCs w:val="20"/>
        </w:rPr>
        <w:t>”</w:t>
      </w:r>
      <w:r w:rsidR="00B016EB" w:rsidRPr="00C04CE0">
        <w:rPr>
          <w:rFonts w:ascii="Century Gothic" w:hAnsi="Century Gothic" w:cs="Calibri"/>
          <w:sz w:val="20"/>
          <w:szCs w:val="20"/>
          <w:vertAlign w:val="superscript"/>
        </w:rPr>
        <w:t>1</w:t>
      </w:r>
      <w:r w:rsidR="00B016EB">
        <w:rPr>
          <w:rFonts w:ascii="Century Gothic" w:hAnsi="Century Gothic" w:cs="Calibri"/>
          <w:sz w:val="20"/>
          <w:szCs w:val="20"/>
        </w:rPr>
        <w:t>.</w:t>
      </w:r>
    </w:p>
    <w:p w:rsidR="008B3723" w:rsidRDefault="00CF6EF9" w:rsidP="008B3723">
      <w:pPr>
        <w:pStyle w:val="ListParagraph"/>
        <w:numPr>
          <w:ilvl w:val="0"/>
          <w:numId w:val="25"/>
        </w:numPr>
        <w:spacing w:before="240" w:line="276" w:lineRule="auto"/>
        <w:rPr>
          <w:rFonts w:ascii="Century Gothic" w:hAnsi="Century Gothic" w:cs="Calibri"/>
          <w:sz w:val="20"/>
          <w:szCs w:val="20"/>
        </w:rPr>
      </w:pPr>
      <w:r>
        <w:rPr>
          <w:rFonts w:ascii="Century Gothic" w:hAnsi="Century Gothic" w:cs="Calibri"/>
          <w:sz w:val="20"/>
          <w:szCs w:val="20"/>
        </w:rPr>
        <w:t>In the cancer field</w:t>
      </w:r>
      <w:r w:rsidR="00DF2F70">
        <w:rPr>
          <w:rFonts w:ascii="Century Gothic" w:hAnsi="Century Gothic" w:cs="Calibri"/>
          <w:sz w:val="20"/>
          <w:szCs w:val="20"/>
        </w:rPr>
        <w:t>, mandatory</w:t>
      </w:r>
      <w:r w:rsidR="008B3723">
        <w:rPr>
          <w:rFonts w:ascii="Century Gothic" w:hAnsi="Century Gothic" w:cs="Calibri"/>
          <w:sz w:val="20"/>
          <w:szCs w:val="20"/>
        </w:rPr>
        <w:t xml:space="preserve"> collection</w:t>
      </w:r>
      <w:r>
        <w:rPr>
          <w:rFonts w:ascii="Century Gothic" w:hAnsi="Century Gothic" w:cs="Calibri"/>
          <w:sz w:val="20"/>
          <w:szCs w:val="20"/>
        </w:rPr>
        <w:t xml:space="preserve"> of data only occurs at two points along the cancer control continuum</w:t>
      </w:r>
      <w:r w:rsidR="002E512C">
        <w:rPr>
          <w:rFonts w:ascii="Century Gothic" w:hAnsi="Century Gothic" w:cs="Calibri"/>
          <w:sz w:val="20"/>
          <w:szCs w:val="20"/>
        </w:rPr>
        <w:t>:</w:t>
      </w:r>
      <w:r w:rsidR="00041A55">
        <w:rPr>
          <w:rFonts w:ascii="Century Gothic" w:hAnsi="Century Gothic" w:cs="Calibri"/>
          <w:sz w:val="20"/>
          <w:szCs w:val="20"/>
        </w:rPr>
        <w:t xml:space="preserve"> (1)</w:t>
      </w:r>
      <w:r w:rsidR="002E512C">
        <w:rPr>
          <w:rFonts w:ascii="Century Gothic" w:hAnsi="Century Gothic" w:cs="Calibri"/>
          <w:sz w:val="20"/>
          <w:szCs w:val="20"/>
        </w:rPr>
        <w:t xml:space="preserve"> </w:t>
      </w:r>
      <w:r w:rsidR="00CF359E">
        <w:rPr>
          <w:rFonts w:ascii="Century Gothic" w:hAnsi="Century Gothic" w:cs="Calibri"/>
          <w:sz w:val="20"/>
          <w:szCs w:val="20"/>
        </w:rPr>
        <w:t>at diagnosis of cancer (</w:t>
      </w:r>
      <w:r>
        <w:rPr>
          <w:rFonts w:ascii="Century Gothic" w:hAnsi="Century Gothic" w:cs="Calibri"/>
          <w:sz w:val="20"/>
          <w:szCs w:val="20"/>
        </w:rPr>
        <w:t>incidence</w:t>
      </w:r>
      <w:r w:rsidR="00CF359E">
        <w:rPr>
          <w:rFonts w:ascii="Century Gothic" w:hAnsi="Century Gothic" w:cs="Calibri"/>
          <w:sz w:val="20"/>
          <w:szCs w:val="20"/>
        </w:rPr>
        <w:t>)</w:t>
      </w:r>
      <w:r w:rsidR="00041A55">
        <w:rPr>
          <w:rFonts w:ascii="Century Gothic" w:hAnsi="Century Gothic" w:cs="Calibri"/>
          <w:sz w:val="20"/>
          <w:szCs w:val="20"/>
        </w:rPr>
        <w:t>;</w:t>
      </w:r>
      <w:r w:rsidR="002E512C">
        <w:rPr>
          <w:rFonts w:ascii="Century Gothic" w:hAnsi="Century Gothic" w:cs="Calibri"/>
          <w:sz w:val="20"/>
          <w:szCs w:val="20"/>
        </w:rPr>
        <w:t xml:space="preserve"> and </w:t>
      </w:r>
      <w:r w:rsidR="00041A55">
        <w:rPr>
          <w:rFonts w:ascii="Century Gothic" w:hAnsi="Century Gothic" w:cs="Calibri"/>
          <w:sz w:val="20"/>
          <w:szCs w:val="20"/>
        </w:rPr>
        <w:t xml:space="preserve">(2) </w:t>
      </w:r>
      <w:r w:rsidR="00CF359E">
        <w:rPr>
          <w:rFonts w:ascii="Century Gothic" w:hAnsi="Century Gothic" w:cs="Calibri"/>
          <w:sz w:val="20"/>
          <w:szCs w:val="20"/>
        </w:rPr>
        <w:t xml:space="preserve">at death due to </w:t>
      </w:r>
      <w:r w:rsidR="002E512C">
        <w:rPr>
          <w:rFonts w:ascii="Century Gothic" w:hAnsi="Century Gothic" w:cs="Calibri"/>
          <w:sz w:val="20"/>
          <w:szCs w:val="20"/>
        </w:rPr>
        <w:t>cancer</w:t>
      </w:r>
      <w:r w:rsidR="00CF359E">
        <w:rPr>
          <w:rFonts w:ascii="Century Gothic" w:hAnsi="Century Gothic" w:cs="Calibri"/>
          <w:sz w:val="20"/>
          <w:szCs w:val="20"/>
        </w:rPr>
        <w:t xml:space="preserve"> (mortality).</w:t>
      </w:r>
      <w:r w:rsidR="002E512C">
        <w:rPr>
          <w:rFonts w:ascii="Century Gothic" w:hAnsi="Century Gothic" w:cs="Calibri"/>
          <w:sz w:val="20"/>
          <w:szCs w:val="20"/>
        </w:rPr>
        <w:t xml:space="preserve"> </w:t>
      </w:r>
      <w:r w:rsidR="00CF359E">
        <w:rPr>
          <w:rFonts w:ascii="Century Gothic" w:hAnsi="Century Gothic" w:cs="Calibri"/>
          <w:sz w:val="20"/>
          <w:szCs w:val="20"/>
        </w:rPr>
        <w:t>These data</w:t>
      </w:r>
      <w:r w:rsidR="002E512C">
        <w:rPr>
          <w:rFonts w:ascii="Century Gothic" w:hAnsi="Century Gothic" w:cs="Calibri"/>
          <w:sz w:val="20"/>
          <w:szCs w:val="20"/>
        </w:rPr>
        <w:t xml:space="preserve"> </w:t>
      </w:r>
      <w:r w:rsidR="00041A55">
        <w:rPr>
          <w:rFonts w:ascii="Century Gothic" w:hAnsi="Century Gothic" w:cs="Calibri"/>
          <w:sz w:val="20"/>
          <w:szCs w:val="20"/>
        </w:rPr>
        <w:t xml:space="preserve">are </w:t>
      </w:r>
      <w:r w:rsidR="002E512C">
        <w:rPr>
          <w:rFonts w:ascii="Century Gothic" w:hAnsi="Century Gothic" w:cs="Calibri"/>
          <w:sz w:val="20"/>
          <w:szCs w:val="20"/>
        </w:rPr>
        <w:t>collected by state/territory registrars and collated at the national level</w:t>
      </w:r>
      <w:r w:rsidR="00125455">
        <w:rPr>
          <w:rFonts w:ascii="Century Gothic" w:hAnsi="Century Gothic" w:cs="Calibri"/>
          <w:sz w:val="20"/>
          <w:szCs w:val="20"/>
        </w:rPr>
        <w:t>.</w:t>
      </w:r>
      <w:r w:rsidR="002E512C">
        <w:rPr>
          <w:rFonts w:ascii="Century Gothic" w:hAnsi="Century Gothic" w:cs="Calibri"/>
          <w:sz w:val="20"/>
          <w:szCs w:val="20"/>
        </w:rPr>
        <w:t xml:space="preserve"> </w:t>
      </w:r>
      <w:r w:rsidR="0085654F">
        <w:rPr>
          <w:rFonts w:ascii="Century Gothic" w:hAnsi="Century Gothic" w:cs="Calibri"/>
          <w:sz w:val="20"/>
          <w:szCs w:val="20"/>
        </w:rPr>
        <w:t>However, critical aspects of cancer control</w:t>
      </w:r>
      <w:r w:rsidR="007D0461">
        <w:rPr>
          <w:rFonts w:ascii="Century Gothic" w:hAnsi="Century Gothic" w:cs="Calibri"/>
          <w:sz w:val="20"/>
          <w:szCs w:val="20"/>
        </w:rPr>
        <w:t xml:space="preserve"> – </w:t>
      </w:r>
      <w:r w:rsidR="0085654F">
        <w:rPr>
          <w:rFonts w:ascii="Century Gothic" w:hAnsi="Century Gothic" w:cs="Calibri"/>
          <w:sz w:val="20"/>
          <w:szCs w:val="20"/>
        </w:rPr>
        <w:t xml:space="preserve">notably stage at diagnosis </w:t>
      </w:r>
      <w:r w:rsidR="00041A55">
        <w:rPr>
          <w:rFonts w:ascii="Century Gothic" w:hAnsi="Century Gothic" w:cs="Calibri"/>
          <w:sz w:val="20"/>
          <w:szCs w:val="20"/>
        </w:rPr>
        <w:t xml:space="preserve">(i.e. </w:t>
      </w:r>
      <w:r w:rsidR="00A7460D">
        <w:rPr>
          <w:rFonts w:ascii="Century Gothic" w:hAnsi="Century Gothic" w:cs="Calibri"/>
          <w:sz w:val="20"/>
          <w:szCs w:val="20"/>
        </w:rPr>
        <w:t>extent of disease</w:t>
      </w:r>
      <w:r w:rsidR="00041A55">
        <w:rPr>
          <w:rFonts w:ascii="Century Gothic" w:hAnsi="Century Gothic" w:cs="Calibri"/>
          <w:sz w:val="20"/>
          <w:szCs w:val="20"/>
        </w:rPr>
        <w:t xml:space="preserve">) </w:t>
      </w:r>
      <w:r w:rsidR="0085654F">
        <w:rPr>
          <w:rFonts w:ascii="Century Gothic" w:hAnsi="Century Gothic" w:cs="Calibri"/>
          <w:sz w:val="20"/>
          <w:szCs w:val="20"/>
        </w:rPr>
        <w:t>and recurrences</w:t>
      </w:r>
      <w:r w:rsidR="007D0461">
        <w:rPr>
          <w:rFonts w:ascii="Century Gothic" w:hAnsi="Century Gothic" w:cs="Calibri"/>
          <w:sz w:val="20"/>
          <w:szCs w:val="20"/>
        </w:rPr>
        <w:t xml:space="preserve"> – </w:t>
      </w:r>
      <w:r w:rsidR="0085654F">
        <w:rPr>
          <w:rFonts w:ascii="Century Gothic" w:hAnsi="Century Gothic" w:cs="Calibri"/>
          <w:sz w:val="20"/>
          <w:szCs w:val="20"/>
        </w:rPr>
        <w:t>are not mandated by all governments</w:t>
      </w:r>
      <w:r w:rsidR="00FF3448">
        <w:rPr>
          <w:rFonts w:ascii="Century Gothic" w:hAnsi="Century Gothic" w:cs="Calibri"/>
          <w:sz w:val="20"/>
          <w:szCs w:val="20"/>
        </w:rPr>
        <w:t>.</w:t>
      </w:r>
    </w:p>
    <w:p w:rsidR="00716D96" w:rsidRDefault="00A7460D" w:rsidP="008B3723">
      <w:pPr>
        <w:pStyle w:val="ListParagraph"/>
        <w:numPr>
          <w:ilvl w:val="0"/>
          <w:numId w:val="25"/>
        </w:numPr>
        <w:spacing w:before="240" w:line="276" w:lineRule="auto"/>
        <w:rPr>
          <w:rFonts w:ascii="Century Gothic" w:hAnsi="Century Gothic" w:cs="Calibri"/>
          <w:sz w:val="20"/>
          <w:szCs w:val="20"/>
        </w:rPr>
      </w:pPr>
      <w:r>
        <w:rPr>
          <w:rFonts w:ascii="Century Gothic" w:hAnsi="Century Gothic" w:cs="Calibri"/>
          <w:sz w:val="20"/>
          <w:szCs w:val="20"/>
        </w:rPr>
        <w:t xml:space="preserve">Gaps </w:t>
      </w:r>
      <w:r w:rsidR="00C8352F">
        <w:rPr>
          <w:rFonts w:ascii="Century Gothic" w:hAnsi="Century Gothic" w:cs="Calibri"/>
          <w:sz w:val="20"/>
          <w:szCs w:val="20"/>
        </w:rPr>
        <w:t>remain in</w:t>
      </w:r>
      <w:r w:rsidR="00921BC6">
        <w:rPr>
          <w:rFonts w:ascii="Century Gothic" w:hAnsi="Century Gothic" w:cs="Calibri"/>
          <w:sz w:val="20"/>
          <w:szCs w:val="20"/>
        </w:rPr>
        <w:t xml:space="preserve"> </w:t>
      </w:r>
      <w:r w:rsidR="00716D96">
        <w:rPr>
          <w:rFonts w:ascii="Century Gothic" w:hAnsi="Century Gothic" w:cs="Calibri"/>
          <w:sz w:val="20"/>
          <w:szCs w:val="20"/>
        </w:rPr>
        <w:t>standardisation and collection protocols for certain types of emerging</w:t>
      </w:r>
      <w:r w:rsidR="008D7A7A">
        <w:rPr>
          <w:rFonts w:ascii="Century Gothic" w:hAnsi="Century Gothic" w:cs="Calibri"/>
          <w:sz w:val="20"/>
          <w:szCs w:val="20"/>
        </w:rPr>
        <w:t xml:space="preserve"> or complex</w:t>
      </w:r>
      <w:r w:rsidR="00716D96">
        <w:rPr>
          <w:rFonts w:ascii="Century Gothic" w:hAnsi="Century Gothic" w:cs="Calibri"/>
          <w:sz w:val="20"/>
          <w:szCs w:val="20"/>
        </w:rPr>
        <w:t xml:space="preserve"> cancer-related data. This is particularly the case </w:t>
      </w:r>
      <w:r w:rsidR="002E474B">
        <w:rPr>
          <w:rFonts w:ascii="Century Gothic" w:hAnsi="Century Gothic" w:cs="Calibri"/>
          <w:sz w:val="20"/>
          <w:szCs w:val="20"/>
        </w:rPr>
        <w:t>with respect</w:t>
      </w:r>
      <w:r w:rsidR="00716D96">
        <w:rPr>
          <w:rFonts w:ascii="Century Gothic" w:hAnsi="Century Gothic" w:cs="Calibri"/>
          <w:sz w:val="20"/>
          <w:szCs w:val="20"/>
        </w:rPr>
        <w:t xml:space="preserve"> to </w:t>
      </w:r>
      <w:r w:rsidR="00716D96">
        <w:rPr>
          <w:rFonts w:ascii="Century Gothic" w:hAnsi="Century Gothic" w:cs="Calibri"/>
          <w:sz w:val="20"/>
          <w:szCs w:val="20"/>
        </w:rPr>
        <w:lastRenderedPageBreak/>
        <w:t>biobanking and bioinformatics (</w:t>
      </w:r>
      <w:r w:rsidR="002E474B">
        <w:rPr>
          <w:rFonts w:ascii="Century Gothic" w:hAnsi="Century Gothic" w:cs="Calibri"/>
          <w:sz w:val="20"/>
          <w:szCs w:val="20"/>
        </w:rPr>
        <w:t>i</w:t>
      </w:r>
      <w:r w:rsidR="00716D96">
        <w:rPr>
          <w:rFonts w:ascii="Century Gothic" w:hAnsi="Century Gothic" w:cs="Calibri"/>
          <w:sz w:val="20"/>
          <w:szCs w:val="20"/>
        </w:rPr>
        <w:t>.</w:t>
      </w:r>
      <w:r w:rsidR="002E474B">
        <w:rPr>
          <w:rFonts w:ascii="Century Gothic" w:hAnsi="Century Gothic" w:cs="Calibri"/>
          <w:sz w:val="20"/>
          <w:szCs w:val="20"/>
        </w:rPr>
        <w:t>e</w:t>
      </w:r>
      <w:r w:rsidR="00716D96">
        <w:rPr>
          <w:rFonts w:ascii="Century Gothic" w:hAnsi="Century Gothic" w:cs="Calibri"/>
          <w:sz w:val="20"/>
          <w:szCs w:val="20"/>
        </w:rPr>
        <w:t xml:space="preserve">. </w:t>
      </w:r>
      <w:r w:rsidR="00FF65EE">
        <w:rPr>
          <w:rFonts w:ascii="Century Gothic" w:hAnsi="Century Gothic" w:cs="Calibri"/>
          <w:sz w:val="20"/>
          <w:szCs w:val="20"/>
        </w:rPr>
        <w:t xml:space="preserve">population </w:t>
      </w:r>
      <w:r w:rsidR="00716D96">
        <w:rPr>
          <w:rFonts w:ascii="Century Gothic" w:hAnsi="Century Gothic" w:cs="Calibri"/>
          <w:sz w:val="20"/>
          <w:szCs w:val="20"/>
        </w:rPr>
        <w:t xml:space="preserve">data that incorporates information about genetic mutations). </w:t>
      </w:r>
    </w:p>
    <w:p w:rsidR="00E47D33" w:rsidRDefault="00F37960" w:rsidP="00BA66FB">
      <w:pPr>
        <w:spacing w:before="240" w:line="276" w:lineRule="auto"/>
        <w:rPr>
          <w:rFonts w:ascii="Century Gothic" w:hAnsi="Century Gothic" w:cs="Calibri"/>
          <w:sz w:val="20"/>
          <w:szCs w:val="20"/>
        </w:rPr>
      </w:pPr>
      <w:r>
        <w:rPr>
          <w:rFonts w:ascii="Century Gothic" w:hAnsi="Century Gothic" w:cs="Calibri"/>
          <w:sz w:val="20"/>
          <w:szCs w:val="20"/>
        </w:rPr>
        <w:t xml:space="preserve">There have been some recent </w:t>
      </w:r>
      <w:r w:rsidR="00164357">
        <w:rPr>
          <w:rFonts w:ascii="Century Gothic" w:hAnsi="Century Gothic" w:cs="Calibri"/>
          <w:sz w:val="20"/>
          <w:szCs w:val="20"/>
        </w:rPr>
        <w:t xml:space="preserve">advances </w:t>
      </w:r>
      <w:r w:rsidR="006A1BC6">
        <w:rPr>
          <w:rFonts w:ascii="Century Gothic" w:hAnsi="Century Gothic" w:cs="Calibri"/>
          <w:sz w:val="20"/>
          <w:szCs w:val="20"/>
        </w:rPr>
        <w:t>towards overcoming</w:t>
      </w:r>
      <w:r>
        <w:rPr>
          <w:rFonts w:ascii="Century Gothic" w:hAnsi="Century Gothic" w:cs="Calibri"/>
          <w:sz w:val="20"/>
          <w:szCs w:val="20"/>
        </w:rPr>
        <w:t xml:space="preserve"> barriers relati</w:t>
      </w:r>
      <w:r w:rsidR="006A1BC6">
        <w:rPr>
          <w:rFonts w:ascii="Century Gothic" w:hAnsi="Century Gothic" w:cs="Calibri"/>
          <w:sz w:val="20"/>
          <w:szCs w:val="20"/>
        </w:rPr>
        <w:t>ng</w:t>
      </w:r>
      <w:r>
        <w:rPr>
          <w:rFonts w:ascii="Century Gothic" w:hAnsi="Century Gothic" w:cs="Calibri"/>
          <w:sz w:val="20"/>
          <w:szCs w:val="20"/>
        </w:rPr>
        <w:t xml:space="preserve"> to the access and use of </w:t>
      </w:r>
      <w:r w:rsidR="001D539B">
        <w:rPr>
          <w:rFonts w:ascii="Century Gothic" w:hAnsi="Century Gothic" w:cs="Calibri"/>
          <w:sz w:val="20"/>
          <w:szCs w:val="20"/>
        </w:rPr>
        <w:t xml:space="preserve">cancer data (see next section). </w:t>
      </w:r>
      <w:r w:rsidR="00EF128B">
        <w:rPr>
          <w:rFonts w:ascii="Century Gothic" w:hAnsi="Century Gothic" w:cs="Calibri"/>
          <w:sz w:val="20"/>
          <w:szCs w:val="20"/>
        </w:rPr>
        <w:t>Although well-established processes are in place to access public sector datasets, m</w:t>
      </w:r>
      <w:r w:rsidR="00E24BF4">
        <w:rPr>
          <w:rFonts w:ascii="Century Gothic" w:hAnsi="Century Gothic" w:cs="Calibri"/>
          <w:sz w:val="20"/>
          <w:szCs w:val="20"/>
        </w:rPr>
        <w:t>ore</w:t>
      </w:r>
      <w:r w:rsidR="00E6499E" w:rsidRPr="00E6499E">
        <w:rPr>
          <w:rFonts w:ascii="Century Gothic" w:hAnsi="Century Gothic" w:cs="Calibri"/>
          <w:sz w:val="20"/>
          <w:szCs w:val="20"/>
        </w:rPr>
        <w:t xml:space="preserve"> efficient </w:t>
      </w:r>
      <w:r w:rsidR="00DA43FA" w:rsidRPr="00BA66FB">
        <w:rPr>
          <w:rFonts w:ascii="Century Gothic" w:hAnsi="Century Gothic" w:cs="Calibri"/>
          <w:sz w:val="20"/>
          <w:szCs w:val="20"/>
        </w:rPr>
        <w:t>link</w:t>
      </w:r>
      <w:r w:rsidR="00E6499E">
        <w:rPr>
          <w:rFonts w:ascii="Century Gothic" w:hAnsi="Century Gothic" w:cs="Calibri"/>
          <w:sz w:val="20"/>
          <w:szCs w:val="20"/>
        </w:rPr>
        <w:t>ing</w:t>
      </w:r>
      <w:r w:rsidR="00DA43FA" w:rsidRPr="00BA66FB">
        <w:rPr>
          <w:rFonts w:ascii="Century Gothic" w:hAnsi="Century Gothic" w:cs="Calibri"/>
          <w:sz w:val="20"/>
          <w:szCs w:val="20"/>
        </w:rPr>
        <w:t xml:space="preserve"> </w:t>
      </w:r>
      <w:r w:rsidR="00E24BF4">
        <w:rPr>
          <w:rFonts w:ascii="Century Gothic" w:hAnsi="Century Gothic" w:cs="Calibri"/>
          <w:sz w:val="20"/>
          <w:szCs w:val="20"/>
        </w:rPr>
        <w:t xml:space="preserve">and </w:t>
      </w:r>
      <w:r w:rsidR="00E24BF4" w:rsidRPr="00E6499E">
        <w:rPr>
          <w:rFonts w:ascii="Century Gothic" w:hAnsi="Century Gothic" w:cs="Calibri"/>
          <w:sz w:val="20"/>
          <w:szCs w:val="20"/>
        </w:rPr>
        <w:t xml:space="preserve">sharing </w:t>
      </w:r>
      <w:r w:rsidR="00D352EF">
        <w:rPr>
          <w:rFonts w:ascii="Century Gothic" w:hAnsi="Century Gothic" w:cs="Calibri"/>
          <w:sz w:val="20"/>
          <w:szCs w:val="20"/>
        </w:rPr>
        <w:t xml:space="preserve">of </w:t>
      </w:r>
      <w:r w:rsidR="00BA66FB">
        <w:rPr>
          <w:rFonts w:ascii="Century Gothic" w:hAnsi="Century Gothic" w:cs="Calibri"/>
          <w:sz w:val="20"/>
          <w:szCs w:val="20"/>
        </w:rPr>
        <w:t xml:space="preserve">data relevant to cancer control </w:t>
      </w:r>
      <w:r w:rsidR="00D352EF">
        <w:rPr>
          <w:rFonts w:ascii="Century Gothic" w:hAnsi="Century Gothic" w:cs="Calibri"/>
          <w:sz w:val="20"/>
          <w:szCs w:val="20"/>
        </w:rPr>
        <w:t xml:space="preserve">could optimise the resources used by data custodians </w:t>
      </w:r>
      <w:r w:rsidR="00E24BF4">
        <w:rPr>
          <w:rFonts w:ascii="Century Gothic" w:hAnsi="Century Gothic" w:cs="Calibri"/>
          <w:sz w:val="20"/>
          <w:szCs w:val="20"/>
        </w:rPr>
        <w:t xml:space="preserve">to provide data </w:t>
      </w:r>
      <w:r w:rsidR="00D352EF">
        <w:rPr>
          <w:rFonts w:ascii="Century Gothic" w:hAnsi="Century Gothic" w:cs="Calibri"/>
          <w:sz w:val="20"/>
          <w:szCs w:val="20"/>
        </w:rPr>
        <w:t>and limit the costs payed by organisations accessing the data.</w:t>
      </w:r>
      <w:r w:rsidR="006728C4">
        <w:rPr>
          <w:rFonts w:ascii="Century Gothic" w:hAnsi="Century Gothic" w:cs="Calibri"/>
          <w:sz w:val="20"/>
          <w:szCs w:val="20"/>
        </w:rPr>
        <w:t xml:space="preserve"> Assuming appropriate </w:t>
      </w:r>
      <w:r w:rsidR="006728C4" w:rsidRPr="006728C4">
        <w:rPr>
          <w:rFonts w:ascii="Century Gothic" w:hAnsi="Century Gothic" w:cs="Calibri"/>
          <w:sz w:val="20"/>
          <w:szCs w:val="20"/>
        </w:rPr>
        <w:t xml:space="preserve">ethical </w:t>
      </w:r>
      <w:r w:rsidR="006728C4">
        <w:rPr>
          <w:rFonts w:ascii="Century Gothic" w:hAnsi="Century Gothic" w:cs="Calibri"/>
          <w:sz w:val="20"/>
          <w:szCs w:val="20"/>
        </w:rPr>
        <w:t xml:space="preserve">and </w:t>
      </w:r>
      <w:r w:rsidR="006728C4" w:rsidRPr="006728C4">
        <w:rPr>
          <w:rFonts w:ascii="Century Gothic" w:hAnsi="Century Gothic" w:cs="Calibri"/>
          <w:sz w:val="20"/>
          <w:szCs w:val="20"/>
        </w:rPr>
        <w:t xml:space="preserve">privacy </w:t>
      </w:r>
      <w:r w:rsidR="002C7B22">
        <w:rPr>
          <w:rFonts w:ascii="Century Gothic" w:hAnsi="Century Gothic" w:cs="Calibri"/>
          <w:sz w:val="20"/>
          <w:szCs w:val="20"/>
        </w:rPr>
        <w:t>standards</w:t>
      </w:r>
      <w:r w:rsidR="006728C4">
        <w:rPr>
          <w:rFonts w:ascii="Century Gothic" w:hAnsi="Century Gothic" w:cs="Calibri"/>
          <w:sz w:val="20"/>
          <w:szCs w:val="20"/>
        </w:rPr>
        <w:t xml:space="preserve"> are maintained, this would allow for a </w:t>
      </w:r>
      <w:r w:rsidR="00E24581">
        <w:rPr>
          <w:rFonts w:ascii="Century Gothic" w:hAnsi="Century Gothic" w:cs="Calibri"/>
          <w:sz w:val="20"/>
          <w:szCs w:val="20"/>
        </w:rPr>
        <w:t xml:space="preserve">continued </w:t>
      </w:r>
      <w:r w:rsidR="006728C4">
        <w:rPr>
          <w:rFonts w:ascii="Century Gothic" w:hAnsi="Century Gothic" w:cs="Calibri"/>
          <w:sz w:val="20"/>
          <w:szCs w:val="20"/>
        </w:rPr>
        <w:t>sustainable and cost-effective approach to ensuring evidence-based policy approaches are applied to cancer control in Australia</w:t>
      </w:r>
      <w:r w:rsidR="00E47D33" w:rsidRPr="00BA66FB">
        <w:rPr>
          <w:rFonts w:ascii="Century Gothic" w:hAnsi="Century Gothic" w:cs="Calibri"/>
          <w:sz w:val="20"/>
          <w:szCs w:val="20"/>
        </w:rPr>
        <w:t>.</w:t>
      </w:r>
    </w:p>
    <w:p w:rsidR="00FF134A" w:rsidRPr="00D241C8" w:rsidRDefault="00FF134A" w:rsidP="00FF134A">
      <w:pPr>
        <w:spacing w:before="360" w:after="120" w:line="276" w:lineRule="auto"/>
        <w:rPr>
          <w:rFonts w:ascii="Century Gothic" w:hAnsi="Century Gothic" w:cs="Calibri"/>
          <w:b/>
          <w:sz w:val="20"/>
          <w:szCs w:val="20"/>
        </w:rPr>
      </w:pPr>
      <w:r w:rsidRPr="00D241C8">
        <w:rPr>
          <w:rFonts w:ascii="Century Gothic" w:hAnsi="Century Gothic" w:cs="Calibri"/>
          <w:b/>
          <w:sz w:val="20"/>
          <w:szCs w:val="20"/>
        </w:rPr>
        <w:t xml:space="preserve">Cancer Australia’s work in data </w:t>
      </w:r>
    </w:p>
    <w:p w:rsidR="00125455" w:rsidRDefault="00F32E56" w:rsidP="00C54827">
      <w:pPr>
        <w:spacing w:before="240" w:line="276" w:lineRule="auto"/>
        <w:rPr>
          <w:rFonts w:ascii="Century Gothic" w:hAnsi="Century Gothic" w:cs="Calibri"/>
          <w:sz w:val="20"/>
          <w:szCs w:val="20"/>
        </w:rPr>
      </w:pPr>
      <w:r>
        <w:rPr>
          <w:rFonts w:ascii="Century Gothic" w:hAnsi="Century Gothic" w:cs="Calibri"/>
          <w:sz w:val="20"/>
          <w:szCs w:val="20"/>
        </w:rPr>
        <w:t xml:space="preserve">As the national cancer control agency, Cancer Australia </w:t>
      </w:r>
      <w:r w:rsidR="003723D6">
        <w:rPr>
          <w:rFonts w:ascii="Century Gothic" w:hAnsi="Century Gothic" w:cs="Calibri"/>
          <w:sz w:val="20"/>
          <w:szCs w:val="20"/>
        </w:rPr>
        <w:t xml:space="preserve">developed </w:t>
      </w:r>
      <w:r>
        <w:rPr>
          <w:rFonts w:ascii="Century Gothic" w:hAnsi="Century Gothic" w:cs="Calibri"/>
          <w:sz w:val="20"/>
          <w:szCs w:val="20"/>
        </w:rPr>
        <w:t xml:space="preserve">a program of work </w:t>
      </w:r>
      <w:r w:rsidR="00067B5B">
        <w:rPr>
          <w:rFonts w:ascii="Century Gothic" w:hAnsi="Century Gothic" w:cs="Calibri"/>
          <w:sz w:val="20"/>
          <w:szCs w:val="20"/>
        </w:rPr>
        <w:t xml:space="preserve">under its </w:t>
      </w:r>
      <w:r w:rsidR="00067B5B" w:rsidRPr="00067B5B">
        <w:rPr>
          <w:rFonts w:ascii="Century Gothic" w:hAnsi="Century Gothic" w:cs="Calibri"/>
          <w:i/>
          <w:sz w:val="20"/>
          <w:szCs w:val="20"/>
        </w:rPr>
        <w:t>Strategic Plan 2014-2019</w:t>
      </w:r>
      <w:r w:rsidR="00067B5B" w:rsidRPr="00067B5B">
        <w:rPr>
          <w:rFonts w:ascii="Century Gothic" w:hAnsi="Century Gothic" w:cs="Calibri"/>
          <w:sz w:val="20"/>
          <w:szCs w:val="20"/>
          <w:vertAlign w:val="superscript"/>
        </w:rPr>
        <w:t>2</w:t>
      </w:r>
      <w:r w:rsidR="00067B5B">
        <w:rPr>
          <w:rFonts w:ascii="Century Gothic" w:hAnsi="Century Gothic" w:cs="Calibri"/>
          <w:sz w:val="20"/>
          <w:szCs w:val="20"/>
        </w:rPr>
        <w:t xml:space="preserve"> </w:t>
      </w:r>
      <w:r w:rsidR="00CD5324">
        <w:rPr>
          <w:rFonts w:ascii="Century Gothic" w:hAnsi="Century Gothic" w:cs="Calibri"/>
          <w:sz w:val="20"/>
          <w:szCs w:val="20"/>
        </w:rPr>
        <w:t xml:space="preserve">which aims </w:t>
      </w:r>
      <w:r>
        <w:rPr>
          <w:rFonts w:ascii="Century Gothic" w:hAnsi="Century Gothic" w:cs="Calibri"/>
          <w:sz w:val="20"/>
          <w:szCs w:val="20"/>
        </w:rPr>
        <w:t xml:space="preserve">to </w:t>
      </w:r>
      <w:r w:rsidR="006B2022">
        <w:rPr>
          <w:rFonts w:ascii="Century Gothic" w:hAnsi="Century Gothic" w:cs="Calibri"/>
          <w:sz w:val="20"/>
          <w:szCs w:val="20"/>
        </w:rPr>
        <w:t>address</w:t>
      </w:r>
      <w:r>
        <w:rPr>
          <w:rFonts w:ascii="Century Gothic" w:hAnsi="Century Gothic" w:cs="Calibri"/>
          <w:sz w:val="20"/>
          <w:szCs w:val="20"/>
        </w:rPr>
        <w:t xml:space="preserve"> </w:t>
      </w:r>
      <w:r w:rsidR="008B3723">
        <w:rPr>
          <w:rFonts w:ascii="Century Gothic" w:hAnsi="Century Gothic" w:cs="Calibri"/>
          <w:sz w:val="20"/>
          <w:szCs w:val="20"/>
        </w:rPr>
        <w:t>so</w:t>
      </w:r>
      <w:r w:rsidR="00B15C64">
        <w:rPr>
          <w:rFonts w:ascii="Century Gothic" w:hAnsi="Century Gothic" w:cs="Calibri"/>
          <w:sz w:val="20"/>
          <w:szCs w:val="20"/>
        </w:rPr>
        <w:t>me of the</w:t>
      </w:r>
      <w:r w:rsidR="00D9039A">
        <w:rPr>
          <w:rFonts w:ascii="Century Gothic" w:hAnsi="Century Gothic" w:cs="Calibri"/>
          <w:sz w:val="20"/>
          <w:szCs w:val="20"/>
        </w:rPr>
        <w:t xml:space="preserve"> issues noted above. </w:t>
      </w:r>
      <w:r w:rsidR="00D9039A" w:rsidRPr="00D9039A">
        <w:rPr>
          <w:rFonts w:ascii="Century Gothic" w:hAnsi="Century Gothic" w:cs="Calibri"/>
          <w:sz w:val="20"/>
          <w:szCs w:val="20"/>
        </w:rPr>
        <w:t>Cancer Australia</w:t>
      </w:r>
      <w:r w:rsidR="00D9039A">
        <w:rPr>
          <w:rFonts w:ascii="Century Gothic" w:hAnsi="Century Gothic" w:cs="Calibri"/>
          <w:sz w:val="20"/>
          <w:szCs w:val="20"/>
        </w:rPr>
        <w:t xml:space="preserve"> works</w:t>
      </w:r>
      <w:r w:rsidR="00D9039A" w:rsidRPr="00D9039A">
        <w:rPr>
          <w:rFonts w:ascii="Century Gothic" w:hAnsi="Century Gothic" w:cs="Calibri"/>
          <w:sz w:val="20"/>
          <w:szCs w:val="20"/>
        </w:rPr>
        <w:t xml:space="preserve"> in </w:t>
      </w:r>
      <w:r w:rsidR="00D9039A">
        <w:rPr>
          <w:rFonts w:ascii="Century Gothic" w:hAnsi="Century Gothic" w:cs="Calibri"/>
          <w:sz w:val="20"/>
          <w:szCs w:val="20"/>
        </w:rPr>
        <w:t>collaboration with stakeholders</w:t>
      </w:r>
      <w:r w:rsidR="00D9039A" w:rsidRPr="00D9039A">
        <w:rPr>
          <w:rFonts w:ascii="Century Gothic" w:hAnsi="Century Gothic" w:cs="Calibri"/>
          <w:sz w:val="20"/>
          <w:szCs w:val="20"/>
        </w:rPr>
        <w:t xml:space="preserve"> to increase </w:t>
      </w:r>
      <w:r w:rsidR="00A83E5E">
        <w:rPr>
          <w:rFonts w:ascii="Century Gothic" w:hAnsi="Century Gothic" w:cs="Calibri"/>
          <w:sz w:val="20"/>
          <w:szCs w:val="20"/>
        </w:rPr>
        <w:t xml:space="preserve">national </w:t>
      </w:r>
      <w:r w:rsidR="00D9039A">
        <w:rPr>
          <w:rFonts w:ascii="Century Gothic" w:hAnsi="Century Gothic" w:cs="Calibri"/>
          <w:sz w:val="20"/>
          <w:szCs w:val="20"/>
        </w:rPr>
        <w:t xml:space="preserve">cancer </w:t>
      </w:r>
      <w:r w:rsidR="00D9039A" w:rsidRPr="00D9039A">
        <w:rPr>
          <w:rFonts w:ascii="Century Gothic" w:hAnsi="Century Gothic" w:cs="Calibri"/>
          <w:sz w:val="20"/>
          <w:szCs w:val="20"/>
        </w:rPr>
        <w:t>data availability, consistency and quality. The overall aim is to improve cancer outcomes</w:t>
      </w:r>
      <w:r w:rsidR="00D9039A">
        <w:rPr>
          <w:rFonts w:ascii="Century Gothic" w:hAnsi="Century Gothic" w:cs="Calibri"/>
          <w:sz w:val="20"/>
          <w:szCs w:val="20"/>
        </w:rPr>
        <w:t xml:space="preserve"> through</w:t>
      </w:r>
      <w:r w:rsidR="00023075">
        <w:rPr>
          <w:rFonts w:ascii="Century Gothic" w:hAnsi="Century Gothic" w:cs="Calibri"/>
          <w:sz w:val="20"/>
          <w:szCs w:val="20"/>
        </w:rPr>
        <w:t xml:space="preserve"> data-informed and</w:t>
      </w:r>
      <w:r w:rsidR="00D9039A">
        <w:rPr>
          <w:rFonts w:ascii="Century Gothic" w:hAnsi="Century Gothic" w:cs="Calibri"/>
          <w:sz w:val="20"/>
          <w:szCs w:val="20"/>
        </w:rPr>
        <w:t xml:space="preserve"> </w:t>
      </w:r>
      <w:r w:rsidR="003723D6">
        <w:rPr>
          <w:rFonts w:ascii="Century Gothic" w:hAnsi="Century Gothic" w:cs="Calibri"/>
          <w:sz w:val="20"/>
          <w:szCs w:val="20"/>
        </w:rPr>
        <w:t xml:space="preserve">targeted strategies </w:t>
      </w:r>
      <w:r w:rsidR="00D9039A">
        <w:rPr>
          <w:rFonts w:ascii="Century Gothic" w:hAnsi="Century Gothic" w:cs="Calibri"/>
          <w:sz w:val="20"/>
          <w:szCs w:val="20"/>
        </w:rPr>
        <w:t>such as</w:t>
      </w:r>
      <w:r w:rsidR="006B2022">
        <w:rPr>
          <w:rFonts w:ascii="Century Gothic" w:hAnsi="Century Gothic" w:cs="Calibri"/>
          <w:sz w:val="20"/>
          <w:szCs w:val="20"/>
        </w:rPr>
        <w:t>:</w:t>
      </w:r>
    </w:p>
    <w:p w:rsidR="006B2022" w:rsidRDefault="006B2022" w:rsidP="006B2022">
      <w:pPr>
        <w:pStyle w:val="ListParagraph"/>
        <w:numPr>
          <w:ilvl w:val="0"/>
          <w:numId w:val="26"/>
        </w:numPr>
        <w:spacing w:before="240" w:line="276" w:lineRule="auto"/>
        <w:rPr>
          <w:rFonts w:ascii="Century Gothic" w:hAnsi="Century Gothic" w:cs="Calibri"/>
          <w:sz w:val="20"/>
          <w:szCs w:val="20"/>
        </w:rPr>
      </w:pPr>
      <w:r>
        <w:rPr>
          <w:rFonts w:ascii="Century Gothic" w:hAnsi="Century Gothic" w:cs="Calibri"/>
          <w:sz w:val="20"/>
          <w:szCs w:val="20"/>
        </w:rPr>
        <w:t>Developing</w:t>
      </w:r>
      <w:r w:rsidR="009C4430">
        <w:rPr>
          <w:rFonts w:ascii="Century Gothic" w:hAnsi="Century Gothic" w:cs="Calibri"/>
          <w:sz w:val="20"/>
          <w:szCs w:val="20"/>
        </w:rPr>
        <w:t xml:space="preserve"> a framework of </w:t>
      </w:r>
      <w:r w:rsidR="009C4430" w:rsidRPr="009D49AA">
        <w:rPr>
          <w:rFonts w:ascii="Century Gothic" w:hAnsi="Century Gothic" w:cs="Calibri"/>
          <w:b/>
          <w:sz w:val="20"/>
          <w:szCs w:val="20"/>
        </w:rPr>
        <w:t>National Cancer Control Indicators</w:t>
      </w:r>
      <w:r w:rsidR="009C4430">
        <w:rPr>
          <w:rFonts w:ascii="Century Gothic" w:hAnsi="Century Gothic" w:cs="Calibri"/>
          <w:sz w:val="20"/>
          <w:szCs w:val="20"/>
        </w:rPr>
        <w:t>. This framework identifies key indicators</w:t>
      </w:r>
      <w:r w:rsidR="00EF6C58">
        <w:rPr>
          <w:rFonts w:ascii="Century Gothic" w:hAnsi="Century Gothic" w:cs="Calibri"/>
          <w:sz w:val="20"/>
          <w:szCs w:val="20"/>
        </w:rPr>
        <w:t xml:space="preserve"> (and associated measures)</w:t>
      </w:r>
      <w:r w:rsidR="00F558E5">
        <w:rPr>
          <w:rFonts w:ascii="Century Gothic" w:hAnsi="Century Gothic" w:cs="Calibri"/>
          <w:sz w:val="20"/>
          <w:szCs w:val="20"/>
        </w:rPr>
        <w:t xml:space="preserve"> across the continuum of care</w:t>
      </w:r>
      <w:r w:rsidR="009C4430">
        <w:rPr>
          <w:rFonts w:ascii="Century Gothic" w:hAnsi="Century Gothic" w:cs="Calibri"/>
          <w:sz w:val="20"/>
          <w:szCs w:val="20"/>
        </w:rPr>
        <w:t>.</w:t>
      </w:r>
      <w:r w:rsidR="006E45BC">
        <w:rPr>
          <w:rFonts w:ascii="Century Gothic" w:hAnsi="Century Gothic" w:cs="Calibri"/>
          <w:sz w:val="20"/>
          <w:szCs w:val="20"/>
        </w:rPr>
        <w:t xml:space="preserve"> </w:t>
      </w:r>
      <w:r w:rsidR="002B2168">
        <w:rPr>
          <w:rFonts w:ascii="Century Gothic" w:hAnsi="Century Gothic" w:cs="Calibri"/>
          <w:sz w:val="20"/>
          <w:szCs w:val="20"/>
        </w:rPr>
        <w:t>Monitoring</w:t>
      </w:r>
      <w:r w:rsidR="006E45BC">
        <w:rPr>
          <w:rFonts w:ascii="Century Gothic" w:hAnsi="Century Gothic" w:cs="Calibri"/>
          <w:sz w:val="20"/>
          <w:szCs w:val="20"/>
        </w:rPr>
        <w:t xml:space="preserve"> these indicators will</w:t>
      </w:r>
      <w:r w:rsidR="002B2168">
        <w:rPr>
          <w:rFonts w:ascii="Century Gothic" w:hAnsi="Century Gothic" w:cs="Calibri"/>
          <w:sz w:val="20"/>
          <w:szCs w:val="20"/>
        </w:rPr>
        <w:t xml:space="preserve"> support evidence-based decision-making for improved policy and practice </w:t>
      </w:r>
      <w:r w:rsidR="00C43F09">
        <w:rPr>
          <w:rFonts w:ascii="Century Gothic" w:hAnsi="Century Gothic" w:cs="Calibri"/>
          <w:sz w:val="20"/>
          <w:szCs w:val="20"/>
        </w:rPr>
        <w:t>towards</w:t>
      </w:r>
      <w:r w:rsidR="002B2168">
        <w:rPr>
          <w:rFonts w:ascii="Century Gothic" w:hAnsi="Century Gothic" w:cs="Calibri"/>
          <w:sz w:val="20"/>
          <w:szCs w:val="20"/>
        </w:rPr>
        <w:t xml:space="preserve"> better cancer outcomes, and provide a better understanding of unwarranted variations in cancer outcomes. The framework also provides </w:t>
      </w:r>
      <w:r w:rsidR="00707DF5">
        <w:rPr>
          <w:rFonts w:ascii="Century Gothic" w:hAnsi="Century Gothic" w:cs="Calibri"/>
          <w:sz w:val="20"/>
          <w:szCs w:val="20"/>
        </w:rPr>
        <w:t xml:space="preserve">a platform for bringing together cancer-specific data from different sources, </w:t>
      </w:r>
      <w:r w:rsidR="006E45BC">
        <w:rPr>
          <w:rFonts w:ascii="Century Gothic" w:hAnsi="Century Gothic" w:cs="Calibri"/>
          <w:sz w:val="20"/>
          <w:szCs w:val="20"/>
        </w:rPr>
        <w:t xml:space="preserve">and </w:t>
      </w:r>
      <w:r w:rsidR="00BB6547">
        <w:rPr>
          <w:rFonts w:ascii="Century Gothic" w:hAnsi="Century Gothic" w:cs="Calibri"/>
          <w:sz w:val="20"/>
          <w:szCs w:val="20"/>
        </w:rPr>
        <w:t xml:space="preserve">will </w:t>
      </w:r>
      <w:r w:rsidR="006E45BC">
        <w:rPr>
          <w:rFonts w:ascii="Century Gothic" w:hAnsi="Century Gothic" w:cs="Calibri"/>
          <w:sz w:val="20"/>
          <w:szCs w:val="20"/>
        </w:rPr>
        <w:t xml:space="preserve">facilitate </w:t>
      </w:r>
      <w:r w:rsidR="00BB6547">
        <w:rPr>
          <w:rFonts w:ascii="Century Gothic" w:hAnsi="Century Gothic" w:cs="Calibri"/>
          <w:sz w:val="20"/>
          <w:szCs w:val="20"/>
        </w:rPr>
        <w:t xml:space="preserve">the </w:t>
      </w:r>
      <w:r w:rsidR="006E45BC">
        <w:rPr>
          <w:rFonts w:ascii="Century Gothic" w:hAnsi="Century Gothic" w:cs="Calibri"/>
          <w:sz w:val="20"/>
          <w:szCs w:val="20"/>
        </w:rPr>
        <w:t>use of different data sets relevant to cancer control.</w:t>
      </w:r>
    </w:p>
    <w:p w:rsidR="006E45BC" w:rsidRPr="006B2022" w:rsidRDefault="00FB156F" w:rsidP="00496D17">
      <w:pPr>
        <w:pStyle w:val="ListParagraph"/>
        <w:numPr>
          <w:ilvl w:val="0"/>
          <w:numId w:val="26"/>
        </w:numPr>
        <w:spacing w:before="240" w:line="276" w:lineRule="auto"/>
        <w:rPr>
          <w:rFonts w:ascii="Century Gothic" w:hAnsi="Century Gothic" w:cs="Calibri"/>
          <w:sz w:val="20"/>
          <w:szCs w:val="20"/>
        </w:rPr>
      </w:pPr>
      <w:r>
        <w:rPr>
          <w:rFonts w:ascii="Century Gothic" w:hAnsi="Century Gothic" w:cs="Calibri"/>
          <w:sz w:val="20"/>
          <w:szCs w:val="20"/>
        </w:rPr>
        <w:t xml:space="preserve">Addressing critical data gaps through the </w:t>
      </w:r>
      <w:r w:rsidRPr="00FB156F">
        <w:rPr>
          <w:rFonts w:ascii="Century Gothic" w:hAnsi="Century Gothic" w:cs="Calibri"/>
          <w:b/>
          <w:sz w:val="20"/>
          <w:szCs w:val="20"/>
        </w:rPr>
        <w:t xml:space="preserve">Stage, Treatment and Recurrence (STaR) </w:t>
      </w:r>
      <w:r w:rsidRPr="000E7714">
        <w:rPr>
          <w:rFonts w:ascii="Century Gothic" w:hAnsi="Century Gothic" w:cs="Calibri"/>
          <w:sz w:val="20"/>
          <w:szCs w:val="20"/>
        </w:rPr>
        <w:t>project</w:t>
      </w:r>
      <w:r>
        <w:rPr>
          <w:rFonts w:ascii="Century Gothic" w:hAnsi="Century Gothic" w:cs="Calibri"/>
          <w:sz w:val="20"/>
          <w:szCs w:val="20"/>
        </w:rPr>
        <w:t>.</w:t>
      </w:r>
      <w:r w:rsidR="00496D17">
        <w:rPr>
          <w:rFonts w:ascii="Century Gothic" w:hAnsi="Century Gothic" w:cs="Calibri"/>
          <w:sz w:val="20"/>
          <w:szCs w:val="20"/>
        </w:rPr>
        <w:t xml:space="preserve"> This is a multi-phase project, in collaboration with </w:t>
      </w:r>
      <w:r w:rsidR="00245A15">
        <w:rPr>
          <w:rFonts w:ascii="Century Gothic" w:hAnsi="Century Gothic" w:cs="Calibri"/>
          <w:sz w:val="20"/>
          <w:szCs w:val="20"/>
        </w:rPr>
        <w:t xml:space="preserve">multiple </w:t>
      </w:r>
      <w:r w:rsidR="00496D17">
        <w:rPr>
          <w:rFonts w:ascii="Century Gothic" w:hAnsi="Century Gothic" w:cs="Calibri"/>
          <w:sz w:val="20"/>
          <w:szCs w:val="20"/>
        </w:rPr>
        <w:t>stakeholders, to develop high-</w:t>
      </w:r>
      <w:r w:rsidR="00496D17" w:rsidRPr="00496D17">
        <w:rPr>
          <w:rFonts w:ascii="Century Gothic" w:hAnsi="Century Gothic" w:cs="Calibri"/>
          <w:sz w:val="20"/>
          <w:szCs w:val="20"/>
        </w:rPr>
        <w:t>quality, comprehensive national data on the stage (Tumour, Node, and Metastasis - TNM) of cancer at diagnosis, the treatments applied to cancers and the frequency of recur</w:t>
      </w:r>
      <w:r w:rsidR="00496D17">
        <w:rPr>
          <w:rFonts w:ascii="Century Gothic" w:hAnsi="Century Gothic" w:cs="Calibri"/>
          <w:sz w:val="20"/>
          <w:szCs w:val="20"/>
        </w:rPr>
        <w:t>rence of cancer after treatment.</w:t>
      </w:r>
      <w:r w:rsidR="003D4D77">
        <w:rPr>
          <w:rFonts w:ascii="Century Gothic" w:hAnsi="Century Gothic" w:cs="Calibri"/>
          <w:sz w:val="20"/>
          <w:szCs w:val="20"/>
        </w:rPr>
        <w:t xml:space="preserve"> </w:t>
      </w:r>
      <w:r w:rsidR="00E24BF4">
        <w:rPr>
          <w:rFonts w:ascii="Century Gothic" w:hAnsi="Century Gothic" w:cs="Calibri"/>
          <w:sz w:val="20"/>
          <w:szCs w:val="20"/>
        </w:rPr>
        <w:t>Collation, analysis and use of</w:t>
      </w:r>
      <w:r w:rsidR="003D4D77">
        <w:rPr>
          <w:rFonts w:ascii="Century Gothic" w:hAnsi="Century Gothic" w:cs="Calibri"/>
          <w:sz w:val="20"/>
          <w:szCs w:val="20"/>
        </w:rPr>
        <w:t xml:space="preserve"> STaR data will allow for more targeted policy and practice across the </w:t>
      </w:r>
      <w:r w:rsidR="00EF6C58">
        <w:rPr>
          <w:rFonts w:ascii="Century Gothic" w:hAnsi="Century Gothic" w:cs="Calibri"/>
          <w:sz w:val="20"/>
          <w:szCs w:val="20"/>
        </w:rPr>
        <w:t xml:space="preserve">cancer care </w:t>
      </w:r>
      <w:r w:rsidR="003D4D77">
        <w:rPr>
          <w:rFonts w:ascii="Century Gothic" w:hAnsi="Century Gothic" w:cs="Calibri"/>
          <w:sz w:val="20"/>
          <w:szCs w:val="20"/>
        </w:rPr>
        <w:t>continuum</w:t>
      </w:r>
      <w:r w:rsidR="00BB6547">
        <w:rPr>
          <w:rFonts w:ascii="Century Gothic" w:hAnsi="Century Gothic" w:cs="Calibri"/>
          <w:sz w:val="20"/>
          <w:szCs w:val="20"/>
        </w:rPr>
        <w:t xml:space="preserve">, including </w:t>
      </w:r>
      <w:r w:rsidR="00FD3B32">
        <w:rPr>
          <w:rFonts w:ascii="Century Gothic" w:hAnsi="Century Gothic" w:cs="Calibri"/>
          <w:sz w:val="20"/>
          <w:szCs w:val="20"/>
        </w:rPr>
        <w:t>understanding unwarranted variations in cancer outcomes</w:t>
      </w:r>
      <w:r w:rsidR="00CC615B">
        <w:rPr>
          <w:rFonts w:ascii="Century Gothic" w:hAnsi="Century Gothic" w:cs="Calibri"/>
          <w:sz w:val="20"/>
          <w:szCs w:val="20"/>
        </w:rPr>
        <w:t xml:space="preserve"> across different population groups</w:t>
      </w:r>
      <w:r w:rsidR="003D4D77">
        <w:rPr>
          <w:rFonts w:ascii="Century Gothic" w:hAnsi="Century Gothic" w:cs="Calibri"/>
          <w:sz w:val="20"/>
          <w:szCs w:val="20"/>
        </w:rPr>
        <w:t>.</w:t>
      </w:r>
    </w:p>
    <w:p w:rsidR="000C4200" w:rsidRDefault="000C4200" w:rsidP="00650131">
      <w:pPr>
        <w:spacing w:after="200" w:line="276" w:lineRule="auto"/>
        <w:rPr>
          <w:rFonts w:ascii="Century Gothic" w:hAnsi="Century Gothic" w:cs="Calibri"/>
          <w:b/>
          <w:color w:val="C00000"/>
        </w:rPr>
      </w:pPr>
    </w:p>
    <w:p w:rsidR="0067248D" w:rsidRPr="00FF6F6E" w:rsidRDefault="0067248D" w:rsidP="0067248D">
      <w:pPr>
        <w:spacing w:after="200" w:line="276" w:lineRule="auto"/>
        <w:rPr>
          <w:rFonts w:ascii="Century Gothic" w:hAnsi="Century Gothic" w:cs="Calibri"/>
          <w:sz w:val="20"/>
          <w:szCs w:val="20"/>
        </w:rPr>
      </w:pPr>
      <w:r>
        <w:rPr>
          <w:rFonts w:ascii="Century Gothic" w:hAnsi="Century Gothic" w:cs="Calibri"/>
          <w:b/>
          <w:color w:val="C00000"/>
        </w:rPr>
        <w:t xml:space="preserve">Terms of Reference 1: Availability of Public Sector data </w:t>
      </w:r>
    </w:p>
    <w:p w:rsidR="00821F09" w:rsidRDefault="00C97094" w:rsidP="0067248D">
      <w:pPr>
        <w:spacing w:after="200" w:line="276" w:lineRule="auto"/>
        <w:rPr>
          <w:rFonts w:ascii="Century Gothic" w:hAnsi="Century Gothic" w:cs="Calibri"/>
          <w:sz w:val="20"/>
          <w:szCs w:val="20"/>
        </w:rPr>
      </w:pPr>
      <w:r w:rsidRPr="00C97094">
        <w:rPr>
          <w:rFonts w:ascii="Century Gothic" w:hAnsi="Century Gothic" w:cs="Calibri"/>
          <w:sz w:val="20"/>
          <w:szCs w:val="20"/>
        </w:rPr>
        <w:t>Terms of</w:t>
      </w:r>
      <w:r>
        <w:rPr>
          <w:rFonts w:ascii="Century Gothic" w:hAnsi="Century Gothic" w:cs="Calibri"/>
          <w:sz w:val="20"/>
          <w:szCs w:val="20"/>
        </w:rPr>
        <w:t xml:space="preserve"> Reference 1 of the Inquiry is to examine the benefits and costs of options for increasing availability of public sector data to other public sector agencies, the private sector, research sector, academia and the community.</w:t>
      </w:r>
      <w:r w:rsidR="00282A2D">
        <w:rPr>
          <w:rFonts w:ascii="Century Gothic" w:hAnsi="Century Gothic" w:cs="Calibri"/>
          <w:sz w:val="20"/>
          <w:szCs w:val="20"/>
        </w:rPr>
        <w:t xml:space="preserve"> </w:t>
      </w:r>
      <w:r w:rsidR="007E6A72">
        <w:rPr>
          <w:rFonts w:ascii="Century Gothic" w:hAnsi="Century Gothic" w:cs="Calibri"/>
          <w:sz w:val="20"/>
          <w:szCs w:val="20"/>
        </w:rPr>
        <w:t>Due to the broad scope of Terms of Reference 1, t</w:t>
      </w:r>
      <w:r w:rsidR="00282A2D">
        <w:rPr>
          <w:rFonts w:ascii="Century Gothic" w:hAnsi="Century Gothic" w:cs="Calibri"/>
          <w:sz w:val="20"/>
          <w:szCs w:val="20"/>
        </w:rPr>
        <w:t xml:space="preserve">he sections below </w:t>
      </w:r>
      <w:r w:rsidR="00667323">
        <w:rPr>
          <w:rFonts w:ascii="Century Gothic" w:hAnsi="Century Gothic" w:cs="Calibri"/>
          <w:sz w:val="20"/>
          <w:szCs w:val="20"/>
        </w:rPr>
        <w:t>are provided</w:t>
      </w:r>
      <w:r w:rsidR="00282A2D">
        <w:rPr>
          <w:rFonts w:ascii="Century Gothic" w:hAnsi="Century Gothic" w:cs="Calibri"/>
          <w:sz w:val="20"/>
          <w:szCs w:val="20"/>
        </w:rPr>
        <w:t xml:space="preserve"> in reference to </w:t>
      </w:r>
      <w:r w:rsidR="00FE7A67">
        <w:rPr>
          <w:rFonts w:ascii="Century Gothic" w:hAnsi="Century Gothic" w:cs="Calibri"/>
          <w:sz w:val="20"/>
          <w:szCs w:val="20"/>
        </w:rPr>
        <w:t xml:space="preserve">selected </w:t>
      </w:r>
      <w:r w:rsidR="00282A2D">
        <w:rPr>
          <w:rFonts w:ascii="Century Gothic" w:hAnsi="Century Gothic" w:cs="Calibri"/>
          <w:sz w:val="20"/>
          <w:szCs w:val="20"/>
        </w:rPr>
        <w:t>questions presented on page 14 of the Issues Paper.</w:t>
      </w:r>
    </w:p>
    <w:p w:rsidR="0067248D" w:rsidRDefault="00FA2130" w:rsidP="0067248D">
      <w:pPr>
        <w:spacing w:after="200" w:line="276" w:lineRule="auto"/>
        <w:rPr>
          <w:rFonts w:ascii="Century Gothic" w:hAnsi="Century Gothic" w:cs="Calibri"/>
          <w:b/>
          <w:sz w:val="20"/>
          <w:szCs w:val="20"/>
        </w:rPr>
      </w:pPr>
      <w:r>
        <w:rPr>
          <w:rFonts w:ascii="Century Gothic" w:hAnsi="Century Gothic" w:cs="Calibri"/>
          <w:b/>
          <w:sz w:val="20"/>
          <w:szCs w:val="20"/>
        </w:rPr>
        <w:t xml:space="preserve">1.1 </w:t>
      </w:r>
      <w:r w:rsidR="0067248D">
        <w:rPr>
          <w:rFonts w:ascii="Century Gothic" w:hAnsi="Century Gothic" w:cs="Calibri"/>
          <w:b/>
          <w:sz w:val="20"/>
          <w:szCs w:val="20"/>
        </w:rPr>
        <w:t>Benefits from increasing availability of public sector data</w:t>
      </w:r>
    </w:p>
    <w:p w:rsidR="00701568" w:rsidRDefault="00701568" w:rsidP="00701568">
      <w:pPr>
        <w:spacing w:after="200" w:line="276" w:lineRule="auto"/>
        <w:rPr>
          <w:rFonts w:ascii="Century Gothic" w:hAnsi="Century Gothic" w:cs="Calibri"/>
          <w:sz w:val="20"/>
          <w:szCs w:val="20"/>
        </w:rPr>
      </w:pPr>
      <w:r>
        <w:rPr>
          <w:rFonts w:ascii="Century Gothic" w:hAnsi="Century Gothic" w:cs="Calibri"/>
          <w:sz w:val="20"/>
          <w:szCs w:val="20"/>
        </w:rPr>
        <w:t xml:space="preserve">Government </w:t>
      </w:r>
      <w:r w:rsidR="00CD2530">
        <w:rPr>
          <w:rFonts w:ascii="Century Gothic" w:hAnsi="Century Gothic" w:cs="Calibri"/>
          <w:sz w:val="20"/>
          <w:szCs w:val="20"/>
        </w:rPr>
        <w:t xml:space="preserve">departments and </w:t>
      </w:r>
      <w:r>
        <w:rPr>
          <w:rFonts w:ascii="Century Gothic" w:hAnsi="Century Gothic" w:cs="Calibri"/>
          <w:sz w:val="20"/>
          <w:szCs w:val="20"/>
        </w:rPr>
        <w:t xml:space="preserve">agencies collect and hold, through their activities, large </w:t>
      </w:r>
      <w:r w:rsidR="001B14C6">
        <w:rPr>
          <w:rFonts w:ascii="Century Gothic" w:hAnsi="Century Gothic" w:cs="Calibri"/>
          <w:sz w:val="20"/>
          <w:szCs w:val="20"/>
        </w:rPr>
        <w:t xml:space="preserve">volumes </w:t>
      </w:r>
      <w:r>
        <w:rPr>
          <w:rFonts w:ascii="Century Gothic" w:hAnsi="Century Gothic" w:cs="Calibri"/>
          <w:sz w:val="20"/>
          <w:szCs w:val="20"/>
        </w:rPr>
        <w:t xml:space="preserve">of cancer-related data. </w:t>
      </w:r>
      <w:r w:rsidR="00261FDC">
        <w:rPr>
          <w:rFonts w:ascii="Century Gothic" w:hAnsi="Century Gothic" w:cs="Calibri"/>
          <w:sz w:val="20"/>
          <w:szCs w:val="20"/>
        </w:rPr>
        <w:t>At the Commonwealth-level these are primarily the Australian Institute of Health and Welfare</w:t>
      </w:r>
      <w:r w:rsidR="00375B98">
        <w:rPr>
          <w:rFonts w:ascii="Century Gothic" w:hAnsi="Century Gothic" w:cs="Calibri"/>
          <w:sz w:val="20"/>
          <w:szCs w:val="20"/>
        </w:rPr>
        <w:t xml:space="preserve"> (AIHW)</w:t>
      </w:r>
      <w:r w:rsidR="00261FDC">
        <w:rPr>
          <w:rFonts w:ascii="Century Gothic" w:hAnsi="Century Gothic" w:cs="Calibri"/>
          <w:sz w:val="20"/>
          <w:szCs w:val="20"/>
        </w:rPr>
        <w:t xml:space="preserve">, </w:t>
      </w:r>
      <w:r w:rsidR="00842B8C">
        <w:rPr>
          <w:rFonts w:ascii="Century Gothic" w:hAnsi="Century Gothic" w:cs="Calibri"/>
          <w:sz w:val="20"/>
          <w:szCs w:val="20"/>
        </w:rPr>
        <w:t>t</w:t>
      </w:r>
      <w:r w:rsidR="00261FDC">
        <w:rPr>
          <w:rFonts w:ascii="Century Gothic" w:hAnsi="Century Gothic" w:cs="Calibri"/>
          <w:sz w:val="20"/>
          <w:szCs w:val="20"/>
        </w:rPr>
        <w:t>he Australian Bureau of Statistics</w:t>
      </w:r>
      <w:r w:rsidR="00375B98">
        <w:rPr>
          <w:rFonts w:ascii="Century Gothic" w:hAnsi="Century Gothic" w:cs="Calibri"/>
          <w:sz w:val="20"/>
          <w:szCs w:val="20"/>
        </w:rPr>
        <w:t xml:space="preserve"> (ABS)</w:t>
      </w:r>
      <w:r w:rsidR="00261FDC">
        <w:rPr>
          <w:rFonts w:ascii="Century Gothic" w:hAnsi="Century Gothic" w:cs="Calibri"/>
          <w:sz w:val="20"/>
          <w:szCs w:val="20"/>
        </w:rPr>
        <w:t xml:space="preserve">, and the Department of Health. </w:t>
      </w:r>
      <w:r>
        <w:rPr>
          <w:rFonts w:ascii="Century Gothic" w:hAnsi="Century Gothic" w:cs="Calibri"/>
          <w:sz w:val="20"/>
          <w:szCs w:val="20"/>
        </w:rPr>
        <w:t xml:space="preserve">These data span the </w:t>
      </w:r>
      <w:r w:rsidR="001B14C6">
        <w:rPr>
          <w:rFonts w:ascii="Century Gothic" w:hAnsi="Century Gothic" w:cs="Calibri"/>
          <w:sz w:val="20"/>
          <w:szCs w:val="20"/>
        </w:rPr>
        <w:t>cancer control</w:t>
      </w:r>
      <w:r>
        <w:rPr>
          <w:rFonts w:ascii="Century Gothic" w:hAnsi="Century Gothic" w:cs="Calibri"/>
          <w:sz w:val="20"/>
          <w:szCs w:val="20"/>
        </w:rPr>
        <w:t xml:space="preserve"> continuum</w:t>
      </w:r>
      <w:r w:rsidR="00C41DE5">
        <w:rPr>
          <w:rFonts w:ascii="Century Gothic" w:hAnsi="Century Gothic" w:cs="Calibri"/>
          <w:sz w:val="20"/>
          <w:szCs w:val="20"/>
        </w:rPr>
        <w:t>,</w:t>
      </w:r>
      <w:r>
        <w:rPr>
          <w:rFonts w:ascii="Century Gothic" w:hAnsi="Century Gothic" w:cs="Calibri"/>
          <w:sz w:val="20"/>
          <w:szCs w:val="20"/>
        </w:rPr>
        <w:t xml:space="preserve"> from </w:t>
      </w:r>
      <w:r w:rsidR="00C41DE5">
        <w:rPr>
          <w:rFonts w:ascii="Century Gothic" w:hAnsi="Century Gothic" w:cs="Calibri"/>
          <w:sz w:val="20"/>
          <w:szCs w:val="20"/>
        </w:rPr>
        <w:t xml:space="preserve">data about </w:t>
      </w:r>
      <w:r w:rsidR="00C41DE5">
        <w:rPr>
          <w:rFonts w:ascii="Century Gothic" w:hAnsi="Century Gothic" w:cs="Calibri"/>
          <w:sz w:val="20"/>
          <w:szCs w:val="20"/>
        </w:rPr>
        <w:lastRenderedPageBreak/>
        <w:t>risk factors</w:t>
      </w:r>
      <w:r>
        <w:rPr>
          <w:rFonts w:ascii="Century Gothic" w:hAnsi="Century Gothic" w:cs="Calibri"/>
          <w:sz w:val="20"/>
          <w:szCs w:val="20"/>
        </w:rPr>
        <w:t>,</w:t>
      </w:r>
      <w:r w:rsidR="00C41DE5">
        <w:rPr>
          <w:rFonts w:ascii="Century Gothic" w:hAnsi="Century Gothic" w:cs="Calibri"/>
          <w:sz w:val="20"/>
          <w:szCs w:val="20"/>
        </w:rPr>
        <w:t xml:space="preserve"> vaccination programmes,</w:t>
      </w:r>
      <w:r>
        <w:rPr>
          <w:rFonts w:ascii="Century Gothic" w:hAnsi="Century Gothic" w:cs="Calibri"/>
          <w:sz w:val="20"/>
          <w:szCs w:val="20"/>
        </w:rPr>
        <w:t xml:space="preserve"> screening and detection programmes, </w:t>
      </w:r>
      <w:r w:rsidR="00375B98">
        <w:rPr>
          <w:rFonts w:ascii="Century Gothic" w:hAnsi="Century Gothic" w:cs="Calibri"/>
          <w:sz w:val="20"/>
          <w:szCs w:val="20"/>
        </w:rPr>
        <w:t>and</w:t>
      </w:r>
      <w:r w:rsidR="007A3522">
        <w:rPr>
          <w:rFonts w:ascii="Century Gothic" w:hAnsi="Century Gothic" w:cs="Calibri"/>
          <w:sz w:val="20"/>
          <w:szCs w:val="20"/>
        </w:rPr>
        <w:t xml:space="preserve"> d</w:t>
      </w:r>
      <w:r>
        <w:rPr>
          <w:rFonts w:ascii="Century Gothic" w:hAnsi="Century Gothic" w:cs="Calibri"/>
          <w:sz w:val="20"/>
          <w:szCs w:val="20"/>
        </w:rPr>
        <w:t xml:space="preserve">isease incidence, </w:t>
      </w:r>
      <w:r w:rsidR="00567FA7">
        <w:rPr>
          <w:rFonts w:ascii="Century Gothic" w:hAnsi="Century Gothic" w:cs="Calibri"/>
          <w:sz w:val="20"/>
          <w:szCs w:val="20"/>
        </w:rPr>
        <w:t xml:space="preserve">admitted patient care, cancer </w:t>
      </w:r>
      <w:r>
        <w:rPr>
          <w:rFonts w:ascii="Century Gothic" w:hAnsi="Century Gothic" w:cs="Calibri"/>
          <w:sz w:val="20"/>
          <w:szCs w:val="20"/>
        </w:rPr>
        <w:t>treatments and medi</w:t>
      </w:r>
      <w:r w:rsidR="0020035C">
        <w:rPr>
          <w:rFonts w:ascii="Century Gothic" w:hAnsi="Century Gothic" w:cs="Calibri"/>
          <w:sz w:val="20"/>
          <w:szCs w:val="20"/>
        </w:rPr>
        <w:t>cines</w:t>
      </w:r>
      <w:r w:rsidR="00567FA7">
        <w:rPr>
          <w:rFonts w:ascii="Century Gothic" w:hAnsi="Century Gothic" w:cs="Calibri"/>
          <w:sz w:val="20"/>
          <w:szCs w:val="20"/>
        </w:rPr>
        <w:t xml:space="preserve"> (including associated costs)</w:t>
      </w:r>
      <w:r w:rsidR="0020035C">
        <w:rPr>
          <w:rFonts w:ascii="Century Gothic" w:hAnsi="Century Gothic" w:cs="Calibri"/>
          <w:sz w:val="20"/>
          <w:szCs w:val="20"/>
        </w:rPr>
        <w:t>, mortality and survival.</w:t>
      </w:r>
    </w:p>
    <w:p w:rsidR="00F518E2" w:rsidRDefault="00F518E2" w:rsidP="00F518E2">
      <w:pPr>
        <w:spacing w:after="200" w:line="276" w:lineRule="auto"/>
        <w:rPr>
          <w:rFonts w:ascii="Century Gothic" w:hAnsi="Century Gothic" w:cs="Calibri"/>
          <w:sz w:val="20"/>
          <w:szCs w:val="20"/>
        </w:rPr>
      </w:pPr>
      <w:r>
        <w:rPr>
          <w:rFonts w:ascii="Century Gothic" w:hAnsi="Century Gothic" w:cs="Calibri"/>
          <w:sz w:val="20"/>
          <w:szCs w:val="20"/>
        </w:rPr>
        <w:t>From a cancer control perspective, there are a</w:t>
      </w:r>
      <w:r w:rsidR="00C9744C">
        <w:rPr>
          <w:rFonts w:ascii="Century Gothic" w:hAnsi="Century Gothic" w:cs="Calibri"/>
          <w:sz w:val="20"/>
          <w:szCs w:val="20"/>
        </w:rPr>
        <w:t xml:space="preserve"> relatively</w:t>
      </w:r>
      <w:r>
        <w:rPr>
          <w:rFonts w:ascii="Century Gothic" w:hAnsi="Century Gothic" w:cs="Calibri"/>
          <w:sz w:val="20"/>
          <w:szCs w:val="20"/>
        </w:rPr>
        <w:t xml:space="preserve"> small number of national datasets that provide particular value to other public sector agencies, researchers and the community, such as:</w:t>
      </w:r>
    </w:p>
    <w:p w:rsidR="00F518E2" w:rsidRDefault="00F518E2" w:rsidP="00F518E2">
      <w:pPr>
        <w:pStyle w:val="ListParagraph"/>
        <w:numPr>
          <w:ilvl w:val="0"/>
          <w:numId w:val="33"/>
        </w:numPr>
        <w:spacing w:after="200" w:line="276" w:lineRule="auto"/>
        <w:rPr>
          <w:rFonts w:ascii="Century Gothic" w:hAnsi="Century Gothic" w:cs="Calibri"/>
          <w:sz w:val="20"/>
          <w:szCs w:val="20"/>
        </w:rPr>
      </w:pPr>
      <w:r>
        <w:rPr>
          <w:rFonts w:ascii="Century Gothic" w:hAnsi="Century Gothic" w:cs="Calibri"/>
          <w:sz w:val="20"/>
          <w:szCs w:val="20"/>
        </w:rPr>
        <w:t>Cancer incidence data</w:t>
      </w:r>
      <w:r w:rsidR="00245A15">
        <w:rPr>
          <w:rFonts w:ascii="Century Gothic" w:hAnsi="Century Gothic" w:cs="Calibri"/>
          <w:sz w:val="20"/>
          <w:szCs w:val="20"/>
        </w:rPr>
        <w:t>, which</w:t>
      </w:r>
      <w:r>
        <w:rPr>
          <w:rFonts w:ascii="Century Gothic" w:hAnsi="Century Gothic" w:cs="Calibri"/>
          <w:sz w:val="20"/>
          <w:szCs w:val="20"/>
        </w:rPr>
        <w:t xml:space="preserve"> provide a complete picture of cancer diagnoses in Australia. These are collected by state/territory </w:t>
      </w:r>
      <w:r w:rsidR="00480E20">
        <w:rPr>
          <w:rFonts w:ascii="Century Gothic" w:hAnsi="Century Gothic" w:cs="Calibri"/>
          <w:sz w:val="20"/>
          <w:szCs w:val="20"/>
        </w:rPr>
        <w:t xml:space="preserve">population-based </w:t>
      </w:r>
      <w:r>
        <w:rPr>
          <w:rFonts w:ascii="Century Gothic" w:hAnsi="Century Gothic" w:cs="Calibri"/>
          <w:sz w:val="20"/>
          <w:szCs w:val="20"/>
        </w:rPr>
        <w:t>cancer registries and collated into the AIHW Australian Cancer Database;</w:t>
      </w:r>
    </w:p>
    <w:p w:rsidR="00F518E2" w:rsidRDefault="00245A15" w:rsidP="00245A15">
      <w:pPr>
        <w:pStyle w:val="ListParagraph"/>
        <w:numPr>
          <w:ilvl w:val="0"/>
          <w:numId w:val="33"/>
        </w:numPr>
        <w:spacing w:after="200" w:line="276" w:lineRule="auto"/>
        <w:rPr>
          <w:rFonts w:ascii="Century Gothic" w:hAnsi="Century Gothic" w:cs="Calibri"/>
          <w:sz w:val="20"/>
          <w:szCs w:val="20"/>
        </w:rPr>
      </w:pPr>
      <w:r w:rsidRPr="00245A15">
        <w:rPr>
          <w:rFonts w:ascii="Century Gothic" w:hAnsi="Century Gothic" w:cs="Calibri"/>
          <w:sz w:val="20"/>
          <w:szCs w:val="20"/>
        </w:rPr>
        <w:t xml:space="preserve">Medicare Benefits Schedule </w:t>
      </w:r>
      <w:r>
        <w:rPr>
          <w:rFonts w:ascii="Century Gothic" w:hAnsi="Century Gothic" w:cs="Calibri"/>
          <w:sz w:val="20"/>
          <w:szCs w:val="20"/>
        </w:rPr>
        <w:t>(</w:t>
      </w:r>
      <w:r w:rsidR="00F518E2">
        <w:rPr>
          <w:rFonts w:ascii="Century Gothic" w:hAnsi="Century Gothic" w:cs="Calibri"/>
          <w:sz w:val="20"/>
          <w:szCs w:val="20"/>
        </w:rPr>
        <w:t>MBS</w:t>
      </w:r>
      <w:r>
        <w:rPr>
          <w:rFonts w:ascii="Century Gothic" w:hAnsi="Century Gothic" w:cs="Calibri"/>
          <w:sz w:val="20"/>
          <w:szCs w:val="20"/>
        </w:rPr>
        <w:t>)</w:t>
      </w:r>
      <w:r w:rsidR="00F518E2">
        <w:rPr>
          <w:rFonts w:ascii="Century Gothic" w:hAnsi="Century Gothic" w:cs="Calibri"/>
          <w:sz w:val="20"/>
          <w:szCs w:val="20"/>
        </w:rPr>
        <w:t xml:space="preserve"> data</w:t>
      </w:r>
      <w:r>
        <w:rPr>
          <w:rFonts w:ascii="Century Gothic" w:hAnsi="Century Gothic" w:cs="Calibri"/>
          <w:sz w:val="20"/>
          <w:szCs w:val="20"/>
        </w:rPr>
        <w:t xml:space="preserve">, which </w:t>
      </w:r>
      <w:r w:rsidR="00F518E2">
        <w:rPr>
          <w:rFonts w:ascii="Century Gothic" w:hAnsi="Century Gothic" w:cs="Calibri"/>
          <w:sz w:val="20"/>
          <w:szCs w:val="20"/>
        </w:rPr>
        <w:t xml:space="preserve"> provide information about national outpatient treatments such as radiotherapy;</w:t>
      </w:r>
    </w:p>
    <w:p w:rsidR="00F518E2" w:rsidRDefault="00853A88" w:rsidP="00853A88">
      <w:pPr>
        <w:pStyle w:val="ListParagraph"/>
        <w:numPr>
          <w:ilvl w:val="0"/>
          <w:numId w:val="33"/>
        </w:numPr>
        <w:spacing w:after="200" w:line="276" w:lineRule="auto"/>
        <w:rPr>
          <w:rFonts w:ascii="Century Gothic" w:hAnsi="Century Gothic" w:cs="Calibri"/>
          <w:sz w:val="20"/>
          <w:szCs w:val="20"/>
        </w:rPr>
      </w:pPr>
      <w:r w:rsidRPr="00853A88">
        <w:rPr>
          <w:rFonts w:ascii="Century Gothic" w:hAnsi="Century Gothic" w:cs="Calibri"/>
          <w:sz w:val="20"/>
          <w:szCs w:val="20"/>
        </w:rPr>
        <w:t>Pharmaceutical Benefits Scheme</w:t>
      </w:r>
      <w:r>
        <w:rPr>
          <w:rFonts w:ascii="Century Gothic" w:hAnsi="Century Gothic" w:cs="Calibri"/>
          <w:sz w:val="20"/>
          <w:szCs w:val="20"/>
        </w:rPr>
        <w:t xml:space="preserve"> (</w:t>
      </w:r>
      <w:r w:rsidR="00F518E2">
        <w:rPr>
          <w:rFonts w:ascii="Century Gothic" w:hAnsi="Century Gothic" w:cs="Calibri"/>
          <w:sz w:val="20"/>
          <w:szCs w:val="20"/>
        </w:rPr>
        <w:t>PBS</w:t>
      </w:r>
      <w:r>
        <w:rPr>
          <w:rFonts w:ascii="Century Gothic" w:hAnsi="Century Gothic" w:cs="Calibri"/>
          <w:sz w:val="20"/>
          <w:szCs w:val="20"/>
        </w:rPr>
        <w:t>)</w:t>
      </w:r>
      <w:r w:rsidR="00F518E2">
        <w:rPr>
          <w:rFonts w:ascii="Century Gothic" w:hAnsi="Century Gothic" w:cs="Calibri"/>
          <w:sz w:val="20"/>
          <w:szCs w:val="20"/>
        </w:rPr>
        <w:t xml:space="preserve"> data</w:t>
      </w:r>
      <w:r>
        <w:rPr>
          <w:rFonts w:ascii="Century Gothic" w:hAnsi="Century Gothic" w:cs="Calibri"/>
          <w:sz w:val="20"/>
          <w:szCs w:val="20"/>
        </w:rPr>
        <w:t>, which</w:t>
      </w:r>
      <w:r w:rsidR="00F518E2">
        <w:rPr>
          <w:rFonts w:ascii="Century Gothic" w:hAnsi="Century Gothic" w:cs="Calibri"/>
          <w:sz w:val="20"/>
          <w:szCs w:val="20"/>
        </w:rPr>
        <w:t xml:space="preserve"> provide information about </w:t>
      </w:r>
      <w:r w:rsidR="00935A81">
        <w:rPr>
          <w:rFonts w:ascii="Century Gothic" w:hAnsi="Century Gothic" w:cs="Calibri"/>
          <w:sz w:val="20"/>
          <w:szCs w:val="20"/>
        </w:rPr>
        <w:t>dispensing</w:t>
      </w:r>
      <w:r w:rsidR="00F518E2">
        <w:rPr>
          <w:rFonts w:ascii="Century Gothic" w:hAnsi="Century Gothic" w:cs="Calibri"/>
          <w:sz w:val="20"/>
          <w:szCs w:val="20"/>
        </w:rPr>
        <w:t xml:space="preserve"> for PBS-listed pharmaceutical cancer treatments such as chemotherapy and systemic therapies;</w:t>
      </w:r>
    </w:p>
    <w:p w:rsidR="00F518E2" w:rsidRDefault="00F518E2" w:rsidP="00F518E2">
      <w:pPr>
        <w:pStyle w:val="ListParagraph"/>
        <w:numPr>
          <w:ilvl w:val="0"/>
          <w:numId w:val="33"/>
        </w:numPr>
        <w:spacing w:after="200" w:line="276" w:lineRule="auto"/>
        <w:rPr>
          <w:rFonts w:ascii="Century Gothic" w:hAnsi="Century Gothic" w:cs="Calibri"/>
          <w:sz w:val="20"/>
          <w:szCs w:val="20"/>
        </w:rPr>
      </w:pPr>
      <w:r>
        <w:rPr>
          <w:rFonts w:ascii="Century Gothic" w:hAnsi="Century Gothic" w:cs="Calibri"/>
          <w:sz w:val="20"/>
          <w:szCs w:val="20"/>
        </w:rPr>
        <w:t>Admitted patient care data</w:t>
      </w:r>
      <w:r w:rsidR="00853A88">
        <w:rPr>
          <w:rFonts w:ascii="Century Gothic" w:hAnsi="Century Gothic" w:cs="Calibri"/>
          <w:sz w:val="20"/>
          <w:szCs w:val="20"/>
        </w:rPr>
        <w:t xml:space="preserve">, </w:t>
      </w:r>
      <w:r w:rsidR="00930C87">
        <w:rPr>
          <w:rFonts w:ascii="Century Gothic" w:hAnsi="Century Gothic" w:cs="Calibri"/>
          <w:sz w:val="20"/>
          <w:szCs w:val="20"/>
        </w:rPr>
        <w:t>which</w:t>
      </w:r>
      <w:r>
        <w:rPr>
          <w:rFonts w:ascii="Century Gothic" w:hAnsi="Century Gothic" w:cs="Calibri"/>
          <w:sz w:val="20"/>
          <w:szCs w:val="20"/>
        </w:rPr>
        <w:t xml:space="preserve"> provide a complete picture of inpatient treatments for cancer (e.g. many surgical procedures). These are collected by state/territory data custodians and collated into the AIHW National Hospital Morbidity Database ;</w:t>
      </w:r>
    </w:p>
    <w:p w:rsidR="00F518E2" w:rsidRPr="00D32536" w:rsidRDefault="00F518E2" w:rsidP="00F518E2">
      <w:pPr>
        <w:pStyle w:val="ListParagraph"/>
        <w:numPr>
          <w:ilvl w:val="0"/>
          <w:numId w:val="33"/>
        </w:numPr>
        <w:spacing w:after="200" w:line="276" w:lineRule="auto"/>
        <w:rPr>
          <w:rFonts w:ascii="Century Gothic" w:hAnsi="Century Gothic" w:cs="Calibri"/>
          <w:sz w:val="20"/>
          <w:szCs w:val="20"/>
        </w:rPr>
      </w:pPr>
      <w:r>
        <w:rPr>
          <w:rFonts w:ascii="Century Gothic" w:hAnsi="Century Gothic" w:cs="Calibri"/>
          <w:sz w:val="20"/>
          <w:szCs w:val="20"/>
        </w:rPr>
        <w:t>Cancer mortality data</w:t>
      </w:r>
      <w:r w:rsidR="00853A88">
        <w:rPr>
          <w:rFonts w:ascii="Century Gothic" w:hAnsi="Century Gothic" w:cs="Calibri"/>
          <w:sz w:val="20"/>
          <w:szCs w:val="20"/>
        </w:rPr>
        <w:t>, which</w:t>
      </w:r>
      <w:r>
        <w:rPr>
          <w:rFonts w:ascii="Century Gothic" w:hAnsi="Century Gothic" w:cs="Calibri"/>
          <w:sz w:val="20"/>
          <w:szCs w:val="20"/>
        </w:rPr>
        <w:t xml:space="preserve"> provide information regarding cause of death, and allow for the calculation of relative survival by cancer type. These are collected by state/territory registrars and collated by the A</w:t>
      </w:r>
      <w:r w:rsidR="00375B98">
        <w:rPr>
          <w:rFonts w:ascii="Century Gothic" w:hAnsi="Century Gothic" w:cs="Calibri"/>
          <w:sz w:val="20"/>
          <w:szCs w:val="20"/>
        </w:rPr>
        <w:t>BS</w:t>
      </w:r>
      <w:r>
        <w:rPr>
          <w:rFonts w:ascii="Century Gothic" w:hAnsi="Century Gothic" w:cs="Calibri"/>
          <w:sz w:val="20"/>
          <w:szCs w:val="20"/>
        </w:rPr>
        <w:t xml:space="preserve">, and linked to the </w:t>
      </w:r>
      <w:r w:rsidR="00375B98">
        <w:rPr>
          <w:rFonts w:ascii="Century Gothic" w:hAnsi="Century Gothic" w:cs="Calibri"/>
          <w:sz w:val="20"/>
          <w:szCs w:val="20"/>
        </w:rPr>
        <w:t xml:space="preserve">AIHW </w:t>
      </w:r>
      <w:r>
        <w:rPr>
          <w:rFonts w:ascii="Century Gothic" w:hAnsi="Century Gothic" w:cs="Calibri"/>
          <w:sz w:val="20"/>
          <w:szCs w:val="20"/>
        </w:rPr>
        <w:t>Australian Cancer Database via the National Death Index).</w:t>
      </w:r>
    </w:p>
    <w:p w:rsidR="00293EDE" w:rsidRDefault="00701568" w:rsidP="00701568">
      <w:pPr>
        <w:spacing w:after="200" w:line="276" w:lineRule="auto"/>
        <w:rPr>
          <w:rFonts w:ascii="Century Gothic" w:hAnsi="Century Gothic" w:cs="Calibri"/>
          <w:sz w:val="20"/>
          <w:szCs w:val="20"/>
        </w:rPr>
      </w:pPr>
      <w:r>
        <w:rPr>
          <w:rFonts w:ascii="Century Gothic" w:hAnsi="Century Gothic" w:cs="Calibri"/>
          <w:sz w:val="20"/>
          <w:szCs w:val="20"/>
        </w:rPr>
        <w:t xml:space="preserve">Increasing the availability of public sector </w:t>
      </w:r>
      <w:r w:rsidR="00F518E2">
        <w:rPr>
          <w:rFonts w:ascii="Century Gothic" w:hAnsi="Century Gothic" w:cs="Calibri"/>
          <w:sz w:val="20"/>
          <w:szCs w:val="20"/>
        </w:rPr>
        <w:t xml:space="preserve">cancer </w:t>
      </w:r>
      <w:r>
        <w:rPr>
          <w:rFonts w:ascii="Century Gothic" w:hAnsi="Century Gothic" w:cs="Calibri"/>
          <w:sz w:val="20"/>
          <w:szCs w:val="20"/>
        </w:rPr>
        <w:t>data</w:t>
      </w:r>
      <w:r w:rsidR="00F518E2">
        <w:rPr>
          <w:rFonts w:ascii="Century Gothic" w:hAnsi="Century Gothic" w:cs="Calibri"/>
          <w:sz w:val="20"/>
          <w:szCs w:val="20"/>
        </w:rPr>
        <w:t>, such as those listed above,</w:t>
      </w:r>
      <w:r w:rsidR="007C66E0">
        <w:rPr>
          <w:rFonts w:ascii="Century Gothic" w:hAnsi="Century Gothic" w:cs="Calibri"/>
          <w:sz w:val="20"/>
          <w:szCs w:val="20"/>
        </w:rPr>
        <w:t xml:space="preserve"> entails </w:t>
      </w:r>
      <w:r w:rsidR="00F21654">
        <w:rPr>
          <w:rFonts w:ascii="Century Gothic" w:hAnsi="Century Gothic" w:cs="Calibri"/>
          <w:sz w:val="20"/>
          <w:szCs w:val="20"/>
        </w:rPr>
        <w:t xml:space="preserve">encouraging </w:t>
      </w:r>
      <w:r w:rsidR="007C66E0">
        <w:rPr>
          <w:rFonts w:ascii="Century Gothic" w:hAnsi="Century Gothic" w:cs="Calibri"/>
          <w:sz w:val="20"/>
          <w:szCs w:val="20"/>
        </w:rPr>
        <w:t xml:space="preserve">the public release of </w:t>
      </w:r>
      <w:r w:rsidR="001941C9">
        <w:rPr>
          <w:rFonts w:ascii="Century Gothic" w:hAnsi="Century Gothic" w:cs="Calibri"/>
          <w:sz w:val="20"/>
          <w:szCs w:val="20"/>
        </w:rPr>
        <w:t>de</w:t>
      </w:r>
      <w:r w:rsidR="00E46D8C">
        <w:rPr>
          <w:rFonts w:ascii="Century Gothic" w:hAnsi="Century Gothic" w:cs="Calibri"/>
          <w:sz w:val="20"/>
          <w:szCs w:val="20"/>
        </w:rPr>
        <w:t>-</w:t>
      </w:r>
      <w:r w:rsidR="001941C9">
        <w:rPr>
          <w:rFonts w:ascii="Century Gothic" w:hAnsi="Century Gothic" w:cs="Calibri"/>
          <w:sz w:val="20"/>
          <w:szCs w:val="20"/>
        </w:rPr>
        <w:t xml:space="preserve">identified </w:t>
      </w:r>
      <w:r w:rsidR="007C66E0">
        <w:rPr>
          <w:rFonts w:ascii="Century Gothic" w:hAnsi="Century Gothic" w:cs="Calibri"/>
          <w:sz w:val="20"/>
          <w:szCs w:val="20"/>
        </w:rPr>
        <w:t>data</w:t>
      </w:r>
      <w:r w:rsidR="00293EDE">
        <w:rPr>
          <w:rFonts w:ascii="Century Gothic" w:hAnsi="Century Gothic" w:cs="Calibri"/>
          <w:sz w:val="20"/>
          <w:szCs w:val="20"/>
        </w:rPr>
        <w:t>.</w:t>
      </w:r>
      <w:r w:rsidR="00DF2F70">
        <w:rPr>
          <w:rFonts w:ascii="Century Gothic" w:hAnsi="Century Gothic" w:cs="Calibri"/>
          <w:sz w:val="20"/>
          <w:szCs w:val="20"/>
        </w:rPr>
        <w:t xml:space="preserve"> </w:t>
      </w:r>
      <w:r w:rsidR="00ED24D8">
        <w:rPr>
          <w:rFonts w:ascii="Century Gothic" w:hAnsi="Century Gothic" w:cs="Calibri"/>
          <w:sz w:val="20"/>
          <w:szCs w:val="20"/>
        </w:rPr>
        <w:t xml:space="preserve">From a cancer control perspective, </w:t>
      </w:r>
      <w:r w:rsidR="003D15E4">
        <w:rPr>
          <w:rFonts w:ascii="Century Gothic" w:hAnsi="Century Gothic" w:cs="Calibri"/>
          <w:sz w:val="20"/>
          <w:szCs w:val="20"/>
        </w:rPr>
        <w:t>including socio-demographic information (where data quality allows) in publically available data is useful for understanding inequit</w:t>
      </w:r>
      <w:r w:rsidR="00435C08">
        <w:rPr>
          <w:rFonts w:ascii="Century Gothic" w:hAnsi="Century Gothic" w:cs="Calibri"/>
          <w:sz w:val="20"/>
          <w:szCs w:val="20"/>
        </w:rPr>
        <w:t>ies in</w:t>
      </w:r>
      <w:r w:rsidR="003D15E4">
        <w:rPr>
          <w:rFonts w:ascii="Century Gothic" w:hAnsi="Century Gothic" w:cs="Calibri"/>
          <w:sz w:val="20"/>
          <w:szCs w:val="20"/>
        </w:rPr>
        <w:t xml:space="preserve"> cancer outcomes between population groups.</w:t>
      </w:r>
      <w:r w:rsidR="007C66E0">
        <w:rPr>
          <w:rFonts w:ascii="Century Gothic" w:hAnsi="Century Gothic" w:cs="Calibri"/>
          <w:sz w:val="20"/>
          <w:szCs w:val="20"/>
        </w:rPr>
        <w:t xml:space="preserve"> </w:t>
      </w:r>
      <w:r w:rsidR="00293EDE">
        <w:rPr>
          <w:rFonts w:ascii="Century Gothic" w:hAnsi="Century Gothic" w:cs="Calibri"/>
          <w:sz w:val="20"/>
          <w:szCs w:val="20"/>
        </w:rPr>
        <w:t xml:space="preserve">Where </w:t>
      </w:r>
      <w:r w:rsidR="00ED24D8">
        <w:rPr>
          <w:rFonts w:ascii="Century Gothic" w:hAnsi="Century Gothic" w:cs="Calibri"/>
          <w:sz w:val="20"/>
          <w:szCs w:val="20"/>
        </w:rPr>
        <w:t xml:space="preserve">detailed, </w:t>
      </w:r>
      <w:r w:rsidR="00293EDE">
        <w:rPr>
          <w:rFonts w:ascii="Century Gothic" w:hAnsi="Century Gothic" w:cs="Calibri"/>
          <w:sz w:val="20"/>
          <w:szCs w:val="20"/>
        </w:rPr>
        <w:t>de-identified data is not released routinely, i</w:t>
      </w:r>
      <w:r w:rsidR="00F21654">
        <w:rPr>
          <w:rFonts w:ascii="Century Gothic" w:hAnsi="Century Gothic" w:cs="Calibri"/>
          <w:sz w:val="20"/>
          <w:szCs w:val="20"/>
        </w:rPr>
        <w:t xml:space="preserve">ncreasing the ease with which data requests </w:t>
      </w:r>
      <w:r w:rsidR="0087727B">
        <w:rPr>
          <w:rFonts w:ascii="Century Gothic" w:hAnsi="Century Gothic" w:cs="Calibri"/>
          <w:sz w:val="20"/>
          <w:szCs w:val="20"/>
        </w:rPr>
        <w:t xml:space="preserve">for such information </w:t>
      </w:r>
      <w:r w:rsidR="00F21654">
        <w:rPr>
          <w:rFonts w:ascii="Century Gothic" w:hAnsi="Century Gothic" w:cs="Calibri"/>
          <w:sz w:val="20"/>
          <w:szCs w:val="20"/>
        </w:rPr>
        <w:t>can be made</w:t>
      </w:r>
      <w:r w:rsidR="00F07F1D">
        <w:rPr>
          <w:rFonts w:ascii="Century Gothic" w:hAnsi="Century Gothic" w:cs="Calibri"/>
          <w:sz w:val="20"/>
          <w:szCs w:val="20"/>
        </w:rPr>
        <w:t>, or provision of access to the actual data,</w:t>
      </w:r>
      <w:r w:rsidR="00293EDE">
        <w:rPr>
          <w:rFonts w:ascii="Century Gothic" w:hAnsi="Century Gothic" w:cs="Calibri"/>
          <w:sz w:val="20"/>
          <w:szCs w:val="20"/>
        </w:rPr>
        <w:t xml:space="preserve"> should be encouraged</w:t>
      </w:r>
      <w:r w:rsidR="007C66E0">
        <w:rPr>
          <w:rFonts w:ascii="Century Gothic" w:hAnsi="Century Gothic" w:cs="Calibri"/>
          <w:sz w:val="20"/>
          <w:szCs w:val="20"/>
        </w:rPr>
        <w:t>.</w:t>
      </w:r>
    </w:p>
    <w:p w:rsidR="00606E51" w:rsidRDefault="007F0F13" w:rsidP="00701568">
      <w:pPr>
        <w:spacing w:after="200" w:line="276" w:lineRule="auto"/>
        <w:rPr>
          <w:rFonts w:ascii="Century Gothic" w:hAnsi="Century Gothic" w:cs="Calibri"/>
          <w:sz w:val="20"/>
          <w:szCs w:val="20"/>
        </w:rPr>
      </w:pPr>
      <w:r>
        <w:rPr>
          <w:rFonts w:ascii="Century Gothic" w:hAnsi="Century Gothic" w:cs="Calibri"/>
          <w:sz w:val="20"/>
          <w:szCs w:val="20"/>
        </w:rPr>
        <w:t xml:space="preserve">The benefits of increasing the availability and use of data include improving </w:t>
      </w:r>
      <w:r w:rsidR="00835038">
        <w:rPr>
          <w:rFonts w:ascii="Century Gothic" w:hAnsi="Century Gothic" w:cs="Calibri"/>
          <w:sz w:val="20"/>
          <w:szCs w:val="20"/>
        </w:rPr>
        <w:t xml:space="preserve">its </w:t>
      </w:r>
      <w:r w:rsidR="00227D4E">
        <w:rPr>
          <w:rFonts w:ascii="Century Gothic" w:hAnsi="Century Gothic" w:cs="Calibri"/>
          <w:sz w:val="20"/>
          <w:szCs w:val="20"/>
        </w:rPr>
        <w:t>utility and value</w:t>
      </w:r>
      <w:r w:rsidR="00044579">
        <w:rPr>
          <w:rFonts w:ascii="Century Gothic" w:hAnsi="Century Gothic" w:cs="Calibri"/>
          <w:sz w:val="20"/>
          <w:szCs w:val="20"/>
        </w:rPr>
        <w:t>.</w:t>
      </w:r>
      <w:r w:rsidR="007069B6">
        <w:rPr>
          <w:rFonts w:ascii="Century Gothic" w:hAnsi="Century Gothic" w:cs="Calibri"/>
          <w:sz w:val="20"/>
          <w:szCs w:val="20"/>
        </w:rPr>
        <w:t xml:space="preserve"> </w:t>
      </w:r>
      <w:r w:rsidR="00044579">
        <w:rPr>
          <w:rFonts w:ascii="Century Gothic" w:hAnsi="Century Gothic" w:cs="Calibri"/>
          <w:sz w:val="20"/>
          <w:szCs w:val="20"/>
        </w:rPr>
        <w:t>D</w:t>
      </w:r>
      <w:r w:rsidR="00227D4E">
        <w:rPr>
          <w:rFonts w:ascii="Century Gothic" w:hAnsi="Century Gothic" w:cs="Calibri"/>
          <w:sz w:val="20"/>
          <w:szCs w:val="20"/>
        </w:rPr>
        <w:t xml:space="preserve">ata quality issues </w:t>
      </w:r>
      <w:r w:rsidR="00EA0910">
        <w:rPr>
          <w:rFonts w:ascii="Century Gothic" w:hAnsi="Century Gothic" w:cs="Calibri"/>
          <w:sz w:val="20"/>
          <w:szCs w:val="20"/>
        </w:rPr>
        <w:t xml:space="preserve">can be identified and </w:t>
      </w:r>
      <w:r w:rsidR="00227D4E">
        <w:rPr>
          <w:rFonts w:ascii="Century Gothic" w:hAnsi="Century Gothic" w:cs="Calibri"/>
          <w:sz w:val="20"/>
          <w:szCs w:val="20"/>
        </w:rPr>
        <w:t>more readily addressed</w:t>
      </w:r>
      <w:r w:rsidR="00044579">
        <w:rPr>
          <w:rFonts w:ascii="Century Gothic" w:hAnsi="Century Gothic" w:cs="Calibri"/>
          <w:sz w:val="20"/>
          <w:szCs w:val="20"/>
        </w:rPr>
        <w:t>, and a</w:t>
      </w:r>
      <w:r w:rsidR="00A27EE5">
        <w:rPr>
          <w:rFonts w:ascii="Century Gothic" w:hAnsi="Century Gothic" w:cs="Calibri"/>
          <w:sz w:val="20"/>
          <w:szCs w:val="20"/>
        </w:rPr>
        <w:t>s a result of this ‘positive feedback loop’, h</w:t>
      </w:r>
      <w:r w:rsidR="00882DDF">
        <w:rPr>
          <w:rFonts w:ascii="Century Gothic" w:hAnsi="Century Gothic" w:cs="Calibri"/>
          <w:sz w:val="20"/>
          <w:szCs w:val="20"/>
        </w:rPr>
        <w:t xml:space="preserve">igher quality data </w:t>
      </w:r>
      <w:r w:rsidR="00A27EE5">
        <w:rPr>
          <w:rFonts w:ascii="Century Gothic" w:hAnsi="Century Gothic" w:cs="Calibri"/>
          <w:sz w:val="20"/>
          <w:szCs w:val="20"/>
        </w:rPr>
        <w:t xml:space="preserve">can be used </w:t>
      </w:r>
      <w:r w:rsidR="00882DDF">
        <w:rPr>
          <w:rFonts w:ascii="Century Gothic" w:hAnsi="Century Gothic" w:cs="Calibri"/>
          <w:sz w:val="20"/>
          <w:szCs w:val="20"/>
        </w:rPr>
        <w:t>more effective</w:t>
      </w:r>
      <w:r w:rsidR="00A27EE5">
        <w:rPr>
          <w:rFonts w:ascii="Century Gothic" w:hAnsi="Century Gothic" w:cs="Calibri"/>
          <w:sz w:val="20"/>
          <w:szCs w:val="20"/>
        </w:rPr>
        <w:t>ly</w:t>
      </w:r>
      <w:r w:rsidR="00882DDF">
        <w:rPr>
          <w:rFonts w:ascii="Century Gothic" w:hAnsi="Century Gothic" w:cs="Calibri"/>
          <w:sz w:val="20"/>
          <w:szCs w:val="20"/>
        </w:rPr>
        <w:t xml:space="preserve"> in</w:t>
      </w:r>
      <w:r w:rsidR="00AE4472">
        <w:rPr>
          <w:rFonts w:ascii="Century Gothic" w:hAnsi="Century Gothic" w:cs="Calibri"/>
          <w:sz w:val="20"/>
          <w:szCs w:val="20"/>
        </w:rPr>
        <w:t xml:space="preserve"> identifying areas of need and thus</w:t>
      </w:r>
      <w:r w:rsidR="004E67D2">
        <w:rPr>
          <w:rFonts w:ascii="Century Gothic" w:hAnsi="Century Gothic" w:cs="Calibri"/>
          <w:sz w:val="20"/>
          <w:szCs w:val="20"/>
        </w:rPr>
        <w:t xml:space="preserve"> enable</w:t>
      </w:r>
      <w:r w:rsidR="00882DDF">
        <w:rPr>
          <w:rFonts w:ascii="Century Gothic" w:hAnsi="Century Gothic" w:cs="Calibri"/>
          <w:sz w:val="20"/>
          <w:szCs w:val="20"/>
        </w:rPr>
        <w:t xml:space="preserve"> </w:t>
      </w:r>
      <w:r w:rsidR="004E67D2">
        <w:rPr>
          <w:rFonts w:ascii="Century Gothic" w:hAnsi="Century Gothic" w:cs="Calibri"/>
          <w:sz w:val="20"/>
          <w:szCs w:val="20"/>
        </w:rPr>
        <w:t xml:space="preserve">the </w:t>
      </w:r>
      <w:r w:rsidR="00701568">
        <w:rPr>
          <w:rFonts w:ascii="Century Gothic" w:hAnsi="Century Gothic" w:cs="Calibri"/>
          <w:sz w:val="20"/>
          <w:szCs w:val="20"/>
        </w:rPr>
        <w:t>progress</w:t>
      </w:r>
      <w:r w:rsidR="00882DDF">
        <w:rPr>
          <w:rFonts w:ascii="Century Gothic" w:hAnsi="Century Gothic" w:cs="Calibri"/>
          <w:sz w:val="20"/>
          <w:szCs w:val="20"/>
        </w:rPr>
        <w:t>ing</w:t>
      </w:r>
      <w:r w:rsidR="00701568">
        <w:rPr>
          <w:rFonts w:ascii="Century Gothic" w:hAnsi="Century Gothic" w:cs="Calibri"/>
          <w:sz w:val="20"/>
          <w:szCs w:val="20"/>
        </w:rPr>
        <w:t xml:space="preserve"> </w:t>
      </w:r>
      <w:r w:rsidR="004E67D2">
        <w:rPr>
          <w:rFonts w:ascii="Century Gothic" w:hAnsi="Century Gothic" w:cs="Calibri"/>
          <w:sz w:val="20"/>
          <w:szCs w:val="20"/>
        </w:rPr>
        <w:t xml:space="preserve">of </w:t>
      </w:r>
      <w:r w:rsidR="00701568">
        <w:rPr>
          <w:rFonts w:ascii="Century Gothic" w:hAnsi="Century Gothic" w:cs="Calibri"/>
          <w:sz w:val="20"/>
          <w:szCs w:val="20"/>
        </w:rPr>
        <w:t xml:space="preserve">positive </w:t>
      </w:r>
      <w:r w:rsidR="00882DDF">
        <w:rPr>
          <w:rFonts w:ascii="Century Gothic" w:hAnsi="Century Gothic" w:cs="Calibri"/>
          <w:sz w:val="20"/>
          <w:szCs w:val="20"/>
        </w:rPr>
        <w:t xml:space="preserve">health </w:t>
      </w:r>
      <w:r w:rsidR="00701568">
        <w:rPr>
          <w:rFonts w:ascii="Century Gothic" w:hAnsi="Century Gothic" w:cs="Calibri"/>
          <w:sz w:val="20"/>
          <w:szCs w:val="20"/>
        </w:rPr>
        <w:t>outcomes.</w:t>
      </w:r>
    </w:p>
    <w:p w:rsidR="00FC5762" w:rsidRDefault="00FC5762" w:rsidP="00701568">
      <w:pPr>
        <w:spacing w:after="200" w:line="276" w:lineRule="auto"/>
        <w:rPr>
          <w:rFonts w:ascii="Century Gothic" w:hAnsi="Century Gothic" w:cs="Calibri"/>
          <w:sz w:val="20"/>
          <w:szCs w:val="20"/>
        </w:rPr>
      </w:pPr>
      <w:r w:rsidRPr="00BA6E63">
        <w:rPr>
          <w:rFonts w:ascii="Century Gothic" w:hAnsi="Century Gothic" w:cs="Calibri"/>
          <w:sz w:val="20"/>
          <w:szCs w:val="20"/>
        </w:rPr>
        <w:t xml:space="preserve">Access to timely data </w:t>
      </w:r>
      <w:r w:rsidRPr="00C7569C">
        <w:rPr>
          <w:rFonts w:ascii="Century Gothic" w:hAnsi="Century Gothic" w:cs="Calibri"/>
          <w:sz w:val="20"/>
          <w:szCs w:val="20"/>
        </w:rPr>
        <w:t>allows for ongoing monitoring and evaluation</w:t>
      </w:r>
      <w:r>
        <w:rPr>
          <w:rFonts w:ascii="Century Gothic" w:hAnsi="Century Gothic" w:cs="Calibri"/>
          <w:sz w:val="20"/>
          <w:szCs w:val="20"/>
        </w:rPr>
        <w:t xml:space="preserve"> of national programs; increased value for the health system through better use of existing resources (i.e. existing data); </w:t>
      </w:r>
      <w:r w:rsidR="00EF6C58">
        <w:rPr>
          <w:rFonts w:ascii="Century Gothic" w:hAnsi="Century Gothic" w:cs="Calibri"/>
          <w:sz w:val="20"/>
          <w:szCs w:val="20"/>
        </w:rPr>
        <w:t xml:space="preserve">enhanced health system responsiveness; </w:t>
      </w:r>
      <w:r>
        <w:rPr>
          <w:rFonts w:ascii="Century Gothic" w:hAnsi="Century Gothic" w:cs="Calibri"/>
          <w:sz w:val="20"/>
          <w:szCs w:val="20"/>
        </w:rPr>
        <w:t xml:space="preserve">greater transparency and accountability for governments and other service providers; and improved outcomes through monitoring </w:t>
      </w:r>
      <w:r w:rsidR="00BB16DE">
        <w:rPr>
          <w:rFonts w:ascii="Century Gothic" w:hAnsi="Century Gothic" w:cs="Calibri"/>
          <w:sz w:val="20"/>
          <w:szCs w:val="20"/>
        </w:rPr>
        <w:t xml:space="preserve">the impact </w:t>
      </w:r>
      <w:r>
        <w:rPr>
          <w:rFonts w:ascii="Century Gothic" w:hAnsi="Century Gothic" w:cs="Calibri"/>
          <w:sz w:val="20"/>
          <w:szCs w:val="20"/>
        </w:rPr>
        <w:t xml:space="preserve">of </w:t>
      </w:r>
      <w:r w:rsidR="00BB16DE">
        <w:rPr>
          <w:rFonts w:ascii="Century Gothic" w:hAnsi="Century Gothic" w:cs="Calibri"/>
          <w:sz w:val="20"/>
          <w:szCs w:val="20"/>
        </w:rPr>
        <w:t>policy</w:t>
      </w:r>
      <w:r w:rsidR="004A495C">
        <w:rPr>
          <w:rFonts w:ascii="Century Gothic" w:hAnsi="Century Gothic" w:cs="Calibri"/>
          <w:sz w:val="20"/>
          <w:szCs w:val="20"/>
        </w:rPr>
        <w:t xml:space="preserve"> interventions</w:t>
      </w:r>
      <w:r w:rsidR="00BB16DE">
        <w:rPr>
          <w:rFonts w:ascii="Century Gothic" w:hAnsi="Century Gothic" w:cs="Calibri"/>
          <w:sz w:val="20"/>
          <w:szCs w:val="20"/>
        </w:rPr>
        <w:t xml:space="preserve"> over time</w:t>
      </w:r>
      <w:r>
        <w:rPr>
          <w:rFonts w:ascii="Century Gothic" w:hAnsi="Century Gothic" w:cs="Calibri"/>
          <w:sz w:val="20"/>
          <w:szCs w:val="20"/>
        </w:rPr>
        <w:t>.</w:t>
      </w:r>
    </w:p>
    <w:p w:rsidR="00467942" w:rsidRDefault="00882DDF" w:rsidP="0067248D">
      <w:pPr>
        <w:spacing w:after="200" w:line="276" w:lineRule="auto"/>
        <w:rPr>
          <w:rFonts w:ascii="Century Gothic" w:hAnsi="Century Gothic" w:cs="Calibri"/>
          <w:sz w:val="20"/>
          <w:szCs w:val="20"/>
        </w:rPr>
      </w:pPr>
      <w:r>
        <w:rPr>
          <w:rFonts w:ascii="Century Gothic" w:hAnsi="Century Gothic" w:cs="Calibri"/>
          <w:sz w:val="20"/>
          <w:szCs w:val="20"/>
        </w:rPr>
        <w:t xml:space="preserve">More accessible data </w:t>
      </w:r>
      <w:r w:rsidR="00B1655A">
        <w:rPr>
          <w:rFonts w:ascii="Century Gothic" w:hAnsi="Century Gothic" w:cs="Calibri"/>
          <w:sz w:val="20"/>
          <w:szCs w:val="20"/>
        </w:rPr>
        <w:t xml:space="preserve">will </w:t>
      </w:r>
      <w:r>
        <w:rPr>
          <w:rFonts w:ascii="Century Gothic" w:hAnsi="Century Gothic" w:cs="Calibri"/>
          <w:sz w:val="20"/>
          <w:szCs w:val="20"/>
        </w:rPr>
        <w:t xml:space="preserve">also </w:t>
      </w:r>
      <w:r w:rsidR="00B1655A">
        <w:rPr>
          <w:rFonts w:ascii="Century Gothic" w:hAnsi="Century Gothic" w:cs="Calibri"/>
          <w:sz w:val="20"/>
          <w:szCs w:val="20"/>
        </w:rPr>
        <w:t xml:space="preserve">be </w:t>
      </w:r>
      <w:r w:rsidR="00701568">
        <w:rPr>
          <w:rFonts w:ascii="Century Gothic" w:hAnsi="Century Gothic" w:cs="Calibri"/>
          <w:sz w:val="20"/>
          <w:szCs w:val="20"/>
        </w:rPr>
        <w:t xml:space="preserve">exposed to </w:t>
      </w:r>
      <w:r w:rsidR="00B1655A">
        <w:rPr>
          <w:rFonts w:ascii="Century Gothic" w:hAnsi="Century Gothic" w:cs="Calibri"/>
          <w:sz w:val="20"/>
          <w:szCs w:val="20"/>
        </w:rPr>
        <w:t xml:space="preserve">a wider range </w:t>
      </w:r>
      <w:r w:rsidR="00701568">
        <w:rPr>
          <w:rFonts w:ascii="Century Gothic" w:hAnsi="Century Gothic" w:cs="Calibri"/>
          <w:sz w:val="20"/>
          <w:szCs w:val="20"/>
        </w:rPr>
        <w:t xml:space="preserve">of innovative ideas and approaches (‘the marketplace of ideas’),  ranging from </w:t>
      </w:r>
      <w:r w:rsidR="00B1655A">
        <w:rPr>
          <w:rFonts w:ascii="Century Gothic" w:hAnsi="Century Gothic" w:cs="Calibri"/>
          <w:sz w:val="20"/>
          <w:szCs w:val="20"/>
        </w:rPr>
        <w:t xml:space="preserve">new and </w:t>
      </w:r>
      <w:r>
        <w:rPr>
          <w:rFonts w:ascii="Century Gothic" w:hAnsi="Century Gothic" w:cs="Calibri"/>
          <w:sz w:val="20"/>
          <w:szCs w:val="20"/>
        </w:rPr>
        <w:t xml:space="preserve">varied </w:t>
      </w:r>
      <w:r w:rsidR="00701568">
        <w:rPr>
          <w:rFonts w:ascii="Century Gothic" w:hAnsi="Century Gothic" w:cs="Calibri"/>
          <w:sz w:val="20"/>
          <w:szCs w:val="20"/>
        </w:rPr>
        <w:t xml:space="preserve">data analysis </w:t>
      </w:r>
      <w:r>
        <w:rPr>
          <w:rFonts w:ascii="Century Gothic" w:hAnsi="Century Gothic" w:cs="Calibri"/>
          <w:sz w:val="20"/>
          <w:szCs w:val="20"/>
        </w:rPr>
        <w:t xml:space="preserve">techniques </w:t>
      </w:r>
      <w:r w:rsidR="00701568">
        <w:rPr>
          <w:rFonts w:ascii="Century Gothic" w:hAnsi="Century Gothic" w:cs="Calibri"/>
          <w:sz w:val="20"/>
          <w:szCs w:val="20"/>
        </w:rPr>
        <w:t xml:space="preserve">to the development of </w:t>
      </w:r>
      <w:r>
        <w:rPr>
          <w:rFonts w:ascii="Century Gothic" w:hAnsi="Century Gothic" w:cs="Calibri"/>
          <w:sz w:val="20"/>
          <w:szCs w:val="20"/>
        </w:rPr>
        <w:t xml:space="preserve">better targeted </w:t>
      </w:r>
      <w:r w:rsidR="00701568">
        <w:rPr>
          <w:rFonts w:ascii="Century Gothic" w:hAnsi="Century Gothic" w:cs="Calibri"/>
          <w:sz w:val="20"/>
          <w:szCs w:val="20"/>
        </w:rPr>
        <w:t>programmes and policy initiatives for improving public health outcomes and disparities</w:t>
      </w:r>
      <w:r w:rsidR="001466FC">
        <w:rPr>
          <w:rFonts w:ascii="Century Gothic" w:hAnsi="Century Gothic" w:cs="Calibri"/>
          <w:sz w:val="20"/>
          <w:szCs w:val="20"/>
          <w:vertAlign w:val="superscript"/>
        </w:rPr>
        <w:t>4</w:t>
      </w:r>
      <w:r w:rsidR="00701568">
        <w:rPr>
          <w:rFonts w:ascii="Century Gothic" w:hAnsi="Century Gothic" w:cs="Calibri"/>
          <w:sz w:val="20"/>
          <w:szCs w:val="20"/>
        </w:rPr>
        <w:t>.</w:t>
      </w:r>
      <w:r w:rsidR="00606E51">
        <w:rPr>
          <w:rFonts w:ascii="Century Gothic" w:hAnsi="Century Gothic" w:cs="Calibri"/>
          <w:sz w:val="20"/>
          <w:szCs w:val="20"/>
        </w:rPr>
        <w:t xml:space="preserve"> </w:t>
      </w:r>
      <w:r w:rsidR="008544E3" w:rsidRPr="008544E3">
        <w:rPr>
          <w:rFonts w:ascii="Century Gothic" w:hAnsi="Century Gothic" w:cs="Calibri"/>
          <w:sz w:val="20"/>
          <w:szCs w:val="20"/>
        </w:rPr>
        <w:t>In addition, increasing</w:t>
      </w:r>
      <w:r w:rsidR="008544E3">
        <w:rPr>
          <w:rFonts w:ascii="Century Gothic" w:hAnsi="Century Gothic" w:cs="Calibri"/>
          <w:sz w:val="20"/>
          <w:szCs w:val="20"/>
        </w:rPr>
        <w:t xml:space="preserve"> the availability of data inherently leads to a culture of collaboration,</w:t>
      </w:r>
      <w:r w:rsidR="0067248D" w:rsidRPr="008544E3">
        <w:rPr>
          <w:rFonts w:ascii="Century Gothic" w:hAnsi="Century Gothic" w:cs="Calibri"/>
          <w:sz w:val="20"/>
          <w:szCs w:val="20"/>
        </w:rPr>
        <w:t xml:space="preserve"> where researchers</w:t>
      </w:r>
      <w:r w:rsidR="008544E3">
        <w:rPr>
          <w:rFonts w:ascii="Century Gothic" w:hAnsi="Century Gothic" w:cs="Calibri"/>
          <w:sz w:val="20"/>
          <w:szCs w:val="20"/>
        </w:rPr>
        <w:t xml:space="preserve"> and public/private </w:t>
      </w:r>
      <w:r w:rsidR="008544E3">
        <w:rPr>
          <w:rFonts w:ascii="Century Gothic" w:hAnsi="Century Gothic" w:cs="Calibri"/>
          <w:sz w:val="20"/>
          <w:szCs w:val="20"/>
        </w:rPr>
        <w:lastRenderedPageBreak/>
        <w:t xml:space="preserve">organisations </w:t>
      </w:r>
      <w:r w:rsidR="0067248D" w:rsidRPr="008544E3">
        <w:rPr>
          <w:rFonts w:ascii="Century Gothic" w:hAnsi="Century Gothic" w:cs="Calibri"/>
          <w:sz w:val="20"/>
          <w:szCs w:val="20"/>
        </w:rPr>
        <w:t>can make use of collected data</w:t>
      </w:r>
      <w:r w:rsidR="00B1655A">
        <w:rPr>
          <w:rFonts w:ascii="Century Gothic" w:hAnsi="Century Gothic" w:cs="Calibri"/>
          <w:sz w:val="20"/>
          <w:szCs w:val="20"/>
        </w:rPr>
        <w:t>,</w:t>
      </w:r>
      <w:r w:rsidR="008544E3">
        <w:rPr>
          <w:rFonts w:ascii="Century Gothic" w:hAnsi="Century Gothic" w:cs="Calibri"/>
          <w:sz w:val="20"/>
          <w:szCs w:val="20"/>
        </w:rPr>
        <w:t xml:space="preserve"> and </w:t>
      </w:r>
      <w:r w:rsidR="004E67D2">
        <w:rPr>
          <w:rFonts w:ascii="Century Gothic" w:hAnsi="Century Gothic" w:cs="Calibri"/>
          <w:sz w:val="20"/>
          <w:szCs w:val="20"/>
        </w:rPr>
        <w:t xml:space="preserve">can </w:t>
      </w:r>
      <w:r w:rsidR="008544E3">
        <w:rPr>
          <w:rFonts w:ascii="Century Gothic" w:hAnsi="Century Gothic" w:cs="Calibri"/>
          <w:sz w:val="20"/>
          <w:szCs w:val="20"/>
        </w:rPr>
        <w:t>collaborate to answer specific research questions</w:t>
      </w:r>
      <w:r w:rsidR="000C279F" w:rsidRPr="000C279F">
        <w:rPr>
          <w:rFonts w:ascii="Century Gothic" w:hAnsi="Century Gothic" w:cs="Calibri"/>
          <w:sz w:val="20"/>
          <w:szCs w:val="20"/>
          <w:vertAlign w:val="superscript"/>
        </w:rPr>
        <w:t>4</w:t>
      </w:r>
      <w:r w:rsidR="008544E3">
        <w:rPr>
          <w:rFonts w:ascii="Century Gothic" w:hAnsi="Century Gothic" w:cs="Calibri"/>
          <w:sz w:val="20"/>
          <w:szCs w:val="20"/>
        </w:rPr>
        <w:t>.</w:t>
      </w:r>
    </w:p>
    <w:p w:rsidR="00A6256B" w:rsidRDefault="00B31BDF" w:rsidP="0067248D">
      <w:pPr>
        <w:spacing w:after="200" w:line="276" w:lineRule="auto"/>
        <w:rPr>
          <w:rFonts w:ascii="Century Gothic" w:hAnsi="Century Gothic" w:cs="Calibri"/>
          <w:sz w:val="20"/>
          <w:szCs w:val="20"/>
        </w:rPr>
      </w:pPr>
      <w:r>
        <w:rPr>
          <w:rFonts w:ascii="Century Gothic" w:hAnsi="Century Gothic" w:cs="Calibri"/>
          <w:sz w:val="20"/>
          <w:szCs w:val="20"/>
        </w:rPr>
        <w:t>Ultimately, i</w:t>
      </w:r>
      <w:r w:rsidR="004D7133">
        <w:rPr>
          <w:rFonts w:ascii="Century Gothic" w:hAnsi="Century Gothic" w:cs="Calibri"/>
          <w:sz w:val="20"/>
          <w:szCs w:val="20"/>
        </w:rPr>
        <w:t xml:space="preserve">ncreasing the availability and use of data can improve cancer outcomes through improved clinical decision-making </w:t>
      </w:r>
      <w:r w:rsidR="00435C08">
        <w:rPr>
          <w:rFonts w:ascii="Century Gothic" w:hAnsi="Century Gothic" w:cs="Calibri"/>
          <w:sz w:val="20"/>
          <w:szCs w:val="20"/>
        </w:rPr>
        <w:t xml:space="preserve">and </w:t>
      </w:r>
      <w:r w:rsidR="004D7133">
        <w:rPr>
          <w:rFonts w:ascii="Century Gothic" w:hAnsi="Century Gothic" w:cs="Calibri"/>
          <w:sz w:val="20"/>
          <w:szCs w:val="20"/>
        </w:rPr>
        <w:t xml:space="preserve">strengthened evidence-based policy decisions. </w:t>
      </w:r>
      <w:r w:rsidR="00A6256B">
        <w:rPr>
          <w:rFonts w:ascii="Century Gothic" w:hAnsi="Century Gothic" w:cs="Calibri"/>
          <w:sz w:val="20"/>
          <w:szCs w:val="20"/>
        </w:rPr>
        <w:t>This in turn can reduce the incidence of cancer, increase cancer survival, and improve long-term outcomes for people affected by cancer.</w:t>
      </w:r>
    </w:p>
    <w:p w:rsidR="00AB65DB" w:rsidRPr="00F02229" w:rsidRDefault="00F02229" w:rsidP="00F0222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b/>
          <w:i/>
          <w:sz w:val="20"/>
          <w:szCs w:val="20"/>
        </w:rPr>
      </w:pPr>
      <w:r w:rsidRPr="00F02229">
        <w:rPr>
          <w:rFonts w:ascii="Century Gothic" w:hAnsi="Century Gothic" w:cs="Calibri"/>
          <w:b/>
          <w:i/>
          <w:sz w:val="20"/>
          <w:szCs w:val="20"/>
        </w:rPr>
        <w:t>Best Practice Examples</w:t>
      </w:r>
    </w:p>
    <w:p w:rsidR="00F02229" w:rsidRPr="00313BE0" w:rsidRDefault="00F02229" w:rsidP="00F0222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i/>
          <w:sz w:val="20"/>
          <w:szCs w:val="20"/>
        </w:rPr>
      </w:pPr>
      <w:r w:rsidRPr="00313BE0">
        <w:rPr>
          <w:rFonts w:ascii="Century Gothic" w:hAnsi="Century Gothic" w:cs="Calibri"/>
          <w:i/>
          <w:sz w:val="20"/>
          <w:szCs w:val="20"/>
        </w:rPr>
        <w:t>National Statistical Service</w:t>
      </w:r>
    </w:p>
    <w:p w:rsidR="00B1655A" w:rsidRDefault="00270C5B" w:rsidP="00F0222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i/>
          <w:sz w:val="20"/>
          <w:szCs w:val="20"/>
        </w:rPr>
      </w:pPr>
      <w:r>
        <w:rPr>
          <w:rFonts w:ascii="Century Gothic" w:hAnsi="Century Gothic" w:cs="Calibri"/>
          <w:sz w:val="20"/>
          <w:szCs w:val="20"/>
        </w:rPr>
        <w:t>The National Statistical Service</w:t>
      </w:r>
      <w:r w:rsidR="009E5EAD">
        <w:rPr>
          <w:rFonts w:ascii="Century Gothic" w:hAnsi="Century Gothic" w:cs="Calibri"/>
          <w:sz w:val="20"/>
          <w:szCs w:val="20"/>
        </w:rPr>
        <w:t xml:space="preserve"> (NSS)</w:t>
      </w:r>
      <w:r w:rsidR="00ED3F99">
        <w:rPr>
          <w:rFonts w:ascii="Century Gothic" w:hAnsi="Century Gothic" w:cs="Calibri"/>
          <w:sz w:val="20"/>
          <w:szCs w:val="20"/>
        </w:rPr>
        <w:t>, in collaboration with government agencies and data custodians,</w:t>
      </w:r>
      <w:r w:rsidR="009E5EAD">
        <w:rPr>
          <w:rFonts w:ascii="Century Gothic" w:hAnsi="Century Gothic" w:cs="Calibri"/>
          <w:sz w:val="20"/>
          <w:szCs w:val="20"/>
        </w:rPr>
        <w:t xml:space="preserve"> acts as a peak coordinator/forum regarding public sector data in Australia</w:t>
      </w:r>
      <w:r w:rsidR="001466FC">
        <w:rPr>
          <w:rFonts w:ascii="Century Gothic" w:hAnsi="Century Gothic" w:cs="Calibri"/>
          <w:sz w:val="20"/>
          <w:szCs w:val="20"/>
          <w:vertAlign w:val="superscript"/>
        </w:rPr>
        <w:t>5</w:t>
      </w:r>
      <w:r w:rsidR="009E5EAD">
        <w:rPr>
          <w:rFonts w:ascii="Century Gothic" w:hAnsi="Century Gothic" w:cs="Calibri"/>
          <w:sz w:val="20"/>
          <w:szCs w:val="20"/>
        </w:rPr>
        <w:t>.</w:t>
      </w:r>
      <w:r w:rsidR="00326D03">
        <w:rPr>
          <w:rFonts w:ascii="Century Gothic" w:hAnsi="Century Gothic" w:cs="Calibri"/>
          <w:sz w:val="20"/>
          <w:szCs w:val="20"/>
        </w:rPr>
        <w:t xml:space="preserve"> The NSS supports the </w:t>
      </w:r>
      <w:r w:rsidR="00326D03" w:rsidRPr="00326D03">
        <w:rPr>
          <w:rFonts w:ascii="Century Gothic" w:hAnsi="Century Gothic" w:cs="Calibri"/>
          <w:sz w:val="20"/>
          <w:szCs w:val="20"/>
        </w:rPr>
        <w:t>Essential Statistical Assets</w:t>
      </w:r>
      <w:r w:rsidR="00326D03">
        <w:rPr>
          <w:rFonts w:ascii="Century Gothic" w:hAnsi="Century Gothic" w:cs="Calibri"/>
          <w:sz w:val="20"/>
          <w:szCs w:val="20"/>
        </w:rPr>
        <w:t xml:space="preserve"> for Australia initiative, which acts as a framework for providing a more seamless national statistical system</w:t>
      </w:r>
      <w:r w:rsidR="001466FC">
        <w:rPr>
          <w:rFonts w:ascii="Century Gothic" w:hAnsi="Century Gothic" w:cs="Calibri"/>
          <w:sz w:val="20"/>
          <w:szCs w:val="20"/>
          <w:vertAlign w:val="superscript"/>
        </w:rPr>
        <w:t>6</w:t>
      </w:r>
      <w:r w:rsidR="00A053DC">
        <w:rPr>
          <w:rFonts w:ascii="Century Gothic" w:hAnsi="Century Gothic" w:cs="Calibri"/>
          <w:sz w:val="20"/>
          <w:szCs w:val="20"/>
        </w:rPr>
        <w:t xml:space="preserve"> (e.g. by minimising the risk of duplicating data collections).</w:t>
      </w:r>
    </w:p>
    <w:p w:rsidR="00F02229" w:rsidRPr="00313BE0" w:rsidRDefault="00F02229" w:rsidP="00F0222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i/>
          <w:sz w:val="20"/>
          <w:szCs w:val="20"/>
        </w:rPr>
      </w:pPr>
      <w:r w:rsidRPr="00313BE0">
        <w:rPr>
          <w:rFonts w:ascii="Century Gothic" w:hAnsi="Century Gothic" w:cs="Calibri"/>
          <w:i/>
          <w:sz w:val="20"/>
          <w:szCs w:val="20"/>
        </w:rPr>
        <w:t>Data.gov.au</w:t>
      </w:r>
    </w:p>
    <w:p w:rsidR="00F02229" w:rsidRPr="00341BC2" w:rsidRDefault="00ED7EF6" w:rsidP="00F0222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sz w:val="20"/>
          <w:szCs w:val="20"/>
        </w:rPr>
      </w:pPr>
      <w:r>
        <w:rPr>
          <w:rFonts w:ascii="Century Gothic" w:hAnsi="Century Gothic" w:cs="Calibri"/>
          <w:sz w:val="20"/>
          <w:szCs w:val="20"/>
        </w:rPr>
        <w:t>Data.gov.au was established as a central hub for public sector datasets</w:t>
      </w:r>
      <w:r w:rsidR="00965D72">
        <w:rPr>
          <w:rFonts w:ascii="Century Gothic" w:hAnsi="Century Gothic" w:cs="Calibri"/>
          <w:sz w:val="20"/>
          <w:szCs w:val="20"/>
        </w:rPr>
        <w:t>, in order to encourage the use of government data</w:t>
      </w:r>
      <w:r w:rsidR="001466FC">
        <w:rPr>
          <w:rFonts w:ascii="Century Gothic" w:hAnsi="Century Gothic" w:cs="Calibri"/>
          <w:sz w:val="20"/>
          <w:szCs w:val="20"/>
          <w:vertAlign w:val="superscript"/>
        </w:rPr>
        <w:t>7</w:t>
      </w:r>
      <w:r w:rsidR="00313BE0">
        <w:rPr>
          <w:rFonts w:ascii="Century Gothic" w:hAnsi="Century Gothic" w:cs="Calibri"/>
          <w:sz w:val="20"/>
          <w:szCs w:val="20"/>
        </w:rPr>
        <w:t>.</w:t>
      </w:r>
      <w:r>
        <w:rPr>
          <w:rFonts w:ascii="Century Gothic" w:hAnsi="Century Gothic" w:cs="Calibri"/>
          <w:sz w:val="20"/>
          <w:szCs w:val="20"/>
        </w:rPr>
        <w:t xml:space="preserve"> </w:t>
      </w:r>
      <w:r w:rsidRPr="00ED7EF6">
        <w:rPr>
          <w:rFonts w:ascii="Century Gothic" w:hAnsi="Century Gothic" w:cs="Calibri"/>
          <w:sz w:val="20"/>
          <w:szCs w:val="20"/>
        </w:rPr>
        <w:t>In addition to open datasets, the catalogue includes unpublished data and data available for purchase.</w:t>
      </w:r>
      <w:r w:rsidR="00341BC2">
        <w:rPr>
          <w:rFonts w:ascii="Century Gothic" w:hAnsi="Century Gothic" w:cs="Calibri"/>
          <w:sz w:val="20"/>
          <w:szCs w:val="20"/>
        </w:rPr>
        <w:t xml:space="preserve"> A related website – nationalmap.gov.au – provides </w:t>
      </w:r>
      <w:r w:rsidR="00341BC2" w:rsidRPr="00341BC2">
        <w:rPr>
          <w:rFonts w:ascii="Century Gothic" w:hAnsi="Century Gothic" w:cs="Calibri"/>
          <w:sz w:val="20"/>
          <w:szCs w:val="20"/>
        </w:rPr>
        <w:t>access to spatial data from Australian government agencies</w:t>
      </w:r>
      <w:r w:rsidR="001466FC">
        <w:rPr>
          <w:rFonts w:ascii="Century Gothic" w:hAnsi="Century Gothic" w:cs="Calibri"/>
          <w:sz w:val="20"/>
          <w:szCs w:val="20"/>
          <w:vertAlign w:val="superscript"/>
        </w:rPr>
        <w:t>8</w:t>
      </w:r>
      <w:r w:rsidR="00341BC2">
        <w:rPr>
          <w:rFonts w:ascii="Century Gothic" w:hAnsi="Century Gothic" w:cs="Calibri"/>
          <w:sz w:val="20"/>
          <w:szCs w:val="20"/>
        </w:rPr>
        <w:t>.</w:t>
      </w:r>
    </w:p>
    <w:p w:rsidR="00F02229" w:rsidRPr="000E7714" w:rsidRDefault="00F02229" w:rsidP="000E7714">
      <w:pPr>
        <w:spacing w:after="200" w:line="276" w:lineRule="auto"/>
        <w:rPr>
          <w:rFonts w:ascii="Century Gothic" w:hAnsi="Century Gothic" w:cs="Calibri"/>
          <w:sz w:val="20"/>
          <w:szCs w:val="20"/>
        </w:rPr>
      </w:pPr>
    </w:p>
    <w:p w:rsidR="0067248D" w:rsidRDefault="00FA2130" w:rsidP="0067248D">
      <w:pPr>
        <w:spacing w:after="200" w:line="276" w:lineRule="auto"/>
        <w:rPr>
          <w:rFonts w:ascii="Century Gothic" w:hAnsi="Century Gothic" w:cs="Calibri"/>
          <w:b/>
          <w:sz w:val="20"/>
          <w:szCs w:val="20"/>
        </w:rPr>
      </w:pPr>
      <w:r>
        <w:rPr>
          <w:rFonts w:ascii="Century Gothic" w:hAnsi="Century Gothic" w:cs="Calibri"/>
          <w:b/>
          <w:sz w:val="20"/>
          <w:szCs w:val="20"/>
        </w:rPr>
        <w:t xml:space="preserve">1.2 </w:t>
      </w:r>
      <w:r w:rsidR="0067248D">
        <w:rPr>
          <w:rFonts w:ascii="Century Gothic" w:hAnsi="Century Gothic" w:cs="Calibri"/>
          <w:b/>
          <w:sz w:val="20"/>
          <w:szCs w:val="20"/>
        </w:rPr>
        <w:t xml:space="preserve">Factors </w:t>
      </w:r>
      <w:r w:rsidR="00C95609">
        <w:rPr>
          <w:rFonts w:ascii="Century Gothic" w:hAnsi="Century Gothic" w:cs="Calibri"/>
          <w:b/>
          <w:sz w:val="20"/>
          <w:szCs w:val="20"/>
        </w:rPr>
        <w:t xml:space="preserve">impeding </w:t>
      </w:r>
      <w:r w:rsidR="0067248D">
        <w:rPr>
          <w:rFonts w:ascii="Century Gothic" w:hAnsi="Century Gothic" w:cs="Calibri"/>
          <w:b/>
          <w:sz w:val="20"/>
          <w:szCs w:val="20"/>
        </w:rPr>
        <w:t>government agencies from making their data available</w:t>
      </w:r>
    </w:p>
    <w:p w:rsidR="005B116C" w:rsidRDefault="00795306" w:rsidP="00701568">
      <w:pPr>
        <w:spacing w:after="200" w:line="276" w:lineRule="auto"/>
        <w:rPr>
          <w:rFonts w:ascii="Century Gothic" w:hAnsi="Century Gothic" w:cs="Calibri"/>
          <w:sz w:val="20"/>
          <w:szCs w:val="20"/>
        </w:rPr>
      </w:pPr>
      <w:r>
        <w:rPr>
          <w:rFonts w:ascii="Century Gothic" w:hAnsi="Century Gothic" w:cs="Calibri"/>
          <w:sz w:val="20"/>
          <w:szCs w:val="20"/>
        </w:rPr>
        <w:t xml:space="preserve">As mentioned above, </w:t>
      </w:r>
      <w:r w:rsidR="0009639E">
        <w:rPr>
          <w:rFonts w:ascii="Century Gothic" w:hAnsi="Century Gothic" w:cs="Calibri"/>
          <w:sz w:val="20"/>
          <w:szCs w:val="20"/>
        </w:rPr>
        <w:t xml:space="preserve">some </w:t>
      </w:r>
      <w:r>
        <w:rPr>
          <w:rFonts w:ascii="Century Gothic" w:hAnsi="Century Gothic" w:cs="Calibri"/>
          <w:sz w:val="20"/>
          <w:szCs w:val="20"/>
        </w:rPr>
        <w:t xml:space="preserve">public sector </w:t>
      </w:r>
      <w:r w:rsidR="00701568">
        <w:rPr>
          <w:rFonts w:ascii="Century Gothic" w:hAnsi="Century Gothic" w:cs="Calibri"/>
          <w:sz w:val="20"/>
          <w:szCs w:val="20"/>
        </w:rPr>
        <w:t xml:space="preserve">agencies </w:t>
      </w:r>
      <w:r w:rsidR="005B116C">
        <w:rPr>
          <w:rFonts w:ascii="Century Gothic" w:hAnsi="Century Gothic" w:cs="Calibri"/>
          <w:sz w:val="20"/>
          <w:szCs w:val="20"/>
        </w:rPr>
        <w:t>which hold data may adopt</w:t>
      </w:r>
      <w:r w:rsidR="00701568">
        <w:rPr>
          <w:rFonts w:ascii="Century Gothic" w:hAnsi="Century Gothic" w:cs="Calibri"/>
          <w:sz w:val="20"/>
          <w:szCs w:val="20"/>
        </w:rPr>
        <w:t xml:space="preserve"> cautious approaches towards </w:t>
      </w:r>
      <w:r w:rsidR="0084401A">
        <w:rPr>
          <w:rFonts w:ascii="Century Gothic" w:hAnsi="Century Gothic" w:cs="Calibri"/>
          <w:sz w:val="20"/>
          <w:szCs w:val="20"/>
        </w:rPr>
        <w:t>the release of data</w:t>
      </w:r>
      <w:r w:rsidR="00DD57D6">
        <w:rPr>
          <w:rFonts w:ascii="Century Gothic" w:hAnsi="Century Gothic" w:cs="Calibri"/>
          <w:sz w:val="20"/>
          <w:szCs w:val="20"/>
        </w:rPr>
        <w:t>, even</w:t>
      </w:r>
      <w:r w:rsidR="00701568">
        <w:rPr>
          <w:rFonts w:ascii="Century Gothic" w:hAnsi="Century Gothic" w:cs="Calibri"/>
          <w:sz w:val="20"/>
          <w:szCs w:val="20"/>
        </w:rPr>
        <w:t xml:space="preserve"> </w:t>
      </w:r>
      <w:r w:rsidR="0084401A">
        <w:rPr>
          <w:rFonts w:ascii="Century Gothic" w:hAnsi="Century Gothic" w:cs="Calibri"/>
          <w:sz w:val="20"/>
          <w:szCs w:val="20"/>
        </w:rPr>
        <w:t xml:space="preserve">to </w:t>
      </w:r>
      <w:r w:rsidR="00701568">
        <w:rPr>
          <w:rFonts w:ascii="Century Gothic" w:hAnsi="Century Gothic" w:cs="Calibri"/>
          <w:sz w:val="20"/>
          <w:szCs w:val="20"/>
        </w:rPr>
        <w:t>agencies and departments</w:t>
      </w:r>
      <w:r w:rsidR="00DD57D6">
        <w:rPr>
          <w:rFonts w:ascii="Century Gothic" w:hAnsi="Century Gothic" w:cs="Calibri"/>
          <w:sz w:val="20"/>
          <w:szCs w:val="20"/>
        </w:rPr>
        <w:t xml:space="preserve"> within the public sector</w:t>
      </w:r>
      <w:r w:rsidR="00701568">
        <w:rPr>
          <w:rFonts w:ascii="Century Gothic" w:hAnsi="Century Gothic" w:cs="Calibri"/>
          <w:sz w:val="20"/>
          <w:szCs w:val="20"/>
        </w:rPr>
        <w:t>.</w:t>
      </w:r>
      <w:r w:rsidR="007C66E0">
        <w:rPr>
          <w:rFonts w:ascii="Century Gothic" w:hAnsi="Century Gothic" w:cs="Calibri"/>
          <w:sz w:val="20"/>
          <w:szCs w:val="20"/>
        </w:rPr>
        <w:t xml:space="preserve"> The </w:t>
      </w:r>
      <w:r w:rsidR="00B11B62">
        <w:rPr>
          <w:rFonts w:ascii="Century Gothic" w:hAnsi="Century Gothic" w:cs="Calibri"/>
          <w:sz w:val="20"/>
          <w:szCs w:val="20"/>
        </w:rPr>
        <w:t>influence of</w:t>
      </w:r>
      <w:r w:rsidR="007C66E0">
        <w:rPr>
          <w:rFonts w:ascii="Century Gothic" w:hAnsi="Century Gothic" w:cs="Calibri"/>
          <w:sz w:val="20"/>
          <w:szCs w:val="20"/>
        </w:rPr>
        <w:t xml:space="preserve"> privacy legislation</w:t>
      </w:r>
      <w:r w:rsidR="003B4E46">
        <w:rPr>
          <w:rFonts w:ascii="Century Gothic" w:hAnsi="Century Gothic" w:cs="Calibri"/>
          <w:sz w:val="20"/>
          <w:szCs w:val="20"/>
        </w:rPr>
        <w:t xml:space="preserve">, or concerns about how the data will be used, </w:t>
      </w:r>
      <w:r w:rsidR="007C66E0">
        <w:rPr>
          <w:rFonts w:ascii="Century Gothic" w:hAnsi="Century Gothic" w:cs="Calibri"/>
          <w:sz w:val="20"/>
          <w:szCs w:val="20"/>
        </w:rPr>
        <w:t xml:space="preserve">can also heighten </w:t>
      </w:r>
      <w:r w:rsidR="000E43A4">
        <w:rPr>
          <w:rFonts w:ascii="Century Gothic" w:hAnsi="Century Gothic" w:cs="Calibri"/>
          <w:sz w:val="20"/>
          <w:szCs w:val="20"/>
        </w:rPr>
        <w:t>the</w:t>
      </w:r>
      <w:r w:rsidR="005B116C">
        <w:rPr>
          <w:rFonts w:ascii="Century Gothic" w:hAnsi="Century Gothic" w:cs="Calibri"/>
          <w:sz w:val="20"/>
          <w:szCs w:val="20"/>
        </w:rPr>
        <w:t xml:space="preserve"> tendency </w:t>
      </w:r>
      <w:r w:rsidR="00AB0301">
        <w:rPr>
          <w:rFonts w:ascii="Century Gothic" w:hAnsi="Century Gothic" w:cs="Calibri"/>
          <w:sz w:val="20"/>
          <w:szCs w:val="20"/>
        </w:rPr>
        <w:t xml:space="preserve">of data custodians </w:t>
      </w:r>
      <w:r w:rsidR="005B116C">
        <w:rPr>
          <w:rFonts w:ascii="Century Gothic" w:hAnsi="Century Gothic" w:cs="Calibri"/>
          <w:sz w:val="20"/>
          <w:szCs w:val="20"/>
        </w:rPr>
        <w:t>towards being risk-averse</w:t>
      </w:r>
      <w:r w:rsidR="000E43A4">
        <w:rPr>
          <w:rFonts w:ascii="Century Gothic" w:hAnsi="Century Gothic" w:cs="Calibri"/>
          <w:sz w:val="20"/>
          <w:szCs w:val="20"/>
        </w:rPr>
        <w:t>.</w:t>
      </w:r>
      <w:r w:rsidR="00AD0C82">
        <w:rPr>
          <w:rFonts w:ascii="Century Gothic" w:hAnsi="Century Gothic" w:cs="Calibri"/>
          <w:sz w:val="20"/>
          <w:szCs w:val="20"/>
        </w:rPr>
        <w:t xml:space="preserve"> </w:t>
      </w:r>
      <w:r w:rsidR="000E43A4">
        <w:rPr>
          <w:rFonts w:ascii="Century Gothic" w:hAnsi="Century Gothic" w:cs="Calibri"/>
          <w:sz w:val="20"/>
          <w:szCs w:val="20"/>
        </w:rPr>
        <w:t xml:space="preserve">This can </w:t>
      </w:r>
      <w:r w:rsidR="00AD0C82">
        <w:rPr>
          <w:rFonts w:ascii="Century Gothic" w:hAnsi="Century Gothic" w:cs="Calibri"/>
          <w:sz w:val="20"/>
          <w:szCs w:val="20"/>
        </w:rPr>
        <w:t xml:space="preserve">cause </w:t>
      </w:r>
      <w:r w:rsidR="000E43A4">
        <w:rPr>
          <w:rFonts w:ascii="Century Gothic" w:hAnsi="Century Gothic" w:cs="Calibri"/>
          <w:sz w:val="20"/>
          <w:szCs w:val="20"/>
        </w:rPr>
        <w:t xml:space="preserve">subsequent </w:t>
      </w:r>
      <w:r w:rsidR="00AD0C82">
        <w:rPr>
          <w:rFonts w:ascii="Century Gothic" w:hAnsi="Century Gothic" w:cs="Calibri"/>
          <w:sz w:val="20"/>
          <w:szCs w:val="20"/>
        </w:rPr>
        <w:t xml:space="preserve">delays for users in accessing </w:t>
      </w:r>
      <w:r w:rsidR="000E43A4">
        <w:rPr>
          <w:rFonts w:ascii="Century Gothic" w:hAnsi="Century Gothic" w:cs="Calibri"/>
          <w:sz w:val="20"/>
          <w:szCs w:val="20"/>
        </w:rPr>
        <w:t xml:space="preserve">low-risk, de-identified </w:t>
      </w:r>
      <w:r w:rsidR="00AD0C82">
        <w:rPr>
          <w:rFonts w:ascii="Century Gothic" w:hAnsi="Century Gothic" w:cs="Calibri"/>
          <w:sz w:val="20"/>
          <w:szCs w:val="20"/>
        </w:rPr>
        <w:t>data</w:t>
      </w:r>
      <w:r w:rsidR="003B4E46">
        <w:rPr>
          <w:rFonts w:ascii="Century Gothic" w:hAnsi="Century Gothic" w:cs="Calibri"/>
          <w:sz w:val="20"/>
          <w:szCs w:val="20"/>
        </w:rPr>
        <w:t xml:space="preserve">. </w:t>
      </w:r>
      <w:r w:rsidR="00CD33A4">
        <w:rPr>
          <w:rFonts w:ascii="Century Gothic" w:hAnsi="Century Gothic" w:cs="Calibri"/>
          <w:sz w:val="20"/>
          <w:szCs w:val="20"/>
        </w:rPr>
        <w:t xml:space="preserve">The time required for </w:t>
      </w:r>
      <w:r w:rsidR="00D6044E">
        <w:rPr>
          <w:rFonts w:ascii="Century Gothic" w:hAnsi="Century Gothic" w:cs="Calibri"/>
          <w:sz w:val="20"/>
          <w:szCs w:val="20"/>
        </w:rPr>
        <w:t>committee approvals</w:t>
      </w:r>
      <w:r w:rsidR="00CD33A4">
        <w:rPr>
          <w:rFonts w:ascii="Century Gothic" w:hAnsi="Century Gothic" w:cs="Calibri"/>
          <w:sz w:val="20"/>
          <w:szCs w:val="20"/>
        </w:rPr>
        <w:t>,</w:t>
      </w:r>
      <w:r w:rsidR="003C2AFB">
        <w:rPr>
          <w:rFonts w:ascii="Century Gothic" w:hAnsi="Century Gothic" w:cs="Calibri"/>
          <w:sz w:val="20"/>
          <w:szCs w:val="20"/>
        </w:rPr>
        <w:t xml:space="preserve"> </w:t>
      </w:r>
      <w:r w:rsidR="00AB0301">
        <w:rPr>
          <w:rFonts w:ascii="Century Gothic" w:hAnsi="Century Gothic" w:cs="Calibri"/>
          <w:sz w:val="20"/>
          <w:szCs w:val="20"/>
        </w:rPr>
        <w:t xml:space="preserve">pulling-out the data </w:t>
      </w:r>
      <w:r w:rsidR="003C2AFB">
        <w:rPr>
          <w:rFonts w:ascii="Century Gothic" w:hAnsi="Century Gothic" w:cs="Calibri"/>
          <w:sz w:val="20"/>
          <w:szCs w:val="20"/>
        </w:rPr>
        <w:t>and cost-recovery processes</w:t>
      </w:r>
      <w:r w:rsidR="002D788E">
        <w:rPr>
          <w:rFonts w:ascii="Century Gothic" w:hAnsi="Century Gothic" w:cs="Calibri"/>
          <w:sz w:val="20"/>
          <w:szCs w:val="20"/>
        </w:rPr>
        <w:t xml:space="preserve"> may also add significant costs and delays in the process of accessing data from custodians</w:t>
      </w:r>
      <w:r w:rsidR="003E11E7">
        <w:rPr>
          <w:rFonts w:ascii="Century Gothic" w:hAnsi="Century Gothic" w:cs="Calibri"/>
          <w:sz w:val="20"/>
          <w:szCs w:val="20"/>
        </w:rPr>
        <w:t xml:space="preserve"> – factors which may have significant opportunity costs for those requiring certain data</w:t>
      </w:r>
      <w:r w:rsidR="002D788E">
        <w:rPr>
          <w:rFonts w:ascii="Century Gothic" w:hAnsi="Century Gothic" w:cs="Calibri"/>
          <w:sz w:val="20"/>
          <w:szCs w:val="20"/>
        </w:rPr>
        <w:t>.</w:t>
      </w:r>
    </w:p>
    <w:p w:rsidR="00701568" w:rsidRDefault="00367E6D" w:rsidP="00701568">
      <w:pPr>
        <w:spacing w:after="200" w:line="276" w:lineRule="auto"/>
        <w:rPr>
          <w:rFonts w:ascii="Century Gothic" w:hAnsi="Century Gothic" w:cs="Calibri"/>
          <w:sz w:val="20"/>
          <w:szCs w:val="20"/>
        </w:rPr>
      </w:pPr>
      <w:r>
        <w:rPr>
          <w:rFonts w:ascii="Century Gothic" w:hAnsi="Century Gothic" w:cs="Calibri"/>
          <w:sz w:val="20"/>
          <w:szCs w:val="20"/>
        </w:rPr>
        <w:t>S</w:t>
      </w:r>
      <w:r w:rsidR="00246986">
        <w:rPr>
          <w:rFonts w:ascii="Century Gothic" w:hAnsi="Century Gothic" w:cs="Calibri"/>
          <w:sz w:val="20"/>
          <w:szCs w:val="20"/>
        </w:rPr>
        <w:t>ome</w:t>
      </w:r>
      <w:r w:rsidR="002D788E">
        <w:rPr>
          <w:rFonts w:ascii="Century Gothic" w:hAnsi="Century Gothic" w:cs="Calibri"/>
          <w:sz w:val="20"/>
          <w:szCs w:val="20"/>
        </w:rPr>
        <w:t xml:space="preserve"> </w:t>
      </w:r>
      <w:r w:rsidR="00926402">
        <w:rPr>
          <w:rFonts w:ascii="Century Gothic" w:hAnsi="Century Gothic" w:cs="Calibri"/>
          <w:sz w:val="20"/>
          <w:szCs w:val="20"/>
        </w:rPr>
        <w:t>broad</w:t>
      </w:r>
      <w:r w:rsidR="002D788E">
        <w:rPr>
          <w:rFonts w:ascii="Century Gothic" w:hAnsi="Century Gothic" w:cs="Calibri"/>
          <w:sz w:val="20"/>
          <w:szCs w:val="20"/>
        </w:rPr>
        <w:t xml:space="preserve"> approaches to assist in addressing these problems</w:t>
      </w:r>
      <w:r>
        <w:rPr>
          <w:rFonts w:ascii="Century Gothic" w:hAnsi="Century Gothic" w:cs="Calibri"/>
          <w:sz w:val="20"/>
          <w:szCs w:val="20"/>
        </w:rPr>
        <w:t xml:space="preserve"> include</w:t>
      </w:r>
      <w:r w:rsidR="002D788E">
        <w:rPr>
          <w:rFonts w:ascii="Century Gothic" w:hAnsi="Century Gothic" w:cs="Calibri"/>
          <w:sz w:val="20"/>
          <w:szCs w:val="20"/>
        </w:rPr>
        <w:t>:</w:t>
      </w:r>
    </w:p>
    <w:p w:rsidR="00246986" w:rsidRDefault="00297EAE" w:rsidP="002D788E">
      <w:pPr>
        <w:pStyle w:val="ListParagraph"/>
        <w:numPr>
          <w:ilvl w:val="0"/>
          <w:numId w:val="30"/>
        </w:numPr>
        <w:spacing w:after="200" w:line="276" w:lineRule="auto"/>
        <w:rPr>
          <w:rFonts w:ascii="Century Gothic" w:hAnsi="Century Gothic" w:cs="Calibri"/>
          <w:sz w:val="20"/>
          <w:szCs w:val="20"/>
        </w:rPr>
      </w:pPr>
      <w:r>
        <w:rPr>
          <w:rFonts w:ascii="Century Gothic" w:hAnsi="Century Gothic" w:cs="Calibri"/>
          <w:sz w:val="20"/>
          <w:szCs w:val="20"/>
        </w:rPr>
        <w:t>P</w:t>
      </w:r>
      <w:r w:rsidR="00A1717A">
        <w:rPr>
          <w:rFonts w:ascii="Century Gothic" w:hAnsi="Century Gothic" w:cs="Calibri"/>
          <w:sz w:val="20"/>
          <w:szCs w:val="20"/>
        </w:rPr>
        <w:t xml:space="preserve">rioritise </w:t>
      </w:r>
      <w:r w:rsidR="009E7F68">
        <w:rPr>
          <w:rFonts w:ascii="Century Gothic" w:hAnsi="Century Gothic" w:cs="Calibri"/>
          <w:sz w:val="20"/>
          <w:szCs w:val="20"/>
        </w:rPr>
        <w:t>and promote</w:t>
      </w:r>
      <w:r w:rsidR="00CC4041">
        <w:rPr>
          <w:rFonts w:ascii="Century Gothic" w:hAnsi="Century Gothic" w:cs="Calibri"/>
          <w:sz w:val="20"/>
          <w:szCs w:val="20"/>
        </w:rPr>
        <w:t xml:space="preserve"> – across government – </w:t>
      </w:r>
      <w:r w:rsidR="00A1717A">
        <w:rPr>
          <w:rFonts w:ascii="Century Gothic" w:hAnsi="Century Gothic" w:cs="Calibri"/>
          <w:sz w:val="20"/>
          <w:szCs w:val="20"/>
        </w:rPr>
        <w:t xml:space="preserve">collaboration and openness as values inherent to </w:t>
      </w:r>
      <w:r w:rsidR="00FA438F">
        <w:rPr>
          <w:rFonts w:ascii="Century Gothic" w:hAnsi="Century Gothic" w:cs="Calibri"/>
          <w:sz w:val="20"/>
          <w:szCs w:val="20"/>
        </w:rPr>
        <w:t xml:space="preserve">public </w:t>
      </w:r>
      <w:r w:rsidR="00A1717A">
        <w:rPr>
          <w:rFonts w:ascii="Century Gothic" w:hAnsi="Century Gothic" w:cs="Calibri"/>
          <w:sz w:val="20"/>
          <w:szCs w:val="20"/>
        </w:rPr>
        <w:t xml:space="preserve">data custodianship. Organisations which hold </w:t>
      </w:r>
      <w:r w:rsidR="00573DF6">
        <w:rPr>
          <w:rFonts w:ascii="Century Gothic" w:hAnsi="Century Gothic" w:cs="Calibri"/>
          <w:sz w:val="20"/>
          <w:szCs w:val="20"/>
        </w:rPr>
        <w:t xml:space="preserve">public </w:t>
      </w:r>
      <w:r w:rsidR="00A1717A">
        <w:rPr>
          <w:rFonts w:ascii="Century Gothic" w:hAnsi="Century Gothic" w:cs="Calibri"/>
          <w:sz w:val="20"/>
          <w:szCs w:val="20"/>
        </w:rPr>
        <w:t>data could also review the</w:t>
      </w:r>
      <w:r w:rsidR="004E67D2">
        <w:rPr>
          <w:rFonts w:ascii="Century Gothic" w:hAnsi="Century Gothic" w:cs="Calibri"/>
          <w:sz w:val="20"/>
          <w:szCs w:val="20"/>
        </w:rPr>
        <w:t>ir</w:t>
      </w:r>
      <w:r w:rsidR="00A1717A">
        <w:rPr>
          <w:rFonts w:ascii="Century Gothic" w:hAnsi="Century Gothic" w:cs="Calibri"/>
          <w:sz w:val="20"/>
          <w:szCs w:val="20"/>
        </w:rPr>
        <w:t xml:space="preserve"> use of data approval committees and limit </w:t>
      </w:r>
      <w:r w:rsidR="004E67D2">
        <w:rPr>
          <w:rFonts w:ascii="Century Gothic" w:hAnsi="Century Gothic" w:cs="Calibri"/>
          <w:sz w:val="20"/>
          <w:szCs w:val="20"/>
        </w:rPr>
        <w:t xml:space="preserve">the need for them to approve </w:t>
      </w:r>
      <w:r w:rsidR="00A1717A">
        <w:rPr>
          <w:rFonts w:ascii="Century Gothic" w:hAnsi="Century Gothic" w:cs="Calibri"/>
          <w:sz w:val="20"/>
          <w:szCs w:val="20"/>
        </w:rPr>
        <w:t>straightforward</w:t>
      </w:r>
      <w:r w:rsidR="00F160CB">
        <w:rPr>
          <w:rFonts w:ascii="Century Gothic" w:hAnsi="Century Gothic" w:cs="Calibri"/>
          <w:sz w:val="20"/>
          <w:szCs w:val="20"/>
        </w:rPr>
        <w:t xml:space="preserve"> or common</w:t>
      </w:r>
      <w:r w:rsidR="00A1717A">
        <w:rPr>
          <w:rFonts w:ascii="Century Gothic" w:hAnsi="Century Gothic" w:cs="Calibri"/>
          <w:sz w:val="20"/>
          <w:szCs w:val="20"/>
        </w:rPr>
        <w:t xml:space="preserve"> data requests.</w:t>
      </w:r>
    </w:p>
    <w:p w:rsidR="002D788E" w:rsidRDefault="002D788E" w:rsidP="002D788E">
      <w:pPr>
        <w:pStyle w:val="ListParagraph"/>
        <w:numPr>
          <w:ilvl w:val="0"/>
          <w:numId w:val="30"/>
        </w:numPr>
        <w:spacing w:after="200" w:line="276" w:lineRule="auto"/>
        <w:rPr>
          <w:rFonts w:ascii="Century Gothic" w:hAnsi="Century Gothic" w:cs="Calibri"/>
          <w:sz w:val="20"/>
          <w:szCs w:val="20"/>
        </w:rPr>
      </w:pPr>
      <w:r>
        <w:rPr>
          <w:rFonts w:ascii="Century Gothic" w:hAnsi="Century Gothic" w:cs="Calibri"/>
          <w:sz w:val="20"/>
          <w:szCs w:val="20"/>
        </w:rPr>
        <w:t xml:space="preserve">Where required, encourage data </w:t>
      </w:r>
      <w:r w:rsidR="002E52EA">
        <w:rPr>
          <w:rFonts w:ascii="Century Gothic" w:hAnsi="Century Gothic" w:cs="Calibri"/>
          <w:sz w:val="20"/>
          <w:szCs w:val="20"/>
        </w:rPr>
        <w:t xml:space="preserve">users and </w:t>
      </w:r>
      <w:r w:rsidRPr="002D788E">
        <w:rPr>
          <w:rFonts w:ascii="Century Gothic" w:hAnsi="Century Gothic" w:cs="Calibri"/>
          <w:sz w:val="20"/>
          <w:szCs w:val="20"/>
        </w:rPr>
        <w:t>custodian</w:t>
      </w:r>
      <w:r>
        <w:rPr>
          <w:rFonts w:ascii="Century Gothic" w:hAnsi="Century Gothic" w:cs="Calibri"/>
          <w:sz w:val="20"/>
          <w:szCs w:val="20"/>
        </w:rPr>
        <w:t>s</w:t>
      </w:r>
      <w:r w:rsidRPr="002D788E">
        <w:rPr>
          <w:rFonts w:ascii="Century Gothic" w:hAnsi="Century Gothic" w:cs="Calibri"/>
          <w:sz w:val="20"/>
          <w:szCs w:val="20"/>
        </w:rPr>
        <w:t xml:space="preserve"> </w:t>
      </w:r>
      <w:r>
        <w:rPr>
          <w:rFonts w:ascii="Century Gothic" w:hAnsi="Century Gothic" w:cs="Calibri"/>
          <w:sz w:val="20"/>
          <w:szCs w:val="20"/>
        </w:rPr>
        <w:t xml:space="preserve">to maintain formal </w:t>
      </w:r>
      <w:r w:rsidR="002E52EA">
        <w:rPr>
          <w:rFonts w:ascii="Century Gothic" w:hAnsi="Century Gothic" w:cs="Calibri"/>
          <w:sz w:val="20"/>
          <w:szCs w:val="20"/>
        </w:rPr>
        <w:t>ongoing communication regarding</w:t>
      </w:r>
      <w:r>
        <w:rPr>
          <w:rFonts w:ascii="Century Gothic" w:hAnsi="Century Gothic" w:cs="Calibri"/>
          <w:sz w:val="20"/>
          <w:szCs w:val="20"/>
        </w:rPr>
        <w:t xml:space="preserve"> </w:t>
      </w:r>
      <w:r w:rsidR="00D10BCF">
        <w:rPr>
          <w:rFonts w:ascii="Century Gothic" w:hAnsi="Century Gothic" w:cs="Calibri"/>
          <w:sz w:val="20"/>
          <w:szCs w:val="20"/>
        </w:rPr>
        <w:t>use of the data</w:t>
      </w:r>
      <w:r w:rsidR="008F5637">
        <w:rPr>
          <w:rFonts w:ascii="Century Gothic" w:hAnsi="Century Gothic" w:cs="Calibri"/>
          <w:sz w:val="20"/>
          <w:szCs w:val="20"/>
        </w:rPr>
        <w:t>,</w:t>
      </w:r>
      <w:r w:rsidR="00D10BCF">
        <w:rPr>
          <w:rFonts w:ascii="Century Gothic" w:hAnsi="Century Gothic" w:cs="Calibri"/>
          <w:sz w:val="20"/>
          <w:szCs w:val="20"/>
        </w:rPr>
        <w:t xml:space="preserve"> </w:t>
      </w:r>
      <w:r w:rsidRPr="002D788E">
        <w:rPr>
          <w:rFonts w:ascii="Century Gothic" w:hAnsi="Century Gothic" w:cs="Calibri"/>
          <w:sz w:val="20"/>
          <w:szCs w:val="20"/>
        </w:rPr>
        <w:t xml:space="preserve">outputs of data analysis, </w:t>
      </w:r>
      <w:r w:rsidR="008F5637">
        <w:rPr>
          <w:rFonts w:ascii="Century Gothic" w:hAnsi="Century Gothic" w:cs="Calibri"/>
          <w:sz w:val="20"/>
          <w:szCs w:val="20"/>
        </w:rPr>
        <w:t xml:space="preserve">and broader project governance, </w:t>
      </w:r>
      <w:r w:rsidR="00F216B0">
        <w:rPr>
          <w:rFonts w:ascii="Century Gothic" w:hAnsi="Century Gothic" w:cs="Calibri"/>
          <w:sz w:val="20"/>
          <w:szCs w:val="20"/>
        </w:rPr>
        <w:t>so as to assuage any concerns about how data is being used</w:t>
      </w:r>
      <w:r w:rsidRPr="002D788E">
        <w:rPr>
          <w:rFonts w:ascii="Century Gothic" w:hAnsi="Century Gothic" w:cs="Calibri"/>
          <w:sz w:val="20"/>
          <w:szCs w:val="20"/>
        </w:rPr>
        <w:t>.</w:t>
      </w:r>
    </w:p>
    <w:p w:rsidR="002D788E" w:rsidRDefault="00C920EE" w:rsidP="002D788E">
      <w:pPr>
        <w:pStyle w:val="ListParagraph"/>
        <w:numPr>
          <w:ilvl w:val="0"/>
          <w:numId w:val="30"/>
        </w:numPr>
        <w:spacing w:after="200" w:line="276" w:lineRule="auto"/>
        <w:rPr>
          <w:rFonts w:ascii="Century Gothic" w:hAnsi="Century Gothic" w:cs="Calibri"/>
          <w:sz w:val="20"/>
          <w:szCs w:val="20"/>
        </w:rPr>
      </w:pPr>
      <w:r>
        <w:rPr>
          <w:rFonts w:ascii="Century Gothic" w:hAnsi="Century Gothic" w:cs="Calibri"/>
          <w:sz w:val="20"/>
          <w:szCs w:val="20"/>
        </w:rPr>
        <w:t>Encourage</w:t>
      </w:r>
      <w:r w:rsidR="000A735B">
        <w:rPr>
          <w:rFonts w:ascii="Century Gothic" w:hAnsi="Century Gothic" w:cs="Calibri"/>
          <w:sz w:val="20"/>
          <w:szCs w:val="20"/>
        </w:rPr>
        <w:t xml:space="preserve"> the development </w:t>
      </w:r>
      <w:r w:rsidR="000E43A4">
        <w:rPr>
          <w:rFonts w:ascii="Century Gothic" w:hAnsi="Century Gothic" w:cs="Calibri"/>
          <w:sz w:val="20"/>
          <w:szCs w:val="20"/>
        </w:rPr>
        <w:t xml:space="preserve">and use </w:t>
      </w:r>
      <w:r w:rsidR="000A735B">
        <w:rPr>
          <w:rFonts w:ascii="Century Gothic" w:hAnsi="Century Gothic" w:cs="Calibri"/>
          <w:sz w:val="20"/>
          <w:szCs w:val="20"/>
        </w:rPr>
        <w:t>of</w:t>
      </w:r>
      <w:r>
        <w:rPr>
          <w:rFonts w:ascii="Century Gothic" w:hAnsi="Century Gothic" w:cs="Calibri"/>
          <w:sz w:val="20"/>
          <w:szCs w:val="20"/>
        </w:rPr>
        <w:t xml:space="preserve"> remote data access</w:t>
      </w:r>
      <w:r w:rsidR="00432F1A">
        <w:rPr>
          <w:rFonts w:ascii="Century Gothic" w:hAnsi="Century Gothic" w:cs="Calibri"/>
          <w:sz w:val="20"/>
          <w:szCs w:val="20"/>
        </w:rPr>
        <w:t xml:space="preserve"> infrastructure</w:t>
      </w:r>
      <w:r>
        <w:rPr>
          <w:rFonts w:ascii="Century Gothic" w:hAnsi="Century Gothic" w:cs="Calibri"/>
          <w:sz w:val="20"/>
          <w:szCs w:val="20"/>
        </w:rPr>
        <w:t xml:space="preserve">. This would allow for users to directly access </w:t>
      </w:r>
      <w:r w:rsidR="00F648CD">
        <w:rPr>
          <w:rFonts w:ascii="Century Gothic" w:hAnsi="Century Gothic" w:cs="Calibri"/>
          <w:sz w:val="20"/>
          <w:szCs w:val="20"/>
        </w:rPr>
        <w:t xml:space="preserve">detailed, </w:t>
      </w:r>
      <w:r w:rsidR="00655BFE">
        <w:rPr>
          <w:rFonts w:ascii="Century Gothic" w:hAnsi="Century Gothic" w:cs="Calibri"/>
          <w:sz w:val="20"/>
          <w:szCs w:val="20"/>
        </w:rPr>
        <w:t>de-</w:t>
      </w:r>
      <w:r w:rsidR="00926402">
        <w:rPr>
          <w:rFonts w:ascii="Century Gothic" w:hAnsi="Century Gothic" w:cs="Calibri"/>
          <w:sz w:val="20"/>
          <w:szCs w:val="20"/>
        </w:rPr>
        <w:t>identified</w:t>
      </w:r>
      <w:r w:rsidR="00655BFE">
        <w:rPr>
          <w:rFonts w:ascii="Century Gothic" w:hAnsi="Century Gothic" w:cs="Calibri"/>
          <w:sz w:val="20"/>
          <w:szCs w:val="20"/>
        </w:rPr>
        <w:t xml:space="preserve"> </w:t>
      </w:r>
      <w:r>
        <w:rPr>
          <w:rFonts w:ascii="Century Gothic" w:hAnsi="Century Gothic" w:cs="Calibri"/>
          <w:sz w:val="20"/>
          <w:szCs w:val="20"/>
        </w:rPr>
        <w:t xml:space="preserve">data </w:t>
      </w:r>
      <w:r w:rsidR="00655BFE">
        <w:rPr>
          <w:rFonts w:ascii="Century Gothic" w:hAnsi="Century Gothic" w:cs="Calibri"/>
          <w:sz w:val="20"/>
          <w:szCs w:val="20"/>
        </w:rPr>
        <w:t>in a timely fashion</w:t>
      </w:r>
      <w:r>
        <w:rPr>
          <w:rFonts w:ascii="Century Gothic" w:hAnsi="Century Gothic" w:cs="Calibri"/>
          <w:sz w:val="20"/>
          <w:szCs w:val="20"/>
        </w:rPr>
        <w:t xml:space="preserve">, and would </w:t>
      </w:r>
      <w:r w:rsidR="00196935">
        <w:rPr>
          <w:rFonts w:ascii="Century Gothic" w:hAnsi="Century Gothic" w:cs="Calibri"/>
          <w:sz w:val="20"/>
          <w:szCs w:val="20"/>
        </w:rPr>
        <w:t>limit</w:t>
      </w:r>
      <w:r>
        <w:rPr>
          <w:rFonts w:ascii="Century Gothic" w:hAnsi="Century Gothic" w:cs="Calibri"/>
          <w:sz w:val="20"/>
          <w:szCs w:val="20"/>
        </w:rPr>
        <w:t xml:space="preserve"> cost</w:t>
      </w:r>
      <w:r w:rsidR="000E43A4">
        <w:rPr>
          <w:rFonts w:ascii="Century Gothic" w:hAnsi="Century Gothic" w:cs="Calibri"/>
          <w:sz w:val="20"/>
          <w:szCs w:val="20"/>
        </w:rPr>
        <w:t>s</w:t>
      </w:r>
      <w:r>
        <w:rPr>
          <w:rFonts w:ascii="Century Gothic" w:hAnsi="Century Gothic" w:cs="Calibri"/>
          <w:sz w:val="20"/>
          <w:szCs w:val="20"/>
        </w:rPr>
        <w:t xml:space="preserve"> on the part of data custodians</w:t>
      </w:r>
      <w:r w:rsidR="000E43A4">
        <w:rPr>
          <w:rFonts w:ascii="Century Gothic" w:hAnsi="Century Gothic" w:cs="Calibri"/>
          <w:sz w:val="20"/>
          <w:szCs w:val="20"/>
        </w:rPr>
        <w:t xml:space="preserve"> by reducing the production of similar data multiple times.</w:t>
      </w:r>
      <w:r w:rsidR="00196935">
        <w:rPr>
          <w:rFonts w:ascii="Century Gothic" w:hAnsi="Century Gothic" w:cs="Calibri"/>
          <w:sz w:val="20"/>
          <w:szCs w:val="20"/>
        </w:rPr>
        <w:t xml:space="preserve"> </w:t>
      </w:r>
      <w:r w:rsidR="000E43A4">
        <w:rPr>
          <w:rFonts w:ascii="Century Gothic" w:hAnsi="Century Gothic" w:cs="Calibri"/>
          <w:sz w:val="20"/>
          <w:szCs w:val="20"/>
        </w:rPr>
        <w:t xml:space="preserve">It would also </w:t>
      </w:r>
      <w:r w:rsidR="00196935">
        <w:rPr>
          <w:rFonts w:ascii="Century Gothic" w:hAnsi="Century Gothic" w:cs="Calibri"/>
          <w:sz w:val="20"/>
          <w:szCs w:val="20"/>
        </w:rPr>
        <w:t xml:space="preserve">reduce costs for those </w:t>
      </w:r>
      <w:r w:rsidR="00196935">
        <w:rPr>
          <w:rFonts w:ascii="Century Gothic" w:hAnsi="Century Gothic" w:cs="Calibri"/>
          <w:sz w:val="20"/>
          <w:szCs w:val="20"/>
        </w:rPr>
        <w:lastRenderedPageBreak/>
        <w:t>accessing data</w:t>
      </w:r>
      <w:r>
        <w:rPr>
          <w:rFonts w:ascii="Century Gothic" w:hAnsi="Century Gothic" w:cs="Calibri"/>
          <w:sz w:val="20"/>
          <w:szCs w:val="20"/>
        </w:rPr>
        <w:t xml:space="preserve">. It would also allow data custodians to </w:t>
      </w:r>
      <w:r w:rsidR="00C67912">
        <w:rPr>
          <w:rFonts w:ascii="Century Gothic" w:hAnsi="Century Gothic" w:cs="Calibri"/>
          <w:sz w:val="20"/>
          <w:szCs w:val="20"/>
        </w:rPr>
        <w:t>pre-emptively address</w:t>
      </w:r>
      <w:r>
        <w:rPr>
          <w:rFonts w:ascii="Century Gothic" w:hAnsi="Century Gothic" w:cs="Calibri"/>
          <w:sz w:val="20"/>
          <w:szCs w:val="20"/>
        </w:rPr>
        <w:t xml:space="preserve"> mitigation </w:t>
      </w:r>
      <w:r w:rsidR="00367E6D">
        <w:rPr>
          <w:rFonts w:ascii="Century Gothic" w:hAnsi="Century Gothic" w:cs="Calibri"/>
          <w:sz w:val="20"/>
          <w:szCs w:val="20"/>
        </w:rPr>
        <w:t xml:space="preserve">strategies </w:t>
      </w:r>
      <w:r>
        <w:rPr>
          <w:rFonts w:ascii="Century Gothic" w:hAnsi="Century Gothic" w:cs="Calibri"/>
          <w:sz w:val="20"/>
          <w:szCs w:val="20"/>
        </w:rPr>
        <w:t>for data requests where privacy issues may be a genuine</w:t>
      </w:r>
      <w:r w:rsidR="00842577">
        <w:rPr>
          <w:rFonts w:ascii="Century Gothic" w:hAnsi="Century Gothic" w:cs="Calibri"/>
          <w:sz w:val="20"/>
          <w:szCs w:val="20"/>
        </w:rPr>
        <w:t xml:space="preserve"> risk.</w:t>
      </w:r>
    </w:p>
    <w:p w:rsidR="00FB7C12" w:rsidRPr="000E43A4" w:rsidRDefault="00FB7C12" w:rsidP="000E43A4">
      <w:pPr>
        <w:spacing w:after="200" w:line="276" w:lineRule="auto"/>
        <w:rPr>
          <w:rFonts w:ascii="Century Gothic" w:hAnsi="Century Gothic" w:cs="Calibri"/>
          <w:sz w:val="20"/>
          <w:szCs w:val="20"/>
        </w:rPr>
      </w:pPr>
    </w:p>
    <w:p w:rsidR="00153799" w:rsidRPr="00153799" w:rsidRDefault="009A5034" w:rsidP="00153799">
      <w:pPr>
        <w:pBdr>
          <w:top w:val="single" w:sz="4" w:space="1" w:color="auto"/>
          <w:left w:val="single" w:sz="4" w:space="4" w:color="auto"/>
          <w:bottom w:val="single" w:sz="4" w:space="1" w:color="auto"/>
          <w:right w:val="single" w:sz="4" w:space="4" w:color="auto"/>
        </w:pBdr>
        <w:spacing w:after="200" w:line="276" w:lineRule="auto"/>
        <w:ind w:left="360"/>
        <w:rPr>
          <w:rFonts w:ascii="Century Gothic" w:hAnsi="Century Gothic" w:cs="Calibri"/>
          <w:b/>
          <w:i/>
          <w:sz w:val="20"/>
          <w:szCs w:val="20"/>
        </w:rPr>
      </w:pPr>
      <w:r>
        <w:rPr>
          <w:rFonts w:ascii="Century Gothic" w:hAnsi="Century Gothic" w:cs="Calibri"/>
          <w:b/>
          <w:i/>
          <w:sz w:val="20"/>
          <w:szCs w:val="20"/>
        </w:rPr>
        <w:t>Best Practice Example</w:t>
      </w:r>
    </w:p>
    <w:p w:rsidR="00153799" w:rsidRPr="00A22700" w:rsidRDefault="00BE5B08" w:rsidP="00153799">
      <w:pPr>
        <w:pBdr>
          <w:top w:val="single" w:sz="4" w:space="1" w:color="auto"/>
          <w:left w:val="single" w:sz="4" w:space="4" w:color="auto"/>
          <w:bottom w:val="single" w:sz="4" w:space="1" w:color="auto"/>
          <w:right w:val="single" w:sz="4" w:space="4" w:color="auto"/>
        </w:pBdr>
        <w:spacing w:after="200" w:line="276" w:lineRule="auto"/>
        <w:ind w:left="360"/>
        <w:rPr>
          <w:rFonts w:ascii="Century Gothic" w:hAnsi="Century Gothic" w:cs="Calibri"/>
          <w:i/>
          <w:sz w:val="20"/>
          <w:szCs w:val="20"/>
        </w:rPr>
      </w:pPr>
      <w:r>
        <w:rPr>
          <w:rFonts w:ascii="Century Gothic" w:hAnsi="Century Gothic" w:cs="Calibri"/>
          <w:i/>
          <w:sz w:val="20"/>
          <w:szCs w:val="20"/>
        </w:rPr>
        <w:t>Data Cubes</w:t>
      </w:r>
      <w:r w:rsidR="003B5779">
        <w:rPr>
          <w:rFonts w:ascii="Century Gothic" w:hAnsi="Century Gothic" w:cs="Calibri"/>
          <w:i/>
          <w:sz w:val="20"/>
          <w:szCs w:val="20"/>
        </w:rPr>
        <w:t xml:space="preserve"> and </w:t>
      </w:r>
      <w:r w:rsidR="00153799" w:rsidRPr="00A22700">
        <w:rPr>
          <w:rFonts w:ascii="Century Gothic" w:hAnsi="Century Gothic" w:cs="Calibri"/>
          <w:i/>
          <w:sz w:val="20"/>
          <w:szCs w:val="20"/>
        </w:rPr>
        <w:t>R</w:t>
      </w:r>
      <w:r w:rsidR="003B5779">
        <w:rPr>
          <w:rFonts w:ascii="Century Gothic" w:hAnsi="Century Gothic" w:cs="Calibri"/>
          <w:i/>
          <w:sz w:val="20"/>
          <w:szCs w:val="20"/>
        </w:rPr>
        <w:t xml:space="preserve">emote </w:t>
      </w:r>
      <w:r w:rsidR="00153799" w:rsidRPr="00A22700">
        <w:rPr>
          <w:rFonts w:ascii="Century Gothic" w:hAnsi="Century Gothic" w:cs="Calibri"/>
          <w:i/>
          <w:sz w:val="20"/>
          <w:szCs w:val="20"/>
        </w:rPr>
        <w:t>A</w:t>
      </w:r>
      <w:r w:rsidR="003B5779">
        <w:rPr>
          <w:rFonts w:ascii="Century Gothic" w:hAnsi="Century Gothic" w:cs="Calibri"/>
          <w:i/>
          <w:sz w:val="20"/>
          <w:szCs w:val="20"/>
        </w:rPr>
        <w:t xml:space="preserve">ccess </w:t>
      </w:r>
      <w:r w:rsidR="00153799" w:rsidRPr="00A22700">
        <w:rPr>
          <w:rFonts w:ascii="Century Gothic" w:hAnsi="Century Gothic" w:cs="Calibri"/>
          <w:i/>
          <w:sz w:val="20"/>
          <w:szCs w:val="20"/>
        </w:rPr>
        <w:t>D</w:t>
      </w:r>
      <w:r w:rsidR="003B5779">
        <w:rPr>
          <w:rFonts w:ascii="Century Gothic" w:hAnsi="Century Gothic" w:cs="Calibri"/>
          <w:i/>
          <w:sz w:val="20"/>
          <w:szCs w:val="20"/>
        </w:rPr>
        <w:t xml:space="preserve">ata </w:t>
      </w:r>
      <w:r w:rsidR="00153799" w:rsidRPr="00A22700">
        <w:rPr>
          <w:rFonts w:ascii="Century Gothic" w:hAnsi="Century Gothic" w:cs="Calibri"/>
          <w:i/>
          <w:sz w:val="20"/>
          <w:szCs w:val="20"/>
        </w:rPr>
        <w:t>L</w:t>
      </w:r>
      <w:r w:rsidR="003B5779">
        <w:rPr>
          <w:rFonts w:ascii="Century Gothic" w:hAnsi="Century Gothic" w:cs="Calibri"/>
          <w:i/>
          <w:sz w:val="20"/>
          <w:szCs w:val="20"/>
        </w:rPr>
        <w:t>aboratories</w:t>
      </w:r>
    </w:p>
    <w:p w:rsidR="00153799" w:rsidRDefault="00B74661" w:rsidP="00153799">
      <w:pPr>
        <w:pBdr>
          <w:top w:val="single" w:sz="4" w:space="1" w:color="auto"/>
          <w:left w:val="single" w:sz="4" w:space="4" w:color="auto"/>
          <w:bottom w:val="single" w:sz="4" w:space="1" w:color="auto"/>
          <w:right w:val="single" w:sz="4" w:space="4" w:color="auto"/>
        </w:pBdr>
        <w:spacing w:after="200" w:line="276" w:lineRule="auto"/>
        <w:ind w:left="360"/>
        <w:rPr>
          <w:rFonts w:ascii="Century Gothic" w:hAnsi="Century Gothic" w:cs="Calibri"/>
          <w:sz w:val="20"/>
          <w:szCs w:val="20"/>
        </w:rPr>
      </w:pPr>
      <w:r>
        <w:rPr>
          <w:rFonts w:ascii="Century Gothic" w:hAnsi="Century Gothic" w:cs="Calibri"/>
          <w:sz w:val="20"/>
          <w:szCs w:val="20"/>
        </w:rPr>
        <w:t>V</w:t>
      </w:r>
      <w:r w:rsidR="0086585B">
        <w:rPr>
          <w:rFonts w:ascii="Century Gothic" w:hAnsi="Century Gothic" w:cs="Calibri"/>
          <w:sz w:val="20"/>
          <w:szCs w:val="20"/>
        </w:rPr>
        <w:t xml:space="preserve">arious products of varying complexity </w:t>
      </w:r>
      <w:r>
        <w:rPr>
          <w:rFonts w:ascii="Century Gothic" w:hAnsi="Century Gothic" w:cs="Calibri"/>
          <w:sz w:val="20"/>
          <w:szCs w:val="20"/>
        </w:rPr>
        <w:t xml:space="preserve">are </w:t>
      </w:r>
      <w:r w:rsidR="0086585B">
        <w:rPr>
          <w:rFonts w:ascii="Century Gothic" w:hAnsi="Century Gothic" w:cs="Calibri"/>
          <w:sz w:val="20"/>
          <w:szCs w:val="20"/>
        </w:rPr>
        <w:t xml:space="preserve">currently available that allow users to access public sector data. </w:t>
      </w:r>
      <w:r w:rsidR="00AD59E0">
        <w:rPr>
          <w:rFonts w:ascii="Century Gothic" w:hAnsi="Century Gothic" w:cs="Calibri"/>
          <w:sz w:val="20"/>
          <w:szCs w:val="20"/>
        </w:rPr>
        <w:t xml:space="preserve">Many Commonwealth agencies such as the AIHW and ABS provide </w:t>
      </w:r>
      <w:r w:rsidR="00A45AF1">
        <w:rPr>
          <w:rFonts w:ascii="Century Gothic" w:hAnsi="Century Gothic" w:cs="Calibri"/>
          <w:sz w:val="20"/>
          <w:szCs w:val="20"/>
        </w:rPr>
        <w:t xml:space="preserve">free access to users of </w:t>
      </w:r>
      <w:r w:rsidR="00AD59E0">
        <w:rPr>
          <w:rFonts w:ascii="Century Gothic" w:hAnsi="Century Gothic" w:cs="Calibri"/>
          <w:sz w:val="20"/>
          <w:szCs w:val="20"/>
        </w:rPr>
        <w:t xml:space="preserve">limited amounts of data via </w:t>
      </w:r>
      <w:r w:rsidR="0086585B">
        <w:rPr>
          <w:rFonts w:ascii="Century Gothic" w:hAnsi="Century Gothic" w:cs="Calibri"/>
          <w:sz w:val="20"/>
          <w:szCs w:val="20"/>
        </w:rPr>
        <w:t xml:space="preserve">spreadsheets and </w:t>
      </w:r>
      <w:r w:rsidR="00AD59E0">
        <w:rPr>
          <w:rFonts w:ascii="Century Gothic" w:hAnsi="Century Gothic" w:cs="Calibri"/>
          <w:sz w:val="20"/>
          <w:szCs w:val="20"/>
        </w:rPr>
        <w:t>online data cubes.</w:t>
      </w:r>
      <w:r w:rsidR="00A45AF1">
        <w:rPr>
          <w:rFonts w:ascii="Century Gothic" w:hAnsi="Century Gothic" w:cs="Calibri"/>
          <w:sz w:val="20"/>
          <w:szCs w:val="20"/>
        </w:rPr>
        <w:t xml:space="preserve"> For a nominal fee, some ABS data is available through ‘TableBuilder’ products that allow users to select their required variables. Finally, remote access data laboratories allow users to interrogate data sets directly (which usually requires some knowledge of statistical software programming)</w:t>
      </w:r>
      <w:r w:rsidR="001466FC">
        <w:rPr>
          <w:rFonts w:ascii="Century Gothic" w:hAnsi="Century Gothic" w:cs="Calibri"/>
          <w:sz w:val="20"/>
          <w:szCs w:val="20"/>
          <w:vertAlign w:val="superscript"/>
        </w:rPr>
        <w:t>9</w:t>
      </w:r>
      <w:r w:rsidR="00A45AF1">
        <w:rPr>
          <w:rFonts w:ascii="Century Gothic" w:hAnsi="Century Gothic" w:cs="Calibri"/>
          <w:sz w:val="20"/>
          <w:szCs w:val="20"/>
        </w:rPr>
        <w:t>.</w:t>
      </w:r>
    </w:p>
    <w:p w:rsidR="009A5034" w:rsidRPr="00270C5B" w:rsidRDefault="009A5034" w:rsidP="00153799">
      <w:pPr>
        <w:pBdr>
          <w:top w:val="single" w:sz="4" w:space="1" w:color="auto"/>
          <w:left w:val="single" w:sz="4" w:space="4" w:color="auto"/>
          <w:bottom w:val="single" w:sz="4" w:space="1" w:color="auto"/>
          <w:right w:val="single" w:sz="4" w:space="4" w:color="auto"/>
        </w:pBdr>
        <w:spacing w:after="200" w:line="276" w:lineRule="auto"/>
        <w:ind w:left="360"/>
        <w:rPr>
          <w:rFonts w:ascii="Century Gothic" w:hAnsi="Century Gothic" w:cs="Calibri"/>
          <w:sz w:val="20"/>
          <w:szCs w:val="20"/>
        </w:rPr>
      </w:pPr>
    </w:p>
    <w:p w:rsidR="00B74661" w:rsidRPr="00153799" w:rsidRDefault="00B74661" w:rsidP="00153799">
      <w:pPr>
        <w:spacing w:after="200" w:line="276" w:lineRule="auto"/>
        <w:rPr>
          <w:rFonts w:ascii="Century Gothic" w:hAnsi="Century Gothic" w:cs="Calibri"/>
          <w:sz w:val="20"/>
          <w:szCs w:val="20"/>
        </w:rPr>
      </w:pPr>
    </w:p>
    <w:p w:rsidR="0067248D" w:rsidRDefault="00FA2130" w:rsidP="0067248D">
      <w:pPr>
        <w:spacing w:after="200" w:line="276" w:lineRule="auto"/>
        <w:rPr>
          <w:rFonts w:ascii="Century Gothic" w:hAnsi="Century Gothic" w:cs="Calibri"/>
          <w:b/>
          <w:sz w:val="20"/>
          <w:szCs w:val="20"/>
        </w:rPr>
      </w:pPr>
      <w:r>
        <w:rPr>
          <w:rFonts w:ascii="Century Gothic" w:hAnsi="Century Gothic" w:cs="Calibri"/>
          <w:b/>
          <w:sz w:val="20"/>
          <w:szCs w:val="20"/>
        </w:rPr>
        <w:t xml:space="preserve">1.3 </w:t>
      </w:r>
      <w:r w:rsidR="0067248D">
        <w:rPr>
          <w:rFonts w:ascii="Century Gothic" w:hAnsi="Century Gothic" w:cs="Calibri"/>
          <w:b/>
          <w:sz w:val="20"/>
          <w:szCs w:val="20"/>
        </w:rPr>
        <w:t>Using data more efficiently and effectively</w:t>
      </w:r>
    </w:p>
    <w:p w:rsidR="00FC635A" w:rsidRDefault="000D16E0" w:rsidP="00701568">
      <w:pPr>
        <w:spacing w:after="200" w:line="276" w:lineRule="auto"/>
        <w:rPr>
          <w:rFonts w:ascii="Century Gothic" w:hAnsi="Century Gothic" w:cs="Calibri"/>
          <w:sz w:val="20"/>
          <w:szCs w:val="20"/>
        </w:rPr>
      </w:pPr>
      <w:r>
        <w:rPr>
          <w:rFonts w:ascii="Century Gothic" w:hAnsi="Century Gothic" w:cs="Calibri"/>
          <w:sz w:val="20"/>
          <w:szCs w:val="20"/>
        </w:rPr>
        <w:t xml:space="preserve">As highlighted </w:t>
      </w:r>
      <w:r w:rsidR="002E497A">
        <w:rPr>
          <w:rFonts w:ascii="Century Gothic" w:hAnsi="Century Gothic" w:cs="Calibri"/>
          <w:sz w:val="20"/>
          <w:szCs w:val="20"/>
        </w:rPr>
        <w:t>in Box 2 of</w:t>
      </w:r>
      <w:r>
        <w:rPr>
          <w:rFonts w:ascii="Century Gothic" w:hAnsi="Century Gothic" w:cs="Calibri"/>
          <w:sz w:val="20"/>
          <w:szCs w:val="20"/>
        </w:rPr>
        <w:t xml:space="preserve"> the Issues Paper</w:t>
      </w:r>
      <w:r w:rsidR="002E497A" w:rsidRPr="002E497A">
        <w:rPr>
          <w:rFonts w:ascii="Century Gothic" w:hAnsi="Century Gothic" w:cs="Calibri"/>
          <w:sz w:val="20"/>
          <w:szCs w:val="20"/>
          <w:vertAlign w:val="superscript"/>
        </w:rPr>
        <w:t>1</w:t>
      </w:r>
      <w:r w:rsidR="001466FC">
        <w:rPr>
          <w:rFonts w:ascii="Century Gothic" w:hAnsi="Century Gothic" w:cs="Calibri"/>
          <w:sz w:val="20"/>
          <w:szCs w:val="20"/>
          <w:vertAlign w:val="superscript"/>
        </w:rPr>
        <w:t>0</w:t>
      </w:r>
      <w:r>
        <w:rPr>
          <w:rFonts w:ascii="Century Gothic" w:hAnsi="Century Gothic" w:cs="Calibri"/>
          <w:sz w:val="20"/>
          <w:szCs w:val="20"/>
        </w:rPr>
        <w:t>, a</w:t>
      </w:r>
      <w:r w:rsidR="00701568">
        <w:rPr>
          <w:rFonts w:ascii="Century Gothic" w:hAnsi="Century Gothic" w:cs="Calibri"/>
          <w:sz w:val="20"/>
          <w:szCs w:val="20"/>
        </w:rPr>
        <w:t xml:space="preserve">gencies and departments could explore opportunities to collaborate and co-operate in developing approaches to </w:t>
      </w:r>
      <w:r w:rsidR="004E1256">
        <w:rPr>
          <w:rFonts w:ascii="Century Gothic" w:hAnsi="Century Gothic" w:cs="Calibri"/>
          <w:sz w:val="20"/>
          <w:szCs w:val="20"/>
        </w:rPr>
        <w:t xml:space="preserve">maximise </w:t>
      </w:r>
      <w:r w:rsidR="00701568">
        <w:rPr>
          <w:rFonts w:ascii="Century Gothic" w:hAnsi="Century Gothic" w:cs="Calibri"/>
          <w:sz w:val="20"/>
          <w:szCs w:val="20"/>
        </w:rPr>
        <w:t xml:space="preserve">the utility of the data, by developing approaches for </w:t>
      </w:r>
      <w:r w:rsidR="004E1256">
        <w:rPr>
          <w:rFonts w:ascii="Century Gothic" w:hAnsi="Century Gothic" w:cs="Calibri"/>
          <w:sz w:val="20"/>
          <w:szCs w:val="20"/>
        </w:rPr>
        <w:t xml:space="preserve">its </w:t>
      </w:r>
      <w:r w:rsidR="00701568">
        <w:rPr>
          <w:rFonts w:ascii="Century Gothic" w:hAnsi="Century Gothic" w:cs="Calibri"/>
          <w:sz w:val="20"/>
          <w:szCs w:val="20"/>
        </w:rPr>
        <w:t xml:space="preserve">efficient </w:t>
      </w:r>
      <w:r w:rsidR="00FC635A">
        <w:rPr>
          <w:rFonts w:ascii="Century Gothic" w:hAnsi="Century Gothic" w:cs="Calibri"/>
          <w:sz w:val="20"/>
          <w:szCs w:val="20"/>
        </w:rPr>
        <w:t xml:space="preserve">use (e.g. </w:t>
      </w:r>
      <w:r w:rsidR="004E1256">
        <w:rPr>
          <w:rFonts w:ascii="Century Gothic" w:hAnsi="Century Gothic" w:cs="Calibri"/>
          <w:sz w:val="20"/>
          <w:szCs w:val="20"/>
        </w:rPr>
        <w:t xml:space="preserve">by </w:t>
      </w:r>
      <w:r w:rsidR="004F0FE6">
        <w:rPr>
          <w:rFonts w:ascii="Century Gothic" w:hAnsi="Century Gothic" w:cs="Calibri"/>
          <w:sz w:val="20"/>
          <w:szCs w:val="20"/>
        </w:rPr>
        <w:t xml:space="preserve">identifying research topics; undertaking </w:t>
      </w:r>
      <w:r w:rsidR="00FC635A">
        <w:rPr>
          <w:rFonts w:ascii="Century Gothic" w:hAnsi="Century Gothic" w:cs="Calibri"/>
          <w:sz w:val="20"/>
          <w:szCs w:val="20"/>
        </w:rPr>
        <w:t>linkage/ integration).</w:t>
      </w:r>
      <w:r w:rsidR="001553D9">
        <w:rPr>
          <w:rFonts w:ascii="Century Gothic" w:hAnsi="Century Gothic" w:cs="Calibri"/>
          <w:sz w:val="20"/>
          <w:szCs w:val="20"/>
        </w:rPr>
        <w:t xml:space="preserve"> </w:t>
      </w:r>
      <w:r w:rsidR="001E2EF1">
        <w:rPr>
          <w:rFonts w:ascii="Century Gothic" w:hAnsi="Century Gothic" w:cs="Calibri"/>
          <w:sz w:val="20"/>
          <w:szCs w:val="20"/>
        </w:rPr>
        <w:t>Although there are exceptions, on the whole t</w:t>
      </w:r>
      <w:r w:rsidR="001553D9">
        <w:rPr>
          <w:rFonts w:ascii="Century Gothic" w:hAnsi="Century Gothic" w:cs="Calibri"/>
          <w:sz w:val="20"/>
          <w:szCs w:val="20"/>
        </w:rPr>
        <w:t xml:space="preserve">here is </w:t>
      </w:r>
      <w:r w:rsidR="001E2EF1">
        <w:rPr>
          <w:rFonts w:ascii="Century Gothic" w:hAnsi="Century Gothic" w:cs="Calibri"/>
          <w:sz w:val="20"/>
          <w:szCs w:val="20"/>
        </w:rPr>
        <w:t>not an environment of collaboration or partnership between data custodians and those seeking to access and use data. Rather, this relationship is often framed as</w:t>
      </w:r>
      <w:r w:rsidR="00AA7439">
        <w:rPr>
          <w:rFonts w:ascii="Century Gothic" w:hAnsi="Century Gothic" w:cs="Calibri"/>
          <w:sz w:val="20"/>
          <w:szCs w:val="20"/>
        </w:rPr>
        <w:t xml:space="preserve"> that of a service provider and service user. However, opportunities exist to develop these types of partnerships, especially between government agencies </w:t>
      </w:r>
      <w:r w:rsidR="003A5B01">
        <w:rPr>
          <w:rFonts w:ascii="Century Gothic" w:hAnsi="Century Gothic" w:cs="Calibri"/>
          <w:sz w:val="20"/>
          <w:szCs w:val="20"/>
        </w:rPr>
        <w:t xml:space="preserve">with </w:t>
      </w:r>
      <w:r w:rsidR="00AA7439">
        <w:rPr>
          <w:rFonts w:ascii="Century Gothic" w:hAnsi="Century Gothic" w:cs="Calibri"/>
          <w:sz w:val="20"/>
          <w:szCs w:val="20"/>
        </w:rPr>
        <w:t>a common goal to maximise the utility of public sector data.</w:t>
      </w:r>
    </w:p>
    <w:p w:rsidR="00E02AA8" w:rsidRPr="005F399D" w:rsidRDefault="004E1256" w:rsidP="00E02AA8">
      <w:pPr>
        <w:spacing w:after="200" w:line="276" w:lineRule="auto"/>
        <w:rPr>
          <w:rFonts w:ascii="Century Gothic" w:hAnsi="Century Gothic" w:cs="Calibri"/>
          <w:sz w:val="20"/>
          <w:szCs w:val="20"/>
        </w:rPr>
      </w:pPr>
      <w:r>
        <w:rPr>
          <w:rFonts w:ascii="Century Gothic" w:hAnsi="Century Gothic" w:cs="Calibri"/>
          <w:sz w:val="20"/>
          <w:szCs w:val="20"/>
        </w:rPr>
        <w:t>As discussed above, e</w:t>
      </w:r>
      <w:r w:rsidR="00701568">
        <w:rPr>
          <w:rFonts w:ascii="Century Gothic" w:hAnsi="Century Gothic" w:cs="Calibri"/>
          <w:sz w:val="20"/>
          <w:szCs w:val="20"/>
        </w:rPr>
        <w:t xml:space="preserve">fficient use of data can be optimised by </w:t>
      </w:r>
      <w:r w:rsidR="00842B8C">
        <w:rPr>
          <w:rFonts w:ascii="Century Gothic" w:hAnsi="Century Gothic" w:cs="Calibri"/>
          <w:sz w:val="20"/>
          <w:szCs w:val="20"/>
        </w:rPr>
        <w:t xml:space="preserve">exposing </w:t>
      </w:r>
      <w:r w:rsidR="00701568">
        <w:rPr>
          <w:rFonts w:ascii="Century Gothic" w:hAnsi="Century Gothic" w:cs="Calibri"/>
          <w:sz w:val="20"/>
          <w:szCs w:val="20"/>
        </w:rPr>
        <w:t xml:space="preserve">it to </w:t>
      </w:r>
      <w:r>
        <w:rPr>
          <w:rFonts w:ascii="Century Gothic" w:hAnsi="Century Gothic" w:cs="Calibri"/>
          <w:sz w:val="20"/>
          <w:szCs w:val="20"/>
        </w:rPr>
        <w:t xml:space="preserve">a greater breadth of </w:t>
      </w:r>
      <w:r w:rsidR="00701568">
        <w:rPr>
          <w:rFonts w:ascii="Century Gothic" w:hAnsi="Century Gothic" w:cs="Calibri"/>
          <w:sz w:val="20"/>
          <w:szCs w:val="20"/>
        </w:rPr>
        <w:t>innovative ideas</w:t>
      </w:r>
      <w:r w:rsidR="00EC630B">
        <w:rPr>
          <w:rFonts w:ascii="Century Gothic" w:hAnsi="Century Gothic" w:cs="Calibri"/>
          <w:sz w:val="20"/>
          <w:szCs w:val="20"/>
        </w:rPr>
        <w:t xml:space="preserve">, </w:t>
      </w:r>
      <w:r w:rsidR="00AB01E2">
        <w:rPr>
          <w:rFonts w:ascii="Century Gothic" w:hAnsi="Century Gothic" w:cs="Calibri"/>
          <w:sz w:val="20"/>
          <w:szCs w:val="20"/>
        </w:rPr>
        <w:t xml:space="preserve">exploration, </w:t>
      </w:r>
      <w:r w:rsidR="00EC630B">
        <w:rPr>
          <w:rFonts w:ascii="Century Gothic" w:hAnsi="Century Gothic" w:cs="Calibri"/>
          <w:sz w:val="20"/>
          <w:szCs w:val="20"/>
        </w:rPr>
        <w:t>research and analyses</w:t>
      </w:r>
      <w:r w:rsidR="00701568">
        <w:rPr>
          <w:rFonts w:ascii="Century Gothic" w:hAnsi="Century Gothic" w:cs="Calibri"/>
          <w:sz w:val="20"/>
          <w:szCs w:val="20"/>
        </w:rPr>
        <w:t xml:space="preserve">. </w:t>
      </w:r>
      <w:r w:rsidR="00D9257E">
        <w:rPr>
          <w:rFonts w:ascii="Century Gothic" w:hAnsi="Century Gothic" w:cs="Calibri"/>
          <w:sz w:val="20"/>
          <w:szCs w:val="20"/>
        </w:rPr>
        <w:t xml:space="preserve">One improvement in this area </w:t>
      </w:r>
      <w:r>
        <w:rPr>
          <w:rFonts w:ascii="Century Gothic" w:hAnsi="Century Gothic" w:cs="Calibri"/>
          <w:sz w:val="20"/>
          <w:szCs w:val="20"/>
        </w:rPr>
        <w:t>could be</w:t>
      </w:r>
      <w:r w:rsidR="00341FD1">
        <w:rPr>
          <w:rFonts w:ascii="Century Gothic" w:hAnsi="Century Gothic" w:cs="Calibri"/>
          <w:sz w:val="20"/>
          <w:szCs w:val="20"/>
        </w:rPr>
        <w:t>, in addition to encouraging the provision of publicly available data (e.g. on data.gov.au),</w:t>
      </w:r>
      <w:r w:rsidR="00B74661">
        <w:rPr>
          <w:rFonts w:ascii="Century Gothic" w:hAnsi="Century Gothic" w:cs="Calibri"/>
          <w:sz w:val="20"/>
          <w:szCs w:val="20"/>
        </w:rPr>
        <w:t xml:space="preserve"> that</w:t>
      </w:r>
      <w:r w:rsidR="00341FD1">
        <w:rPr>
          <w:rFonts w:ascii="Century Gothic" w:hAnsi="Century Gothic" w:cs="Calibri"/>
          <w:sz w:val="20"/>
          <w:szCs w:val="20"/>
        </w:rPr>
        <w:t xml:space="preserve"> data custodians could</w:t>
      </w:r>
      <w:r w:rsidR="00D9257E">
        <w:rPr>
          <w:rFonts w:ascii="Century Gothic" w:hAnsi="Century Gothic" w:cs="Calibri"/>
          <w:sz w:val="20"/>
          <w:szCs w:val="20"/>
        </w:rPr>
        <w:t xml:space="preserve"> </w:t>
      </w:r>
      <w:r w:rsidR="00042956">
        <w:rPr>
          <w:rFonts w:ascii="Century Gothic" w:hAnsi="Century Gothic" w:cs="Calibri"/>
          <w:sz w:val="20"/>
          <w:szCs w:val="20"/>
        </w:rPr>
        <w:t xml:space="preserve">explore ways to </w:t>
      </w:r>
      <w:r w:rsidR="00D9257E">
        <w:rPr>
          <w:rFonts w:ascii="Century Gothic" w:hAnsi="Century Gothic" w:cs="Calibri"/>
          <w:sz w:val="20"/>
          <w:szCs w:val="20"/>
        </w:rPr>
        <w:t>more clearly</w:t>
      </w:r>
      <w:r w:rsidR="007C66E0">
        <w:rPr>
          <w:rFonts w:ascii="Century Gothic" w:hAnsi="Century Gothic" w:cs="Calibri"/>
          <w:sz w:val="20"/>
          <w:szCs w:val="20"/>
        </w:rPr>
        <w:t xml:space="preserve"> </w:t>
      </w:r>
      <w:r w:rsidR="00662DD3">
        <w:rPr>
          <w:rFonts w:ascii="Century Gothic" w:hAnsi="Century Gothic" w:cs="Calibri"/>
          <w:sz w:val="20"/>
          <w:szCs w:val="20"/>
        </w:rPr>
        <w:t>communicate</w:t>
      </w:r>
      <w:r w:rsidR="00D9257E">
        <w:rPr>
          <w:rFonts w:ascii="Century Gothic" w:hAnsi="Century Gothic" w:cs="Calibri"/>
          <w:sz w:val="20"/>
          <w:szCs w:val="20"/>
        </w:rPr>
        <w:t xml:space="preserve"> and </w:t>
      </w:r>
      <w:r w:rsidR="00662DD3">
        <w:rPr>
          <w:rFonts w:ascii="Century Gothic" w:hAnsi="Century Gothic" w:cs="Calibri"/>
          <w:sz w:val="20"/>
          <w:szCs w:val="20"/>
        </w:rPr>
        <w:t>promote</w:t>
      </w:r>
      <w:r w:rsidR="00701568">
        <w:rPr>
          <w:rFonts w:ascii="Century Gothic" w:hAnsi="Century Gothic" w:cs="Calibri"/>
          <w:sz w:val="20"/>
          <w:szCs w:val="20"/>
        </w:rPr>
        <w:t xml:space="preserve"> </w:t>
      </w:r>
      <w:r w:rsidR="00263018">
        <w:rPr>
          <w:rFonts w:ascii="Century Gothic" w:hAnsi="Century Gothic" w:cs="Calibri"/>
          <w:sz w:val="20"/>
          <w:szCs w:val="20"/>
        </w:rPr>
        <w:t xml:space="preserve">exactly </w:t>
      </w:r>
      <w:r w:rsidR="00D9257E">
        <w:rPr>
          <w:rFonts w:ascii="Century Gothic" w:hAnsi="Century Gothic" w:cs="Calibri"/>
          <w:sz w:val="20"/>
          <w:szCs w:val="20"/>
        </w:rPr>
        <w:t>wh</w:t>
      </w:r>
      <w:r w:rsidR="00662DD3">
        <w:rPr>
          <w:rFonts w:ascii="Century Gothic" w:hAnsi="Century Gothic" w:cs="Calibri"/>
          <w:sz w:val="20"/>
          <w:szCs w:val="20"/>
        </w:rPr>
        <w:t>ich</w:t>
      </w:r>
      <w:r w:rsidR="00D9257E">
        <w:rPr>
          <w:rFonts w:ascii="Century Gothic" w:hAnsi="Century Gothic" w:cs="Calibri"/>
          <w:sz w:val="20"/>
          <w:szCs w:val="20"/>
        </w:rPr>
        <w:t xml:space="preserve"> </w:t>
      </w:r>
      <w:r w:rsidR="00701568">
        <w:rPr>
          <w:rFonts w:ascii="Century Gothic" w:hAnsi="Century Gothic" w:cs="Calibri"/>
          <w:sz w:val="20"/>
          <w:szCs w:val="20"/>
        </w:rPr>
        <w:t xml:space="preserve">data </w:t>
      </w:r>
      <w:r w:rsidR="00B74661">
        <w:rPr>
          <w:rFonts w:ascii="Century Gothic" w:hAnsi="Century Gothic" w:cs="Calibri"/>
          <w:sz w:val="20"/>
          <w:szCs w:val="20"/>
        </w:rPr>
        <w:t>are</w:t>
      </w:r>
      <w:r w:rsidR="00D9257E">
        <w:rPr>
          <w:rFonts w:ascii="Century Gothic" w:hAnsi="Century Gothic" w:cs="Calibri"/>
          <w:sz w:val="20"/>
          <w:szCs w:val="20"/>
        </w:rPr>
        <w:t xml:space="preserve"> publicly available</w:t>
      </w:r>
      <w:r w:rsidR="00DB61D6">
        <w:rPr>
          <w:rFonts w:ascii="Century Gothic" w:hAnsi="Century Gothic" w:cs="Calibri"/>
          <w:sz w:val="20"/>
          <w:szCs w:val="20"/>
        </w:rPr>
        <w:t>.</w:t>
      </w:r>
      <w:r w:rsidR="005F399D">
        <w:rPr>
          <w:rFonts w:ascii="Century Gothic" w:hAnsi="Century Gothic" w:cs="Calibri"/>
          <w:sz w:val="20"/>
          <w:szCs w:val="20"/>
        </w:rPr>
        <w:t xml:space="preserve"> </w:t>
      </w:r>
      <w:r w:rsidR="00E02AA8" w:rsidRPr="00E02AA8">
        <w:rPr>
          <w:rFonts w:ascii="Century Gothic" w:hAnsi="Century Gothic" w:cs="Calibri"/>
          <w:sz w:val="20"/>
          <w:szCs w:val="20"/>
        </w:rPr>
        <w:t xml:space="preserve">From a user’s perspective, </w:t>
      </w:r>
      <w:r w:rsidR="005F399D">
        <w:rPr>
          <w:rFonts w:ascii="Century Gothic" w:hAnsi="Century Gothic" w:cs="Calibri"/>
          <w:sz w:val="20"/>
          <w:szCs w:val="20"/>
        </w:rPr>
        <w:t xml:space="preserve">public </w:t>
      </w:r>
      <w:r w:rsidR="00E02AA8" w:rsidRPr="00E02AA8">
        <w:rPr>
          <w:rFonts w:ascii="Century Gothic" w:hAnsi="Century Gothic" w:cs="Calibri"/>
          <w:sz w:val="20"/>
          <w:szCs w:val="20"/>
        </w:rPr>
        <w:t xml:space="preserve">data custodians should </w:t>
      </w:r>
      <w:r w:rsidR="005F399D">
        <w:rPr>
          <w:rFonts w:ascii="Century Gothic" w:hAnsi="Century Gothic" w:cs="Calibri"/>
          <w:sz w:val="20"/>
          <w:szCs w:val="20"/>
        </w:rPr>
        <w:t>provide</w:t>
      </w:r>
      <w:r w:rsidR="00E02AA8" w:rsidRPr="00E02AA8">
        <w:rPr>
          <w:rFonts w:ascii="Century Gothic" w:hAnsi="Century Gothic" w:cs="Calibri"/>
          <w:sz w:val="20"/>
          <w:szCs w:val="20"/>
        </w:rPr>
        <w:t xml:space="preserve"> </w:t>
      </w:r>
      <w:r w:rsidR="005F399D">
        <w:rPr>
          <w:rFonts w:ascii="Century Gothic" w:hAnsi="Century Gothic" w:cs="Calibri"/>
          <w:sz w:val="20"/>
          <w:szCs w:val="20"/>
        </w:rPr>
        <w:t>as much detail as possible</w:t>
      </w:r>
      <w:r w:rsidR="0067652D">
        <w:rPr>
          <w:rFonts w:ascii="Century Gothic" w:hAnsi="Century Gothic" w:cs="Calibri"/>
          <w:sz w:val="20"/>
          <w:szCs w:val="20"/>
        </w:rPr>
        <w:t xml:space="preserve"> on what data is available, and</w:t>
      </w:r>
      <w:r w:rsidR="00E02AA8" w:rsidRPr="00E02AA8">
        <w:rPr>
          <w:rFonts w:ascii="Century Gothic" w:hAnsi="Century Gothic" w:cs="Calibri"/>
          <w:sz w:val="20"/>
          <w:szCs w:val="20"/>
        </w:rPr>
        <w:t xml:space="preserve"> how to access and interpret their data. This will help educate and build data capabilities</w:t>
      </w:r>
      <w:r w:rsidR="005F399D">
        <w:rPr>
          <w:rFonts w:ascii="Century Gothic" w:hAnsi="Century Gothic" w:cs="Calibri"/>
          <w:sz w:val="20"/>
          <w:szCs w:val="20"/>
        </w:rPr>
        <w:t xml:space="preserve"> among users, and help reduce unnecessary data requests,</w:t>
      </w:r>
      <w:r w:rsidR="00E02AA8" w:rsidRPr="00E02AA8">
        <w:rPr>
          <w:rFonts w:ascii="Century Gothic" w:hAnsi="Century Gothic" w:cs="Calibri"/>
          <w:sz w:val="20"/>
          <w:szCs w:val="20"/>
        </w:rPr>
        <w:t xml:space="preserve"> so data can be used more efficiently and effectively</w:t>
      </w:r>
      <w:r w:rsidR="00E02AA8">
        <w:rPr>
          <w:rFonts w:ascii="Century Gothic" w:hAnsi="Century Gothic" w:cs="Calibri"/>
          <w:i/>
          <w:sz w:val="20"/>
          <w:szCs w:val="20"/>
        </w:rPr>
        <w:t>.</w:t>
      </w:r>
    </w:p>
    <w:p w:rsidR="00D62DA3" w:rsidRDefault="006C332B" w:rsidP="0067248D">
      <w:pPr>
        <w:spacing w:after="200" w:line="276" w:lineRule="auto"/>
        <w:rPr>
          <w:rFonts w:ascii="Century Gothic" w:hAnsi="Century Gothic" w:cs="Calibri"/>
          <w:sz w:val="20"/>
          <w:szCs w:val="20"/>
        </w:rPr>
      </w:pPr>
      <w:r>
        <w:rPr>
          <w:rFonts w:ascii="Century Gothic" w:hAnsi="Century Gothic" w:cs="Calibri"/>
          <w:sz w:val="20"/>
          <w:szCs w:val="20"/>
        </w:rPr>
        <w:t>The Issues Paper</w:t>
      </w:r>
      <w:r w:rsidRPr="006C332B">
        <w:rPr>
          <w:rFonts w:ascii="Century Gothic" w:hAnsi="Century Gothic" w:cs="Calibri"/>
          <w:sz w:val="20"/>
          <w:szCs w:val="20"/>
          <w:vertAlign w:val="superscript"/>
        </w:rPr>
        <w:t>1</w:t>
      </w:r>
      <w:r w:rsidR="001466FC">
        <w:rPr>
          <w:rFonts w:ascii="Century Gothic" w:hAnsi="Century Gothic" w:cs="Calibri"/>
          <w:sz w:val="20"/>
          <w:szCs w:val="20"/>
          <w:vertAlign w:val="superscript"/>
        </w:rPr>
        <w:t>0</w:t>
      </w:r>
      <w:r>
        <w:rPr>
          <w:rFonts w:ascii="Century Gothic" w:hAnsi="Century Gothic" w:cs="Calibri"/>
          <w:sz w:val="20"/>
          <w:szCs w:val="20"/>
        </w:rPr>
        <w:t xml:space="preserve"> also addresses the efficient and effective use of individual data (e.g. collected through personal devices). </w:t>
      </w:r>
      <w:r w:rsidR="00B67499">
        <w:rPr>
          <w:rFonts w:ascii="Century Gothic" w:hAnsi="Century Gothic" w:cs="Calibri"/>
          <w:sz w:val="20"/>
          <w:szCs w:val="20"/>
        </w:rPr>
        <w:t>Although this is an important area,</w:t>
      </w:r>
      <w:r w:rsidR="00294B11">
        <w:rPr>
          <w:rFonts w:ascii="Century Gothic" w:hAnsi="Century Gothic" w:cs="Calibri"/>
          <w:sz w:val="20"/>
          <w:szCs w:val="20"/>
        </w:rPr>
        <w:t xml:space="preserve"> </w:t>
      </w:r>
      <w:r w:rsidR="00B67499">
        <w:rPr>
          <w:rFonts w:ascii="Century Gothic" w:hAnsi="Century Gothic" w:cs="Calibri"/>
          <w:sz w:val="20"/>
          <w:szCs w:val="20"/>
        </w:rPr>
        <w:t xml:space="preserve">a </w:t>
      </w:r>
      <w:r w:rsidR="00294B11">
        <w:rPr>
          <w:rFonts w:ascii="Century Gothic" w:hAnsi="Century Gothic" w:cs="Calibri"/>
          <w:sz w:val="20"/>
          <w:szCs w:val="20"/>
        </w:rPr>
        <w:t xml:space="preserve">better </w:t>
      </w:r>
      <w:r w:rsidR="005F1A66" w:rsidRPr="005F1A66">
        <w:rPr>
          <w:rFonts w:ascii="Century Gothic" w:hAnsi="Century Gothic" w:cs="Calibri"/>
          <w:sz w:val="20"/>
          <w:szCs w:val="20"/>
        </w:rPr>
        <w:t xml:space="preserve">understanding </w:t>
      </w:r>
      <w:r w:rsidR="00294B11">
        <w:rPr>
          <w:rFonts w:ascii="Century Gothic" w:hAnsi="Century Gothic" w:cs="Calibri"/>
          <w:sz w:val="20"/>
          <w:szCs w:val="20"/>
        </w:rPr>
        <w:t>of</w:t>
      </w:r>
      <w:r w:rsidR="00294B11" w:rsidRPr="005F1A66">
        <w:rPr>
          <w:rFonts w:ascii="Century Gothic" w:hAnsi="Century Gothic" w:cs="Calibri"/>
          <w:sz w:val="20"/>
          <w:szCs w:val="20"/>
        </w:rPr>
        <w:t xml:space="preserve"> </w:t>
      </w:r>
      <w:r w:rsidR="00BD5CB9">
        <w:rPr>
          <w:rFonts w:ascii="Century Gothic" w:hAnsi="Century Gothic" w:cs="Calibri"/>
          <w:sz w:val="20"/>
          <w:szCs w:val="20"/>
        </w:rPr>
        <w:t>population</w:t>
      </w:r>
      <w:r w:rsidR="00C46406">
        <w:rPr>
          <w:rFonts w:ascii="Century Gothic" w:hAnsi="Century Gothic" w:cs="Calibri"/>
          <w:sz w:val="20"/>
          <w:szCs w:val="20"/>
        </w:rPr>
        <w:t>-level</w:t>
      </w:r>
      <w:r w:rsidR="00BD5CB9">
        <w:rPr>
          <w:rFonts w:ascii="Century Gothic" w:hAnsi="Century Gothic" w:cs="Calibri"/>
          <w:sz w:val="20"/>
          <w:szCs w:val="20"/>
        </w:rPr>
        <w:t xml:space="preserve"> </w:t>
      </w:r>
      <w:r w:rsidR="005F1A66" w:rsidRPr="005F1A66">
        <w:rPr>
          <w:rFonts w:ascii="Century Gothic" w:hAnsi="Century Gothic" w:cs="Calibri"/>
          <w:sz w:val="20"/>
          <w:szCs w:val="20"/>
        </w:rPr>
        <w:t>data, well</w:t>
      </w:r>
      <w:r w:rsidR="00F7747D">
        <w:rPr>
          <w:rFonts w:ascii="Century Gothic" w:hAnsi="Century Gothic" w:cs="Calibri"/>
          <w:sz w:val="20"/>
          <w:szCs w:val="20"/>
        </w:rPr>
        <w:t>-</w:t>
      </w:r>
      <w:r w:rsidR="005F1A66" w:rsidRPr="005F1A66">
        <w:rPr>
          <w:rFonts w:ascii="Century Gothic" w:hAnsi="Century Gothic" w:cs="Calibri"/>
          <w:sz w:val="20"/>
          <w:szCs w:val="20"/>
        </w:rPr>
        <w:t xml:space="preserve">organised and analysed to make meaningful information, provides a stronger evidence base for </w:t>
      </w:r>
      <w:r w:rsidR="00294B11">
        <w:rPr>
          <w:rFonts w:ascii="Century Gothic" w:hAnsi="Century Gothic" w:cs="Calibri"/>
          <w:sz w:val="20"/>
          <w:szCs w:val="20"/>
        </w:rPr>
        <w:t>priority</w:t>
      </w:r>
      <w:r w:rsidR="00294B11" w:rsidRPr="005F1A66">
        <w:rPr>
          <w:rFonts w:ascii="Century Gothic" w:hAnsi="Century Gothic" w:cs="Calibri"/>
          <w:sz w:val="20"/>
          <w:szCs w:val="20"/>
        </w:rPr>
        <w:t xml:space="preserve"> </w:t>
      </w:r>
      <w:r w:rsidR="005F1A66" w:rsidRPr="005F1A66">
        <w:rPr>
          <w:rFonts w:ascii="Century Gothic" w:hAnsi="Century Gothic" w:cs="Calibri"/>
          <w:sz w:val="20"/>
          <w:szCs w:val="20"/>
        </w:rPr>
        <w:t>research</w:t>
      </w:r>
      <w:r w:rsidR="00984ECC">
        <w:rPr>
          <w:rFonts w:ascii="Century Gothic" w:hAnsi="Century Gothic" w:cs="Calibri"/>
          <w:sz w:val="20"/>
          <w:szCs w:val="20"/>
        </w:rPr>
        <w:t>, directed clinical interventions,</w:t>
      </w:r>
      <w:r w:rsidR="005F1A66" w:rsidRPr="005F1A66">
        <w:rPr>
          <w:rFonts w:ascii="Century Gothic" w:hAnsi="Century Gothic" w:cs="Calibri"/>
          <w:sz w:val="20"/>
          <w:szCs w:val="20"/>
        </w:rPr>
        <w:t xml:space="preserve"> and</w:t>
      </w:r>
      <w:r w:rsidR="00992CA2">
        <w:rPr>
          <w:rFonts w:ascii="Century Gothic" w:hAnsi="Century Gothic" w:cs="Calibri"/>
          <w:sz w:val="20"/>
          <w:szCs w:val="20"/>
        </w:rPr>
        <w:t xml:space="preserve"> the</w:t>
      </w:r>
      <w:r w:rsidR="005F1A66" w:rsidRPr="005F1A66">
        <w:rPr>
          <w:rFonts w:ascii="Century Gothic" w:hAnsi="Century Gothic" w:cs="Calibri"/>
          <w:sz w:val="20"/>
          <w:szCs w:val="20"/>
        </w:rPr>
        <w:t xml:space="preserve"> development of best practice in cancer care</w:t>
      </w:r>
      <w:r w:rsidR="00984ECC">
        <w:rPr>
          <w:rFonts w:ascii="Century Gothic" w:hAnsi="Century Gothic" w:cs="Calibri"/>
          <w:sz w:val="20"/>
          <w:szCs w:val="20"/>
        </w:rPr>
        <w:t xml:space="preserve"> and informed cancer policy</w:t>
      </w:r>
      <w:r w:rsidR="005F1A66" w:rsidRPr="005F1A66">
        <w:rPr>
          <w:rFonts w:ascii="Century Gothic" w:hAnsi="Century Gothic" w:cs="Calibri"/>
          <w:sz w:val="20"/>
          <w:szCs w:val="20"/>
        </w:rPr>
        <w:t>.</w:t>
      </w:r>
      <w:r w:rsidR="00FB7C12">
        <w:rPr>
          <w:rFonts w:ascii="Century Gothic" w:hAnsi="Century Gothic" w:cs="Calibri"/>
          <w:sz w:val="20"/>
          <w:szCs w:val="20"/>
        </w:rPr>
        <w:br w:type="page"/>
      </w:r>
    </w:p>
    <w:p w:rsidR="00153799" w:rsidRPr="00153799" w:rsidRDefault="00153799"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b/>
          <w:i/>
          <w:sz w:val="20"/>
          <w:szCs w:val="20"/>
        </w:rPr>
      </w:pPr>
      <w:r w:rsidRPr="00F02229">
        <w:rPr>
          <w:rFonts w:ascii="Century Gothic" w:hAnsi="Century Gothic" w:cs="Calibri"/>
          <w:b/>
          <w:i/>
          <w:sz w:val="20"/>
          <w:szCs w:val="20"/>
        </w:rPr>
        <w:lastRenderedPageBreak/>
        <w:t>Best Practice Examples</w:t>
      </w:r>
    </w:p>
    <w:p w:rsidR="003B5779" w:rsidRPr="003B5779" w:rsidRDefault="007F0F71"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sz w:val="20"/>
          <w:szCs w:val="20"/>
        </w:rPr>
      </w:pPr>
      <w:r w:rsidRPr="003B5779">
        <w:rPr>
          <w:rFonts w:ascii="Century Gothic" w:hAnsi="Century Gothic" w:cs="Calibri"/>
          <w:i/>
          <w:sz w:val="20"/>
          <w:szCs w:val="20"/>
        </w:rPr>
        <w:t xml:space="preserve"> </w:t>
      </w:r>
      <w:r w:rsidR="003B5779" w:rsidRPr="003B5779">
        <w:rPr>
          <w:rFonts w:ascii="Century Gothic" w:hAnsi="Century Gothic" w:cs="Calibri"/>
          <w:i/>
          <w:sz w:val="20"/>
          <w:szCs w:val="20"/>
        </w:rPr>
        <w:t>‘</w:t>
      </w:r>
      <w:r w:rsidR="003B5779">
        <w:rPr>
          <w:rFonts w:ascii="Century Gothic" w:hAnsi="Century Gothic" w:cs="Calibri"/>
          <w:i/>
          <w:sz w:val="20"/>
          <w:szCs w:val="20"/>
        </w:rPr>
        <w:t>C</w:t>
      </w:r>
      <w:r w:rsidR="003B5779" w:rsidRPr="003B5779">
        <w:rPr>
          <w:rFonts w:ascii="Century Gothic" w:hAnsi="Century Gothic" w:cs="Calibri"/>
          <w:i/>
          <w:sz w:val="20"/>
          <w:szCs w:val="20"/>
        </w:rPr>
        <w:t>d-link’</w:t>
      </w:r>
      <w:r w:rsidR="003B5779">
        <w:rPr>
          <w:rFonts w:ascii="Century Gothic" w:hAnsi="Century Gothic" w:cs="Calibri"/>
          <w:i/>
          <w:sz w:val="20"/>
          <w:szCs w:val="20"/>
        </w:rPr>
        <w:t xml:space="preserve"> in </w:t>
      </w:r>
      <w:r w:rsidR="003B5779" w:rsidRPr="003B5779">
        <w:rPr>
          <w:rFonts w:ascii="Century Gothic" w:hAnsi="Century Gothic" w:cs="Calibri"/>
          <w:i/>
          <w:sz w:val="20"/>
          <w:szCs w:val="20"/>
        </w:rPr>
        <w:t>Ontario</w:t>
      </w:r>
    </w:p>
    <w:p w:rsidR="003B5779" w:rsidRPr="00A22700" w:rsidRDefault="003B5779"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b/>
          <w:sz w:val="20"/>
          <w:szCs w:val="20"/>
        </w:rPr>
      </w:pPr>
      <w:r>
        <w:rPr>
          <w:rFonts w:ascii="Century Gothic" w:hAnsi="Century Gothic" w:cs="Calibri"/>
          <w:sz w:val="20"/>
          <w:szCs w:val="20"/>
        </w:rPr>
        <w:t>‘Cd-link’ is a cancer-specific, de-</w:t>
      </w:r>
      <w:r w:rsidR="0049101A">
        <w:rPr>
          <w:rFonts w:ascii="Century Gothic" w:hAnsi="Century Gothic" w:cs="Calibri"/>
          <w:sz w:val="20"/>
          <w:szCs w:val="20"/>
        </w:rPr>
        <w:t>identified</w:t>
      </w:r>
      <w:r w:rsidR="00AA24A2">
        <w:rPr>
          <w:rFonts w:ascii="Century Gothic" w:hAnsi="Century Gothic" w:cs="Calibri"/>
          <w:sz w:val="20"/>
          <w:szCs w:val="20"/>
        </w:rPr>
        <w:t xml:space="preserve"> </w:t>
      </w:r>
      <w:r>
        <w:rPr>
          <w:rFonts w:ascii="Century Gothic" w:hAnsi="Century Gothic" w:cs="Calibri"/>
          <w:sz w:val="20"/>
          <w:szCs w:val="20"/>
        </w:rPr>
        <w:t>data linkage/data release mechanism developed in collaboration between the Ontario Institute for Cancer Research, Cancer Care Ontario and the Institute for Clinical Evaluative Sciences. It aims to safely link tumour-specific clinical registry data with administrative data</w:t>
      </w:r>
      <w:r w:rsidR="0049101A">
        <w:rPr>
          <w:rFonts w:ascii="Century Gothic" w:hAnsi="Century Gothic" w:cs="Calibri"/>
          <w:sz w:val="20"/>
          <w:szCs w:val="20"/>
        </w:rPr>
        <w:t>.</w:t>
      </w:r>
      <w:r w:rsidR="00F96D85">
        <w:rPr>
          <w:rFonts w:ascii="Century Gothic" w:hAnsi="Century Gothic" w:cs="Calibri"/>
          <w:sz w:val="20"/>
          <w:szCs w:val="20"/>
        </w:rPr>
        <w:t xml:space="preserve"> Providing a cost-effective, accessible platform for linked cancer data aims to “bring the creativity</w:t>
      </w:r>
      <w:r w:rsidR="0084355C">
        <w:rPr>
          <w:rFonts w:ascii="Century Gothic" w:hAnsi="Century Gothic" w:cs="Calibri"/>
          <w:sz w:val="20"/>
          <w:szCs w:val="20"/>
        </w:rPr>
        <w:t xml:space="preserve"> of the broader research community” to the study of cancer, and to “attract new researchers into the field of cancer health services research”</w:t>
      </w:r>
      <w:r w:rsidR="001466FC">
        <w:rPr>
          <w:rFonts w:ascii="Century Gothic" w:hAnsi="Century Gothic" w:cs="Calibri"/>
          <w:sz w:val="20"/>
          <w:szCs w:val="20"/>
          <w:vertAlign w:val="superscript"/>
        </w:rPr>
        <w:t>11</w:t>
      </w:r>
      <w:r w:rsidR="0084355C">
        <w:rPr>
          <w:rFonts w:ascii="Century Gothic" w:hAnsi="Century Gothic" w:cs="Calibri"/>
          <w:sz w:val="20"/>
          <w:szCs w:val="20"/>
        </w:rPr>
        <w:t>.</w:t>
      </w:r>
    </w:p>
    <w:p w:rsidR="00153799" w:rsidRPr="00153799" w:rsidRDefault="00153799" w:rsidP="00153799">
      <w:pPr>
        <w:spacing w:after="200" w:line="276" w:lineRule="auto"/>
        <w:rPr>
          <w:rFonts w:ascii="Century Gothic" w:hAnsi="Century Gothic" w:cs="Calibri"/>
          <w:sz w:val="20"/>
          <w:szCs w:val="20"/>
        </w:rPr>
      </w:pPr>
    </w:p>
    <w:p w:rsidR="0067248D" w:rsidRPr="004A7A6D" w:rsidRDefault="00FA2130" w:rsidP="0067248D">
      <w:pPr>
        <w:spacing w:after="200" w:line="276" w:lineRule="auto"/>
        <w:rPr>
          <w:rFonts w:ascii="Century Gothic" w:hAnsi="Century Gothic" w:cs="Calibri"/>
          <w:b/>
          <w:sz w:val="20"/>
          <w:szCs w:val="20"/>
        </w:rPr>
      </w:pPr>
      <w:r>
        <w:rPr>
          <w:rFonts w:ascii="Century Gothic" w:hAnsi="Century Gothic" w:cs="Calibri"/>
          <w:b/>
          <w:sz w:val="20"/>
          <w:szCs w:val="20"/>
        </w:rPr>
        <w:t xml:space="preserve">1.4 </w:t>
      </w:r>
      <w:r w:rsidR="00FC4C57">
        <w:rPr>
          <w:rFonts w:ascii="Century Gothic" w:hAnsi="Century Gothic" w:cs="Calibri"/>
          <w:b/>
          <w:sz w:val="20"/>
          <w:szCs w:val="20"/>
        </w:rPr>
        <w:t>S</w:t>
      </w:r>
      <w:r w:rsidR="0067248D" w:rsidRPr="004A7A6D">
        <w:rPr>
          <w:rFonts w:ascii="Century Gothic" w:hAnsi="Century Gothic" w:cs="Calibri"/>
          <w:b/>
          <w:sz w:val="20"/>
          <w:szCs w:val="20"/>
        </w:rPr>
        <w:t>haring and linking of public sector data</w:t>
      </w:r>
    </w:p>
    <w:p w:rsidR="00A72D10" w:rsidRDefault="00FC635A" w:rsidP="0067248D">
      <w:pPr>
        <w:pStyle w:val="Default"/>
        <w:spacing w:after="240"/>
        <w:rPr>
          <w:rFonts w:ascii="Century Gothic" w:hAnsi="Century Gothic" w:cs="Calibri"/>
          <w:color w:val="auto"/>
          <w:sz w:val="20"/>
          <w:szCs w:val="20"/>
          <w:lang w:eastAsia="en-US"/>
        </w:rPr>
      </w:pPr>
      <w:r>
        <w:rPr>
          <w:rFonts w:ascii="Century Gothic" w:hAnsi="Century Gothic"/>
          <w:bCs/>
          <w:sz w:val="20"/>
          <w:szCs w:val="20"/>
        </w:rPr>
        <w:t>Data linkage</w:t>
      </w:r>
      <w:r w:rsidR="0067248D" w:rsidRPr="00426E79">
        <w:rPr>
          <w:rFonts w:ascii="Century Gothic" w:hAnsi="Century Gothic" w:cs="Calibri"/>
          <w:color w:val="auto"/>
          <w:sz w:val="20"/>
          <w:szCs w:val="20"/>
          <w:lang w:eastAsia="en-US"/>
        </w:rPr>
        <w:t xml:space="preserve"> involves combining information about people, places or events from within or across multiple data sets</w:t>
      </w:r>
      <w:r w:rsidR="00BD5CB9">
        <w:rPr>
          <w:rFonts w:ascii="Century Gothic" w:hAnsi="Century Gothic" w:cs="Calibri"/>
          <w:color w:val="auto"/>
          <w:sz w:val="20"/>
          <w:szCs w:val="20"/>
          <w:lang w:eastAsia="en-US"/>
        </w:rPr>
        <w:t>,</w:t>
      </w:r>
      <w:r w:rsidR="0067248D" w:rsidRPr="00426E79">
        <w:rPr>
          <w:rFonts w:ascii="Century Gothic" w:hAnsi="Century Gothic" w:cs="Calibri"/>
          <w:color w:val="auto"/>
          <w:sz w:val="20"/>
          <w:szCs w:val="20"/>
          <w:lang w:eastAsia="en-US"/>
        </w:rPr>
        <w:t xml:space="preserve"> while still protecting privacy. </w:t>
      </w:r>
    </w:p>
    <w:p w:rsidR="000C4C77" w:rsidRDefault="005D3EB4" w:rsidP="00034447">
      <w:pPr>
        <w:pStyle w:val="Default"/>
        <w:spacing w:after="240" w:line="276" w:lineRule="auto"/>
        <w:rPr>
          <w:rFonts w:ascii="Century Gothic" w:hAnsi="Century Gothic" w:cs="Calibri"/>
          <w:color w:val="auto"/>
          <w:sz w:val="20"/>
          <w:szCs w:val="20"/>
          <w:lang w:eastAsia="en-US"/>
        </w:rPr>
      </w:pPr>
      <w:r>
        <w:rPr>
          <w:rFonts w:ascii="Century Gothic" w:hAnsi="Century Gothic" w:cs="Calibri"/>
          <w:color w:val="auto"/>
          <w:sz w:val="20"/>
          <w:szCs w:val="20"/>
          <w:lang w:eastAsia="en-US"/>
        </w:rPr>
        <w:t xml:space="preserve">Cancer Australia supports statements in the Issues Paper that ‘health-related research, in </w:t>
      </w:r>
      <w:r w:rsidR="00C92025">
        <w:rPr>
          <w:rFonts w:ascii="Century Gothic" w:hAnsi="Century Gothic" w:cs="Calibri"/>
          <w:color w:val="auto"/>
          <w:sz w:val="20"/>
          <w:szCs w:val="20"/>
          <w:lang w:eastAsia="en-US"/>
        </w:rPr>
        <w:t>particular</w:t>
      </w:r>
      <w:r>
        <w:rPr>
          <w:rFonts w:ascii="Century Gothic" w:hAnsi="Century Gothic" w:cs="Calibri"/>
          <w:color w:val="auto"/>
          <w:sz w:val="20"/>
          <w:szCs w:val="20"/>
          <w:lang w:eastAsia="en-US"/>
        </w:rPr>
        <w:t>’ could benefit from greater [data] integration’</w:t>
      </w:r>
      <w:r w:rsidRPr="005D3EB4">
        <w:rPr>
          <w:rFonts w:ascii="Century Gothic" w:hAnsi="Century Gothic" w:cs="Calibri"/>
          <w:color w:val="auto"/>
          <w:sz w:val="20"/>
          <w:szCs w:val="20"/>
          <w:vertAlign w:val="superscript"/>
          <w:lang w:eastAsia="en-US"/>
        </w:rPr>
        <w:t>1</w:t>
      </w:r>
      <w:r w:rsidR="001466FC">
        <w:rPr>
          <w:rFonts w:ascii="Century Gothic" w:hAnsi="Century Gothic" w:cs="Calibri"/>
          <w:color w:val="auto"/>
          <w:sz w:val="20"/>
          <w:szCs w:val="20"/>
          <w:vertAlign w:val="superscript"/>
          <w:lang w:eastAsia="en-US"/>
        </w:rPr>
        <w:t>0</w:t>
      </w:r>
      <w:r>
        <w:rPr>
          <w:rFonts w:ascii="Century Gothic" w:hAnsi="Century Gothic" w:cs="Calibri"/>
          <w:color w:val="auto"/>
          <w:sz w:val="20"/>
          <w:szCs w:val="20"/>
          <w:lang w:eastAsia="en-US"/>
        </w:rPr>
        <w:t xml:space="preserve">. </w:t>
      </w:r>
      <w:r w:rsidR="0067248D" w:rsidRPr="00426E79">
        <w:rPr>
          <w:rFonts w:ascii="Century Gothic" w:hAnsi="Century Gothic" w:cs="Calibri"/>
          <w:color w:val="auto"/>
          <w:sz w:val="20"/>
          <w:szCs w:val="20"/>
          <w:lang w:eastAsia="en-US"/>
        </w:rPr>
        <w:t xml:space="preserve">Data linkage is an efficient and powerful method to add value to existing data, whether administrative or </w:t>
      </w:r>
      <w:r w:rsidR="00AE4330">
        <w:rPr>
          <w:rFonts w:ascii="Century Gothic" w:hAnsi="Century Gothic" w:cs="Calibri"/>
          <w:color w:val="auto"/>
          <w:sz w:val="20"/>
          <w:szCs w:val="20"/>
          <w:lang w:eastAsia="en-US"/>
        </w:rPr>
        <w:t xml:space="preserve">from </w:t>
      </w:r>
      <w:r w:rsidR="0067248D" w:rsidRPr="00426E79">
        <w:rPr>
          <w:rFonts w:ascii="Century Gothic" w:hAnsi="Century Gothic" w:cs="Calibri"/>
          <w:color w:val="auto"/>
          <w:sz w:val="20"/>
          <w:szCs w:val="20"/>
          <w:lang w:eastAsia="en-US"/>
        </w:rPr>
        <w:t>survey</w:t>
      </w:r>
      <w:r w:rsidR="00AE4330">
        <w:rPr>
          <w:rFonts w:ascii="Century Gothic" w:hAnsi="Century Gothic" w:cs="Calibri"/>
          <w:color w:val="auto"/>
          <w:sz w:val="20"/>
          <w:szCs w:val="20"/>
          <w:lang w:eastAsia="en-US"/>
        </w:rPr>
        <w:t>s</w:t>
      </w:r>
      <w:r w:rsidR="00C92025">
        <w:rPr>
          <w:rFonts w:ascii="Century Gothic" w:hAnsi="Century Gothic" w:cs="Calibri"/>
          <w:color w:val="auto"/>
          <w:sz w:val="20"/>
          <w:szCs w:val="20"/>
          <w:lang w:eastAsia="en-US"/>
        </w:rPr>
        <w:t>;</w:t>
      </w:r>
      <w:r w:rsidR="0067248D" w:rsidRPr="00426E79">
        <w:rPr>
          <w:rFonts w:ascii="Century Gothic" w:hAnsi="Century Gothic" w:cs="Calibri"/>
          <w:color w:val="auto"/>
          <w:sz w:val="20"/>
          <w:szCs w:val="20"/>
          <w:lang w:eastAsia="en-US"/>
        </w:rPr>
        <w:t xml:space="preserve"> </w:t>
      </w:r>
      <w:r w:rsidR="00C92025">
        <w:rPr>
          <w:rFonts w:ascii="Century Gothic" w:hAnsi="Century Gothic" w:cs="Calibri"/>
          <w:color w:val="auto"/>
          <w:sz w:val="20"/>
          <w:szCs w:val="20"/>
          <w:lang w:eastAsia="en-US"/>
        </w:rPr>
        <w:t xml:space="preserve">and </w:t>
      </w:r>
      <w:r w:rsidR="0067248D" w:rsidRPr="00426E79">
        <w:rPr>
          <w:rFonts w:ascii="Century Gothic" w:hAnsi="Century Gothic" w:cs="Calibri"/>
          <w:color w:val="auto"/>
          <w:sz w:val="20"/>
          <w:szCs w:val="20"/>
          <w:lang w:eastAsia="en-US"/>
        </w:rPr>
        <w:t xml:space="preserve">to increase its usefulness for informing population health </w:t>
      </w:r>
      <w:r w:rsidR="00AE4330">
        <w:rPr>
          <w:rFonts w:ascii="Century Gothic" w:hAnsi="Century Gothic" w:cs="Calibri"/>
          <w:color w:val="auto"/>
          <w:sz w:val="20"/>
          <w:szCs w:val="20"/>
          <w:lang w:eastAsia="en-US"/>
        </w:rPr>
        <w:t>and</w:t>
      </w:r>
      <w:r w:rsidR="0067248D" w:rsidRPr="00426E79">
        <w:rPr>
          <w:rFonts w:ascii="Century Gothic" w:hAnsi="Century Gothic" w:cs="Calibri"/>
          <w:color w:val="auto"/>
          <w:sz w:val="20"/>
          <w:szCs w:val="20"/>
          <w:lang w:eastAsia="en-US"/>
        </w:rPr>
        <w:t xml:space="preserve"> policy development </w:t>
      </w:r>
      <w:r w:rsidR="00AE4330">
        <w:rPr>
          <w:rFonts w:ascii="Century Gothic" w:hAnsi="Century Gothic" w:cs="Calibri"/>
          <w:color w:val="auto"/>
          <w:sz w:val="20"/>
          <w:szCs w:val="20"/>
          <w:lang w:eastAsia="en-US"/>
        </w:rPr>
        <w:t xml:space="preserve">(such as health </w:t>
      </w:r>
      <w:r w:rsidR="00AE4330" w:rsidRPr="00426E79">
        <w:rPr>
          <w:rFonts w:ascii="Century Gothic" w:hAnsi="Century Gothic" w:cs="Calibri"/>
          <w:color w:val="auto"/>
          <w:sz w:val="20"/>
          <w:szCs w:val="20"/>
          <w:lang w:eastAsia="en-US"/>
        </w:rPr>
        <w:t>monitoring</w:t>
      </w:r>
      <w:r w:rsidR="00AE4330">
        <w:rPr>
          <w:rFonts w:ascii="Century Gothic" w:hAnsi="Century Gothic" w:cs="Calibri"/>
          <w:color w:val="auto"/>
          <w:sz w:val="20"/>
          <w:szCs w:val="20"/>
          <w:lang w:eastAsia="en-US"/>
        </w:rPr>
        <w:t>,</w:t>
      </w:r>
      <w:r w:rsidR="00AE4330" w:rsidRPr="00426E79">
        <w:rPr>
          <w:rFonts w:ascii="Century Gothic" w:hAnsi="Century Gothic" w:cs="Calibri"/>
          <w:color w:val="auto"/>
          <w:sz w:val="20"/>
          <w:szCs w:val="20"/>
          <w:lang w:eastAsia="en-US"/>
        </w:rPr>
        <w:t xml:space="preserve"> </w:t>
      </w:r>
      <w:r w:rsidR="0067248D" w:rsidRPr="00426E79">
        <w:rPr>
          <w:rFonts w:ascii="Century Gothic" w:hAnsi="Century Gothic" w:cs="Calibri"/>
          <w:color w:val="auto"/>
          <w:sz w:val="20"/>
          <w:szCs w:val="20"/>
          <w:lang w:eastAsia="en-US"/>
        </w:rPr>
        <w:t xml:space="preserve">health service planning, and </w:t>
      </w:r>
      <w:r w:rsidR="00AE4330">
        <w:rPr>
          <w:rFonts w:ascii="Century Gothic" w:hAnsi="Century Gothic" w:cs="Calibri"/>
          <w:color w:val="auto"/>
          <w:sz w:val="20"/>
          <w:szCs w:val="20"/>
          <w:lang w:eastAsia="en-US"/>
        </w:rPr>
        <w:t xml:space="preserve">program </w:t>
      </w:r>
      <w:r w:rsidR="0067248D" w:rsidRPr="00426E79">
        <w:rPr>
          <w:rFonts w:ascii="Century Gothic" w:hAnsi="Century Gothic" w:cs="Calibri"/>
          <w:color w:val="auto"/>
          <w:sz w:val="20"/>
          <w:szCs w:val="20"/>
          <w:lang w:eastAsia="en-US"/>
        </w:rPr>
        <w:t>evaluation</w:t>
      </w:r>
      <w:r w:rsidR="00AE4330">
        <w:rPr>
          <w:rFonts w:ascii="Century Gothic" w:hAnsi="Century Gothic" w:cs="Calibri"/>
          <w:color w:val="auto"/>
          <w:sz w:val="20"/>
          <w:szCs w:val="20"/>
          <w:lang w:eastAsia="en-US"/>
        </w:rPr>
        <w:t>)</w:t>
      </w:r>
      <w:r w:rsidR="0067248D" w:rsidRPr="00426E79">
        <w:rPr>
          <w:rFonts w:ascii="Century Gothic" w:hAnsi="Century Gothic" w:cs="Calibri"/>
          <w:color w:val="auto"/>
          <w:sz w:val="20"/>
          <w:szCs w:val="20"/>
          <w:lang w:eastAsia="en-US"/>
        </w:rPr>
        <w:t>.</w:t>
      </w:r>
    </w:p>
    <w:p w:rsidR="0067248D" w:rsidRDefault="000C4C77" w:rsidP="00034447">
      <w:pPr>
        <w:pStyle w:val="Default"/>
        <w:spacing w:after="240" w:line="276" w:lineRule="auto"/>
        <w:rPr>
          <w:rFonts w:ascii="Century Gothic" w:hAnsi="Century Gothic"/>
          <w:bCs/>
          <w:sz w:val="20"/>
          <w:szCs w:val="20"/>
        </w:rPr>
      </w:pPr>
      <w:r>
        <w:rPr>
          <w:rFonts w:ascii="Century Gothic" w:hAnsi="Century Gothic" w:cs="Calibri"/>
          <w:color w:val="auto"/>
          <w:sz w:val="20"/>
          <w:szCs w:val="20"/>
          <w:lang w:eastAsia="en-US"/>
        </w:rPr>
        <w:t>From a cancer control perspective, data linkage is the only</w:t>
      </w:r>
      <w:r w:rsidR="0067248D" w:rsidRPr="00426E79">
        <w:rPr>
          <w:rFonts w:ascii="Century Gothic" w:hAnsi="Century Gothic" w:cs="Calibri"/>
          <w:color w:val="auto"/>
          <w:sz w:val="20"/>
          <w:szCs w:val="20"/>
          <w:lang w:eastAsia="en-US"/>
        </w:rPr>
        <w:t xml:space="preserve"> </w:t>
      </w:r>
      <w:r>
        <w:rPr>
          <w:rFonts w:ascii="Century Gothic" w:hAnsi="Century Gothic" w:cs="Calibri"/>
          <w:color w:val="auto"/>
          <w:sz w:val="20"/>
          <w:szCs w:val="20"/>
          <w:lang w:eastAsia="en-US"/>
        </w:rPr>
        <w:t xml:space="preserve">way to combine the information being collected across disparate data sets at different points of the cancer control continuum. Linking these datasets can provide an understanding of, for example, patient journeys through the health system. </w:t>
      </w:r>
      <w:r w:rsidR="0067248D" w:rsidRPr="00426E79">
        <w:rPr>
          <w:rFonts w:ascii="Century Gothic" w:hAnsi="Century Gothic" w:cs="Calibri"/>
          <w:color w:val="auto"/>
          <w:sz w:val="20"/>
          <w:szCs w:val="20"/>
          <w:lang w:eastAsia="en-US"/>
        </w:rPr>
        <w:t xml:space="preserve">It enables researchers, policy makers and governments to answer questions about the health of </w:t>
      </w:r>
      <w:r>
        <w:rPr>
          <w:rFonts w:ascii="Century Gothic" w:hAnsi="Century Gothic" w:cs="Calibri"/>
          <w:color w:val="auto"/>
          <w:sz w:val="20"/>
          <w:szCs w:val="20"/>
          <w:lang w:eastAsia="en-US"/>
        </w:rPr>
        <w:t>cancer patients</w:t>
      </w:r>
      <w:r w:rsidR="0067248D" w:rsidRPr="00426E79">
        <w:rPr>
          <w:rFonts w:ascii="Century Gothic" w:hAnsi="Century Gothic" w:cs="Calibri"/>
          <w:color w:val="auto"/>
          <w:sz w:val="20"/>
          <w:szCs w:val="20"/>
          <w:lang w:eastAsia="en-US"/>
        </w:rPr>
        <w:t>, groups or populations at one point in time</w:t>
      </w:r>
      <w:r w:rsidR="00BD5CB9">
        <w:rPr>
          <w:rFonts w:ascii="Century Gothic" w:hAnsi="Century Gothic" w:cs="Calibri"/>
          <w:color w:val="auto"/>
          <w:sz w:val="20"/>
          <w:szCs w:val="20"/>
          <w:lang w:eastAsia="en-US"/>
        </w:rPr>
        <w:t>,</w:t>
      </w:r>
      <w:r w:rsidR="0067248D" w:rsidRPr="00426E79">
        <w:rPr>
          <w:rFonts w:ascii="Century Gothic" w:hAnsi="Century Gothic" w:cs="Calibri"/>
          <w:color w:val="auto"/>
          <w:sz w:val="20"/>
          <w:szCs w:val="20"/>
          <w:lang w:eastAsia="en-US"/>
        </w:rPr>
        <w:t xml:space="preserve"> as well as o</w:t>
      </w:r>
      <w:r w:rsidR="0067248D">
        <w:rPr>
          <w:rFonts w:ascii="Century Gothic" w:hAnsi="Century Gothic"/>
          <w:bCs/>
          <w:sz w:val="20"/>
          <w:szCs w:val="20"/>
        </w:rPr>
        <w:t>ver time.</w:t>
      </w:r>
      <w:r w:rsidR="00A72D10">
        <w:rPr>
          <w:rFonts w:ascii="Century Gothic" w:hAnsi="Century Gothic"/>
          <w:bCs/>
          <w:sz w:val="20"/>
          <w:szCs w:val="20"/>
        </w:rPr>
        <w:t xml:space="preserve"> </w:t>
      </w:r>
      <w:r w:rsidR="00D565F1">
        <w:rPr>
          <w:rFonts w:ascii="Century Gothic" w:hAnsi="Century Gothic"/>
          <w:bCs/>
          <w:sz w:val="20"/>
          <w:szCs w:val="20"/>
        </w:rPr>
        <w:t xml:space="preserve">Linked data can help identify at a population-level inappropriate practices, inefficiencies across the health system, and variations in practice and </w:t>
      </w:r>
      <w:r w:rsidR="004E3194">
        <w:rPr>
          <w:rFonts w:ascii="Century Gothic" w:hAnsi="Century Gothic"/>
          <w:bCs/>
          <w:sz w:val="20"/>
          <w:szCs w:val="20"/>
        </w:rPr>
        <w:t>care received.</w:t>
      </w:r>
      <w:r w:rsidR="00D565F1">
        <w:rPr>
          <w:rFonts w:ascii="Century Gothic" w:hAnsi="Century Gothic"/>
          <w:bCs/>
          <w:sz w:val="20"/>
          <w:szCs w:val="20"/>
        </w:rPr>
        <w:t xml:space="preserve"> </w:t>
      </w:r>
      <w:r w:rsidR="00A72D10">
        <w:rPr>
          <w:rFonts w:ascii="Century Gothic" w:hAnsi="Century Gothic"/>
          <w:bCs/>
          <w:sz w:val="20"/>
          <w:szCs w:val="20"/>
        </w:rPr>
        <w:t>In particular, data linkage is cost-effective, as new datasets can be created without the expense of actually collecting new data.</w:t>
      </w:r>
    </w:p>
    <w:p w:rsidR="00153799" w:rsidRPr="00153799" w:rsidRDefault="00153799"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b/>
          <w:i/>
          <w:sz w:val="20"/>
          <w:szCs w:val="20"/>
        </w:rPr>
      </w:pPr>
      <w:r w:rsidRPr="00F02229">
        <w:rPr>
          <w:rFonts w:ascii="Century Gothic" w:hAnsi="Century Gothic" w:cs="Calibri"/>
          <w:b/>
          <w:i/>
          <w:sz w:val="20"/>
          <w:szCs w:val="20"/>
        </w:rPr>
        <w:t>Best Practice Examples</w:t>
      </w:r>
    </w:p>
    <w:p w:rsidR="00153799" w:rsidRPr="00153799" w:rsidRDefault="00153799"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i/>
          <w:sz w:val="20"/>
          <w:szCs w:val="20"/>
        </w:rPr>
      </w:pPr>
      <w:r w:rsidRPr="00153799">
        <w:rPr>
          <w:rFonts w:ascii="Century Gothic" w:hAnsi="Century Gothic" w:cs="Calibri"/>
          <w:i/>
          <w:sz w:val="20"/>
          <w:szCs w:val="20"/>
        </w:rPr>
        <w:t>Accredited Integrating Authorities (linkage)</w:t>
      </w:r>
    </w:p>
    <w:p w:rsidR="00153799" w:rsidRDefault="00153799"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sz w:val="20"/>
          <w:szCs w:val="20"/>
        </w:rPr>
      </w:pPr>
      <w:r w:rsidRPr="00153799">
        <w:rPr>
          <w:rFonts w:ascii="Century Gothic" w:hAnsi="Century Gothic" w:cs="Calibri"/>
          <w:sz w:val="20"/>
          <w:szCs w:val="20"/>
        </w:rPr>
        <w:t>The establishment in 2014 of Integrating Authorities by the Commonwealth has allowed for a clear framework when using Commonwealth data for data linkage projects deemed to be ‘high risk’</w:t>
      </w:r>
      <w:r w:rsidR="001466FC">
        <w:rPr>
          <w:rFonts w:ascii="Century Gothic" w:hAnsi="Century Gothic" w:cs="Calibri"/>
          <w:sz w:val="20"/>
          <w:szCs w:val="20"/>
          <w:vertAlign w:val="superscript"/>
        </w:rPr>
        <w:t>12</w:t>
      </w:r>
      <w:r w:rsidRPr="00153799">
        <w:rPr>
          <w:rFonts w:ascii="Century Gothic" w:hAnsi="Century Gothic" w:cs="Calibri"/>
          <w:sz w:val="20"/>
          <w:szCs w:val="20"/>
        </w:rPr>
        <w:t>. The NSS also maintains a register of data integration projects to avoid duplication of effort.</w:t>
      </w:r>
    </w:p>
    <w:p w:rsidR="00153799" w:rsidRPr="00153799" w:rsidRDefault="00153799" w:rsidP="00153799">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i/>
          <w:sz w:val="20"/>
          <w:szCs w:val="20"/>
        </w:rPr>
      </w:pPr>
      <w:r w:rsidRPr="00153799">
        <w:rPr>
          <w:rFonts w:ascii="Century Gothic" w:hAnsi="Century Gothic" w:cs="Calibri"/>
          <w:i/>
          <w:sz w:val="20"/>
          <w:szCs w:val="20"/>
        </w:rPr>
        <w:t>ABS Mental Health data linkage</w:t>
      </w:r>
    </w:p>
    <w:p w:rsidR="00CC245F" w:rsidRDefault="00CC245F" w:rsidP="00CC245F">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sz w:val="20"/>
          <w:szCs w:val="20"/>
        </w:rPr>
      </w:pPr>
      <w:r>
        <w:rPr>
          <w:rFonts w:ascii="Century Gothic" w:hAnsi="Century Gothic" w:cs="Calibri"/>
          <w:sz w:val="20"/>
          <w:szCs w:val="20"/>
        </w:rPr>
        <w:t xml:space="preserve">The ABS Mental Health Services and Census project </w:t>
      </w:r>
      <w:r>
        <w:rPr>
          <w:rFonts w:ascii="Century Gothic" w:hAnsi="Century Gothic" w:cs="Arial"/>
          <w:sz w:val="20"/>
          <w:szCs w:val="20"/>
          <w:shd w:val="clear" w:color="auto" w:fill="FFFFFF"/>
        </w:rPr>
        <w:t xml:space="preserve">integrates </w:t>
      </w:r>
      <w:r w:rsidRPr="00B67B38">
        <w:rPr>
          <w:rFonts w:ascii="Century Gothic" w:hAnsi="Century Gothic" w:cs="Arial"/>
          <w:sz w:val="20"/>
          <w:szCs w:val="20"/>
          <w:shd w:val="clear" w:color="auto" w:fill="FFFFFF"/>
        </w:rPr>
        <w:t>2011 Census data with administrative information on people accessing subsidised mental health-related Medicare Benefits Schedule (MBS) services and Pharmaceutical Benefits Scheme (PBS) prescription medication</w:t>
      </w:r>
      <w:r w:rsidR="001466FC">
        <w:rPr>
          <w:rFonts w:ascii="Century Gothic" w:hAnsi="Century Gothic" w:cs="Arial"/>
          <w:sz w:val="20"/>
          <w:szCs w:val="20"/>
          <w:shd w:val="clear" w:color="auto" w:fill="FFFFFF"/>
          <w:vertAlign w:val="superscript"/>
        </w:rPr>
        <w:t>13</w:t>
      </w:r>
      <w:r w:rsidRPr="00B67B38">
        <w:rPr>
          <w:rFonts w:ascii="Century Gothic" w:hAnsi="Century Gothic" w:cs="Arial"/>
          <w:sz w:val="20"/>
          <w:szCs w:val="20"/>
          <w:shd w:val="clear" w:color="auto" w:fill="FFFFFF"/>
        </w:rPr>
        <w:t>.</w:t>
      </w:r>
      <w:r w:rsidRPr="00B67B38">
        <w:rPr>
          <w:rFonts w:ascii="Century Gothic" w:hAnsi="Century Gothic" w:cs="Calibri"/>
          <w:sz w:val="20"/>
          <w:szCs w:val="20"/>
        </w:rPr>
        <w:t xml:space="preserve"> </w:t>
      </w:r>
      <w:r>
        <w:rPr>
          <w:rFonts w:ascii="Century Gothic" w:hAnsi="Century Gothic" w:cs="Calibri"/>
          <w:sz w:val="20"/>
          <w:szCs w:val="20"/>
        </w:rPr>
        <w:t>The analysis of the integrated data provide</w:t>
      </w:r>
      <w:r w:rsidR="00842B8C">
        <w:rPr>
          <w:rFonts w:ascii="Century Gothic" w:hAnsi="Century Gothic" w:cs="Calibri"/>
          <w:sz w:val="20"/>
          <w:szCs w:val="20"/>
        </w:rPr>
        <w:t>s</w:t>
      </w:r>
      <w:r>
        <w:rPr>
          <w:rFonts w:ascii="Century Gothic" w:hAnsi="Century Gothic" w:cs="Calibri"/>
          <w:sz w:val="20"/>
          <w:szCs w:val="20"/>
        </w:rPr>
        <w:t xml:space="preserve"> insights into the relationship between mental health-related services, medication use, and key socio-economic information such as education, employment and housing. This information can assist policy and decision makers in the development and evaluation of mental health programs and support services.</w:t>
      </w:r>
    </w:p>
    <w:p w:rsidR="0067248D" w:rsidRDefault="00FA2130" w:rsidP="00842B8C">
      <w:pPr>
        <w:pStyle w:val="Default"/>
        <w:spacing w:before="480" w:after="240"/>
        <w:rPr>
          <w:rFonts w:ascii="Century Gothic" w:hAnsi="Century Gothic"/>
          <w:b/>
          <w:bCs/>
          <w:sz w:val="20"/>
          <w:szCs w:val="20"/>
        </w:rPr>
      </w:pPr>
      <w:r>
        <w:rPr>
          <w:rFonts w:ascii="Century Gothic" w:hAnsi="Century Gothic"/>
          <w:b/>
          <w:bCs/>
          <w:sz w:val="20"/>
          <w:szCs w:val="20"/>
        </w:rPr>
        <w:lastRenderedPageBreak/>
        <w:t xml:space="preserve">1.5 </w:t>
      </w:r>
      <w:r w:rsidR="00BD5CB9">
        <w:rPr>
          <w:rFonts w:ascii="Century Gothic" w:hAnsi="Century Gothic"/>
          <w:b/>
          <w:bCs/>
          <w:sz w:val="20"/>
          <w:szCs w:val="20"/>
        </w:rPr>
        <w:t>D</w:t>
      </w:r>
      <w:r w:rsidR="0067248D">
        <w:rPr>
          <w:rFonts w:ascii="Century Gothic" w:hAnsi="Century Gothic"/>
          <w:b/>
          <w:bCs/>
          <w:sz w:val="20"/>
          <w:szCs w:val="20"/>
        </w:rPr>
        <w:t>ata linkage initiatives in Australia</w:t>
      </w:r>
    </w:p>
    <w:p w:rsidR="0067248D" w:rsidRDefault="00142B57" w:rsidP="00034447">
      <w:pPr>
        <w:pStyle w:val="Default"/>
        <w:spacing w:after="240" w:line="276" w:lineRule="auto"/>
        <w:rPr>
          <w:rFonts w:ascii="Century Gothic" w:hAnsi="Century Gothic"/>
          <w:bCs/>
          <w:sz w:val="20"/>
          <w:szCs w:val="20"/>
        </w:rPr>
      </w:pPr>
      <w:r>
        <w:rPr>
          <w:rFonts w:ascii="Century Gothic" w:hAnsi="Century Gothic"/>
          <w:bCs/>
          <w:sz w:val="20"/>
          <w:szCs w:val="20"/>
        </w:rPr>
        <w:t xml:space="preserve">As the Terms of Reference 1 seeks to identify characteristics of high-value public sector datasets, it should be noted that </w:t>
      </w:r>
      <w:r w:rsidR="0067248D">
        <w:rPr>
          <w:rFonts w:ascii="Century Gothic" w:hAnsi="Century Gothic"/>
          <w:bCs/>
          <w:sz w:val="20"/>
          <w:szCs w:val="20"/>
        </w:rPr>
        <w:t xml:space="preserve">Australia is </w:t>
      </w:r>
      <w:r>
        <w:rPr>
          <w:rFonts w:ascii="Century Gothic" w:hAnsi="Century Gothic"/>
          <w:bCs/>
          <w:sz w:val="20"/>
          <w:szCs w:val="20"/>
        </w:rPr>
        <w:t>currently well-</w:t>
      </w:r>
      <w:r w:rsidR="00BD579B">
        <w:rPr>
          <w:rFonts w:ascii="Century Gothic" w:hAnsi="Century Gothic"/>
          <w:bCs/>
          <w:sz w:val="20"/>
          <w:szCs w:val="20"/>
        </w:rPr>
        <w:t>resourced</w:t>
      </w:r>
      <w:r w:rsidR="0067248D">
        <w:rPr>
          <w:rFonts w:ascii="Century Gothic" w:hAnsi="Century Gothic"/>
          <w:bCs/>
          <w:sz w:val="20"/>
          <w:szCs w:val="20"/>
        </w:rPr>
        <w:t xml:space="preserve"> with</w:t>
      </w:r>
      <w:r w:rsidR="00DE53DC">
        <w:rPr>
          <w:rFonts w:ascii="Century Gothic" w:hAnsi="Century Gothic"/>
          <w:bCs/>
          <w:sz w:val="20"/>
          <w:szCs w:val="20"/>
        </w:rPr>
        <w:t xml:space="preserve"> data linkage facilities. Each state/t</w:t>
      </w:r>
      <w:r w:rsidR="0067248D">
        <w:rPr>
          <w:rFonts w:ascii="Century Gothic" w:hAnsi="Century Gothic"/>
          <w:bCs/>
          <w:sz w:val="20"/>
          <w:szCs w:val="20"/>
        </w:rPr>
        <w:t>erritory has a dedicated data linkage unit to integrate health</w:t>
      </w:r>
      <w:r w:rsidR="00BD5CB9">
        <w:rPr>
          <w:rFonts w:ascii="Century Gothic" w:hAnsi="Century Gothic"/>
          <w:bCs/>
          <w:sz w:val="20"/>
          <w:szCs w:val="20"/>
        </w:rPr>
        <w:t>-</w:t>
      </w:r>
      <w:r w:rsidR="0067248D">
        <w:rPr>
          <w:rFonts w:ascii="Century Gothic" w:hAnsi="Century Gothic"/>
          <w:bCs/>
          <w:sz w:val="20"/>
          <w:szCs w:val="20"/>
        </w:rPr>
        <w:t xml:space="preserve">related data for research and policy making purposes. </w:t>
      </w:r>
      <w:r>
        <w:rPr>
          <w:rFonts w:ascii="Century Gothic" w:hAnsi="Century Gothic"/>
          <w:bCs/>
          <w:sz w:val="20"/>
          <w:szCs w:val="20"/>
        </w:rPr>
        <w:t xml:space="preserve">Additionally, </w:t>
      </w:r>
      <w:r w:rsidR="0067248D">
        <w:rPr>
          <w:rFonts w:ascii="Century Gothic" w:hAnsi="Century Gothic"/>
          <w:bCs/>
          <w:sz w:val="20"/>
          <w:szCs w:val="20"/>
        </w:rPr>
        <w:t xml:space="preserve">three </w:t>
      </w:r>
      <w:r>
        <w:rPr>
          <w:rFonts w:ascii="Century Gothic" w:hAnsi="Century Gothic"/>
          <w:bCs/>
          <w:sz w:val="20"/>
          <w:szCs w:val="20"/>
        </w:rPr>
        <w:t xml:space="preserve">Commonwealth </w:t>
      </w:r>
      <w:r w:rsidR="0067248D">
        <w:rPr>
          <w:rFonts w:ascii="Century Gothic" w:hAnsi="Century Gothic"/>
          <w:bCs/>
          <w:sz w:val="20"/>
          <w:szCs w:val="20"/>
        </w:rPr>
        <w:t xml:space="preserve">agencies including the ABS, the Australian Institute of Family Studies and the AIHW (see Table </w:t>
      </w:r>
      <w:r w:rsidR="0077500B">
        <w:rPr>
          <w:rFonts w:ascii="Century Gothic" w:hAnsi="Century Gothic"/>
          <w:bCs/>
          <w:sz w:val="20"/>
          <w:szCs w:val="20"/>
        </w:rPr>
        <w:t>1</w:t>
      </w:r>
      <w:r w:rsidR="0067248D">
        <w:rPr>
          <w:rFonts w:ascii="Century Gothic" w:hAnsi="Century Gothic"/>
          <w:bCs/>
          <w:sz w:val="20"/>
          <w:szCs w:val="20"/>
        </w:rPr>
        <w:t>) have the authority to integrate data collected by the Commonwealth Government.</w:t>
      </w:r>
    </w:p>
    <w:p w:rsidR="00805C88" w:rsidRDefault="002D1FCA" w:rsidP="00034447">
      <w:pPr>
        <w:pStyle w:val="Default"/>
        <w:spacing w:after="240" w:line="276" w:lineRule="auto"/>
        <w:rPr>
          <w:rFonts w:ascii="Century Gothic" w:hAnsi="Century Gothic"/>
          <w:bCs/>
          <w:sz w:val="20"/>
          <w:szCs w:val="20"/>
        </w:rPr>
      </w:pPr>
      <w:r>
        <w:rPr>
          <w:rFonts w:ascii="Century Gothic" w:hAnsi="Century Gothic"/>
          <w:bCs/>
          <w:sz w:val="20"/>
          <w:szCs w:val="20"/>
        </w:rPr>
        <w:t xml:space="preserve">From the perspective of </w:t>
      </w:r>
      <w:r w:rsidR="00EB1D14">
        <w:rPr>
          <w:rFonts w:ascii="Century Gothic" w:hAnsi="Century Gothic"/>
          <w:bCs/>
          <w:sz w:val="20"/>
          <w:szCs w:val="20"/>
        </w:rPr>
        <w:t xml:space="preserve">using </w:t>
      </w:r>
      <w:r>
        <w:rPr>
          <w:rFonts w:ascii="Century Gothic" w:hAnsi="Century Gothic"/>
          <w:bCs/>
          <w:sz w:val="20"/>
          <w:szCs w:val="20"/>
        </w:rPr>
        <w:t xml:space="preserve">public sector health data therefore, Australia has an excellent </w:t>
      </w:r>
      <w:r w:rsidR="00262382">
        <w:rPr>
          <w:rFonts w:ascii="Century Gothic" w:hAnsi="Century Gothic"/>
          <w:bCs/>
          <w:sz w:val="20"/>
          <w:szCs w:val="20"/>
        </w:rPr>
        <w:t>base</w:t>
      </w:r>
      <w:r>
        <w:rPr>
          <w:rFonts w:ascii="Century Gothic" w:hAnsi="Century Gothic"/>
          <w:bCs/>
          <w:sz w:val="20"/>
          <w:szCs w:val="20"/>
        </w:rPr>
        <w:t xml:space="preserve"> of data linkage infrastructure and expertise on which to </w:t>
      </w:r>
      <w:r w:rsidR="00262382">
        <w:rPr>
          <w:rFonts w:ascii="Century Gothic" w:hAnsi="Century Gothic"/>
          <w:bCs/>
          <w:sz w:val="20"/>
          <w:szCs w:val="20"/>
        </w:rPr>
        <w:t xml:space="preserve">facilitate further improvements in </w:t>
      </w:r>
      <w:r>
        <w:rPr>
          <w:rFonts w:ascii="Century Gothic" w:hAnsi="Century Gothic"/>
          <w:bCs/>
          <w:sz w:val="20"/>
          <w:szCs w:val="20"/>
        </w:rPr>
        <w:t>data linkage processes.</w:t>
      </w:r>
    </w:p>
    <w:p w:rsidR="0077500B" w:rsidRPr="00EA486D" w:rsidRDefault="0077500B" w:rsidP="00034447">
      <w:pPr>
        <w:pStyle w:val="Default"/>
        <w:spacing w:after="240" w:line="276" w:lineRule="auto"/>
        <w:rPr>
          <w:rFonts w:ascii="Century Gothic" w:hAnsi="Century Gothic"/>
          <w:b/>
          <w:bCs/>
          <w:sz w:val="20"/>
          <w:szCs w:val="20"/>
        </w:rPr>
      </w:pPr>
      <w:r w:rsidRPr="00EA486D">
        <w:rPr>
          <w:rFonts w:ascii="Century Gothic" w:hAnsi="Century Gothic"/>
          <w:b/>
          <w:bCs/>
          <w:sz w:val="20"/>
          <w:szCs w:val="20"/>
        </w:rPr>
        <w:t>Table 1</w:t>
      </w:r>
      <w:r w:rsidR="00EA486D" w:rsidRPr="00EA486D">
        <w:rPr>
          <w:rFonts w:ascii="Century Gothic" w:hAnsi="Century Gothic"/>
          <w:b/>
          <w:bCs/>
          <w:sz w:val="20"/>
          <w:szCs w:val="20"/>
        </w:rPr>
        <w:t xml:space="preserve">: Examples of </w:t>
      </w:r>
      <w:r w:rsidR="00EA486D">
        <w:rPr>
          <w:rFonts w:ascii="Century Gothic" w:hAnsi="Century Gothic"/>
          <w:b/>
          <w:bCs/>
          <w:sz w:val="20"/>
          <w:szCs w:val="20"/>
        </w:rPr>
        <w:t xml:space="preserve">health </w:t>
      </w:r>
      <w:r w:rsidR="00EA486D" w:rsidRPr="00EA486D">
        <w:rPr>
          <w:rFonts w:ascii="Century Gothic" w:hAnsi="Century Gothic"/>
          <w:b/>
          <w:bCs/>
          <w:sz w:val="20"/>
          <w:szCs w:val="20"/>
        </w:rPr>
        <w:t>data linkage facilities in Australia</w:t>
      </w:r>
    </w:p>
    <w:tbl>
      <w:tblPr>
        <w:tblStyle w:val="TableGrid"/>
        <w:tblW w:w="0" w:type="auto"/>
        <w:tblLook w:val="04A0" w:firstRow="1" w:lastRow="0" w:firstColumn="1" w:lastColumn="0" w:noHBand="0" w:noVBand="1"/>
      </w:tblPr>
      <w:tblGrid>
        <w:gridCol w:w="4786"/>
        <w:gridCol w:w="3544"/>
      </w:tblGrid>
      <w:tr w:rsidR="0067248D" w:rsidTr="00842B8C">
        <w:trPr>
          <w:trHeight w:val="490"/>
        </w:trPr>
        <w:tc>
          <w:tcPr>
            <w:tcW w:w="4786" w:type="dxa"/>
          </w:tcPr>
          <w:p w:rsidR="0067248D" w:rsidRPr="00BF22F9" w:rsidRDefault="0067248D" w:rsidP="00A013C7">
            <w:pPr>
              <w:rPr>
                <w:rFonts w:ascii="Century Gothic" w:hAnsi="Century Gothic"/>
                <w:b/>
                <w:bCs/>
                <w:sz w:val="20"/>
                <w:szCs w:val="20"/>
              </w:rPr>
            </w:pPr>
            <w:r>
              <w:rPr>
                <w:rFonts w:ascii="Century Gothic" w:hAnsi="Century Gothic"/>
                <w:bCs/>
                <w:sz w:val="20"/>
                <w:szCs w:val="20"/>
              </w:rPr>
              <w:br w:type="page"/>
            </w:r>
            <w:r w:rsidRPr="00BF22F9">
              <w:rPr>
                <w:rFonts w:ascii="Century Gothic" w:hAnsi="Century Gothic"/>
                <w:b/>
                <w:bCs/>
                <w:sz w:val="20"/>
                <w:szCs w:val="20"/>
              </w:rPr>
              <w:t>Data Linkage Unit</w:t>
            </w:r>
          </w:p>
        </w:tc>
        <w:tc>
          <w:tcPr>
            <w:tcW w:w="3544" w:type="dxa"/>
          </w:tcPr>
          <w:p w:rsidR="0067248D" w:rsidRPr="00BF22F9" w:rsidRDefault="00EA486D" w:rsidP="00A013C7">
            <w:pPr>
              <w:rPr>
                <w:rFonts w:ascii="Century Gothic" w:hAnsi="Century Gothic"/>
                <w:b/>
                <w:bCs/>
                <w:sz w:val="20"/>
                <w:szCs w:val="20"/>
              </w:rPr>
            </w:pPr>
            <w:r>
              <w:rPr>
                <w:rFonts w:ascii="Century Gothic" w:hAnsi="Century Gothic"/>
                <w:b/>
                <w:bCs/>
                <w:sz w:val="20"/>
                <w:szCs w:val="20"/>
              </w:rPr>
              <w:t>Geographic Scope</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ABS</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National</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Australian Institute of Family studies</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National</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AIHW</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National</w:t>
            </w:r>
          </w:p>
        </w:tc>
      </w:tr>
      <w:tr w:rsidR="0067248D" w:rsidTr="00842B8C">
        <w:trPr>
          <w:trHeight w:val="490"/>
        </w:trPr>
        <w:tc>
          <w:tcPr>
            <w:tcW w:w="4786" w:type="dxa"/>
          </w:tcPr>
          <w:p w:rsidR="0067248D" w:rsidRDefault="004C25AC" w:rsidP="00A013C7">
            <w:pPr>
              <w:rPr>
                <w:rFonts w:ascii="Century Gothic" w:hAnsi="Century Gothic"/>
                <w:bCs/>
                <w:sz w:val="20"/>
                <w:szCs w:val="20"/>
              </w:rPr>
            </w:pPr>
            <w:r>
              <w:rPr>
                <w:rFonts w:ascii="Century Gothic" w:hAnsi="Century Gothic"/>
                <w:bCs/>
                <w:sz w:val="20"/>
                <w:szCs w:val="20"/>
              </w:rPr>
              <w:t>Population Health Research Network</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National</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WA Data Linkage Centre</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Western Australia</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SA-NT DataLink</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South Australian and Northern Territory</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Centre for Health Record Linkage (CHeReL)</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New South Wales and Australian Capital Territory</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Centre for Victoria Data Linkage</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Victoria</w:t>
            </w:r>
          </w:p>
        </w:tc>
      </w:tr>
      <w:tr w:rsidR="0067248D" w:rsidTr="00842B8C">
        <w:trPr>
          <w:trHeight w:val="490"/>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Tasmanian Data Linkage Unit</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Tasmania</w:t>
            </w:r>
          </w:p>
        </w:tc>
      </w:tr>
      <w:tr w:rsidR="0067248D" w:rsidTr="00842B8C">
        <w:trPr>
          <w:trHeight w:val="491"/>
        </w:trPr>
        <w:tc>
          <w:tcPr>
            <w:tcW w:w="4786" w:type="dxa"/>
          </w:tcPr>
          <w:p w:rsidR="0067248D" w:rsidRDefault="0067248D" w:rsidP="00A013C7">
            <w:pPr>
              <w:rPr>
                <w:rFonts w:ascii="Century Gothic" w:hAnsi="Century Gothic"/>
                <w:bCs/>
                <w:sz w:val="20"/>
                <w:szCs w:val="20"/>
              </w:rPr>
            </w:pPr>
            <w:r>
              <w:rPr>
                <w:rFonts w:ascii="Century Gothic" w:hAnsi="Century Gothic"/>
                <w:bCs/>
                <w:sz w:val="20"/>
                <w:szCs w:val="20"/>
              </w:rPr>
              <w:t>Queensland Research Linkage Group</w:t>
            </w:r>
          </w:p>
        </w:tc>
        <w:tc>
          <w:tcPr>
            <w:tcW w:w="3544" w:type="dxa"/>
          </w:tcPr>
          <w:p w:rsidR="0067248D" w:rsidRDefault="0067248D" w:rsidP="00A013C7">
            <w:pPr>
              <w:rPr>
                <w:rFonts w:ascii="Century Gothic" w:hAnsi="Century Gothic"/>
                <w:bCs/>
                <w:sz w:val="20"/>
                <w:szCs w:val="20"/>
              </w:rPr>
            </w:pPr>
            <w:r>
              <w:rPr>
                <w:rFonts w:ascii="Century Gothic" w:hAnsi="Century Gothic"/>
                <w:bCs/>
                <w:sz w:val="20"/>
                <w:szCs w:val="20"/>
              </w:rPr>
              <w:t>Queensland</w:t>
            </w:r>
          </w:p>
        </w:tc>
      </w:tr>
    </w:tbl>
    <w:p w:rsidR="0067248D" w:rsidRDefault="0067248D" w:rsidP="0067248D">
      <w:pPr>
        <w:rPr>
          <w:rFonts w:ascii="Century Gothic" w:hAnsi="Century Gothic"/>
          <w:b/>
          <w:bCs/>
          <w:sz w:val="20"/>
          <w:szCs w:val="20"/>
        </w:rPr>
      </w:pPr>
    </w:p>
    <w:p w:rsidR="00EA486D" w:rsidRDefault="00EA486D" w:rsidP="0067248D">
      <w:pPr>
        <w:rPr>
          <w:rFonts w:ascii="Century Gothic" w:hAnsi="Century Gothic"/>
          <w:b/>
          <w:bCs/>
          <w:sz w:val="20"/>
          <w:szCs w:val="20"/>
        </w:rPr>
      </w:pPr>
    </w:p>
    <w:p w:rsidR="0067248D" w:rsidRPr="004A7A6D" w:rsidRDefault="00FA2130" w:rsidP="0067248D">
      <w:pPr>
        <w:rPr>
          <w:rFonts w:ascii="Century Gothic" w:hAnsi="Century Gothic"/>
          <w:b/>
          <w:bCs/>
          <w:sz w:val="20"/>
          <w:szCs w:val="20"/>
        </w:rPr>
      </w:pPr>
      <w:r>
        <w:rPr>
          <w:rFonts w:ascii="Century Gothic" w:hAnsi="Century Gothic"/>
          <w:b/>
          <w:bCs/>
          <w:sz w:val="20"/>
          <w:szCs w:val="20"/>
        </w:rPr>
        <w:t xml:space="preserve">1.6 </w:t>
      </w:r>
      <w:r w:rsidR="00EC579A">
        <w:rPr>
          <w:rFonts w:ascii="Century Gothic" w:hAnsi="Century Gothic"/>
          <w:b/>
          <w:bCs/>
          <w:sz w:val="20"/>
          <w:szCs w:val="20"/>
        </w:rPr>
        <w:t>Data linkage across levels of government</w:t>
      </w:r>
    </w:p>
    <w:p w:rsidR="00EA486D" w:rsidRDefault="00EA486D" w:rsidP="00EA486D">
      <w:pPr>
        <w:pStyle w:val="Default"/>
        <w:spacing w:line="276" w:lineRule="auto"/>
        <w:rPr>
          <w:rFonts w:ascii="Century Gothic" w:hAnsi="Century Gothic"/>
          <w:bCs/>
          <w:sz w:val="20"/>
          <w:szCs w:val="20"/>
        </w:rPr>
      </w:pPr>
    </w:p>
    <w:p w:rsidR="00914788" w:rsidRDefault="00EA486D" w:rsidP="00EA486D">
      <w:pPr>
        <w:pStyle w:val="Default"/>
        <w:spacing w:line="276" w:lineRule="auto"/>
        <w:rPr>
          <w:rFonts w:ascii="Century Gothic" w:hAnsi="Century Gothic"/>
          <w:bCs/>
          <w:sz w:val="20"/>
          <w:szCs w:val="20"/>
        </w:rPr>
      </w:pPr>
      <w:r>
        <w:rPr>
          <w:rFonts w:ascii="Century Gothic" w:hAnsi="Century Gothic"/>
          <w:bCs/>
          <w:sz w:val="20"/>
          <w:szCs w:val="20"/>
        </w:rPr>
        <w:t xml:space="preserve">Given that the Australian </w:t>
      </w:r>
      <w:r w:rsidR="00914788">
        <w:rPr>
          <w:rFonts w:ascii="Century Gothic" w:hAnsi="Century Gothic"/>
          <w:bCs/>
          <w:sz w:val="20"/>
          <w:szCs w:val="20"/>
        </w:rPr>
        <w:t xml:space="preserve">public </w:t>
      </w:r>
      <w:r>
        <w:rPr>
          <w:rFonts w:ascii="Century Gothic" w:hAnsi="Century Gothic"/>
          <w:bCs/>
          <w:sz w:val="20"/>
          <w:szCs w:val="20"/>
        </w:rPr>
        <w:t xml:space="preserve">health system is primarily regulated by the Commonwealth and state/territory governments, </w:t>
      </w:r>
      <w:r w:rsidR="00DE109C">
        <w:rPr>
          <w:rFonts w:ascii="Century Gothic" w:hAnsi="Century Gothic"/>
          <w:bCs/>
          <w:sz w:val="20"/>
          <w:szCs w:val="20"/>
        </w:rPr>
        <w:t>cancer-</w:t>
      </w:r>
      <w:r>
        <w:rPr>
          <w:rFonts w:ascii="Century Gothic" w:hAnsi="Century Gothic"/>
          <w:bCs/>
          <w:sz w:val="20"/>
          <w:szCs w:val="20"/>
        </w:rPr>
        <w:t xml:space="preserve">related </w:t>
      </w:r>
      <w:r w:rsidRPr="00EA486D">
        <w:rPr>
          <w:rFonts w:ascii="Century Gothic" w:hAnsi="Century Gothic"/>
          <w:bCs/>
          <w:sz w:val="20"/>
          <w:szCs w:val="20"/>
        </w:rPr>
        <w:t>administrative or survey data</w:t>
      </w:r>
      <w:r w:rsidR="00914788">
        <w:rPr>
          <w:rFonts w:ascii="Century Gothic" w:hAnsi="Century Gothic"/>
          <w:bCs/>
          <w:sz w:val="20"/>
          <w:szCs w:val="20"/>
        </w:rPr>
        <w:t xml:space="preserve"> are often held b</w:t>
      </w:r>
      <w:r>
        <w:rPr>
          <w:rFonts w:ascii="Century Gothic" w:hAnsi="Century Gothic"/>
          <w:bCs/>
          <w:sz w:val="20"/>
          <w:szCs w:val="20"/>
        </w:rPr>
        <w:t>y different levels of government.</w:t>
      </w:r>
      <w:r w:rsidR="0067248D">
        <w:rPr>
          <w:rFonts w:ascii="Century Gothic" w:hAnsi="Century Gothic"/>
          <w:bCs/>
          <w:sz w:val="20"/>
          <w:szCs w:val="20"/>
        </w:rPr>
        <w:t xml:space="preserve"> </w:t>
      </w:r>
      <w:r w:rsidR="0055019C">
        <w:rPr>
          <w:rFonts w:ascii="Century Gothic" w:hAnsi="Century Gothic"/>
          <w:bCs/>
          <w:sz w:val="20"/>
          <w:szCs w:val="20"/>
        </w:rPr>
        <w:t>As previously</w:t>
      </w:r>
      <w:r w:rsidR="003557CD">
        <w:rPr>
          <w:rFonts w:ascii="Century Gothic" w:hAnsi="Century Gothic"/>
          <w:bCs/>
          <w:sz w:val="20"/>
          <w:szCs w:val="20"/>
        </w:rPr>
        <w:t xml:space="preserve"> noted</w:t>
      </w:r>
      <w:r w:rsidR="0055019C">
        <w:rPr>
          <w:rFonts w:ascii="Century Gothic" w:hAnsi="Century Gothic"/>
          <w:bCs/>
          <w:sz w:val="20"/>
          <w:szCs w:val="20"/>
        </w:rPr>
        <w:t xml:space="preserve">, the Commonwealth </w:t>
      </w:r>
      <w:r w:rsidR="00DE109C">
        <w:rPr>
          <w:rFonts w:ascii="Century Gothic" w:hAnsi="Century Gothic"/>
          <w:bCs/>
          <w:sz w:val="20"/>
          <w:szCs w:val="20"/>
        </w:rPr>
        <w:t>collect</w:t>
      </w:r>
      <w:r w:rsidR="00BD5CB9">
        <w:rPr>
          <w:rFonts w:ascii="Century Gothic" w:hAnsi="Century Gothic"/>
          <w:bCs/>
          <w:sz w:val="20"/>
          <w:szCs w:val="20"/>
        </w:rPr>
        <w:t>s</w:t>
      </w:r>
      <w:r w:rsidR="00DE109C">
        <w:rPr>
          <w:rFonts w:ascii="Century Gothic" w:hAnsi="Century Gothic"/>
          <w:bCs/>
          <w:sz w:val="20"/>
          <w:szCs w:val="20"/>
        </w:rPr>
        <w:t xml:space="preserve"> or collate</w:t>
      </w:r>
      <w:r w:rsidR="00BD5CB9">
        <w:rPr>
          <w:rFonts w:ascii="Century Gothic" w:hAnsi="Century Gothic"/>
          <w:bCs/>
          <w:sz w:val="20"/>
          <w:szCs w:val="20"/>
        </w:rPr>
        <w:t>s</w:t>
      </w:r>
      <w:r w:rsidR="00DE109C">
        <w:rPr>
          <w:rFonts w:ascii="Century Gothic" w:hAnsi="Century Gothic"/>
          <w:bCs/>
          <w:sz w:val="20"/>
          <w:szCs w:val="20"/>
        </w:rPr>
        <w:t xml:space="preserve"> administrative data related to </w:t>
      </w:r>
      <w:r w:rsidR="00043E2B">
        <w:rPr>
          <w:rFonts w:ascii="Century Gothic" w:hAnsi="Century Gothic"/>
          <w:bCs/>
          <w:sz w:val="20"/>
          <w:szCs w:val="20"/>
        </w:rPr>
        <w:t xml:space="preserve">cancer incidence and </w:t>
      </w:r>
      <w:r w:rsidR="00DE109C">
        <w:rPr>
          <w:rFonts w:ascii="Century Gothic" w:hAnsi="Century Gothic"/>
          <w:bCs/>
          <w:sz w:val="20"/>
          <w:szCs w:val="20"/>
        </w:rPr>
        <w:t xml:space="preserve">mortality, </w:t>
      </w:r>
      <w:r w:rsidR="00043E2B">
        <w:rPr>
          <w:rFonts w:ascii="Century Gothic" w:hAnsi="Century Gothic"/>
          <w:bCs/>
          <w:sz w:val="20"/>
          <w:szCs w:val="20"/>
        </w:rPr>
        <w:t>treatments (</w:t>
      </w:r>
      <w:r w:rsidR="00DE109C">
        <w:rPr>
          <w:rFonts w:ascii="Century Gothic" w:hAnsi="Century Gothic"/>
          <w:bCs/>
          <w:sz w:val="20"/>
          <w:szCs w:val="20"/>
        </w:rPr>
        <w:t>MBS and PBS</w:t>
      </w:r>
      <w:r w:rsidR="00043E2B">
        <w:rPr>
          <w:rFonts w:ascii="Century Gothic" w:hAnsi="Century Gothic"/>
          <w:bCs/>
          <w:sz w:val="20"/>
          <w:szCs w:val="20"/>
        </w:rPr>
        <w:t>)</w:t>
      </w:r>
      <w:r w:rsidR="00DE109C">
        <w:rPr>
          <w:rFonts w:ascii="Century Gothic" w:hAnsi="Century Gothic"/>
          <w:bCs/>
          <w:sz w:val="20"/>
          <w:szCs w:val="20"/>
        </w:rPr>
        <w:t>, as well as ‘minimum data sets’ related to cancer registration</w:t>
      </w:r>
      <w:r w:rsidR="002D0E02">
        <w:rPr>
          <w:rFonts w:ascii="Century Gothic" w:hAnsi="Century Gothic"/>
          <w:bCs/>
          <w:sz w:val="20"/>
          <w:szCs w:val="20"/>
        </w:rPr>
        <w:t xml:space="preserve"> and hospital admissions. </w:t>
      </w:r>
      <w:r w:rsidR="00907DF9">
        <w:rPr>
          <w:rFonts w:ascii="Century Gothic" w:hAnsi="Century Gothic"/>
          <w:bCs/>
          <w:sz w:val="20"/>
          <w:szCs w:val="20"/>
        </w:rPr>
        <w:t xml:space="preserve">The states and territories collect more detailed data regarding cancer registrations and hospital admissions. In addition, both levels of government run regular or </w:t>
      </w:r>
      <w:r w:rsidR="00907DF9" w:rsidRPr="00F73BA0">
        <w:rPr>
          <w:rFonts w:ascii="Century Gothic" w:hAnsi="Century Gothic"/>
          <w:bCs/>
          <w:i/>
          <w:sz w:val="20"/>
          <w:szCs w:val="20"/>
        </w:rPr>
        <w:t>ad hoc</w:t>
      </w:r>
      <w:r w:rsidR="00907DF9">
        <w:rPr>
          <w:rFonts w:ascii="Century Gothic" w:hAnsi="Century Gothic"/>
          <w:bCs/>
          <w:sz w:val="20"/>
          <w:szCs w:val="20"/>
        </w:rPr>
        <w:t xml:space="preserve"> surveys across a range of health topics in order to address specific policy goals.</w:t>
      </w:r>
    </w:p>
    <w:p w:rsidR="00914788" w:rsidRDefault="00914788" w:rsidP="00EA486D">
      <w:pPr>
        <w:pStyle w:val="Default"/>
        <w:spacing w:line="276" w:lineRule="auto"/>
        <w:rPr>
          <w:rFonts w:ascii="Century Gothic" w:hAnsi="Century Gothic"/>
          <w:bCs/>
          <w:sz w:val="20"/>
          <w:szCs w:val="20"/>
        </w:rPr>
      </w:pPr>
    </w:p>
    <w:p w:rsidR="0067248D" w:rsidRDefault="00AF4FBA" w:rsidP="00EA486D">
      <w:pPr>
        <w:pStyle w:val="Default"/>
        <w:spacing w:line="276" w:lineRule="auto"/>
        <w:rPr>
          <w:rFonts w:ascii="Century Gothic" w:hAnsi="Century Gothic"/>
          <w:bCs/>
          <w:sz w:val="20"/>
          <w:szCs w:val="20"/>
        </w:rPr>
      </w:pPr>
      <w:r>
        <w:rPr>
          <w:rFonts w:ascii="Century Gothic" w:hAnsi="Century Gothic"/>
          <w:bCs/>
          <w:sz w:val="20"/>
          <w:szCs w:val="20"/>
        </w:rPr>
        <w:t>In the context of cancer, data linkage</w:t>
      </w:r>
      <w:r w:rsidR="00012332">
        <w:rPr>
          <w:rFonts w:ascii="Century Gothic" w:hAnsi="Century Gothic"/>
          <w:bCs/>
          <w:sz w:val="20"/>
          <w:szCs w:val="20"/>
        </w:rPr>
        <w:t xml:space="preserve"> between these various datasets</w:t>
      </w:r>
      <w:r>
        <w:rPr>
          <w:rFonts w:ascii="Century Gothic" w:hAnsi="Century Gothic"/>
          <w:bCs/>
          <w:sz w:val="20"/>
          <w:szCs w:val="20"/>
        </w:rPr>
        <w:t xml:space="preserve"> could be </w:t>
      </w:r>
      <w:r w:rsidR="00043E2B">
        <w:rPr>
          <w:rFonts w:ascii="Century Gothic" w:hAnsi="Century Gothic"/>
          <w:bCs/>
          <w:sz w:val="20"/>
          <w:szCs w:val="20"/>
        </w:rPr>
        <w:t xml:space="preserve">better </w:t>
      </w:r>
      <w:r>
        <w:rPr>
          <w:rFonts w:ascii="Century Gothic" w:hAnsi="Century Gothic"/>
          <w:bCs/>
          <w:sz w:val="20"/>
          <w:szCs w:val="20"/>
        </w:rPr>
        <w:t>harnessed to look at relationships between incidence and mortality data</w:t>
      </w:r>
      <w:r w:rsidR="00BD5CB9">
        <w:rPr>
          <w:rFonts w:ascii="Century Gothic" w:hAnsi="Century Gothic"/>
          <w:bCs/>
          <w:sz w:val="20"/>
          <w:szCs w:val="20"/>
        </w:rPr>
        <w:t>,</w:t>
      </w:r>
      <w:r>
        <w:rPr>
          <w:rFonts w:ascii="Century Gothic" w:hAnsi="Century Gothic"/>
          <w:bCs/>
          <w:sz w:val="20"/>
          <w:szCs w:val="20"/>
        </w:rPr>
        <w:t xml:space="preserve"> and patient experience data (collected at the state/territory level) with patterns of MBS/PBS treatment </w:t>
      </w:r>
      <w:r>
        <w:rPr>
          <w:rFonts w:ascii="Century Gothic" w:hAnsi="Century Gothic"/>
          <w:bCs/>
          <w:sz w:val="20"/>
          <w:szCs w:val="20"/>
        </w:rPr>
        <w:lastRenderedPageBreak/>
        <w:t xml:space="preserve">data (collected by the Commonwealth). </w:t>
      </w:r>
      <w:r w:rsidR="00EA486D">
        <w:rPr>
          <w:rFonts w:ascii="Century Gothic" w:hAnsi="Century Gothic"/>
          <w:bCs/>
          <w:sz w:val="20"/>
          <w:szCs w:val="20"/>
        </w:rPr>
        <w:t>Any consideration of increasing the use of data linkage must</w:t>
      </w:r>
      <w:r w:rsidR="00BD5CB9">
        <w:rPr>
          <w:rFonts w:ascii="Century Gothic" w:hAnsi="Century Gothic"/>
          <w:bCs/>
          <w:sz w:val="20"/>
          <w:szCs w:val="20"/>
        </w:rPr>
        <w:t>,</w:t>
      </w:r>
      <w:r w:rsidR="00EA486D">
        <w:rPr>
          <w:rFonts w:ascii="Century Gothic" w:hAnsi="Century Gothic"/>
          <w:bCs/>
          <w:sz w:val="20"/>
          <w:szCs w:val="20"/>
        </w:rPr>
        <w:t xml:space="preserve"> therefore</w:t>
      </w:r>
      <w:r w:rsidR="00BD5CB9">
        <w:rPr>
          <w:rFonts w:ascii="Century Gothic" w:hAnsi="Century Gothic"/>
          <w:bCs/>
          <w:sz w:val="20"/>
          <w:szCs w:val="20"/>
        </w:rPr>
        <w:t>,</w:t>
      </w:r>
      <w:r w:rsidR="00EA486D">
        <w:rPr>
          <w:rFonts w:ascii="Century Gothic" w:hAnsi="Century Gothic"/>
          <w:bCs/>
          <w:sz w:val="20"/>
          <w:szCs w:val="20"/>
        </w:rPr>
        <w:t xml:space="preserve"> take into account ways to facilitate </w:t>
      </w:r>
      <w:r w:rsidR="0067248D" w:rsidRPr="00EA486D">
        <w:rPr>
          <w:rFonts w:ascii="Century Gothic" w:hAnsi="Century Gothic"/>
          <w:bCs/>
          <w:sz w:val="20"/>
          <w:szCs w:val="20"/>
        </w:rPr>
        <w:t>cross-jurisdictional linkage</w:t>
      </w:r>
      <w:r w:rsidR="00A75E13">
        <w:rPr>
          <w:rFonts w:ascii="Century Gothic" w:hAnsi="Century Gothic"/>
          <w:bCs/>
          <w:sz w:val="20"/>
          <w:szCs w:val="20"/>
        </w:rPr>
        <w:t>.</w:t>
      </w:r>
    </w:p>
    <w:p w:rsidR="00A22700" w:rsidRDefault="00A22700" w:rsidP="00A22700">
      <w:pPr>
        <w:pStyle w:val="Default"/>
        <w:spacing w:after="240" w:line="276" w:lineRule="auto"/>
        <w:rPr>
          <w:rFonts w:ascii="Century Gothic" w:hAnsi="Century Gothic"/>
          <w:bCs/>
          <w:sz w:val="20"/>
          <w:szCs w:val="20"/>
        </w:rPr>
      </w:pPr>
    </w:p>
    <w:p w:rsidR="00A22700" w:rsidRPr="00153799" w:rsidRDefault="00A22700" w:rsidP="00A22700">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b/>
          <w:i/>
          <w:sz w:val="20"/>
          <w:szCs w:val="20"/>
        </w:rPr>
      </w:pPr>
      <w:r w:rsidRPr="00F02229">
        <w:rPr>
          <w:rFonts w:ascii="Century Gothic" w:hAnsi="Century Gothic" w:cs="Calibri"/>
          <w:b/>
          <w:i/>
          <w:sz w:val="20"/>
          <w:szCs w:val="20"/>
        </w:rPr>
        <w:t>Best Practice Examples</w:t>
      </w:r>
    </w:p>
    <w:p w:rsidR="00CC245F" w:rsidRPr="00C74515" w:rsidRDefault="00CC245F" w:rsidP="00CC245F">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i/>
          <w:sz w:val="20"/>
          <w:szCs w:val="20"/>
        </w:rPr>
      </w:pPr>
      <w:r>
        <w:rPr>
          <w:rFonts w:ascii="Century Gothic" w:hAnsi="Century Gothic" w:cs="Calibri"/>
          <w:i/>
          <w:sz w:val="20"/>
          <w:szCs w:val="20"/>
        </w:rPr>
        <w:t>State/Territory data linkage centres</w:t>
      </w:r>
    </w:p>
    <w:p w:rsidR="00CC245F" w:rsidRDefault="00CC245F" w:rsidP="00D95AA0">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Calibri"/>
          <w:sz w:val="20"/>
          <w:szCs w:val="20"/>
        </w:rPr>
      </w:pPr>
      <w:r>
        <w:rPr>
          <w:rFonts w:ascii="Century Gothic" w:hAnsi="Century Gothic" w:cs="Calibri"/>
          <w:sz w:val="20"/>
          <w:szCs w:val="20"/>
        </w:rPr>
        <w:t>The SA NT datalink was established in 2009 as a collaboration between the Northern Territory and South Australia</w:t>
      </w:r>
      <w:r w:rsidR="00BD5CB9">
        <w:rPr>
          <w:rFonts w:ascii="Century Gothic" w:hAnsi="Century Gothic" w:cs="Calibri"/>
          <w:sz w:val="20"/>
          <w:szCs w:val="20"/>
        </w:rPr>
        <w:t>n</w:t>
      </w:r>
      <w:r>
        <w:rPr>
          <w:rFonts w:ascii="Century Gothic" w:hAnsi="Century Gothic" w:cs="Calibri"/>
          <w:sz w:val="20"/>
          <w:szCs w:val="20"/>
        </w:rPr>
        <w:t xml:space="preserve"> partners</w:t>
      </w:r>
      <w:r w:rsidR="00326048" w:rsidRPr="00B30FFD">
        <w:rPr>
          <w:rFonts w:ascii="Century Gothic" w:hAnsi="Century Gothic" w:cs="Calibri"/>
          <w:sz w:val="20"/>
          <w:szCs w:val="20"/>
          <w:vertAlign w:val="superscript"/>
        </w:rPr>
        <w:t>1</w:t>
      </w:r>
      <w:r w:rsidR="00326048">
        <w:rPr>
          <w:rFonts w:ascii="Century Gothic" w:hAnsi="Century Gothic" w:cs="Calibri"/>
          <w:sz w:val="20"/>
          <w:szCs w:val="20"/>
          <w:vertAlign w:val="superscript"/>
        </w:rPr>
        <w:t>4</w:t>
      </w:r>
      <w:r>
        <w:rPr>
          <w:rFonts w:ascii="Century Gothic" w:hAnsi="Century Gothic" w:cs="Calibri"/>
          <w:sz w:val="20"/>
          <w:szCs w:val="20"/>
        </w:rPr>
        <w:t xml:space="preserve">. The linkage centre enables the integration of administrative and clinical datasets with the aim to provide evidence base for researchers and policy makers to better understand and monitor the population health and wellbeing impacts of policy and investment decision for South Australians and Northern Territorians. </w:t>
      </w:r>
    </w:p>
    <w:p w:rsidR="00CC245F" w:rsidRDefault="00CC245F" w:rsidP="00D95AA0">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0"/>
          <w:szCs w:val="20"/>
        </w:rPr>
      </w:pPr>
      <w:r>
        <w:rPr>
          <w:rFonts w:ascii="Century Gothic" w:hAnsi="Century Gothic" w:cs="Calibri"/>
          <w:sz w:val="20"/>
          <w:szCs w:val="20"/>
        </w:rPr>
        <w:t>The WA Data Linkage Centre was established in 1995 as a collaboration between four agencies: Department of Health WA, University of Western Australia, Telethon Kids Institute and Curtin University</w:t>
      </w:r>
      <w:r w:rsidR="00326048">
        <w:rPr>
          <w:rFonts w:ascii="Century Gothic" w:hAnsi="Century Gothic" w:cs="Calibri"/>
          <w:sz w:val="20"/>
          <w:szCs w:val="20"/>
          <w:vertAlign w:val="superscript"/>
        </w:rPr>
        <w:t>15</w:t>
      </w:r>
      <w:r>
        <w:rPr>
          <w:rFonts w:ascii="Century Gothic" w:hAnsi="Century Gothic" w:cs="Calibri"/>
          <w:sz w:val="20"/>
          <w:szCs w:val="20"/>
        </w:rPr>
        <w:t>. The linkage centre develops and maintains a system of linkages connecting data about health events across all individuals in Western Australia.</w:t>
      </w:r>
    </w:p>
    <w:p w:rsidR="00A22700" w:rsidRDefault="00A22700" w:rsidP="00EA486D">
      <w:pPr>
        <w:pStyle w:val="Default"/>
        <w:spacing w:line="276" w:lineRule="auto"/>
        <w:rPr>
          <w:rFonts w:ascii="Century Gothic" w:hAnsi="Century Gothic"/>
          <w:bCs/>
          <w:sz w:val="20"/>
          <w:szCs w:val="20"/>
        </w:rPr>
      </w:pPr>
    </w:p>
    <w:p w:rsidR="0067248D" w:rsidRDefault="0067248D" w:rsidP="00034447">
      <w:pPr>
        <w:pStyle w:val="Default"/>
        <w:spacing w:line="276" w:lineRule="auto"/>
        <w:rPr>
          <w:rFonts w:ascii="Century Gothic" w:hAnsi="Century Gothic"/>
          <w:bCs/>
          <w:sz w:val="20"/>
          <w:szCs w:val="20"/>
        </w:rPr>
      </w:pPr>
    </w:p>
    <w:p w:rsidR="00C203C1" w:rsidRPr="00FF6F6E" w:rsidRDefault="00C203C1" w:rsidP="00C203C1">
      <w:pPr>
        <w:spacing w:after="200" w:line="276" w:lineRule="auto"/>
        <w:rPr>
          <w:rFonts w:ascii="Century Gothic" w:hAnsi="Century Gothic" w:cs="Calibri"/>
          <w:sz w:val="20"/>
          <w:szCs w:val="20"/>
        </w:rPr>
      </w:pPr>
      <w:r>
        <w:rPr>
          <w:rFonts w:ascii="Century Gothic" w:hAnsi="Century Gothic" w:cs="Calibri"/>
          <w:b/>
          <w:color w:val="C00000"/>
        </w:rPr>
        <w:t xml:space="preserve">Terms of Reference 2: Availability of Private Sector data </w:t>
      </w:r>
    </w:p>
    <w:p w:rsidR="001F19B9" w:rsidRDefault="001F19B9" w:rsidP="00B21628">
      <w:pPr>
        <w:spacing w:after="200" w:line="276" w:lineRule="auto"/>
        <w:rPr>
          <w:rFonts w:ascii="Century Gothic" w:hAnsi="Century Gothic" w:cs="Calibri"/>
          <w:sz w:val="20"/>
          <w:szCs w:val="20"/>
        </w:rPr>
      </w:pPr>
      <w:r>
        <w:rPr>
          <w:rFonts w:ascii="Century Gothic" w:hAnsi="Century Gothic" w:cs="Calibri"/>
          <w:sz w:val="20"/>
          <w:szCs w:val="20"/>
        </w:rPr>
        <w:t>Terms of Reference 2 of the Inquiry is to examine the benefits and costs of options for increasing availability of private sector data for other private sector firms, the public sector, research sector, academia and the community.</w:t>
      </w:r>
    </w:p>
    <w:p w:rsidR="00D077CC" w:rsidRDefault="00327E24" w:rsidP="00B21628">
      <w:pPr>
        <w:spacing w:after="200" w:line="276" w:lineRule="auto"/>
        <w:rPr>
          <w:rFonts w:ascii="Century Gothic" w:hAnsi="Century Gothic" w:cs="Calibri"/>
          <w:sz w:val="20"/>
          <w:szCs w:val="20"/>
        </w:rPr>
      </w:pPr>
      <w:r>
        <w:rPr>
          <w:rFonts w:ascii="Century Gothic" w:hAnsi="Century Gothic" w:cs="Calibri"/>
          <w:sz w:val="20"/>
          <w:szCs w:val="20"/>
        </w:rPr>
        <w:t xml:space="preserve">Many of the issues mentioned in this submission apply to data generated in both the public and private health sectors. </w:t>
      </w:r>
      <w:r w:rsidR="00EF6C58">
        <w:rPr>
          <w:rFonts w:ascii="Century Gothic" w:hAnsi="Century Gothic" w:cs="Calibri"/>
          <w:sz w:val="20"/>
          <w:szCs w:val="20"/>
        </w:rPr>
        <w:t>More than 50%</w:t>
      </w:r>
      <w:r w:rsidR="00682190">
        <w:rPr>
          <w:rFonts w:ascii="Century Gothic" w:hAnsi="Century Gothic" w:cs="Calibri"/>
          <w:sz w:val="20"/>
          <w:szCs w:val="20"/>
        </w:rPr>
        <w:t xml:space="preserve"> of cancer care is provided in the private health sector.</w:t>
      </w:r>
      <w:r w:rsidR="00921041">
        <w:rPr>
          <w:rFonts w:ascii="Century Gothic" w:hAnsi="Century Gothic" w:cs="Calibri"/>
          <w:sz w:val="20"/>
          <w:szCs w:val="20"/>
        </w:rPr>
        <w:t xml:space="preserve"> </w:t>
      </w:r>
      <w:r w:rsidR="00682190">
        <w:rPr>
          <w:rFonts w:ascii="Century Gothic" w:hAnsi="Century Gothic" w:cs="Calibri"/>
          <w:sz w:val="20"/>
          <w:szCs w:val="20"/>
        </w:rPr>
        <w:t xml:space="preserve">Additionally, </w:t>
      </w:r>
      <w:r w:rsidR="00921041">
        <w:rPr>
          <w:rFonts w:ascii="Century Gothic" w:hAnsi="Century Gothic" w:cs="Calibri"/>
          <w:sz w:val="20"/>
          <w:szCs w:val="20"/>
        </w:rPr>
        <w:t>patients</w:t>
      </w:r>
      <w:r w:rsidR="00682190">
        <w:rPr>
          <w:rFonts w:ascii="Century Gothic" w:hAnsi="Century Gothic" w:cs="Calibri"/>
          <w:sz w:val="20"/>
          <w:szCs w:val="20"/>
        </w:rPr>
        <w:t xml:space="preserve"> often move</w:t>
      </w:r>
      <w:r w:rsidR="00921041">
        <w:rPr>
          <w:rFonts w:ascii="Century Gothic" w:hAnsi="Century Gothic" w:cs="Calibri"/>
          <w:sz w:val="20"/>
          <w:szCs w:val="20"/>
        </w:rPr>
        <w:t xml:space="preserve"> between the private and public sectors at different times during the course of treatment. </w:t>
      </w:r>
      <w:r w:rsidR="00D33988">
        <w:rPr>
          <w:rFonts w:ascii="Century Gothic" w:hAnsi="Century Gothic" w:cs="Calibri"/>
          <w:sz w:val="20"/>
          <w:szCs w:val="20"/>
        </w:rPr>
        <w:t>Accessing</w:t>
      </w:r>
      <w:r w:rsidR="00EB2C17">
        <w:rPr>
          <w:rFonts w:ascii="Century Gothic" w:hAnsi="Century Gothic" w:cs="Calibri"/>
          <w:sz w:val="20"/>
          <w:szCs w:val="20"/>
        </w:rPr>
        <w:t xml:space="preserve"> and using private health sector data is thus critical to </w:t>
      </w:r>
      <w:r w:rsidR="00C26A26">
        <w:rPr>
          <w:rFonts w:ascii="Century Gothic" w:hAnsi="Century Gothic" w:cs="Calibri"/>
          <w:sz w:val="20"/>
          <w:szCs w:val="20"/>
        </w:rPr>
        <w:t xml:space="preserve">better </w:t>
      </w:r>
      <w:r w:rsidR="00EF6C58">
        <w:rPr>
          <w:rFonts w:ascii="Century Gothic" w:hAnsi="Century Gothic" w:cs="Calibri"/>
          <w:sz w:val="20"/>
          <w:szCs w:val="20"/>
        </w:rPr>
        <w:t>understanding cancer care</w:t>
      </w:r>
      <w:r w:rsidR="00EB2C17">
        <w:rPr>
          <w:rFonts w:ascii="Century Gothic" w:hAnsi="Century Gothic" w:cs="Calibri"/>
          <w:sz w:val="20"/>
          <w:szCs w:val="20"/>
        </w:rPr>
        <w:t xml:space="preserve"> in Australia</w:t>
      </w:r>
      <w:r w:rsidR="00C26A26">
        <w:rPr>
          <w:rFonts w:ascii="Century Gothic" w:hAnsi="Century Gothic" w:cs="Calibri"/>
          <w:sz w:val="20"/>
          <w:szCs w:val="20"/>
        </w:rPr>
        <w:t>, and in particular the costs of cancer care to both the patient and the health system overall</w:t>
      </w:r>
      <w:r w:rsidR="00EB2C17">
        <w:rPr>
          <w:rFonts w:ascii="Century Gothic" w:hAnsi="Century Gothic" w:cs="Calibri"/>
          <w:sz w:val="20"/>
          <w:szCs w:val="20"/>
        </w:rPr>
        <w:t>.</w:t>
      </w:r>
    </w:p>
    <w:p w:rsidR="00C25172" w:rsidRDefault="00B21628" w:rsidP="00B21628">
      <w:pPr>
        <w:spacing w:after="200" w:line="276" w:lineRule="auto"/>
        <w:rPr>
          <w:rFonts w:ascii="Century Gothic" w:hAnsi="Century Gothic" w:cs="Calibri"/>
          <w:sz w:val="20"/>
          <w:szCs w:val="20"/>
        </w:rPr>
      </w:pPr>
      <w:r>
        <w:rPr>
          <w:rFonts w:ascii="Century Gothic" w:hAnsi="Century Gothic" w:cs="Calibri"/>
          <w:sz w:val="20"/>
          <w:szCs w:val="20"/>
        </w:rPr>
        <w:t>Certain d</w:t>
      </w:r>
      <w:r w:rsidRPr="00B21628">
        <w:rPr>
          <w:rFonts w:ascii="Century Gothic" w:hAnsi="Century Gothic" w:cs="Calibri"/>
          <w:sz w:val="20"/>
          <w:szCs w:val="20"/>
        </w:rPr>
        <w:t xml:space="preserve">ata </w:t>
      </w:r>
      <w:r>
        <w:rPr>
          <w:rFonts w:ascii="Century Gothic" w:hAnsi="Century Gothic" w:cs="Calibri"/>
          <w:sz w:val="20"/>
          <w:szCs w:val="20"/>
        </w:rPr>
        <w:t xml:space="preserve">collected </w:t>
      </w:r>
      <w:r w:rsidRPr="00B21628">
        <w:rPr>
          <w:rFonts w:ascii="Century Gothic" w:hAnsi="Century Gothic" w:cs="Calibri"/>
          <w:sz w:val="20"/>
          <w:szCs w:val="20"/>
        </w:rPr>
        <w:t>in the private health</w:t>
      </w:r>
      <w:r w:rsidR="00982A5F">
        <w:rPr>
          <w:rFonts w:ascii="Century Gothic" w:hAnsi="Century Gothic" w:cs="Calibri"/>
          <w:sz w:val="20"/>
          <w:szCs w:val="20"/>
        </w:rPr>
        <w:t xml:space="preserve"> </w:t>
      </w:r>
      <w:r w:rsidRPr="00B21628">
        <w:rPr>
          <w:rFonts w:ascii="Century Gothic" w:hAnsi="Century Gothic" w:cs="Calibri"/>
          <w:sz w:val="20"/>
          <w:szCs w:val="20"/>
        </w:rPr>
        <w:t xml:space="preserve">sector </w:t>
      </w:r>
      <w:r w:rsidR="00BD5CB9">
        <w:rPr>
          <w:rFonts w:ascii="Century Gothic" w:hAnsi="Century Gothic" w:cs="Calibri"/>
          <w:sz w:val="20"/>
          <w:szCs w:val="20"/>
        </w:rPr>
        <w:t>are</w:t>
      </w:r>
      <w:r w:rsidRPr="00B21628">
        <w:rPr>
          <w:rFonts w:ascii="Century Gothic" w:hAnsi="Century Gothic" w:cs="Calibri"/>
          <w:sz w:val="20"/>
          <w:szCs w:val="20"/>
        </w:rPr>
        <w:t xml:space="preserve"> commercially valuable</w:t>
      </w:r>
      <w:r w:rsidR="00043E2B">
        <w:rPr>
          <w:rFonts w:ascii="Century Gothic" w:hAnsi="Century Gothic" w:cs="Calibri"/>
          <w:sz w:val="20"/>
          <w:szCs w:val="20"/>
        </w:rPr>
        <w:t xml:space="preserve"> (e.g. the outcomes of clinical trials </w:t>
      </w:r>
      <w:r w:rsidR="009670E8">
        <w:rPr>
          <w:rFonts w:ascii="Century Gothic" w:hAnsi="Century Gothic" w:cs="Calibri"/>
          <w:sz w:val="20"/>
          <w:szCs w:val="20"/>
        </w:rPr>
        <w:t>in the development of cancer medicines</w:t>
      </w:r>
      <w:r w:rsidR="00043E2B">
        <w:rPr>
          <w:rFonts w:ascii="Century Gothic" w:hAnsi="Century Gothic" w:cs="Calibri"/>
          <w:sz w:val="20"/>
          <w:szCs w:val="20"/>
        </w:rPr>
        <w:t>)</w:t>
      </w:r>
      <w:r w:rsidRPr="00B21628">
        <w:rPr>
          <w:rFonts w:ascii="Century Gothic" w:hAnsi="Century Gothic" w:cs="Calibri"/>
          <w:sz w:val="20"/>
          <w:szCs w:val="20"/>
        </w:rPr>
        <w:t xml:space="preserve"> </w:t>
      </w:r>
      <w:r w:rsidR="00982A5F">
        <w:rPr>
          <w:rFonts w:ascii="Century Gothic" w:hAnsi="Century Gothic" w:cs="Calibri"/>
          <w:sz w:val="20"/>
          <w:szCs w:val="20"/>
        </w:rPr>
        <w:t>and</w:t>
      </w:r>
      <w:r w:rsidRPr="00B21628">
        <w:rPr>
          <w:rFonts w:ascii="Century Gothic" w:hAnsi="Century Gothic" w:cs="Calibri"/>
          <w:sz w:val="20"/>
          <w:szCs w:val="20"/>
        </w:rPr>
        <w:t xml:space="preserve"> also a repository of great public value for the development of best practice </w:t>
      </w:r>
      <w:r w:rsidR="00D43C5F">
        <w:rPr>
          <w:rFonts w:ascii="Century Gothic" w:hAnsi="Century Gothic" w:cs="Calibri"/>
          <w:sz w:val="20"/>
          <w:szCs w:val="20"/>
        </w:rPr>
        <w:t xml:space="preserve">care </w:t>
      </w:r>
      <w:r w:rsidRPr="00B21628">
        <w:rPr>
          <w:rFonts w:ascii="Century Gothic" w:hAnsi="Century Gothic" w:cs="Calibri"/>
          <w:sz w:val="20"/>
          <w:szCs w:val="20"/>
        </w:rPr>
        <w:t>and policy</w:t>
      </w:r>
      <w:r w:rsidR="00C8193D">
        <w:rPr>
          <w:rFonts w:ascii="Century Gothic" w:hAnsi="Century Gothic" w:cs="Calibri"/>
          <w:sz w:val="20"/>
          <w:szCs w:val="20"/>
        </w:rPr>
        <w:t xml:space="preserve"> decision</w:t>
      </w:r>
      <w:r w:rsidR="00BD5CB9">
        <w:rPr>
          <w:rFonts w:ascii="Century Gothic" w:hAnsi="Century Gothic" w:cs="Calibri"/>
          <w:sz w:val="20"/>
          <w:szCs w:val="20"/>
        </w:rPr>
        <w:t>-</w:t>
      </w:r>
      <w:r w:rsidR="00C8193D">
        <w:rPr>
          <w:rFonts w:ascii="Century Gothic" w:hAnsi="Century Gothic" w:cs="Calibri"/>
          <w:sz w:val="20"/>
          <w:szCs w:val="20"/>
        </w:rPr>
        <w:t>making</w:t>
      </w:r>
      <w:r w:rsidR="00E87266">
        <w:rPr>
          <w:rFonts w:ascii="Century Gothic" w:hAnsi="Century Gothic" w:cs="Calibri"/>
          <w:sz w:val="20"/>
          <w:szCs w:val="20"/>
        </w:rPr>
        <w:t xml:space="preserve"> (e.g.</w:t>
      </w:r>
      <w:r w:rsidR="009670E8">
        <w:rPr>
          <w:rFonts w:ascii="Century Gothic" w:hAnsi="Century Gothic" w:cs="Calibri"/>
          <w:sz w:val="20"/>
          <w:szCs w:val="20"/>
        </w:rPr>
        <w:t xml:space="preserve"> </w:t>
      </w:r>
      <w:r w:rsidR="00312A4B">
        <w:rPr>
          <w:rFonts w:ascii="Century Gothic" w:hAnsi="Century Gothic" w:cs="Calibri"/>
          <w:sz w:val="20"/>
          <w:szCs w:val="20"/>
        </w:rPr>
        <w:t xml:space="preserve">data on patient experiences collected by </w:t>
      </w:r>
      <w:r w:rsidR="00D34100">
        <w:rPr>
          <w:rFonts w:ascii="Century Gothic" w:hAnsi="Century Gothic" w:cs="Calibri"/>
          <w:sz w:val="20"/>
          <w:szCs w:val="20"/>
        </w:rPr>
        <w:t>private</w:t>
      </w:r>
      <w:r w:rsidR="00312A4B">
        <w:rPr>
          <w:rFonts w:ascii="Century Gothic" w:hAnsi="Century Gothic" w:cs="Calibri"/>
          <w:sz w:val="20"/>
          <w:szCs w:val="20"/>
        </w:rPr>
        <w:t xml:space="preserve"> hospitals)</w:t>
      </w:r>
      <w:r w:rsidRPr="00B21628">
        <w:rPr>
          <w:rFonts w:ascii="Century Gothic" w:hAnsi="Century Gothic" w:cs="Calibri"/>
          <w:sz w:val="20"/>
          <w:szCs w:val="20"/>
        </w:rPr>
        <w:t>.</w:t>
      </w:r>
      <w:r w:rsidR="00C25172">
        <w:rPr>
          <w:rFonts w:ascii="Century Gothic" w:hAnsi="Century Gothic" w:cs="Calibri"/>
          <w:sz w:val="20"/>
          <w:szCs w:val="20"/>
        </w:rPr>
        <w:t xml:space="preserve"> </w:t>
      </w:r>
      <w:r w:rsidR="0073754E">
        <w:rPr>
          <w:rFonts w:ascii="Century Gothic" w:hAnsi="Century Gothic" w:cs="Calibri"/>
          <w:sz w:val="20"/>
          <w:szCs w:val="20"/>
        </w:rPr>
        <w:t>Greater a</w:t>
      </w:r>
      <w:r w:rsidR="00982A5F" w:rsidRPr="00B21628">
        <w:rPr>
          <w:rFonts w:ascii="Century Gothic" w:hAnsi="Century Gothic" w:cs="Calibri"/>
          <w:sz w:val="20"/>
          <w:szCs w:val="20"/>
        </w:rPr>
        <w:t xml:space="preserve">ccess to private sector data </w:t>
      </w:r>
      <w:r w:rsidR="006357A2">
        <w:rPr>
          <w:rFonts w:ascii="Century Gothic" w:hAnsi="Century Gothic" w:cs="Calibri"/>
          <w:sz w:val="20"/>
          <w:szCs w:val="20"/>
        </w:rPr>
        <w:t xml:space="preserve">would </w:t>
      </w:r>
      <w:r w:rsidR="00982A5F" w:rsidRPr="00B21628">
        <w:rPr>
          <w:rFonts w:ascii="Century Gothic" w:hAnsi="Century Gothic" w:cs="Calibri"/>
          <w:sz w:val="20"/>
          <w:szCs w:val="20"/>
        </w:rPr>
        <w:t xml:space="preserve">increase the amount of available </w:t>
      </w:r>
      <w:r w:rsidR="006357A2">
        <w:rPr>
          <w:rFonts w:ascii="Century Gothic" w:hAnsi="Century Gothic" w:cs="Calibri"/>
          <w:sz w:val="20"/>
          <w:szCs w:val="20"/>
        </w:rPr>
        <w:t>information</w:t>
      </w:r>
      <w:r w:rsidR="00982A5F" w:rsidRPr="00B21628">
        <w:rPr>
          <w:rFonts w:ascii="Century Gothic" w:hAnsi="Century Gothic" w:cs="Calibri"/>
          <w:sz w:val="20"/>
          <w:szCs w:val="20"/>
        </w:rPr>
        <w:t xml:space="preserve"> to combine with public sector data. This would </w:t>
      </w:r>
      <w:r w:rsidR="0046022B">
        <w:rPr>
          <w:rFonts w:ascii="Century Gothic" w:hAnsi="Century Gothic" w:cs="Calibri"/>
          <w:sz w:val="20"/>
          <w:szCs w:val="20"/>
        </w:rPr>
        <w:t>provide governments with access to different types of data not currently accessible, as well as</w:t>
      </w:r>
      <w:r w:rsidR="00982A5F" w:rsidRPr="00B21628">
        <w:rPr>
          <w:rFonts w:ascii="Century Gothic" w:hAnsi="Century Gothic" w:cs="Calibri"/>
          <w:sz w:val="20"/>
          <w:szCs w:val="20"/>
        </w:rPr>
        <w:t xml:space="preserve"> more statistical </w:t>
      </w:r>
      <w:r w:rsidR="006357A2">
        <w:rPr>
          <w:rFonts w:ascii="Century Gothic" w:hAnsi="Century Gothic" w:cs="Calibri"/>
          <w:sz w:val="20"/>
          <w:szCs w:val="20"/>
        </w:rPr>
        <w:t>power</w:t>
      </w:r>
      <w:r w:rsidR="00982A5F" w:rsidRPr="00B21628">
        <w:rPr>
          <w:rFonts w:ascii="Century Gothic" w:hAnsi="Century Gothic" w:cs="Calibri"/>
          <w:sz w:val="20"/>
          <w:szCs w:val="20"/>
        </w:rPr>
        <w:t xml:space="preserve"> for decision</w:t>
      </w:r>
      <w:r w:rsidR="00BD5CB9">
        <w:rPr>
          <w:rFonts w:ascii="Century Gothic" w:hAnsi="Century Gothic" w:cs="Calibri"/>
          <w:sz w:val="20"/>
          <w:szCs w:val="20"/>
        </w:rPr>
        <w:t>-</w:t>
      </w:r>
      <w:r w:rsidR="00982A5F" w:rsidRPr="00B21628">
        <w:rPr>
          <w:rFonts w:ascii="Century Gothic" w:hAnsi="Century Gothic" w:cs="Calibri"/>
          <w:sz w:val="20"/>
          <w:szCs w:val="20"/>
        </w:rPr>
        <w:t>making in health</w:t>
      </w:r>
      <w:r w:rsidR="0046022B">
        <w:rPr>
          <w:rFonts w:ascii="Century Gothic" w:hAnsi="Century Gothic" w:cs="Calibri"/>
          <w:sz w:val="20"/>
          <w:szCs w:val="20"/>
        </w:rPr>
        <w:t xml:space="preserve"> via larger </w:t>
      </w:r>
      <w:r w:rsidR="00A80975">
        <w:rPr>
          <w:rFonts w:ascii="Century Gothic" w:hAnsi="Century Gothic" w:cs="Calibri"/>
          <w:sz w:val="20"/>
          <w:szCs w:val="20"/>
        </w:rPr>
        <w:t xml:space="preserve">combined </w:t>
      </w:r>
      <w:r w:rsidR="0046022B">
        <w:rPr>
          <w:rFonts w:ascii="Century Gothic" w:hAnsi="Century Gothic" w:cs="Calibri"/>
          <w:sz w:val="20"/>
          <w:szCs w:val="20"/>
        </w:rPr>
        <w:t>datasets</w:t>
      </w:r>
      <w:r w:rsidR="00982A5F" w:rsidRPr="00B21628">
        <w:rPr>
          <w:rFonts w:ascii="Century Gothic" w:hAnsi="Century Gothic" w:cs="Calibri"/>
          <w:sz w:val="20"/>
          <w:szCs w:val="20"/>
        </w:rPr>
        <w:t>. Access to</w:t>
      </w:r>
      <w:r w:rsidR="00BD5CB9">
        <w:rPr>
          <w:rFonts w:ascii="Century Gothic" w:hAnsi="Century Gothic" w:cs="Calibri"/>
          <w:sz w:val="20"/>
          <w:szCs w:val="20"/>
        </w:rPr>
        <w:t>,</w:t>
      </w:r>
      <w:r w:rsidR="00982A5F" w:rsidRPr="00B21628">
        <w:rPr>
          <w:rFonts w:ascii="Century Gothic" w:hAnsi="Century Gothic" w:cs="Calibri"/>
          <w:sz w:val="20"/>
          <w:szCs w:val="20"/>
        </w:rPr>
        <w:t xml:space="preserve"> </w:t>
      </w:r>
      <w:r w:rsidR="00982A5F">
        <w:rPr>
          <w:rFonts w:ascii="Century Gothic" w:hAnsi="Century Gothic" w:cs="Calibri"/>
          <w:sz w:val="20"/>
          <w:szCs w:val="20"/>
        </w:rPr>
        <w:t>and inclusion of standardis</w:t>
      </w:r>
      <w:r w:rsidR="00982A5F" w:rsidRPr="00B21628">
        <w:rPr>
          <w:rFonts w:ascii="Century Gothic" w:hAnsi="Century Gothic" w:cs="Calibri"/>
          <w:sz w:val="20"/>
          <w:szCs w:val="20"/>
        </w:rPr>
        <w:t>ed private sector data with matching public sector data</w:t>
      </w:r>
      <w:r w:rsidR="00BD5CB9">
        <w:rPr>
          <w:rFonts w:ascii="Century Gothic" w:hAnsi="Century Gothic" w:cs="Calibri"/>
          <w:sz w:val="20"/>
          <w:szCs w:val="20"/>
        </w:rPr>
        <w:t>,</w:t>
      </w:r>
      <w:r w:rsidR="00982A5F" w:rsidRPr="00B21628">
        <w:rPr>
          <w:rFonts w:ascii="Century Gothic" w:hAnsi="Century Gothic" w:cs="Calibri"/>
          <w:sz w:val="20"/>
          <w:szCs w:val="20"/>
        </w:rPr>
        <w:t xml:space="preserve"> is </w:t>
      </w:r>
      <w:r w:rsidR="00C06E5D">
        <w:rPr>
          <w:rFonts w:ascii="Century Gothic" w:hAnsi="Century Gothic" w:cs="Calibri"/>
          <w:sz w:val="20"/>
          <w:szCs w:val="20"/>
        </w:rPr>
        <w:t>important</w:t>
      </w:r>
      <w:r w:rsidR="00C06E5D" w:rsidRPr="00B21628">
        <w:rPr>
          <w:rFonts w:ascii="Century Gothic" w:hAnsi="Century Gothic" w:cs="Calibri"/>
          <w:sz w:val="20"/>
          <w:szCs w:val="20"/>
        </w:rPr>
        <w:t xml:space="preserve"> </w:t>
      </w:r>
      <w:r w:rsidR="00982A5F" w:rsidRPr="00B21628">
        <w:rPr>
          <w:rFonts w:ascii="Century Gothic" w:hAnsi="Century Gothic" w:cs="Calibri"/>
          <w:sz w:val="20"/>
          <w:szCs w:val="20"/>
        </w:rPr>
        <w:t>to assist evidence-based decision</w:t>
      </w:r>
      <w:r w:rsidR="00BD5CB9">
        <w:rPr>
          <w:rFonts w:ascii="Century Gothic" w:hAnsi="Century Gothic" w:cs="Calibri"/>
          <w:sz w:val="20"/>
          <w:szCs w:val="20"/>
        </w:rPr>
        <w:t>-</w:t>
      </w:r>
      <w:r w:rsidR="00982A5F" w:rsidRPr="00B21628">
        <w:rPr>
          <w:rFonts w:ascii="Century Gothic" w:hAnsi="Century Gothic" w:cs="Calibri"/>
          <w:sz w:val="20"/>
          <w:szCs w:val="20"/>
        </w:rPr>
        <w:t xml:space="preserve">making to improve cancer </w:t>
      </w:r>
      <w:r w:rsidR="006357A2">
        <w:rPr>
          <w:rFonts w:ascii="Century Gothic" w:hAnsi="Century Gothic" w:cs="Calibri"/>
          <w:sz w:val="20"/>
          <w:szCs w:val="20"/>
        </w:rPr>
        <w:t>control across the continuum</w:t>
      </w:r>
      <w:r w:rsidR="00982A5F" w:rsidRPr="00B21628">
        <w:rPr>
          <w:rFonts w:ascii="Century Gothic" w:hAnsi="Century Gothic" w:cs="Calibri"/>
          <w:sz w:val="20"/>
          <w:szCs w:val="20"/>
        </w:rPr>
        <w:t xml:space="preserve">. </w:t>
      </w:r>
    </w:p>
    <w:p w:rsidR="00982A5F" w:rsidRDefault="00982A5F" w:rsidP="00C678B1">
      <w:pPr>
        <w:spacing w:after="200" w:line="276" w:lineRule="auto"/>
        <w:rPr>
          <w:rFonts w:ascii="Century Gothic" w:hAnsi="Century Gothic" w:cs="Calibri"/>
          <w:sz w:val="20"/>
          <w:szCs w:val="20"/>
        </w:rPr>
      </w:pPr>
      <w:r>
        <w:rPr>
          <w:rFonts w:ascii="Century Gothic" w:hAnsi="Century Gothic" w:cs="Calibri"/>
          <w:sz w:val="20"/>
          <w:szCs w:val="20"/>
        </w:rPr>
        <w:t xml:space="preserve">An example of progress being made in this area is in </w:t>
      </w:r>
      <w:r w:rsidRPr="00B21628">
        <w:rPr>
          <w:rFonts w:ascii="Century Gothic" w:hAnsi="Century Gothic" w:cs="Calibri"/>
          <w:sz w:val="20"/>
          <w:szCs w:val="20"/>
        </w:rPr>
        <w:t xml:space="preserve">the use of structured </w:t>
      </w:r>
      <w:r>
        <w:rPr>
          <w:rFonts w:ascii="Century Gothic" w:hAnsi="Century Gothic" w:cs="Calibri"/>
          <w:sz w:val="20"/>
          <w:szCs w:val="20"/>
        </w:rPr>
        <w:t xml:space="preserve">pathology </w:t>
      </w:r>
      <w:r w:rsidRPr="00B21628">
        <w:rPr>
          <w:rFonts w:ascii="Century Gothic" w:hAnsi="Century Gothic" w:cs="Calibri"/>
          <w:sz w:val="20"/>
          <w:szCs w:val="20"/>
        </w:rPr>
        <w:t>reporting of cancer</w:t>
      </w:r>
      <w:r>
        <w:rPr>
          <w:rFonts w:ascii="Century Gothic" w:hAnsi="Century Gothic" w:cs="Calibri"/>
          <w:sz w:val="20"/>
          <w:szCs w:val="20"/>
        </w:rPr>
        <w:t>,</w:t>
      </w:r>
      <w:r w:rsidRPr="00B21628">
        <w:rPr>
          <w:rFonts w:ascii="Century Gothic" w:hAnsi="Century Gothic" w:cs="Calibri"/>
          <w:sz w:val="20"/>
          <w:szCs w:val="20"/>
        </w:rPr>
        <w:t xml:space="preserve"> </w:t>
      </w:r>
      <w:r>
        <w:rPr>
          <w:rFonts w:ascii="Century Gothic" w:hAnsi="Century Gothic" w:cs="Calibri"/>
          <w:sz w:val="20"/>
          <w:szCs w:val="20"/>
        </w:rPr>
        <w:t xml:space="preserve">funded by the Commonwealth </w:t>
      </w:r>
      <w:r w:rsidRPr="00B21628">
        <w:rPr>
          <w:rFonts w:ascii="Century Gothic" w:hAnsi="Century Gothic" w:cs="Calibri"/>
          <w:sz w:val="20"/>
          <w:szCs w:val="20"/>
        </w:rPr>
        <w:t>Department of Health</w:t>
      </w:r>
      <w:r w:rsidR="00A80975" w:rsidRPr="00A80975">
        <w:rPr>
          <w:rFonts w:ascii="Century Gothic" w:hAnsi="Century Gothic" w:cs="Calibri"/>
          <w:sz w:val="20"/>
          <w:szCs w:val="20"/>
          <w:vertAlign w:val="superscript"/>
        </w:rPr>
        <w:t>1</w:t>
      </w:r>
      <w:r w:rsidR="00326048">
        <w:rPr>
          <w:rFonts w:ascii="Century Gothic" w:hAnsi="Century Gothic" w:cs="Calibri"/>
          <w:sz w:val="20"/>
          <w:szCs w:val="20"/>
          <w:vertAlign w:val="superscript"/>
        </w:rPr>
        <w:t>6</w:t>
      </w:r>
      <w:r w:rsidRPr="00B21628">
        <w:rPr>
          <w:rFonts w:ascii="Century Gothic" w:hAnsi="Century Gothic" w:cs="Calibri"/>
          <w:sz w:val="20"/>
          <w:szCs w:val="20"/>
        </w:rPr>
        <w:t>. This program of work is overseen by the Royal Colle</w:t>
      </w:r>
      <w:r>
        <w:rPr>
          <w:rFonts w:ascii="Century Gothic" w:hAnsi="Century Gothic" w:cs="Calibri"/>
          <w:sz w:val="20"/>
          <w:szCs w:val="20"/>
        </w:rPr>
        <w:t>ge of Pathologists Australasia in collabora</w:t>
      </w:r>
      <w:r w:rsidR="006357A2">
        <w:rPr>
          <w:rFonts w:ascii="Century Gothic" w:hAnsi="Century Gothic" w:cs="Calibri"/>
          <w:sz w:val="20"/>
          <w:szCs w:val="20"/>
        </w:rPr>
        <w:t>tion with various stakeholders.</w:t>
      </w:r>
      <w:r w:rsidR="00B4167F">
        <w:rPr>
          <w:rFonts w:ascii="Century Gothic" w:hAnsi="Century Gothic" w:cs="Calibri"/>
          <w:sz w:val="20"/>
          <w:szCs w:val="20"/>
        </w:rPr>
        <w:t xml:space="preserve"> This project has developed a suite of guides for pathologists working in both the public and private sectors, so that pathological assessments of tissue biopsies are recorded in a similar fashion across the country. </w:t>
      </w:r>
      <w:r w:rsidR="00C678B1">
        <w:rPr>
          <w:rFonts w:ascii="Century Gothic" w:hAnsi="Century Gothic" w:cs="Calibri"/>
          <w:sz w:val="20"/>
          <w:szCs w:val="20"/>
        </w:rPr>
        <w:t xml:space="preserve">Having </w:t>
      </w:r>
      <w:r w:rsidR="00D51F34">
        <w:rPr>
          <w:rFonts w:ascii="Century Gothic" w:hAnsi="Century Gothic" w:cs="Calibri"/>
          <w:sz w:val="20"/>
          <w:szCs w:val="20"/>
        </w:rPr>
        <w:t xml:space="preserve">an inter-sectoral system of </w:t>
      </w:r>
      <w:r w:rsidR="00C678B1">
        <w:rPr>
          <w:rFonts w:ascii="Century Gothic" w:hAnsi="Century Gothic" w:cs="Calibri"/>
          <w:sz w:val="20"/>
          <w:szCs w:val="20"/>
        </w:rPr>
        <w:t xml:space="preserve">standardised cancer pathology reporting </w:t>
      </w:r>
      <w:r w:rsidR="00C678B1" w:rsidRPr="00C678B1">
        <w:rPr>
          <w:rFonts w:ascii="Century Gothic" w:hAnsi="Century Gothic" w:cs="Calibri"/>
          <w:sz w:val="20"/>
          <w:szCs w:val="20"/>
        </w:rPr>
        <w:t>contribute</w:t>
      </w:r>
      <w:r w:rsidR="00D51F34">
        <w:rPr>
          <w:rFonts w:ascii="Century Gothic" w:hAnsi="Century Gothic" w:cs="Calibri"/>
          <w:sz w:val="20"/>
          <w:szCs w:val="20"/>
        </w:rPr>
        <w:t>s</w:t>
      </w:r>
      <w:r w:rsidR="00C678B1" w:rsidRPr="00C678B1">
        <w:rPr>
          <w:rFonts w:ascii="Century Gothic" w:hAnsi="Century Gothic" w:cs="Calibri"/>
          <w:sz w:val="20"/>
          <w:szCs w:val="20"/>
        </w:rPr>
        <w:t xml:space="preserve"> to cancer </w:t>
      </w:r>
      <w:r w:rsidR="00C678B1">
        <w:rPr>
          <w:rFonts w:ascii="Century Gothic" w:hAnsi="Century Gothic" w:cs="Calibri"/>
          <w:sz w:val="20"/>
          <w:szCs w:val="20"/>
        </w:rPr>
        <w:t xml:space="preserve">control through improvements in </w:t>
      </w:r>
      <w:r w:rsidR="00D51F34">
        <w:rPr>
          <w:rFonts w:ascii="Century Gothic" w:hAnsi="Century Gothic" w:cs="Calibri"/>
          <w:sz w:val="20"/>
          <w:szCs w:val="20"/>
        </w:rPr>
        <w:t>c</w:t>
      </w:r>
      <w:r w:rsidR="00C678B1" w:rsidRPr="00C678B1">
        <w:rPr>
          <w:rFonts w:ascii="Century Gothic" w:hAnsi="Century Gothic" w:cs="Calibri"/>
          <w:sz w:val="20"/>
          <w:szCs w:val="20"/>
        </w:rPr>
        <w:t xml:space="preserve">linical management </w:t>
      </w:r>
      <w:r w:rsidR="00D51F34">
        <w:rPr>
          <w:rFonts w:ascii="Century Gothic" w:hAnsi="Century Gothic" w:cs="Calibri"/>
          <w:sz w:val="20"/>
          <w:szCs w:val="20"/>
        </w:rPr>
        <w:t>of patients.</w:t>
      </w:r>
      <w:r w:rsidR="00307532">
        <w:rPr>
          <w:rFonts w:ascii="Century Gothic" w:hAnsi="Century Gothic" w:cs="Calibri"/>
          <w:sz w:val="20"/>
          <w:szCs w:val="20"/>
        </w:rPr>
        <w:t xml:space="preserve"> Access to and linkage of these to treatment and outcomes will </w:t>
      </w:r>
      <w:r w:rsidR="00307532">
        <w:rPr>
          <w:rFonts w:ascii="Century Gothic" w:hAnsi="Century Gothic" w:cs="Calibri"/>
          <w:sz w:val="20"/>
          <w:szCs w:val="20"/>
        </w:rPr>
        <w:lastRenderedPageBreak/>
        <w:t>assist in identifying patterns of care by diagnosis and variations in treatment at the population-level.</w:t>
      </w:r>
    </w:p>
    <w:p w:rsidR="00C203C1" w:rsidRPr="00982A5F" w:rsidRDefault="00417ECD" w:rsidP="00BD1605">
      <w:pPr>
        <w:spacing w:after="200" w:line="276" w:lineRule="auto"/>
        <w:rPr>
          <w:rFonts w:ascii="Century Gothic" w:hAnsi="Century Gothic" w:cs="Calibri"/>
          <w:sz w:val="20"/>
          <w:szCs w:val="20"/>
        </w:rPr>
      </w:pPr>
      <w:r>
        <w:rPr>
          <w:rFonts w:ascii="Century Gothic" w:hAnsi="Century Gothic" w:cs="Calibri"/>
          <w:sz w:val="20"/>
          <w:szCs w:val="20"/>
        </w:rPr>
        <w:t>As with public sector data, t</w:t>
      </w:r>
      <w:r w:rsidR="00982A5F">
        <w:rPr>
          <w:rFonts w:ascii="Century Gothic" w:hAnsi="Century Gothic" w:cs="Calibri"/>
          <w:sz w:val="20"/>
          <w:szCs w:val="20"/>
        </w:rPr>
        <w:t>here are however</w:t>
      </w:r>
      <w:r w:rsidR="00BD5CB9">
        <w:rPr>
          <w:rFonts w:ascii="Century Gothic" w:hAnsi="Century Gothic" w:cs="Calibri"/>
          <w:sz w:val="20"/>
          <w:szCs w:val="20"/>
        </w:rPr>
        <w:t>,</w:t>
      </w:r>
      <w:r w:rsidR="00982A5F">
        <w:rPr>
          <w:rFonts w:ascii="Century Gothic" w:hAnsi="Century Gothic" w:cs="Calibri"/>
          <w:sz w:val="20"/>
          <w:szCs w:val="20"/>
        </w:rPr>
        <w:t xml:space="preserve"> multiple areas along the cancer control continuum where further progress </w:t>
      </w:r>
      <w:r w:rsidR="00F9147A">
        <w:rPr>
          <w:rFonts w:ascii="Century Gothic" w:hAnsi="Century Gothic" w:cs="Calibri"/>
          <w:sz w:val="20"/>
          <w:szCs w:val="20"/>
        </w:rPr>
        <w:t xml:space="preserve">on greater data access and standardisation </w:t>
      </w:r>
      <w:r w:rsidR="00982A5F">
        <w:rPr>
          <w:rFonts w:ascii="Century Gothic" w:hAnsi="Century Gothic" w:cs="Calibri"/>
          <w:sz w:val="20"/>
          <w:szCs w:val="20"/>
        </w:rPr>
        <w:t xml:space="preserve">could be made. </w:t>
      </w:r>
      <w:r w:rsidR="00BD1605">
        <w:rPr>
          <w:rFonts w:ascii="Century Gothic" w:hAnsi="Century Gothic" w:cs="Calibri"/>
          <w:sz w:val="20"/>
          <w:szCs w:val="20"/>
        </w:rPr>
        <w:t xml:space="preserve">For example, </w:t>
      </w:r>
      <w:r w:rsidR="00982A5F">
        <w:rPr>
          <w:rFonts w:ascii="Century Gothic" w:hAnsi="Century Gothic" w:cs="Calibri"/>
          <w:sz w:val="20"/>
          <w:szCs w:val="20"/>
        </w:rPr>
        <w:t xml:space="preserve">there is little incentive for the large amounts of industry-related data regarding cancer clinical trials to be released or combined with public sector data. </w:t>
      </w:r>
      <w:r w:rsidR="00AC06DE">
        <w:rPr>
          <w:rFonts w:ascii="Century Gothic" w:hAnsi="Century Gothic" w:cs="Calibri"/>
          <w:sz w:val="20"/>
          <w:szCs w:val="20"/>
        </w:rPr>
        <w:t>T</w:t>
      </w:r>
      <w:r w:rsidR="00515BD9">
        <w:rPr>
          <w:rFonts w:ascii="Century Gothic" w:hAnsi="Century Gothic" w:cs="Calibri"/>
          <w:sz w:val="20"/>
          <w:szCs w:val="20"/>
        </w:rPr>
        <w:t xml:space="preserve">he profile of </w:t>
      </w:r>
      <w:r w:rsidR="00982A5F">
        <w:rPr>
          <w:rFonts w:ascii="Century Gothic" w:hAnsi="Century Gothic" w:cs="Calibri"/>
          <w:sz w:val="20"/>
          <w:szCs w:val="20"/>
        </w:rPr>
        <w:t>clinical trial participation</w:t>
      </w:r>
      <w:r w:rsidR="002503FD">
        <w:rPr>
          <w:rFonts w:ascii="Century Gothic" w:hAnsi="Century Gothic" w:cs="Calibri"/>
          <w:sz w:val="20"/>
          <w:szCs w:val="20"/>
        </w:rPr>
        <w:t xml:space="preserve"> (which is often associated with improved patient outcomes</w:t>
      </w:r>
      <w:r w:rsidR="00326048">
        <w:rPr>
          <w:rFonts w:ascii="Century Gothic" w:hAnsi="Century Gothic" w:cs="Calibri"/>
          <w:sz w:val="20"/>
          <w:szCs w:val="20"/>
          <w:vertAlign w:val="superscript"/>
        </w:rPr>
        <w:t>1</w:t>
      </w:r>
      <w:r w:rsidR="00D06E39">
        <w:rPr>
          <w:rFonts w:ascii="Century Gothic" w:hAnsi="Century Gothic" w:cs="Calibri"/>
          <w:sz w:val="20"/>
          <w:szCs w:val="20"/>
          <w:vertAlign w:val="superscript"/>
        </w:rPr>
        <w:t>7</w:t>
      </w:r>
      <w:r w:rsidR="002503FD">
        <w:rPr>
          <w:rFonts w:ascii="Century Gothic" w:hAnsi="Century Gothic" w:cs="Calibri"/>
          <w:sz w:val="20"/>
          <w:szCs w:val="20"/>
        </w:rPr>
        <w:t>)</w:t>
      </w:r>
      <w:r w:rsidR="00982A5F">
        <w:rPr>
          <w:rFonts w:ascii="Century Gothic" w:hAnsi="Century Gothic" w:cs="Calibri"/>
          <w:sz w:val="20"/>
          <w:szCs w:val="20"/>
        </w:rPr>
        <w:t xml:space="preserve"> </w:t>
      </w:r>
      <w:r w:rsidR="00A23A25">
        <w:rPr>
          <w:rFonts w:ascii="Century Gothic" w:hAnsi="Century Gothic" w:cs="Calibri"/>
          <w:sz w:val="20"/>
          <w:szCs w:val="20"/>
        </w:rPr>
        <w:t xml:space="preserve">is </w:t>
      </w:r>
      <w:r w:rsidR="00982A5F">
        <w:rPr>
          <w:rFonts w:ascii="Century Gothic" w:hAnsi="Century Gothic" w:cs="Calibri"/>
          <w:sz w:val="20"/>
          <w:szCs w:val="20"/>
        </w:rPr>
        <w:t xml:space="preserve">a significant gap in our understanding </w:t>
      </w:r>
      <w:r w:rsidR="002C2557">
        <w:rPr>
          <w:rFonts w:ascii="Century Gothic" w:hAnsi="Century Gothic" w:cs="Calibri"/>
          <w:sz w:val="20"/>
          <w:szCs w:val="20"/>
        </w:rPr>
        <w:t>of cancer control in Australia</w:t>
      </w:r>
      <w:r w:rsidR="00A23A25">
        <w:rPr>
          <w:rFonts w:ascii="Century Gothic" w:hAnsi="Century Gothic" w:cs="Calibri"/>
          <w:sz w:val="20"/>
          <w:szCs w:val="20"/>
        </w:rPr>
        <w:t>. In the absence of a firm evidence-base, governments are unable to determine if policy interventions are required to ensure equitable access to clinical trials</w:t>
      </w:r>
      <w:r w:rsidR="002C2557">
        <w:rPr>
          <w:rFonts w:ascii="Century Gothic" w:hAnsi="Century Gothic" w:cs="Calibri"/>
          <w:sz w:val="20"/>
          <w:szCs w:val="20"/>
        </w:rPr>
        <w:t>.</w:t>
      </w:r>
    </w:p>
    <w:p w:rsidR="00C203C1" w:rsidRPr="00C203C1" w:rsidRDefault="00C203C1" w:rsidP="00D02917">
      <w:pPr>
        <w:spacing w:after="200" w:line="276" w:lineRule="auto"/>
        <w:rPr>
          <w:rFonts w:ascii="Century Gothic" w:hAnsi="Century Gothic" w:cs="Calibri"/>
          <w:b/>
          <w:color w:val="C00000"/>
        </w:rPr>
      </w:pPr>
      <w:r>
        <w:rPr>
          <w:rFonts w:ascii="Century Gothic" w:hAnsi="Century Gothic" w:cs="Calibri"/>
          <w:b/>
          <w:color w:val="C00000"/>
        </w:rPr>
        <w:t xml:space="preserve">Terms of Reference 4: </w:t>
      </w:r>
      <w:r w:rsidR="00A1055E">
        <w:rPr>
          <w:rFonts w:ascii="Century Gothic" w:hAnsi="Century Gothic" w:cs="Calibri"/>
          <w:b/>
          <w:color w:val="C00000"/>
        </w:rPr>
        <w:t>Benefits and costs of sharing and release of data</w:t>
      </w:r>
    </w:p>
    <w:p w:rsidR="00D96661" w:rsidRDefault="00D96661" w:rsidP="00A1055E">
      <w:pPr>
        <w:spacing w:after="200" w:line="276" w:lineRule="auto"/>
        <w:rPr>
          <w:rFonts w:ascii="Century Gothic" w:hAnsi="Century Gothic" w:cs="Calibri"/>
          <w:sz w:val="20"/>
          <w:szCs w:val="20"/>
        </w:rPr>
      </w:pPr>
      <w:r>
        <w:rPr>
          <w:rFonts w:ascii="Century Gothic" w:hAnsi="Century Gothic" w:cs="Calibri"/>
          <w:sz w:val="20"/>
          <w:szCs w:val="20"/>
        </w:rPr>
        <w:t xml:space="preserve">This submission has </w:t>
      </w:r>
      <w:r w:rsidR="00DF0FC7">
        <w:rPr>
          <w:rFonts w:ascii="Century Gothic" w:hAnsi="Century Gothic" w:cs="Calibri"/>
          <w:sz w:val="20"/>
          <w:szCs w:val="20"/>
        </w:rPr>
        <w:t xml:space="preserve">addressed </w:t>
      </w:r>
      <w:r>
        <w:rPr>
          <w:rFonts w:ascii="Century Gothic" w:hAnsi="Century Gothic" w:cs="Calibri"/>
          <w:sz w:val="20"/>
          <w:szCs w:val="20"/>
        </w:rPr>
        <w:t xml:space="preserve">the issue of the </w:t>
      </w:r>
      <w:r w:rsidR="00724C06">
        <w:rPr>
          <w:rFonts w:ascii="Century Gothic" w:hAnsi="Century Gothic" w:cs="Calibri"/>
          <w:sz w:val="20"/>
          <w:szCs w:val="20"/>
        </w:rPr>
        <w:t xml:space="preserve">potential </w:t>
      </w:r>
      <w:r>
        <w:rPr>
          <w:rFonts w:ascii="Century Gothic" w:hAnsi="Century Gothic" w:cs="Calibri"/>
          <w:sz w:val="20"/>
          <w:szCs w:val="20"/>
        </w:rPr>
        <w:t>benefits</w:t>
      </w:r>
      <w:r w:rsidR="00724C06">
        <w:rPr>
          <w:rFonts w:ascii="Century Gothic" w:hAnsi="Century Gothic" w:cs="Calibri"/>
          <w:sz w:val="20"/>
          <w:szCs w:val="20"/>
        </w:rPr>
        <w:t xml:space="preserve"> of,</w:t>
      </w:r>
      <w:r>
        <w:rPr>
          <w:rFonts w:ascii="Century Gothic" w:hAnsi="Century Gothic" w:cs="Calibri"/>
          <w:sz w:val="20"/>
          <w:szCs w:val="20"/>
        </w:rPr>
        <w:t xml:space="preserve"> and </w:t>
      </w:r>
      <w:r w:rsidR="00724C06">
        <w:rPr>
          <w:rFonts w:ascii="Century Gothic" w:hAnsi="Century Gothic" w:cs="Calibri"/>
          <w:sz w:val="20"/>
          <w:szCs w:val="20"/>
        </w:rPr>
        <w:t xml:space="preserve">current barriers to, </w:t>
      </w:r>
      <w:r>
        <w:rPr>
          <w:rFonts w:ascii="Century Gothic" w:hAnsi="Century Gothic" w:cs="Calibri"/>
          <w:sz w:val="20"/>
          <w:szCs w:val="20"/>
        </w:rPr>
        <w:t>sharing and releasing data</w:t>
      </w:r>
      <w:r w:rsidR="00DF0FC7">
        <w:rPr>
          <w:rFonts w:ascii="Century Gothic" w:hAnsi="Century Gothic" w:cs="Calibri"/>
          <w:sz w:val="20"/>
          <w:szCs w:val="20"/>
        </w:rPr>
        <w:t xml:space="preserve"> throughout</w:t>
      </w:r>
      <w:r>
        <w:rPr>
          <w:rFonts w:ascii="Century Gothic" w:hAnsi="Century Gothic" w:cs="Calibri"/>
          <w:sz w:val="20"/>
          <w:szCs w:val="20"/>
        </w:rPr>
        <w:t xml:space="preserve">. Assuming standard de-identification is maintained for non-linked data, </w:t>
      </w:r>
      <w:r w:rsidR="001E124C">
        <w:rPr>
          <w:rFonts w:ascii="Century Gothic" w:hAnsi="Century Gothic" w:cs="Calibri"/>
          <w:sz w:val="20"/>
          <w:szCs w:val="20"/>
        </w:rPr>
        <w:t>in most cases</w:t>
      </w:r>
      <w:r>
        <w:rPr>
          <w:rFonts w:ascii="Century Gothic" w:hAnsi="Century Gothic" w:cs="Calibri"/>
          <w:sz w:val="20"/>
          <w:szCs w:val="20"/>
        </w:rPr>
        <w:t xml:space="preserve"> </w:t>
      </w:r>
      <w:r w:rsidRPr="00DF0FC7">
        <w:rPr>
          <w:rFonts w:ascii="Century Gothic" w:hAnsi="Century Gothic" w:cs="Calibri"/>
          <w:i/>
          <w:sz w:val="20"/>
          <w:szCs w:val="20"/>
        </w:rPr>
        <w:t xml:space="preserve">not </w:t>
      </w:r>
      <w:r>
        <w:rPr>
          <w:rFonts w:ascii="Century Gothic" w:hAnsi="Century Gothic" w:cs="Calibri"/>
          <w:sz w:val="20"/>
          <w:szCs w:val="20"/>
        </w:rPr>
        <w:t xml:space="preserve">making data available has greater </w:t>
      </w:r>
      <w:r w:rsidR="00EA11B4">
        <w:rPr>
          <w:rFonts w:ascii="Century Gothic" w:hAnsi="Century Gothic" w:cs="Calibri"/>
          <w:sz w:val="20"/>
          <w:szCs w:val="20"/>
        </w:rPr>
        <w:t xml:space="preserve">opportunity </w:t>
      </w:r>
      <w:r>
        <w:rPr>
          <w:rFonts w:ascii="Century Gothic" w:hAnsi="Century Gothic" w:cs="Calibri"/>
          <w:sz w:val="20"/>
          <w:szCs w:val="20"/>
        </w:rPr>
        <w:t>costs than making data available, primarily</w:t>
      </w:r>
      <w:r w:rsidR="00244407">
        <w:rPr>
          <w:rFonts w:ascii="Century Gothic" w:hAnsi="Century Gothic" w:cs="Calibri"/>
          <w:sz w:val="20"/>
          <w:szCs w:val="20"/>
        </w:rPr>
        <w:t xml:space="preserve"> through</w:t>
      </w:r>
      <w:r>
        <w:rPr>
          <w:rFonts w:ascii="Century Gothic" w:hAnsi="Century Gothic" w:cs="Calibri"/>
          <w:sz w:val="20"/>
          <w:szCs w:val="20"/>
        </w:rPr>
        <w:t xml:space="preserve"> projects being delayed</w:t>
      </w:r>
      <w:r w:rsidR="00410F6C">
        <w:rPr>
          <w:rFonts w:ascii="Century Gothic" w:hAnsi="Century Gothic" w:cs="Calibri"/>
          <w:sz w:val="20"/>
          <w:szCs w:val="20"/>
        </w:rPr>
        <w:t>,</w:t>
      </w:r>
      <w:r w:rsidR="00C43B24">
        <w:rPr>
          <w:rFonts w:ascii="Century Gothic" w:hAnsi="Century Gothic" w:cs="Calibri"/>
          <w:sz w:val="20"/>
          <w:szCs w:val="20"/>
        </w:rPr>
        <w:t xml:space="preserve"> </w:t>
      </w:r>
      <w:r w:rsidR="00410F6C">
        <w:rPr>
          <w:rFonts w:ascii="Century Gothic" w:hAnsi="Century Gothic" w:cs="Calibri"/>
          <w:sz w:val="20"/>
          <w:szCs w:val="20"/>
        </w:rPr>
        <w:t xml:space="preserve">and evidence-generation, </w:t>
      </w:r>
      <w:r w:rsidR="00C43B24">
        <w:rPr>
          <w:rFonts w:ascii="Century Gothic" w:hAnsi="Century Gothic" w:cs="Calibri"/>
          <w:sz w:val="20"/>
          <w:szCs w:val="20"/>
        </w:rPr>
        <w:t xml:space="preserve">improved policy and </w:t>
      </w:r>
      <w:r w:rsidR="00410F6C">
        <w:rPr>
          <w:rFonts w:ascii="Century Gothic" w:hAnsi="Century Gothic" w:cs="Calibri"/>
          <w:sz w:val="20"/>
          <w:szCs w:val="20"/>
        </w:rPr>
        <w:t xml:space="preserve">better </w:t>
      </w:r>
      <w:r w:rsidR="00C43B24">
        <w:rPr>
          <w:rFonts w:ascii="Century Gothic" w:hAnsi="Century Gothic" w:cs="Calibri"/>
          <w:sz w:val="20"/>
          <w:szCs w:val="20"/>
        </w:rPr>
        <w:t>health outcomes being foregone</w:t>
      </w:r>
      <w:r>
        <w:rPr>
          <w:rFonts w:ascii="Century Gothic" w:hAnsi="Century Gothic" w:cs="Calibri"/>
          <w:sz w:val="20"/>
          <w:szCs w:val="20"/>
        </w:rPr>
        <w:t>.</w:t>
      </w:r>
      <w:r w:rsidR="00896501">
        <w:rPr>
          <w:rFonts w:ascii="Century Gothic" w:hAnsi="Century Gothic" w:cs="Calibri"/>
          <w:sz w:val="20"/>
          <w:szCs w:val="20"/>
        </w:rPr>
        <w:t xml:space="preserve"> As well as opportunity costs, there are also </w:t>
      </w:r>
      <w:r w:rsidR="007D0CD2">
        <w:rPr>
          <w:rFonts w:ascii="Century Gothic" w:hAnsi="Century Gothic" w:cs="Calibri"/>
          <w:sz w:val="20"/>
          <w:szCs w:val="20"/>
        </w:rPr>
        <w:t xml:space="preserve">monetary </w:t>
      </w:r>
      <w:r w:rsidR="00896501">
        <w:rPr>
          <w:rFonts w:ascii="Century Gothic" w:hAnsi="Century Gothic" w:cs="Calibri"/>
          <w:sz w:val="20"/>
          <w:szCs w:val="20"/>
        </w:rPr>
        <w:t xml:space="preserve">costs associated with inefficient data access arrangements, primarily </w:t>
      </w:r>
      <w:r w:rsidR="00896501" w:rsidRPr="00896501">
        <w:rPr>
          <w:rFonts w:ascii="Century Gothic" w:hAnsi="Century Gothic" w:cs="Calibri"/>
          <w:sz w:val="20"/>
          <w:szCs w:val="20"/>
        </w:rPr>
        <w:t xml:space="preserve">through </w:t>
      </w:r>
      <w:r w:rsidR="009950FB" w:rsidRPr="009950FB">
        <w:rPr>
          <w:rFonts w:ascii="Century Gothic" w:hAnsi="Century Gothic" w:cs="Calibri"/>
          <w:sz w:val="20"/>
          <w:szCs w:val="20"/>
        </w:rPr>
        <w:t>unnecessary investment in new data collections</w:t>
      </w:r>
      <w:r w:rsidR="009950FB">
        <w:rPr>
          <w:rFonts w:ascii="Century Gothic" w:hAnsi="Century Gothic" w:cs="Calibri"/>
          <w:sz w:val="20"/>
          <w:szCs w:val="20"/>
        </w:rPr>
        <w:t xml:space="preserve"> and</w:t>
      </w:r>
      <w:r w:rsidR="009950FB" w:rsidRPr="009950FB">
        <w:rPr>
          <w:rFonts w:ascii="Century Gothic" w:hAnsi="Century Gothic" w:cs="Calibri"/>
          <w:sz w:val="20"/>
          <w:szCs w:val="20"/>
        </w:rPr>
        <w:t xml:space="preserve"> </w:t>
      </w:r>
      <w:r w:rsidR="007D0CD2">
        <w:rPr>
          <w:rFonts w:ascii="Century Gothic" w:hAnsi="Century Gothic" w:cs="Calibri"/>
          <w:sz w:val="20"/>
          <w:szCs w:val="20"/>
        </w:rPr>
        <w:t>duplicate costs paid by organisations accessing data</w:t>
      </w:r>
      <w:r w:rsidR="00896501">
        <w:rPr>
          <w:rFonts w:ascii="Century Gothic" w:hAnsi="Century Gothic" w:cs="Calibri"/>
          <w:sz w:val="20"/>
          <w:szCs w:val="20"/>
        </w:rPr>
        <w:t xml:space="preserve"> (i.e. </w:t>
      </w:r>
      <w:r w:rsidR="007D0CD2">
        <w:rPr>
          <w:rFonts w:ascii="Century Gothic" w:hAnsi="Century Gothic" w:cs="Calibri"/>
          <w:sz w:val="20"/>
          <w:szCs w:val="20"/>
        </w:rPr>
        <w:t xml:space="preserve">paying </w:t>
      </w:r>
      <w:r w:rsidR="00F81AC9">
        <w:rPr>
          <w:rFonts w:ascii="Century Gothic" w:hAnsi="Century Gothic" w:cs="Calibri"/>
          <w:sz w:val="20"/>
          <w:szCs w:val="20"/>
        </w:rPr>
        <w:t xml:space="preserve">the </w:t>
      </w:r>
      <w:r w:rsidR="00896501">
        <w:rPr>
          <w:rFonts w:ascii="Century Gothic" w:hAnsi="Century Gothic" w:cs="Calibri"/>
          <w:sz w:val="20"/>
          <w:szCs w:val="20"/>
        </w:rPr>
        <w:t xml:space="preserve">labour costs for processing </w:t>
      </w:r>
      <w:r w:rsidR="007D0CD2">
        <w:rPr>
          <w:rFonts w:ascii="Century Gothic" w:hAnsi="Century Gothic" w:cs="Calibri"/>
          <w:sz w:val="20"/>
          <w:szCs w:val="20"/>
        </w:rPr>
        <w:t>each data request</w:t>
      </w:r>
      <w:r w:rsidR="00896501">
        <w:rPr>
          <w:rFonts w:ascii="Century Gothic" w:hAnsi="Century Gothic" w:cs="Calibri"/>
          <w:sz w:val="20"/>
          <w:szCs w:val="20"/>
        </w:rPr>
        <w:t>).</w:t>
      </w:r>
    </w:p>
    <w:p w:rsidR="00753BBC" w:rsidRDefault="00D94328" w:rsidP="00A1055E">
      <w:pPr>
        <w:spacing w:after="200" w:line="276" w:lineRule="auto"/>
        <w:rPr>
          <w:rFonts w:ascii="Century Gothic" w:hAnsi="Century Gothic" w:cs="Calibri"/>
          <w:sz w:val="20"/>
          <w:szCs w:val="20"/>
        </w:rPr>
      </w:pPr>
      <w:r>
        <w:rPr>
          <w:rFonts w:ascii="Century Gothic" w:hAnsi="Century Gothic" w:cs="Calibri"/>
          <w:sz w:val="20"/>
          <w:szCs w:val="20"/>
        </w:rPr>
        <w:t>T</w:t>
      </w:r>
      <w:r w:rsidR="00496971">
        <w:rPr>
          <w:rFonts w:ascii="Century Gothic" w:hAnsi="Century Gothic" w:cs="Calibri"/>
          <w:sz w:val="20"/>
          <w:szCs w:val="20"/>
        </w:rPr>
        <w:t xml:space="preserve">wo </w:t>
      </w:r>
      <w:r w:rsidR="00696558">
        <w:rPr>
          <w:rFonts w:ascii="Century Gothic" w:hAnsi="Century Gothic" w:cs="Calibri"/>
          <w:sz w:val="20"/>
          <w:szCs w:val="20"/>
        </w:rPr>
        <w:t xml:space="preserve">opportunities </w:t>
      </w:r>
      <w:r w:rsidR="007C4237">
        <w:rPr>
          <w:rFonts w:ascii="Century Gothic" w:hAnsi="Century Gothic" w:cs="Calibri"/>
          <w:sz w:val="20"/>
          <w:szCs w:val="20"/>
        </w:rPr>
        <w:t xml:space="preserve">for maximising the benefits of </w:t>
      </w:r>
      <w:r w:rsidR="00AD669F">
        <w:rPr>
          <w:rFonts w:ascii="Century Gothic" w:hAnsi="Century Gothic" w:cs="Calibri"/>
          <w:sz w:val="20"/>
          <w:szCs w:val="20"/>
        </w:rPr>
        <w:t xml:space="preserve">sharing data </w:t>
      </w:r>
      <w:r w:rsidR="007C4237">
        <w:rPr>
          <w:rFonts w:ascii="Century Gothic" w:hAnsi="Century Gothic" w:cs="Calibri"/>
          <w:sz w:val="20"/>
          <w:szCs w:val="20"/>
        </w:rPr>
        <w:t>more widely would be:</w:t>
      </w:r>
    </w:p>
    <w:p w:rsidR="00A1055E" w:rsidRDefault="007C4237" w:rsidP="007C4237">
      <w:pPr>
        <w:pStyle w:val="ListParagraph"/>
        <w:numPr>
          <w:ilvl w:val="0"/>
          <w:numId w:val="31"/>
        </w:numPr>
        <w:spacing w:after="200" w:line="276" w:lineRule="auto"/>
        <w:rPr>
          <w:rFonts w:ascii="Century Gothic" w:hAnsi="Century Gothic" w:cs="Calibri"/>
          <w:sz w:val="20"/>
          <w:szCs w:val="20"/>
        </w:rPr>
      </w:pPr>
      <w:r w:rsidRPr="007C4237">
        <w:rPr>
          <w:rFonts w:ascii="Century Gothic" w:hAnsi="Century Gothic" w:cs="Calibri"/>
          <w:sz w:val="20"/>
          <w:szCs w:val="20"/>
        </w:rPr>
        <w:t xml:space="preserve">Encourage </w:t>
      </w:r>
      <w:r w:rsidR="000A735B">
        <w:rPr>
          <w:rFonts w:ascii="Century Gothic" w:hAnsi="Century Gothic" w:cs="Calibri"/>
          <w:sz w:val="20"/>
          <w:szCs w:val="20"/>
        </w:rPr>
        <w:t>the development of</w:t>
      </w:r>
      <w:r w:rsidRPr="007C4237">
        <w:rPr>
          <w:rFonts w:ascii="Century Gothic" w:hAnsi="Century Gothic" w:cs="Calibri"/>
          <w:sz w:val="20"/>
          <w:szCs w:val="20"/>
        </w:rPr>
        <w:t xml:space="preserve"> remote data access infrastructure</w:t>
      </w:r>
      <w:r>
        <w:rPr>
          <w:rFonts w:ascii="Century Gothic" w:hAnsi="Century Gothic" w:cs="Calibri"/>
          <w:sz w:val="20"/>
          <w:szCs w:val="20"/>
        </w:rPr>
        <w:t>; and</w:t>
      </w:r>
    </w:p>
    <w:p w:rsidR="007C4237" w:rsidRPr="007C4237" w:rsidRDefault="00A87894" w:rsidP="007C4237">
      <w:pPr>
        <w:pStyle w:val="ListParagraph"/>
        <w:numPr>
          <w:ilvl w:val="0"/>
          <w:numId w:val="31"/>
        </w:numPr>
        <w:spacing w:after="200" w:line="276" w:lineRule="auto"/>
        <w:rPr>
          <w:rFonts w:ascii="Century Gothic" w:hAnsi="Century Gothic" w:cs="Calibri"/>
          <w:sz w:val="20"/>
          <w:szCs w:val="20"/>
        </w:rPr>
      </w:pPr>
      <w:r>
        <w:rPr>
          <w:rFonts w:ascii="Century Gothic" w:hAnsi="Century Gothic" w:cs="Calibri"/>
          <w:sz w:val="20"/>
          <w:szCs w:val="20"/>
        </w:rPr>
        <w:t>Support training for</w:t>
      </w:r>
      <w:r w:rsidR="007C4237">
        <w:rPr>
          <w:rFonts w:ascii="Century Gothic" w:hAnsi="Century Gothic" w:cs="Calibri"/>
          <w:sz w:val="20"/>
          <w:szCs w:val="20"/>
        </w:rPr>
        <w:t xml:space="preserve"> workforce skills in data management and analytics</w:t>
      </w:r>
      <w:r w:rsidR="000A630C">
        <w:rPr>
          <w:rFonts w:ascii="Century Gothic" w:hAnsi="Century Gothic" w:cs="Calibri"/>
          <w:sz w:val="20"/>
          <w:szCs w:val="20"/>
        </w:rPr>
        <w:t xml:space="preserve"> to ensure that </w:t>
      </w:r>
      <w:r w:rsidR="00600A27">
        <w:rPr>
          <w:rFonts w:ascii="Century Gothic" w:hAnsi="Century Gothic" w:cs="Calibri"/>
          <w:sz w:val="20"/>
          <w:szCs w:val="20"/>
        </w:rPr>
        <w:t>the increasing amounts of</w:t>
      </w:r>
      <w:r w:rsidR="000A630C">
        <w:rPr>
          <w:rFonts w:ascii="Century Gothic" w:hAnsi="Century Gothic" w:cs="Calibri"/>
          <w:sz w:val="20"/>
          <w:szCs w:val="20"/>
        </w:rPr>
        <w:t xml:space="preserve"> open </w:t>
      </w:r>
      <w:r>
        <w:rPr>
          <w:rFonts w:ascii="Century Gothic" w:hAnsi="Century Gothic" w:cs="Calibri"/>
          <w:sz w:val="20"/>
          <w:szCs w:val="20"/>
        </w:rPr>
        <w:t xml:space="preserve">and linked </w:t>
      </w:r>
      <w:r w:rsidR="00600A27">
        <w:rPr>
          <w:rFonts w:ascii="Century Gothic" w:hAnsi="Century Gothic" w:cs="Calibri"/>
          <w:sz w:val="20"/>
          <w:szCs w:val="20"/>
        </w:rPr>
        <w:t>data are</w:t>
      </w:r>
      <w:r w:rsidR="000A630C">
        <w:rPr>
          <w:rFonts w:ascii="Century Gothic" w:hAnsi="Century Gothic" w:cs="Calibri"/>
          <w:sz w:val="20"/>
          <w:szCs w:val="20"/>
        </w:rPr>
        <w:t xml:space="preserve"> being used and managed correctly and effectively.</w:t>
      </w:r>
    </w:p>
    <w:p w:rsidR="00D02917" w:rsidRPr="00FF6F6E" w:rsidRDefault="00D02917" w:rsidP="00D02917">
      <w:pPr>
        <w:spacing w:after="200" w:line="276" w:lineRule="auto"/>
        <w:rPr>
          <w:rFonts w:ascii="Century Gothic" w:hAnsi="Century Gothic" w:cs="Calibri"/>
          <w:sz w:val="20"/>
          <w:szCs w:val="20"/>
        </w:rPr>
      </w:pPr>
      <w:r>
        <w:rPr>
          <w:rFonts w:ascii="Century Gothic" w:hAnsi="Century Gothic" w:cs="Calibri"/>
          <w:b/>
          <w:color w:val="C00000"/>
        </w:rPr>
        <w:t>Summary</w:t>
      </w:r>
    </w:p>
    <w:p w:rsidR="004B3678" w:rsidRDefault="00595C8A" w:rsidP="00247142">
      <w:pPr>
        <w:spacing w:after="200" w:line="276" w:lineRule="auto"/>
        <w:rPr>
          <w:rFonts w:ascii="Century Gothic" w:hAnsi="Century Gothic" w:cs="Calibri"/>
          <w:sz w:val="20"/>
          <w:szCs w:val="20"/>
        </w:rPr>
      </w:pPr>
      <w:r>
        <w:rPr>
          <w:rFonts w:ascii="Century Gothic" w:hAnsi="Century Gothic" w:cs="Calibri"/>
          <w:sz w:val="20"/>
          <w:szCs w:val="20"/>
        </w:rPr>
        <w:t>By international standards, Australia generally has excellent data to monitor and report on</w:t>
      </w:r>
      <w:r w:rsidR="006E1FAE">
        <w:rPr>
          <w:rFonts w:ascii="Century Gothic" w:hAnsi="Century Gothic" w:cs="Calibri"/>
          <w:sz w:val="20"/>
          <w:szCs w:val="20"/>
        </w:rPr>
        <w:t xml:space="preserve"> key indicators of</w:t>
      </w:r>
      <w:r>
        <w:rPr>
          <w:rFonts w:ascii="Century Gothic" w:hAnsi="Century Gothic" w:cs="Calibri"/>
          <w:sz w:val="20"/>
          <w:szCs w:val="20"/>
        </w:rPr>
        <w:t xml:space="preserve"> cancer control. These data are</w:t>
      </w:r>
      <w:r w:rsidR="00696558">
        <w:rPr>
          <w:rFonts w:ascii="Century Gothic" w:hAnsi="Century Gothic" w:cs="Calibri"/>
          <w:sz w:val="20"/>
          <w:szCs w:val="20"/>
        </w:rPr>
        <w:t>,</w:t>
      </w:r>
      <w:r>
        <w:rPr>
          <w:rFonts w:ascii="Century Gothic" w:hAnsi="Century Gothic" w:cs="Calibri"/>
          <w:sz w:val="20"/>
          <w:szCs w:val="20"/>
        </w:rPr>
        <w:t xml:space="preserve"> however</w:t>
      </w:r>
      <w:r w:rsidR="00696558">
        <w:rPr>
          <w:rFonts w:ascii="Century Gothic" w:hAnsi="Century Gothic" w:cs="Calibri"/>
          <w:sz w:val="20"/>
          <w:szCs w:val="20"/>
        </w:rPr>
        <w:t>,</w:t>
      </w:r>
      <w:r>
        <w:rPr>
          <w:rFonts w:ascii="Century Gothic" w:hAnsi="Century Gothic" w:cs="Calibri"/>
          <w:sz w:val="20"/>
          <w:szCs w:val="20"/>
        </w:rPr>
        <w:t xml:space="preserve"> held by </w:t>
      </w:r>
      <w:r w:rsidR="00696558">
        <w:rPr>
          <w:rFonts w:ascii="Century Gothic" w:hAnsi="Century Gothic" w:cs="Calibri"/>
          <w:sz w:val="20"/>
          <w:szCs w:val="20"/>
        </w:rPr>
        <w:t>several</w:t>
      </w:r>
      <w:r>
        <w:rPr>
          <w:rFonts w:ascii="Century Gothic" w:hAnsi="Century Gothic" w:cs="Calibri"/>
          <w:sz w:val="20"/>
          <w:szCs w:val="20"/>
        </w:rPr>
        <w:t xml:space="preserve"> different entities, mostly in the public sector but also in the private sector</w:t>
      </w:r>
      <w:r w:rsidR="006E1FAE">
        <w:rPr>
          <w:rFonts w:ascii="Century Gothic" w:hAnsi="Century Gothic" w:cs="Calibri"/>
          <w:sz w:val="20"/>
          <w:szCs w:val="20"/>
        </w:rPr>
        <w:t>, and are not currently effectively utilised for this purpose</w:t>
      </w:r>
      <w:r>
        <w:rPr>
          <w:rFonts w:ascii="Century Gothic" w:hAnsi="Century Gothic" w:cs="Calibri"/>
          <w:sz w:val="20"/>
          <w:szCs w:val="20"/>
        </w:rPr>
        <w:t>.</w:t>
      </w:r>
      <w:r w:rsidR="004B3678">
        <w:rPr>
          <w:rFonts w:ascii="Century Gothic" w:hAnsi="Century Gothic" w:cs="Calibri"/>
          <w:sz w:val="20"/>
          <w:szCs w:val="20"/>
        </w:rPr>
        <w:t xml:space="preserve"> </w:t>
      </w:r>
    </w:p>
    <w:p w:rsidR="00A014F0" w:rsidRDefault="00A014F0" w:rsidP="00247142">
      <w:pPr>
        <w:spacing w:after="200" w:line="276" w:lineRule="auto"/>
        <w:rPr>
          <w:rFonts w:ascii="Century Gothic" w:hAnsi="Century Gothic" w:cs="Calibri"/>
          <w:sz w:val="20"/>
          <w:szCs w:val="20"/>
        </w:rPr>
      </w:pPr>
      <w:r>
        <w:rPr>
          <w:rFonts w:ascii="Century Gothic" w:hAnsi="Century Gothic" w:cs="Calibri"/>
          <w:sz w:val="20"/>
          <w:szCs w:val="20"/>
        </w:rPr>
        <w:t xml:space="preserve">A detailed understanding of cancer control across the continuum - over time, between population groups, and within an international context – is critical for the development of evidence-based policy. Improving access to, and where necessary, linkage of, these data is seen as a priority </w:t>
      </w:r>
      <w:r w:rsidR="00003C7E">
        <w:rPr>
          <w:rFonts w:ascii="Century Gothic" w:hAnsi="Century Gothic" w:cs="Calibri"/>
          <w:sz w:val="20"/>
          <w:szCs w:val="20"/>
        </w:rPr>
        <w:t>by</w:t>
      </w:r>
      <w:r>
        <w:rPr>
          <w:rFonts w:ascii="Century Gothic" w:hAnsi="Century Gothic" w:cs="Calibri"/>
          <w:sz w:val="20"/>
          <w:szCs w:val="20"/>
        </w:rPr>
        <w:t xml:space="preserve"> Cancer Australia. Among many other public policy benefits, whole-of-government approaches to efficiently increasing the </w:t>
      </w:r>
      <w:r w:rsidR="00720E6D">
        <w:rPr>
          <w:rFonts w:ascii="Century Gothic" w:hAnsi="Century Gothic" w:cs="Calibri"/>
          <w:sz w:val="20"/>
          <w:szCs w:val="20"/>
        </w:rPr>
        <w:t xml:space="preserve">access and </w:t>
      </w:r>
      <w:r>
        <w:rPr>
          <w:rFonts w:ascii="Century Gothic" w:hAnsi="Century Gothic" w:cs="Calibri"/>
          <w:sz w:val="20"/>
          <w:szCs w:val="20"/>
        </w:rPr>
        <w:t>use of available public sector data in the first instance would ultimately assist in improving</w:t>
      </w:r>
      <w:r w:rsidRPr="000A38FC">
        <w:rPr>
          <w:rFonts w:ascii="Century Gothic" w:hAnsi="Century Gothic" w:cs="Calibri"/>
          <w:sz w:val="20"/>
          <w:szCs w:val="20"/>
        </w:rPr>
        <w:t xml:space="preserve"> </w:t>
      </w:r>
      <w:r>
        <w:rPr>
          <w:rFonts w:ascii="Century Gothic" w:hAnsi="Century Gothic" w:cs="Calibri"/>
          <w:sz w:val="20"/>
          <w:szCs w:val="20"/>
        </w:rPr>
        <w:t>cancer</w:t>
      </w:r>
      <w:r w:rsidRPr="000A38FC">
        <w:rPr>
          <w:rFonts w:ascii="Century Gothic" w:hAnsi="Century Gothic" w:cs="Calibri"/>
          <w:sz w:val="20"/>
          <w:szCs w:val="20"/>
        </w:rPr>
        <w:t xml:space="preserve"> outcomes</w:t>
      </w:r>
      <w:r>
        <w:rPr>
          <w:rFonts w:ascii="Century Gothic" w:hAnsi="Century Gothic" w:cs="Calibri"/>
          <w:sz w:val="20"/>
          <w:szCs w:val="20"/>
        </w:rPr>
        <w:t>.</w:t>
      </w:r>
    </w:p>
    <w:p w:rsidR="008A7C54" w:rsidRDefault="004B3678" w:rsidP="00247142">
      <w:pPr>
        <w:spacing w:after="200" w:line="276" w:lineRule="auto"/>
        <w:rPr>
          <w:rFonts w:ascii="Century Gothic" w:hAnsi="Century Gothic" w:cs="Calibri"/>
          <w:sz w:val="20"/>
          <w:szCs w:val="20"/>
        </w:rPr>
      </w:pPr>
      <w:r w:rsidRPr="004B3678">
        <w:rPr>
          <w:rFonts w:ascii="Century Gothic" w:hAnsi="Century Gothic" w:cs="Calibri"/>
          <w:sz w:val="20"/>
          <w:szCs w:val="20"/>
        </w:rPr>
        <w:t>Although Australia has comprehensive population coverage</w:t>
      </w:r>
      <w:r w:rsidR="008A7C54">
        <w:rPr>
          <w:rFonts w:ascii="Century Gothic" w:hAnsi="Century Gothic" w:cs="Calibri"/>
          <w:sz w:val="20"/>
          <w:szCs w:val="20"/>
        </w:rPr>
        <w:t xml:space="preserve"> –  </w:t>
      </w:r>
      <w:r w:rsidR="008A7C54" w:rsidRPr="00480E20">
        <w:rPr>
          <w:rFonts w:ascii="Century Gothic" w:hAnsi="Century Gothic" w:cs="Calibri"/>
          <w:sz w:val="20"/>
          <w:szCs w:val="20"/>
        </w:rPr>
        <w:t xml:space="preserve">state/territory </w:t>
      </w:r>
      <w:r w:rsidR="008A7C54" w:rsidRPr="004B3678">
        <w:rPr>
          <w:rFonts w:ascii="Century Gothic" w:hAnsi="Century Gothic" w:cs="Calibri"/>
          <w:sz w:val="20"/>
          <w:szCs w:val="20"/>
        </w:rPr>
        <w:t>population-based cancer registries</w:t>
      </w:r>
      <w:r w:rsidR="008A7C54">
        <w:rPr>
          <w:rFonts w:ascii="Century Gothic" w:hAnsi="Century Gothic" w:cs="Calibri"/>
          <w:sz w:val="20"/>
          <w:szCs w:val="20"/>
        </w:rPr>
        <w:t xml:space="preserve"> – </w:t>
      </w:r>
      <w:r w:rsidR="00970E12">
        <w:rPr>
          <w:rFonts w:ascii="Century Gothic" w:hAnsi="Century Gothic" w:cs="Calibri"/>
          <w:sz w:val="20"/>
          <w:szCs w:val="20"/>
        </w:rPr>
        <w:t xml:space="preserve">of </w:t>
      </w:r>
      <w:r w:rsidR="008A3DB0">
        <w:rPr>
          <w:rFonts w:ascii="Century Gothic" w:hAnsi="Century Gothic" w:cs="Calibri"/>
          <w:sz w:val="20"/>
          <w:szCs w:val="20"/>
        </w:rPr>
        <w:t>cancer</w:t>
      </w:r>
      <w:r w:rsidR="00970E12">
        <w:rPr>
          <w:rFonts w:ascii="Century Gothic" w:hAnsi="Century Gothic" w:cs="Calibri"/>
          <w:sz w:val="20"/>
          <w:szCs w:val="20"/>
        </w:rPr>
        <w:t xml:space="preserve"> incidence</w:t>
      </w:r>
      <w:r w:rsidR="008A7C54">
        <w:rPr>
          <w:rFonts w:ascii="Century Gothic" w:hAnsi="Century Gothic" w:cs="Calibri"/>
          <w:sz w:val="20"/>
          <w:szCs w:val="20"/>
        </w:rPr>
        <w:t xml:space="preserve">, as well as national data on health behaviours, treatments and mortality </w:t>
      </w:r>
      <w:r w:rsidRPr="004B3678">
        <w:rPr>
          <w:rFonts w:ascii="Century Gothic" w:hAnsi="Century Gothic" w:cs="Calibri"/>
          <w:sz w:val="20"/>
          <w:szCs w:val="20"/>
        </w:rPr>
        <w:t>(</w:t>
      </w:r>
      <w:r w:rsidR="008A7C54">
        <w:rPr>
          <w:rFonts w:ascii="Century Gothic" w:hAnsi="Century Gothic" w:cs="Calibri"/>
          <w:sz w:val="20"/>
          <w:szCs w:val="20"/>
        </w:rPr>
        <w:t xml:space="preserve">refer </w:t>
      </w:r>
      <w:r w:rsidR="004D7AEF">
        <w:rPr>
          <w:rFonts w:ascii="Century Gothic" w:hAnsi="Century Gothic" w:cs="Calibri"/>
          <w:sz w:val="20"/>
          <w:szCs w:val="20"/>
        </w:rPr>
        <w:t>page 4</w:t>
      </w:r>
      <w:r w:rsidRPr="004B3678">
        <w:rPr>
          <w:rFonts w:ascii="Century Gothic" w:hAnsi="Century Gothic" w:cs="Calibri"/>
          <w:sz w:val="20"/>
          <w:szCs w:val="20"/>
        </w:rPr>
        <w:t xml:space="preserve">), more value can be added by linking </w:t>
      </w:r>
      <w:r>
        <w:rPr>
          <w:rFonts w:ascii="Century Gothic" w:hAnsi="Century Gothic" w:cs="Calibri"/>
          <w:sz w:val="20"/>
          <w:szCs w:val="20"/>
        </w:rPr>
        <w:t>different dataset</w:t>
      </w:r>
      <w:r w:rsidR="00842B8C">
        <w:rPr>
          <w:rFonts w:ascii="Century Gothic" w:hAnsi="Century Gothic" w:cs="Calibri"/>
          <w:sz w:val="20"/>
          <w:szCs w:val="20"/>
        </w:rPr>
        <w:t>s</w:t>
      </w:r>
      <w:r>
        <w:rPr>
          <w:rFonts w:ascii="Century Gothic" w:hAnsi="Century Gothic" w:cs="Calibri"/>
          <w:sz w:val="20"/>
          <w:szCs w:val="20"/>
        </w:rPr>
        <w:t xml:space="preserve"> relevant to cancer</w:t>
      </w:r>
      <w:r w:rsidR="008A7C54">
        <w:rPr>
          <w:rFonts w:ascii="Century Gothic" w:hAnsi="Century Gothic" w:cs="Calibri"/>
          <w:sz w:val="20"/>
          <w:szCs w:val="20"/>
        </w:rPr>
        <w:t xml:space="preserve">. Doing this would be improve our ability </w:t>
      </w:r>
      <w:r w:rsidRPr="004B3678">
        <w:rPr>
          <w:rFonts w:ascii="Century Gothic" w:hAnsi="Century Gothic" w:cs="Calibri"/>
          <w:sz w:val="20"/>
          <w:szCs w:val="20"/>
        </w:rPr>
        <w:t xml:space="preserve">to </w:t>
      </w:r>
      <w:r w:rsidR="008A7C54">
        <w:rPr>
          <w:rFonts w:ascii="Century Gothic" w:hAnsi="Century Gothic" w:cs="Calibri"/>
          <w:sz w:val="20"/>
          <w:szCs w:val="20"/>
        </w:rPr>
        <w:t xml:space="preserve">more accurately </w:t>
      </w:r>
      <w:r w:rsidRPr="004B3678">
        <w:rPr>
          <w:rFonts w:ascii="Century Gothic" w:hAnsi="Century Gothic" w:cs="Calibri"/>
          <w:sz w:val="20"/>
          <w:szCs w:val="20"/>
        </w:rPr>
        <w:t xml:space="preserve">identify health-risk </w:t>
      </w:r>
      <w:r>
        <w:rPr>
          <w:rFonts w:ascii="Century Gothic" w:hAnsi="Century Gothic" w:cs="Calibri"/>
          <w:sz w:val="20"/>
          <w:szCs w:val="20"/>
        </w:rPr>
        <w:t>factors,</w:t>
      </w:r>
      <w:r w:rsidRPr="004B3678">
        <w:rPr>
          <w:rFonts w:ascii="Century Gothic" w:hAnsi="Century Gothic" w:cs="Calibri"/>
          <w:sz w:val="20"/>
          <w:szCs w:val="20"/>
        </w:rPr>
        <w:t xml:space="preserve"> </w:t>
      </w:r>
      <w:r w:rsidR="008A7C54">
        <w:rPr>
          <w:rFonts w:ascii="Century Gothic" w:hAnsi="Century Gothic" w:cs="Calibri"/>
          <w:sz w:val="20"/>
          <w:szCs w:val="20"/>
        </w:rPr>
        <w:t xml:space="preserve">patterns of care, </w:t>
      </w:r>
      <w:r w:rsidRPr="004B3678">
        <w:rPr>
          <w:rFonts w:ascii="Century Gothic" w:hAnsi="Century Gothic" w:cs="Calibri"/>
          <w:sz w:val="20"/>
          <w:szCs w:val="20"/>
        </w:rPr>
        <w:t>use of health services</w:t>
      </w:r>
      <w:r>
        <w:rPr>
          <w:rFonts w:ascii="Century Gothic" w:hAnsi="Century Gothic" w:cs="Calibri"/>
          <w:sz w:val="20"/>
          <w:szCs w:val="20"/>
        </w:rPr>
        <w:t xml:space="preserve">, and </w:t>
      </w:r>
      <w:r w:rsidR="008A7C54">
        <w:rPr>
          <w:rFonts w:ascii="Century Gothic" w:hAnsi="Century Gothic" w:cs="Calibri"/>
          <w:sz w:val="20"/>
          <w:szCs w:val="20"/>
        </w:rPr>
        <w:t xml:space="preserve">how these relate to </w:t>
      </w:r>
      <w:r>
        <w:rPr>
          <w:rFonts w:ascii="Century Gothic" w:hAnsi="Century Gothic" w:cs="Calibri"/>
          <w:sz w:val="20"/>
          <w:szCs w:val="20"/>
        </w:rPr>
        <w:t xml:space="preserve">outcomes. </w:t>
      </w:r>
    </w:p>
    <w:p w:rsidR="00801A54" w:rsidRDefault="004B3678" w:rsidP="00247142">
      <w:pPr>
        <w:spacing w:after="200" w:line="276" w:lineRule="auto"/>
        <w:rPr>
          <w:rFonts w:ascii="Century Gothic" w:hAnsi="Century Gothic" w:cs="Calibri"/>
          <w:sz w:val="20"/>
          <w:szCs w:val="20"/>
        </w:rPr>
      </w:pPr>
      <w:r>
        <w:rPr>
          <w:rFonts w:ascii="Century Gothic" w:hAnsi="Century Gothic" w:cs="Calibri"/>
          <w:sz w:val="20"/>
          <w:szCs w:val="20"/>
        </w:rPr>
        <w:lastRenderedPageBreak/>
        <w:t>In addition, data linkage could</w:t>
      </w:r>
      <w:r w:rsidRPr="004B3678">
        <w:rPr>
          <w:rFonts w:ascii="Century Gothic" w:hAnsi="Century Gothic" w:cs="Calibri"/>
          <w:sz w:val="20"/>
          <w:szCs w:val="20"/>
        </w:rPr>
        <w:t xml:space="preserve"> be used </w:t>
      </w:r>
      <w:r>
        <w:rPr>
          <w:rFonts w:ascii="Century Gothic" w:hAnsi="Century Gothic" w:cs="Calibri"/>
          <w:sz w:val="20"/>
          <w:szCs w:val="20"/>
        </w:rPr>
        <w:t xml:space="preserve">more widely </w:t>
      </w:r>
      <w:r w:rsidRPr="004B3678">
        <w:rPr>
          <w:rFonts w:ascii="Century Gothic" w:hAnsi="Century Gothic" w:cs="Calibri"/>
          <w:sz w:val="20"/>
          <w:szCs w:val="20"/>
        </w:rPr>
        <w:t xml:space="preserve">to integrate data from the public and private health sectors, and across administrative jurisdictions for effective service monitoring and for supporting broader service delivery. Although </w:t>
      </w:r>
      <w:r>
        <w:rPr>
          <w:rFonts w:ascii="Century Gothic" w:hAnsi="Century Gothic" w:cs="Calibri"/>
          <w:sz w:val="20"/>
          <w:szCs w:val="20"/>
        </w:rPr>
        <w:t xml:space="preserve">there are </w:t>
      </w:r>
      <w:r w:rsidRPr="004B3678">
        <w:rPr>
          <w:rFonts w:ascii="Century Gothic" w:hAnsi="Century Gothic" w:cs="Calibri"/>
          <w:sz w:val="20"/>
          <w:szCs w:val="20"/>
        </w:rPr>
        <w:t xml:space="preserve">significant legal, ethical and administrative </w:t>
      </w:r>
      <w:r>
        <w:rPr>
          <w:rFonts w:ascii="Century Gothic" w:hAnsi="Century Gothic" w:cs="Calibri"/>
          <w:sz w:val="20"/>
          <w:szCs w:val="20"/>
        </w:rPr>
        <w:t>considerations</w:t>
      </w:r>
      <w:r w:rsidRPr="004B3678">
        <w:rPr>
          <w:rFonts w:ascii="Century Gothic" w:hAnsi="Century Gothic" w:cs="Calibri"/>
          <w:sz w:val="20"/>
          <w:szCs w:val="20"/>
        </w:rPr>
        <w:t>,</w:t>
      </w:r>
      <w:r w:rsidR="00801A54">
        <w:rPr>
          <w:rFonts w:ascii="Century Gothic" w:hAnsi="Century Gothic" w:cs="Calibri"/>
          <w:sz w:val="20"/>
          <w:szCs w:val="20"/>
        </w:rPr>
        <w:t xml:space="preserve"> best-practise examples from Australia and overseas show that de-identified data can be used in an ethical fashion which protects individual privacy</w:t>
      </w:r>
      <w:r w:rsidR="00A67BE3">
        <w:rPr>
          <w:rFonts w:ascii="Century Gothic" w:hAnsi="Century Gothic" w:cs="Calibri"/>
          <w:sz w:val="20"/>
          <w:szCs w:val="20"/>
        </w:rPr>
        <w:t xml:space="preserve"> and improved health outcomes</w:t>
      </w:r>
      <w:r w:rsidR="00801A54">
        <w:rPr>
          <w:rFonts w:ascii="Century Gothic" w:hAnsi="Century Gothic" w:cs="Calibri"/>
          <w:sz w:val="20"/>
          <w:szCs w:val="20"/>
        </w:rPr>
        <w:t>.</w:t>
      </w:r>
      <w:r w:rsidRPr="004B3678">
        <w:rPr>
          <w:rFonts w:ascii="Century Gothic" w:hAnsi="Century Gothic" w:cs="Calibri"/>
          <w:sz w:val="20"/>
          <w:szCs w:val="20"/>
        </w:rPr>
        <w:t xml:space="preserve"> </w:t>
      </w:r>
    </w:p>
    <w:p w:rsidR="00595C8A" w:rsidRDefault="00801A54" w:rsidP="00247142">
      <w:pPr>
        <w:spacing w:after="200" w:line="276" w:lineRule="auto"/>
        <w:rPr>
          <w:rFonts w:ascii="Century Gothic" w:hAnsi="Century Gothic" w:cs="Calibri"/>
          <w:sz w:val="20"/>
          <w:szCs w:val="20"/>
        </w:rPr>
      </w:pPr>
      <w:r>
        <w:rPr>
          <w:rFonts w:ascii="Century Gothic" w:hAnsi="Century Gothic" w:cs="Calibri"/>
          <w:sz w:val="20"/>
          <w:szCs w:val="20"/>
        </w:rPr>
        <w:t xml:space="preserve">Likewise, </w:t>
      </w:r>
      <w:r w:rsidR="004B3678">
        <w:rPr>
          <w:rFonts w:ascii="Century Gothic" w:hAnsi="Century Gothic" w:cs="Calibri"/>
          <w:sz w:val="20"/>
          <w:szCs w:val="20"/>
        </w:rPr>
        <w:t xml:space="preserve">recent initiatives show that </w:t>
      </w:r>
      <w:r w:rsidR="004B3678" w:rsidRPr="004B3678">
        <w:rPr>
          <w:rFonts w:ascii="Century Gothic" w:hAnsi="Century Gothic" w:cs="Calibri"/>
          <w:sz w:val="20"/>
          <w:szCs w:val="20"/>
        </w:rPr>
        <w:t xml:space="preserve">a </w:t>
      </w:r>
      <w:r w:rsidR="004B3678">
        <w:rPr>
          <w:rFonts w:ascii="Century Gothic" w:hAnsi="Century Gothic" w:cs="Calibri"/>
          <w:sz w:val="20"/>
          <w:szCs w:val="20"/>
        </w:rPr>
        <w:t xml:space="preserve">there is broad government support for improving data linkage capacity, both at the </w:t>
      </w:r>
      <w:r w:rsidR="00517C74">
        <w:rPr>
          <w:rFonts w:ascii="Century Gothic" w:hAnsi="Century Gothic" w:cs="Calibri"/>
          <w:sz w:val="20"/>
          <w:szCs w:val="20"/>
        </w:rPr>
        <w:t>Commonwealth</w:t>
      </w:r>
      <w:r w:rsidR="004B3678">
        <w:rPr>
          <w:rFonts w:ascii="Century Gothic" w:hAnsi="Century Gothic" w:cs="Calibri"/>
          <w:sz w:val="20"/>
          <w:szCs w:val="20"/>
        </w:rPr>
        <w:t xml:space="preserve"> (e.g. Integrating Authorities) and state/territory-level (e.g.</w:t>
      </w:r>
      <w:r w:rsidR="004B3678" w:rsidRPr="004B3678">
        <w:rPr>
          <w:rFonts w:ascii="Century Gothic" w:hAnsi="Century Gothic" w:cs="Calibri"/>
          <w:sz w:val="20"/>
          <w:szCs w:val="20"/>
        </w:rPr>
        <w:t xml:space="preserve"> the Western Australian linkage model</w:t>
      </w:r>
      <w:r w:rsidR="00517C74">
        <w:rPr>
          <w:rFonts w:ascii="Century Gothic" w:hAnsi="Century Gothic" w:cs="Calibri"/>
          <w:sz w:val="20"/>
          <w:szCs w:val="20"/>
        </w:rPr>
        <w:t>).</w:t>
      </w:r>
      <w:r>
        <w:rPr>
          <w:rFonts w:ascii="Century Gothic" w:hAnsi="Century Gothic" w:cs="Calibri"/>
          <w:sz w:val="20"/>
          <w:szCs w:val="20"/>
        </w:rPr>
        <w:t xml:space="preserve"> These initiatives will not only improve the use and impact of existing data, but also influence the opportunity and physical costs associated with inefficient data access/use arrangements.</w:t>
      </w:r>
    </w:p>
    <w:p w:rsidR="00DF0A7E" w:rsidRDefault="00DF0A7E" w:rsidP="00247142">
      <w:pPr>
        <w:spacing w:after="200" w:line="276" w:lineRule="auto"/>
        <w:rPr>
          <w:rFonts w:ascii="Century Gothic" w:hAnsi="Century Gothic" w:cs="Calibri"/>
          <w:sz w:val="20"/>
          <w:szCs w:val="20"/>
        </w:rPr>
      </w:pPr>
      <w:r>
        <w:rPr>
          <w:rFonts w:ascii="Century Gothic" w:hAnsi="Century Gothic" w:cs="Calibri"/>
          <w:sz w:val="20"/>
          <w:szCs w:val="20"/>
        </w:rPr>
        <w:t xml:space="preserve">Increased availability and use of cancer data in Australia will boost innovation, improve collaborative research, and better inform clinical decision-making and policy development. </w:t>
      </w:r>
      <w:r w:rsidR="002D1847">
        <w:rPr>
          <w:rFonts w:ascii="Century Gothic" w:hAnsi="Century Gothic" w:cs="Calibri"/>
          <w:sz w:val="20"/>
          <w:szCs w:val="20"/>
        </w:rPr>
        <w:t>In particular, t</w:t>
      </w:r>
      <w:r>
        <w:rPr>
          <w:rFonts w:ascii="Century Gothic" w:hAnsi="Century Gothic" w:cs="Calibri"/>
          <w:sz w:val="20"/>
          <w:szCs w:val="20"/>
        </w:rPr>
        <w:t xml:space="preserve">axpayer-funded, de-identified health data </w:t>
      </w:r>
      <w:r w:rsidR="002D1847">
        <w:rPr>
          <w:rFonts w:ascii="Century Gothic" w:hAnsi="Century Gothic" w:cs="Calibri"/>
          <w:sz w:val="20"/>
          <w:szCs w:val="20"/>
        </w:rPr>
        <w:t xml:space="preserve">should be seen as </w:t>
      </w:r>
      <w:r>
        <w:rPr>
          <w:rFonts w:ascii="Century Gothic" w:hAnsi="Century Gothic" w:cs="Calibri"/>
          <w:sz w:val="20"/>
          <w:szCs w:val="20"/>
        </w:rPr>
        <w:t xml:space="preserve">a public good, and is its widespread use is the most powerful tool </w:t>
      </w:r>
      <w:r w:rsidR="006B0307">
        <w:rPr>
          <w:rFonts w:ascii="Century Gothic" w:hAnsi="Century Gothic" w:cs="Calibri"/>
          <w:sz w:val="20"/>
          <w:szCs w:val="20"/>
        </w:rPr>
        <w:t xml:space="preserve">that </w:t>
      </w:r>
      <w:r>
        <w:rPr>
          <w:rFonts w:ascii="Century Gothic" w:hAnsi="Century Gothic" w:cs="Calibri"/>
          <w:sz w:val="20"/>
          <w:szCs w:val="20"/>
        </w:rPr>
        <w:t>we have to directly improve outcomes for Australians affected by cancer.</w:t>
      </w:r>
    </w:p>
    <w:p w:rsidR="00595C8A" w:rsidRPr="001E313D" w:rsidRDefault="00595C8A" w:rsidP="00247142">
      <w:pPr>
        <w:spacing w:after="200" w:line="276" w:lineRule="auto"/>
        <w:rPr>
          <w:rFonts w:ascii="Century Gothic" w:hAnsi="Century Gothic" w:cs="Calibri"/>
          <w:sz w:val="20"/>
          <w:szCs w:val="22"/>
        </w:rPr>
      </w:pPr>
    </w:p>
    <w:p w:rsidR="00842B8C" w:rsidRDefault="00842B8C">
      <w:pPr>
        <w:rPr>
          <w:rFonts w:ascii="Century Gothic" w:hAnsi="Century Gothic"/>
          <w:b/>
        </w:rPr>
      </w:pPr>
      <w:r>
        <w:rPr>
          <w:rFonts w:ascii="Century Gothic" w:hAnsi="Century Gothic"/>
          <w:b/>
        </w:rPr>
        <w:br w:type="page"/>
      </w:r>
    </w:p>
    <w:p w:rsidR="00D02917" w:rsidRPr="009960CC" w:rsidRDefault="00D02917" w:rsidP="00D02917">
      <w:pPr>
        <w:spacing w:before="120"/>
        <w:rPr>
          <w:rFonts w:ascii="Century Gothic" w:hAnsi="Century Gothic"/>
          <w:b/>
        </w:rPr>
      </w:pPr>
      <w:r w:rsidRPr="009960CC">
        <w:rPr>
          <w:rFonts w:ascii="Century Gothic" w:hAnsi="Century Gothic"/>
          <w:b/>
        </w:rPr>
        <w:lastRenderedPageBreak/>
        <w:t>Abbreviations</w:t>
      </w:r>
    </w:p>
    <w:p w:rsidR="00326048" w:rsidRDefault="00326048" w:rsidP="00D02917">
      <w:pPr>
        <w:pStyle w:val="ERTHeading1"/>
        <w:numPr>
          <w:ilvl w:val="0"/>
          <w:numId w:val="0"/>
        </w:numPr>
        <w:spacing w:before="120"/>
        <w:rPr>
          <w:b w:val="0"/>
          <w:sz w:val="20"/>
        </w:rPr>
      </w:pPr>
      <w:r>
        <w:rPr>
          <w:b w:val="0"/>
          <w:sz w:val="20"/>
        </w:rPr>
        <w:t>ABS</w:t>
      </w:r>
      <w:r>
        <w:rPr>
          <w:b w:val="0"/>
          <w:sz w:val="20"/>
        </w:rPr>
        <w:tab/>
      </w:r>
      <w:r>
        <w:rPr>
          <w:b w:val="0"/>
          <w:sz w:val="20"/>
        </w:rPr>
        <w:tab/>
      </w:r>
      <w:r>
        <w:rPr>
          <w:b w:val="0"/>
          <w:sz w:val="20"/>
        </w:rPr>
        <w:tab/>
        <w:t>Australian Bureau of Statistics</w:t>
      </w:r>
    </w:p>
    <w:p w:rsidR="00326048" w:rsidRDefault="00326048" w:rsidP="00D02917">
      <w:pPr>
        <w:pStyle w:val="ERTHeading1"/>
        <w:numPr>
          <w:ilvl w:val="0"/>
          <w:numId w:val="0"/>
        </w:numPr>
        <w:spacing w:before="120"/>
        <w:rPr>
          <w:b w:val="0"/>
          <w:sz w:val="20"/>
        </w:rPr>
      </w:pPr>
      <w:r>
        <w:rPr>
          <w:b w:val="0"/>
          <w:sz w:val="20"/>
        </w:rPr>
        <w:t>AIHW</w:t>
      </w:r>
      <w:r>
        <w:rPr>
          <w:b w:val="0"/>
          <w:sz w:val="20"/>
        </w:rPr>
        <w:tab/>
      </w:r>
      <w:r>
        <w:rPr>
          <w:b w:val="0"/>
          <w:sz w:val="20"/>
        </w:rPr>
        <w:tab/>
      </w:r>
      <w:r>
        <w:rPr>
          <w:b w:val="0"/>
          <w:sz w:val="20"/>
        </w:rPr>
        <w:tab/>
        <w:t>Australian Institute of Health and Welfare</w:t>
      </w:r>
    </w:p>
    <w:p w:rsidR="00D02917" w:rsidRDefault="00D02917" w:rsidP="00D02917">
      <w:pPr>
        <w:pStyle w:val="ERTHeading1"/>
        <w:numPr>
          <w:ilvl w:val="0"/>
          <w:numId w:val="0"/>
        </w:numPr>
        <w:spacing w:before="120"/>
        <w:rPr>
          <w:b w:val="0"/>
          <w:sz w:val="20"/>
          <w:lang w:val="en-AU"/>
        </w:rPr>
      </w:pPr>
      <w:r w:rsidRPr="00B70E6C">
        <w:rPr>
          <w:b w:val="0"/>
          <w:sz w:val="20"/>
        </w:rPr>
        <w:t xml:space="preserve">MBS </w:t>
      </w:r>
      <w:r w:rsidRPr="00B70E6C">
        <w:rPr>
          <w:b w:val="0"/>
          <w:sz w:val="20"/>
        </w:rPr>
        <w:tab/>
      </w:r>
      <w:r w:rsidRPr="00B70E6C">
        <w:rPr>
          <w:b w:val="0"/>
          <w:sz w:val="20"/>
        </w:rPr>
        <w:tab/>
      </w:r>
      <w:r w:rsidRPr="00B70E6C">
        <w:rPr>
          <w:b w:val="0"/>
          <w:sz w:val="20"/>
        </w:rPr>
        <w:tab/>
      </w:r>
      <w:r w:rsidR="00326048" w:rsidRPr="00326048">
        <w:rPr>
          <w:b w:val="0"/>
          <w:sz w:val="20"/>
          <w:lang w:val="en-AU"/>
        </w:rPr>
        <w:t>Medicare Benefits Schedule</w:t>
      </w:r>
    </w:p>
    <w:p w:rsidR="00326048" w:rsidRDefault="00326048" w:rsidP="00D02917">
      <w:pPr>
        <w:pStyle w:val="ERTHeading1"/>
        <w:numPr>
          <w:ilvl w:val="0"/>
          <w:numId w:val="0"/>
        </w:numPr>
        <w:spacing w:before="120"/>
        <w:rPr>
          <w:b w:val="0"/>
          <w:sz w:val="20"/>
          <w:lang w:val="en-AU"/>
        </w:rPr>
      </w:pPr>
      <w:r>
        <w:rPr>
          <w:b w:val="0"/>
          <w:sz w:val="20"/>
          <w:lang w:val="en-AU"/>
        </w:rPr>
        <w:t>NSS</w:t>
      </w:r>
      <w:r>
        <w:rPr>
          <w:b w:val="0"/>
          <w:sz w:val="20"/>
          <w:lang w:val="en-AU"/>
        </w:rPr>
        <w:tab/>
      </w:r>
      <w:r>
        <w:rPr>
          <w:b w:val="0"/>
          <w:sz w:val="20"/>
          <w:lang w:val="en-AU"/>
        </w:rPr>
        <w:tab/>
      </w:r>
      <w:r>
        <w:rPr>
          <w:b w:val="0"/>
          <w:sz w:val="20"/>
          <w:lang w:val="en-AU"/>
        </w:rPr>
        <w:tab/>
        <w:t>National Statistical Service</w:t>
      </w:r>
    </w:p>
    <w:p w:rsidR="00326048" w:rsidRDefault="00326048" w:rsidP="00D02917">
      <w:pPr>
        <w:pStyle w:val="ERTHeading1"/>
        <w:numPr>
          <w:ilvl w:val="0"/>
          <w:numId w:val="0"/>
        </w:numPr>
        <w:spacing w:before="120"/>
        <w:rPr>
          <w:b w:val="0"/>
          <w:sz w:val="20"/>
        </w:rPr>
      </w:pPr>
      <w:r>
        <w:rPr>
          <w:b w:val="0"/>
          <w:sz w:val="20"/>
          <w:lang w:val="en-AU"/>
        </w:rPr>
        <w:t>NT</w:t>
      </w:r>
      <w:r>
        <w:rPr>
          <w:b w:val="0"/>
          <w:sz w:val="20"/>
          <w:lang w:val="en-AU"/>
        </w:rPr>
        <w:tab/>
      </w:r>
      <w:r>
        <w:rPr>
          <w:b w:val="0"/>
          <w:sz w:val="20"/>
          <w:lang w:val="en-AU"/>
        </w:rPr>
        <w:tab/>
      </w:r>
      <w:r>
        <w:rPr>
          <w:b w:val="0"/>
          <w:sz w:val="20"/>
          <w:lang w:val="en-AU"/>
        </w:rPr>
        <w:tab/>
        <w:t>Northern Territory</w:t>
      </w:r>
    </w:p>
    <w:p w:rsidR="00947801" w:rsidRDefault="00947801" w:rsidP="00D02917">
      <w:pPr>
        <w:pStyle w:val="ERTHeading1"/>
        <w:numPr>
          <w:ilvl w:val="0"/>
          <w:numId w:val="0"/>
        </w:numPr>
        <w:spacing w:before="120"/>
        <w:rPr>
          <w:b w:val="0"/>
          <w:sz w:val="20"/>
          <w:lang w:val="en-AU"/>
        </w:rPr>
      </w:pPr>
      <w:r>
        <w:rPr>
          <w:b w:val="0"/>
          <w:sz w:val="20"/>
        </w:rPr>
        <w:t>PBS</w:t>
      </w:r>
      <w:r w:rsidR="00326048">
        <w:rPr>
          <w:b w:val="0"/>
          <w:sz w:val="20"/>
        </w:rPr>
        <w:tab/>
      </w:r>
      <w:r w:rsidR="00326048">
        <w:rPr>
          <w:b w:val="0"/>
          <w:sz w:val="20"/>
        </w:rPr>
        <w:tab/>
      </w:r>
      <w:r w:rsidR="00326048">
        <w:rPr>
          <w:b w:val="0"/>
          <w:sz w:val="20"/>
        </w:rPr>
        <w:tab/>
      </w:r>
      <w:r w:rsidR="00326048" w:rsidRPr="00326048">
        <w:rPr>
          <w:b w:val="0"/>
          <w:sz w:val="20"/>
          <w:lang w:val="en-AU"/>
        </w:rPr>
        <w:t>Pharmaceutical Benefits Scheme</w:t>
      </w:r>
    </w:p>
    <w:p w:rsidR="00326048" w:rsidRDefault="00326048" w:rsidP="00D02917">
      <w:pPr>
        <w:pStyle w:val="ERTHeading1"/>
        <w:numPr>
          <w:ilvl w:val="0"/>
          <w:numId w:val="0"/>
        </w:numPr>
        <w:spacing w:before="120"/>
        <w:rPr>
          <w:b w:val="0"/>
          <w:sz w:val="20"/>
          <w:lang w:val="en-AU"/>
        </w:rPr>
      </w:pPr>
      <w:r>
        <w:rPr>
          <w:b w:val="0"/>
          <w:sz w:val="20"/>
          <w:lang w:val="en-AU"/>
        </w:rPr>
        <w:t>SA</w:t>
      </w:r>
      <w:r>
        <w:rPr>
          <w:b w:val="0"/>
          <w:sz w:val="20"/>
          <w:lang w:val="en-AU"/>
        </w:rPr>
        <w:tab/>
      </w:r>
      <w:r>
        <w:rPr>
          <w:b w:val="0"/>
          <w:sz w:val="20"/>
          <w:lang w:val="en-AU"/>
        </w:rPr>
        <w:tab/>
      </w:r>
      <w:r>
        <w:rPr>
          <w:b w:val="0"/>
          <w:sz w:val="20"/>
          <w:lang w:val="en-AU"/>
        </w:rPr>
        <w:tab/>
        <w:t>South Australia</w:t>
      </w:r>
    </w:p>
    <w:p w:rsidR="00842B8C" w:rsidRDefault="00842B8C" w:rsidP="00D02917">
      <w:pPr>
        <w:pStyle w:val="ERTHeading1"/>
        <w:numPr>
          <w:ilvl w:val="0"/>
          <w:numId w:val="0"/>
        </w:numPr>
        <w:spacing w:before="120"/>
        <w:rPr>
          <w:b w:val="0"/>
          <w:sz w:val="20"/>
          <w:lang w:val="en-AU"/>
        </w:rPr>
      </w:pPr>
      <w:r>
        <w:rPr>
          <w:b w:val="0"/>
          <w:sz w:val="20"/>
          <w:lang w:val="en-AU"/>
        </w:rPr>
        <w:t>STaR</w:t>
      </w:r>
      <w:r>
        <w:rPr>
          <w:b w:val="0"/>
          <w:sz w:val="20"/>
          <w:lang w:val="en-AU"/>
        </w:rPr>
        <w:tab/>
      </w:r>
      <w:r>
        <w:rPr>
          <w:b w:val="0"/>
          <w:sz w:val="20"/>
          <w:lang w:val="en-AU"/>
        </w:rPr>
        <w:tab/>
      </w:r>
      <w:r>
        <w:rPr>
          <w:b w:val="0"/>
          <w:sz w:val="20"/>
          <w:lang w:val="en-AU"/>
        </w:rPr>
        <w:tab/>
        <w:t>Stage, Treatment and Recurrence</w:t>
      </w:r>
    </w:p>
    <w:p w:rsidR="00326048" w:rsidRPr="00B70E6C" w:rsidRDefault="00326048" w:rsidP="00D02917">
      <w:pPr>
        <w:pStyle w:val="ERTHeading1"/>
        <w:numPr>
          <w:ilvl w:val="0"/>
          <w:numId w:val="0"/>
        </w:numPr>
        <w:spacing w:before="120"/>
        <w:rPr>
          <w:b w:val="0"/>
          <w:sz w:val="20"/>
        </w:rPr>
      </w:pPr>
      <w:r>
        <w:rPr>
          <w:b w:val="0"/>
          <w:sz w:val="20"/>
          <w:lang w:val="en-AU"/>
        </w:rPr>
        <w:t>WA</w:t>
      </w:r>
      <w:r>
        <w:rPr>
          <w:b w:val="0"/>
          <w:sz w:val="20"/>
          <w:lang w:val="en-AU"/>
        </w:rPr>
        <w:tab/>
      </w:r>
      <w:r>
        <w:rPr>
          <w:b w:val="0"/>
          <w:sz w:val="20"/>
          <w:lang w:val="en-AU"/>
        </w:rPr>
        <w:tab/>
      </w:r>
      <w:r>
        <w:rPr>
          <w:b w:val="0"/>
          <w:sz w:val="20"/>
          <w:lang w:val="en-AU"/>
        </w:rPr>
        <w:tab/>
        <w:t>Western Australia</w:t>
      </w:r>
    </w:p>
    <w:p w:rsidR="00842B8C" w:rsidRDefault="00842B8C">
      <w:pPr>
        <w:rPr>
          <w:rFonts w:ascii="Century Gothic" w:hAnsi="Century Gothic"/>
          <w:b/>
        </w:rPr>
      </w:pPr>
      <w:r>
        <w:rPr>
          <w:rFonts w:ascii="Century Gothic" w:hAnsi="Century Gothic"/>
          <w:b/>
        </w:rPr>
        <w:br w:type="page"/>
      </w:r>
    </w:p>
    <w:p w:rsidR="00C44C40" w:rsidRPr="00AF6B3C" w:rsidRDefault="00C44C40" w:rsidP="00326048">
      <w:pPr>
        <w:spacing w:after="120" w:line="276" w:lineRule="auto"/>
        <w:rPr>
          <w:rFonts w:ascii="Century Gothic" w:hAnsi="Century Gothic"/>
          <w:b/>
        </w:rPr>
      </w:pPr>
      <w:r>
        <w:rPr>
          <w:rFonts w:ascii="Century Gothic" w:hAnsi="Century Gothic"/>
          <w:b/>
        </w:rPr>
        <w:lastRenderedPageBreak/>
        <w:t>References</w:t>
      </w:r>
    </w:p>
    <w:p w:rsidR="008929D9" w:rsidRPr="00DC71C6" w:rsidRDefault="008929D9" w:rsidP="00326048">
      <w:pPr>
        <w:pStyle w:val="ERTtext"/>
        <w:numPr>
          <w:ilvl w:val="0"/>
          <w:numId w:val="24"/>
        </w:numPr>
        <w:spacing w:before="0" w:line="276" w:lineRule="auto"/>
      </w:pPr>
      <w:r w:rsidRPr="00DC71C6">
        <w:t xml:space="preserve">Cancer Australia 2008. A National Cancer Data Strategy for Australia. Available from: </w:t>
      </w:r>
      <w:hyperlink r:id="rId16" w:history="1">
        <w:r w:rsidRPr="00DC71C6">
          <w:rPr>
            <w:rStyle w:val="Hyperlink"/>
          </w:rPr>
          <w:t>https://canceraustralia.gov.au/sites/default/files/publications/ncds_final_web1_504af02093a68.pdf</w:t>
        </w:r>
      </w:hyperlink>
      <w:r w:rsidRPr="00DC71C6">
        <w:t xml:space="preserve"> (Accessed 6 July 2016).</w:t>
      </w:r>
    </w:p>
    <w:p w:rsidR="00802286" w:rsidRPr="00802286" w:rsidRDefault="00802286" w:rsidP="00326048">
      <w:pPr>
        <w:pStyle w:val="ERTtext"/>
        <w:numPr>
          <w:ilvl w:val="0"/>
          <w:numId w:val="24"/>
        </w:numPr>
        <w:spacing w:before="0" w:line="276" w:lineRule="auto"/>
      </w:pPr>
      <w:r w:rsidRPr="00802286">
        <w:rPr>
          <w:lang w:val="en-AU"/>
        </w:rPr>
        <w:t>Cancer Australia, 2014. Cancer Australia Strategic Plan 2014–2019, Cancer Australia, Surry Hills, NSW.</w:t>
      </w:r>
    </w:p>
    <w:p w:rsidR="00802286" w:rsidRPr="00802286" w:rsidRDefault="00802286" w:rsidP="00326048">
      <w:pPr>
        <w:pStyle w:val="ListParagraph"/>
        <w:numPr>
          <w:ilvl w:val="0"/>
          <w:numId w:val="24"/>
        </w:numPr>
        <w:spacing w:after="120" w:line="276" w:lineRule="auto"/>
        <w:rPr>
          <w:rFonts w:ascii="Century Gothic" w:eastAsia="Calibri" w:hAnsi="Century Gothic" w:cstheme="minorHAnsi"/>
          <w:sz w:val="20"/>
          <w:szCs w:val="20"/>
          <w:lang w:val="en-US"/>
        </w:rPr>
      </w:pPr>
      <w:r w:rsidRPr="00802286">
        <w:rPr>
          <w:rFonts w:ascii="Century Gothic" w:eastAsia="Calibri" w:hAnsi="Century Gothic" w:cstheme="minorHAnsi"/>
          <w:sz w:val="20"/>
          <w:szCs w:val="20"/>
          <w:lang w:val="en-US"/>
        </w:rPr>
        <w:t>Australian Institute of Health and Welfare 2012. Cancer incidence projections: Australia, 2011 to 2020. Cancer Series no. 66. Cat. No. CAN 62. Canberra: AIHW.</w:t>
      </w:r>
    </w:p>
    <w:p w:rsidR="00802286" w:rsidRDefault="00802286" w:rsidP="00326048">
      <w:pPr>
        <w:pStyle w:val="ERTtext"/>
        <w:numPr>
          <w:ilvl w:val="0"/>
          <w:numId w:val="24"/>
        </w:numPr>
        <w:spacing w:before="0" w:line="276" w:lineRule="auto"/>
      </w:pPr>
      <w:r w:rsidRPr="00930C87">
        <w:t xml:space="preserve">Commonwealth of Australia, Department of the Prime Minister and Cabinet, Public Sector Data Management, 2015, </w:t>
      </w:r>
      <w:hyperlink r:id="rId17" w:history="1">
        <w:r w:rsidRPr="00D51F8E">
          <w:rPr>
            <w:rStyle w:val="Hyperlink"/>
          </w:rPr>
          <w:t>https://www.dpmc.gov.au/sites/default/files/publications/public_sector_data_mgt_project.pdf</w:t>
        </w:r>
      </w:hyperlink>
      <w:r>
        <w:t xml:space="preserve"> (A</w:t>
      </w:r>
      <w:r w:rsidRPr="00930C87">
        <w:t>ccessed 13 July 2016</w:t>
      </w:r>
      <w:r>
        <w:t>).</w:t>
      </w:r>
    </w:p>
    <w:p w:rsidR="00802286" w:rsidRDefault="00802286" w:rsidP="00326048">
      <w:pPr>
        <w:pStyle w:val="ERTtext"/>
        <w:numPr>
          <w:ilvl w:val="0"/>
          <w:numId w:val="24"/>
        </w:numPr>
        <w:spacing w:before="0" w:line="276" w:lineRule="auto"/>
      </w:pPr>
      <w:r>
        <w:t xml:space="preserve">National Statistical Service </w:t>
      </w:r>
      <w:hyperlink r:id="rId18" w:history="1">
        <w:r w:rsidRPr="00981498">
          <w:rPr>
            <w:rStyle w:val="Hyperlink"/>
          </w:rPr>
          <w:t>http://www.nss.gov.au/</w:t>
        </w:r>
      </w:hyperlink>
      <w:r>
        <w:t xml:space="preserve"> (accessed 11 July 2016).</w:t>
      </w:r>
    </w:p>
    <w:p w:rsidR="00802286" w:rsidRDefault="00802286" w:rsidP="00326048">
      <w:pPr>
        <w:pStyle w:val="ERTtext"/>
        <w:numPr>
          <w:ilvl w:val="0"/>
          <w:numId w:val="24"/>
        </w:numPr>
        <w:spacing w:before="0" w:line="276" w:lineRule="auto"/>
      </w:pPr>
      <w:r>
        <w:t xml:space="preserve">Australian Bureau of Statistics 2015. </w:t>
      </w:r>
      <w:r w:rsidRPr="00326D03">
        <w:t>1395.0 - Essential Statistical Assets for Australia</w:t>
      </w:r>
      <w:r>
        <w:t>.</w:t>
      </w:r>
      <w:r w:rsidRPr="00326D03">
        <w:t xml:space="preserve"> </w:t>
      </w:r>
      <w:r>
        <w:t xml:space="preserve">See </w:t>
      </w:r>
      <w:hyperlink r:id="rId19" w:history="1">
        <w:r w:rsidRPr="00981498">
          <w:rPr>
            <w:rStyle w:val="Hyperlink"/>
          </w:rPr>
          <w:t>http://www.abs.gov.au/ausstats/abs@.nsf/mf/1395.0</w:t>
        </w:r>
      </w:hyperlink>
      <w:r>
        <w:t xml:space="preserve"> (accessed 11 July 2016).</w:t>
      </w:r>
    </w:p>
    <w:p w:rsidR="007D55BA" w:rsidRDefault="007D55BA" w:rsidP="00326048">
      <w:pPr>
        <w:pStyle w:val="ERTtext"/>
        <w:numPr>
          <w:ilvl w:val="0"/>
          <w:numId w:val="24"/>
        </w:numPr>
        <w:spacing w:before="0" w:line="276" w:lineRule="auto"/>
      </w:pPr>
      <w:r>
        <w:t xml:space="preserve">Australian Government – data.gov.au </w:t>
      </w:r>
      <w:hyperlink r:id="rId20" w:history="1">
        <w:r w:rsidRPr="00981498">
          <w:rPr>
            <w:rStyle w:val="Hyperlink"/>
          </w:rPr>
          <w:t>https://www.data.gov.au/</w:t>
        </w:r>
      </w:hyperlink>
      <w:r>
        <w:t xml:space="preserve"> (accessed 11 July 2016).</w:t>
      </w:r>
    </w:p>
    <w:p w:rsidR="007D55BA" w:rsidRDefault="007D55BA" w:rsidP="00326048">
      <w:pPr>
        <w:pStyle w:val="ERTtext"/>
        <w:numPr>
          <w:ilvl w:val="0"/>
          <w:numId w:val="24"/>
        </w:numPr>
        <w:spacing w:before="0" w:line="276" w:lineRule="auto"/>
      </w:pPr>
      <w:r w:rsidRPr="007D55BA">
        <w:rPr>
          <w:lang w:val="en-AU"/>
        </w:rPr>
        <w:t xml:space="preserve">Australian Government – </w:t>
      </w:r>
      <w:r>
        <w:t xml:space="preserve">National Map </w:t>
      </w:r>
      <w:hyperlink r:id="rId21" w:history="1">
        <w:r w:rsidRPr="00981498">
          <w:rPr>
            <w:rStyle w:val="Hyperlink"/>
          </w:rPr>
          <w:t>https://nationalmap.gov.au/</w:t>
        </w:r>
      </w:hyperlink>
      <w:r>
        <w:t xml:space="preserve"> (accessed 11 July 2016).</w:t>
      </w:r>
    </w:p>
    <w:p w:rsidR="007D55BA" w:rsidRDefault="007D55BA" w:rsidP="00326048">
      <w:pPr>
        <w:pStyle w:val="ERTtext"/>
        <w:numPr>
          <w:ilvl w:val="0"/>
          <w:numId w:val="24"/>
        </w:numPr>
        <w:spacing w:before="0" w:line="276" w:lineRule="auto"/>
      </w:pPr>
      <w:r w:rsidRPr="007D55BA">
        <w:rPr>
          <w:lang w:val="en-AU"/>
        </w:rPr>
        <w:t>Australian Bureau of Statistics</w:t>
      </w:r>
      <w:r>
        <w:t xml:space="preserve"> 2016, Microdata Entry Page. </w:t>
      </w:r>
      <w:hyperlink r:id="rId22" w:history="1">
        <w:r w:rsidRPr="00304D8A">
          <w:rPr>
            <w:rStyle w:val="Hyperlink"/>
          </w:rPr>
          <w:t>http://abs.gov.au/websitedbs/D3310114.nsf/home/Microdata+Entry+Page</w:t>
        </w:r>
      </w:hyperlink>
      <w:r>
        <w:t xml:space="preserve"> (last </w:t>
      </w:r>
      <w:r w:rsidRPr="009A5034">
        <w:t>accessed 13 July 2016</w:t>
      </w:r>
      <w:r>
        <w:t>).</w:t>
      </w:r>
    </w:p>
    <w:p w:rsidR="007D55BA" w:rsidRDefault="007D55BA" w:rsidP="00326048">
      <w:pPr>
        <w:pStyle w:val="ERTtext"/>
        <w:numPr>
          <w:ilvl w:val="0"/>
          <w:numId w:val="24"/>
        </w:numPr>
        <w:spacing w:before="0" w:line="276" w:lineRule="auto"/>
      </w:pPr>
      <w:r w:rsidRPr="007D55BA">
        <w:rPr>
          <w:lang w:val="en-AU"/>
        </w:rPr>
        <w:t>Productivity Commission</w:t>
      </w:r>
      <w:r>
        <w:rPr>
          <w:lang w:val="en-AU"/>
        </w:rPr>
        <w:t xml:space="preserve"> </w:t>
      </w:r>
      <w:r w:rsidRPr="007D55BA">
        <w:rPr>
          <w:lang w:val="en-AU"/>
        </w:rPr>
        <w:t>Issues Paper</w:t>
      </w:r>
      <w:r>
        <w:rPr>
          <w:lang w:val="en-AU"/>
        </w:rPr>
        <w:t xml:space="preserve"> – Data Availability and Use</w:t>
      </w:r>
      <w:r w:rsidR="00984ECC">
        <w:rPr>
          <w:lang w:val="en-AU"/>
        </w:rPr>
        <w:t>,</w:t>
      </w:r>
      <w:r w:rsidR="00E11943">
        <w:rPr>
          <w:lang w:val="en-AU"/>
        </w:rPr>
        <w:t xml:space="preserve"> p.</w:t>
      </w:r>
      <w:r w:rsidR="00984ECC">
        <w:rPr>
          <w:lang w:val="en-AU"/>
        </w:rPr>
        <w:t>7</w:t>
      </w:r>
      <w:r>
        <w:rPr>
          <w:lang w:val="en-AU"/>
        </w:rPr>
        <w:t>. April 2016.</w:t>
      </w:r>
    </w:p>
    <w:p w:rsidR="007D55BA" w:rsidRDefault="007D55BA" w:rsidP="00326048">
      <w:pPr>
        <w:pStyle w:val="ERTtext"/>
        <w:numPr>
          <w:ilvl w:val="0"/>
          <w:numId w:val="24"/>
        </w:numPr>
        <w:spacing w:before="0" w:line="276" w:lineRule="auto"/>
      </w:pPr>
      <w:r>
        <w:t xml:space="preserve">Earle CC 2014. Ontario Cancer Data Linkage Project: “cd-link”. </w:t>
      </w:r>
      <w:r>
        <w:rPr>
          <w:i/>
        </w:rPr>
        <w:t xml:space="preserve">Healthcare Quarterly </w:t>
      </w:r>
      <w:r>
        <w:t>17(1):11.</w:t>
      </w:r>
    </w:p>
    <w:p w:rsidR="008929D9" w:rsidRPr="00802286" w:rsidRDefault="00802286" w:rsidP="00326048">
      <w:pPr>
        <w:pStyle w:val="ListParagraph"/>
        <w:numPr>
          <w:ilvl w:val="0"/>
          <w:numId w:val="24"/>
        </w:numPr>
        <w:spacing w:after="120" w:line="276" w:lineRule="auto"/>
        <w:rPr>
          <w:rFonts w:ascii="Century Gothic" w:hAnsi="Century Gothic"/>
          <w:sz w:val="20"/>
          <w:szCs w:val="20"/>
        </w:rPr>
      </w:pPr>
      <w:r w:rsidRPr="00802286">
        <w:rPr>
          <w:rFonts w:ascii="Century Gothic" w:hAnsi="Century Gothic"/>
          <w:sz w:val="20"/>
          <w:szCs w:val="20"/>
        </w:rPr>
        <w:t xml:space="preserve">National Statistical Service – </w:t>
      </w:r>
      <w:r w:rsidRPr="00802286">
        <w:rPr>
          <w:rFonts w:ascii="Century Gothic" w:eastAsia="Calibri" w:hAnsi="Century Gothic" w:cstheme="minorHAnsi"/>
          <w:sz w:val="20"/>
          <w:szCs w:val="20"/>
          <w:lang w:val="en-US"/>
        </w:rPr>
        <w:t xml:space="preserve">Accredited Integrating Authorities </w:t>
      </w:r>
      <w:hyperlink r:id="rId23" w:history="1">
        <w:r w:rsidR="008929D9" w:rsidRPr="00802286">
          <w:rPr>
            <w:rStyle w:val="Hyperlink"/>
            <w:rFonts w:ascii="Century Gothic" w:hAnsi="Century Gothic"/>
            <w:sz w:val="20"/>
            <w:szCs w:val="20"/>
          </w:rPr>
          <w:t>http://www.nss.gov.au/nss/home.nsf/pages/Data%20Integration:%20Accredited%20Integrating%20Authorities</w:t>
        </w:r>
      </w:hyperlink>
      <w:r w:rsidR="008929D9" w:rsidRPr="00802286">
        <w:rPr>
          <w:rFonts w:ascii="Century Gothic" w:hAnsi="Century Gothic"/>
          <w:sz w:val="20"/>
          <w:szCs w:val="20"/>
        </w:rPr>
        <w:t xml:space="preserve"> (accessed 6 July 2016).</w:t>
      </w:r>
    </w:p>
    <w:p w:rsidR="007D55BA" w:rsidRDefault="007D55BA" w:rsidP="00326048">
      <w:pPr>
        <w:pStyle w:val="ERTtext"/>
        <w:numPr>
          <w:ilvl w:val="0"/>
          <w:numId w:val="24"/>
        </w:numPr>
        <w:spacing w:before="0" w:line="276" w:lineRule="auto"/>
      </w:pPr>
      <w:r>
        <w:t xml:space="preserve">ABS 2016 4329.0.00.003 – Patterns of Use of Mental Health Services and Prescription Medications, 2011. </w:t>
      </w:r>
      <w:hyperlink r:id="rId24" w:history="1">
        <w:r w:rsidRPr="00902967">
          <w:rPr>
            <w:rStyle w:val="Hyperlink"/>
          </w:rPr>
          <w:t>http://www.abs.gov.au/ausstats/abs@.nsf/Lookup/by%20Subject/4329.0.00.003~2011~Main%20Features~Introduction~1</w:t>
        </w:r>
      </w:hyperlink>
      <w:r>
        <w:t xml:space="preserve"> (accessed 12 July 2016).</w:t>
      </w:r>
    </w:p>
    <w:p w:rsidR="008929D9" w:rsidRDefault="008929D9" w:rsidP="00326048">
      <w:pPr>
        <w:pStyle w:val="ERTtext"/>
        <w:numPr>
          <w:ilvl w:val="0"/>
          <w:numId w:val="24"/>
        </w:numPr>
        <w:spacing w:before="0" w:line="276" w:lineRule="auto"/>
      </w:pPr>
      <w:r>
        <w:t xml:space="preserve">SA NT </w:t>
      </w:r>
      <w:r w:rsidR="007D55BA">
        <w:t>Data</w:t>
      </w:r>
      <w:r>
        <w:t>link</w:t>
      </w:r>
      <w:r w:rsidR="00AA24A2">
        <w:t xml:space="preserve"> 2016 </w:t>
      </w:r>
      <w:hyperlink r:id="rId25" w:history="1">
        <w:r w:rsidR="00AA24A2" w:rsidRPr="00902967">
          <w:rPr>
            <w:rStyle w:val="Hyperlink"/>
          </w:rPr>
          <w:t>https://www.santdatalink.org.au/</w:t>
        </w:r>
      </w:hyperlink>
      <w:r w:rsidR="00AA24A2">
        <w:t xml:space="preserve"> (accessed 12 July 2016)</w:t>
      </w:r>
      <w:r w:rsidR="00620333">
        <w:t>.</w:t>
      </w:r>
    </w:p>
    <w:p w:rsidR="007D55BA" w:rsidRDefault="007D55BA" w:rsidP="00326048">
      <w:pPr>
        <w:pStyle w:val="ERTtext"/>
        <w:numPr>
          <w:ilvl w:val="0"/>
          <w:numId w:val="24"/>
        </w:numPr>
        <w:spacing w:before="0" w:line="276" w:lineRule="auto"/>
      </w:pPr>
      <w:r>
        <w:t xml:space="preserve">Data Linkage WA </w:t>
      </w:r>
      <w:hyperlink r:id="rId26" w:history="1">
        <w:r w:rsidRPr="00D51F8E">
          <w:rPr>
            <w:rStyle w:val="Hyperlink"/>
          </w:rPr>
          <w:t>http://www.datalinkage-wa.org.au/</w:t>
        </w:r>
      </w:hyperlink>
      <w:r>
        <w:t xml:space="preserve"> </w:t>
      </w:r>
      <w:r w:rsidRPr="007D55BA">
        <w:rPr>
          <w:lang w:val="en-AU"/>
        </w:rPr>
        <w:t>(accessed 12 July 2016).</w:t>
      </w:r>
    </w:p>
    <w:p w:rsidR="00E5681E" w:rsidRDefault="00A80975" w:rsidP="00D02917">
      <w:pPr>
        <w:pStyle w:val="ERTtext"/>
        <w:numPr>
          <w:ilvl w:val="0"/>
          <w:numId w:val="24"/>
        </w:numPr>
        <w:spacing w:before="0" w:line="276" w:lineRule="auto"/>
      </w:pPr>
      <w:r w:rsidRPr="00E5681E">
        <w:t xml:space="preserve">The Royal College of </w:t>
      </w:r>
      <w:r w:rsidR="001466FC" w:rsidRPr="00E5681E">
        <w:t>Pathologists of Australia, 2016.</w:t>
      </w:r>
      <w:r w:rsidRPr="00E5681E">
        <w:t xml:space="preserve"> Structured Pathology Reporting of Cancer. </w:t>
      </w:r>
      <w:hyperlink r:id="rId27" w:history="1">
        <w:r w:rsidR="001466FC" w:rsidRPr="00E5681E">
          <w:rPr>
            <w:rStyle w:val="Hyperlink"/>
          </w:rPr>
          <w:t>http://www.rcpa.edu.au/Library/Practising-Pathology/Structured-Pathology-Reporting-of-Cancer</w:t>
        </w:r>
      </w:hyperlink>
      <w:r w:rsidR="001466FC" w:rsidRPr="00E5681E">
        <w:t xml:space="preserve"> </w:t>
      </w:r>
      <w:r w:rsidRPr="00E5681E">
        <w:t>(last accessed 13 July 2016).</w:t>
      </w:r>
    </w:p>
    <w:p w:rsidR="00C44C40" w:rsidRPr="00E5681E" w:rsidRDefault="00E5681E" w:rsidP="00E5681E">
      <w:pPr>
        <w:pStyle w:val="ERTtext"/>
        <w:numPr>
          <w:ilvl w:val="0"/>
          <w:numId w:val="24"/>
        </w:numPr>
        <w:spacing w:before="0" w:line="276" w:lineRule="auto"/>
      </w:pPr>
      <w:r>
        <w:t>CC Chow et al. 2013.</w:t>
      </w:r>
      <w:r w:rsidRPr="00E5681E">
        <w:t xml:space="preserve"> </w:t>
      </w:r>
      <w:r w:rsidRPr="00E5681E">
        <w:rPr>
          <w:i/>
        </w:rPr>
        <w:t>Does Enrollment in Cancer Trials Improve Survival?</w:t>
      </w:r>
      <w:r>
        <w:t xml:space="preserve"> </w:t>
      </w:r>
      <w:r w:rsidRPr="00E5681E">
        <w:t>J Am Coll Surg. 216(4): 774–781. doi:10.1016/j.jamcollsurg.2012.12.036.</w:t>
      </w:r>
    </w:p>
    <w:p w:rsidR="00D02917" w:rsidRDefault="00D02917">
      <w:pPr>
        <w:rPr>
          <w:rFonts w:ascii="Century Gothic" w:hAnsi="Century Gothic" w:cs="Calibri"/>
          <w:sz w:val="20"/>
          <w:szCs w:val="20"/>
        </w:rPr>
      </w:pPr>
      <w:r>
        <w:rPr>
          <w:rFonts w:ascii="Century Gothic" w:hAnsi="Century Gothic" w:cs="Calibri"/>
          <w:sz w:val="20"/>
          <w:szCs w:val="20"/>
        </w:rPr>
        <w:br w:type="page"/>
      </w:r>
    </w:p>
    <w:p w:rsidR="00D02917" w:rsidRPr="000F283B" w:rsidRDefault="00650C3C" w:rsidP="00D02917">
      <w:pPr>
        <w:spacing w:line="360" w:lineRule="auto"/>
        <w:rPr>
          <w:rFonts w:ascii="Century Gothic" w:hAnsi="Century Gothic"/>
          <w:b/>
        </w:rPr>
      </w:pPr>
      <w:r>
        <w:rPr>
          <w:rFonts w:ascii="Century Gothic" w:hAnsi="Century Gothic" w:cs="Calibri"/>
          <w:b/>
        </w:rPr>
        <w:lastRenderedPageBreak/>
        <w:t>Appendix</w:t>
      </w:r>
      <w:r w:rsidR="004240E7">
        <w:rPr>
          <w:rFonts w:ascii="Century Gothic" w:hAnsi="Century Gothic" w:cs="Calibri"/>
          <w:b/>
        </w:rPr>
        <w:t xml:space="preserve"> 1</w:t>
      </w:r>
      <w:r w:rsidR="00D0221E">
        <w:rPr>
          <w:rFonts w:ascii="Century Gothic" w:hAnsi="Century Gothic" w:cs="Calibri"/>
          <w:b/>
        </w:rPr>
        <w:t>:</w:t>
      </w:r>
      <w:r w:rsidR="00D0221E" w:rsidRPr="000F283B">
        <w:rPr>
          <w:rFonts w:ascii="Century Gothic" w:hAnsi="Century Gothic"/>
          <w:b/>
        </w:rPr>
        <w:t xml:space="preserve"> </w:t>
      </w:r>
      <w:r w:rsidR="00D02917" w:rsidRPr="000F283B">
        <w:rPr>
          <w:rFonts w:ascii="Century Gothic" w:hAnsi="Century Gothic"/>
          <w:b/>
        </w:rPr>
        <w:t xml:space="preserve">Cancer Australia Act 2006 </w:t>
      </w:r>
    </w:p>
    <w:p w:rsidR="00D02917" w:rsidRPr="000F283B" w:rsidRDefault="00D02917" w:rsidP="00D02917">
      <w:pPr>
        <w:pStyle w:val="ERTtext"/>
        <w:spacing w:line="360" w:lineRule="auto"/>
      </w:pPr>
      <w:r w:rsidRPr="000F283B">
        <w:t>The Cancer Australia Act 2006 (Part 2, Section 7) specifies the following functions for Cancer Australia:</w:t>
      </w:r>
    </w:p>
    <w:p w:rsidR="00D02917" w:rsidRPr="000F283B" w:rsidRDefault="00D02917" w:rsidP="00D02917">
      <w:pPr>
        <w:pStyle w:val="ERTtext"/>
        <w:spacing w:line="360" w:lineRule="auto"/>
      </w:pPr>
      <w:r w:rsidRPr="000F283B">
        <w:t>a) to provide national leadership in cancer control</w:t>
      </w:r>
    </w:p>
    <w:p w:rsidR="00D02917" w:rsidRPr="000F283B" w:rsidRDefault="00D02917" w:rsidP="00D02917">
      <w:pPr>
        <w:pStyle w:val="ERTtext"/>
        <w:spacing w:line="360" w:lineRule="auto"/>
      </w:pPr>
      <w:r w:rsidRPr="000F283B">
        <w:t>b) to guide scientific improvements to cancer prevention, treatment and care</w:t>
      </w:r>
    </w:p>
    <w:p w:rsidR="00D02917" w:rsidRPr="000F283B" w:rsidRDefault="00D02917" w:rsidP="00D02917">
      <w:pPr>
        <w:pStyle w:val="ERTtext"/>
        <w:spacing w:line="360" w:lineRule="auto"/>
      </w:pPr>
      <w:r w:rsidRPr="000F283B">
        <w:t>c) to coordinate and liaise between the wide range of groups and health care providers with an interest in cancer</w:t>
      </w:r>
    </w:p>
    <w:p w:rsidR="00D02917" w:rsidRPr="000F283B" w:rsidRDefault="00D02917" w:rsidP="00D02917">
      <w:pPr>
        <w:pStyle w:val="ERTtext"/>
        <w:spacing w:line="360" w:lineRule="auto"/>
      </w:pPr>
      <w:r w:rsidRPr="000F283B">
        <w:t>d) to make recommendations to the Commonwealth Government about cancer policy and priorities</w:t>
      </w:r>
    </w:p>
    <w:p w:rsidR="00D02917" w:rsidRPr="000F283B" w:rsidRDefault="00D02917" w:rsidP="00D02917">
      <w:pPr>
        <w:pStyle w:val="ERTtext"/>
        <w:spacing w:line="360" w:lineRule="auto"/>
      </w:pPr>
      <w:r w:rsidRPr="000F283B">
        <w:t>e) to oversee a dedicated budget for research into cancer</w:t>
      </w:r>
    </w:p>
    <w:p w:rsidR="00D02917" w:rsidRPr="000F283B" w:rsidRDefault="00D02917" w:rsidP="00D02917">
      <w:pPr>
        <w:pStyle w:val="ERTtext"/>
        <w:spacing w:line="360" w:lineRule="auto"/>
      </w:pPr>
      <w:r w:rsidRPr="000F283B">
        <w:t>f) to assist with the implementation of Commonwealth Government policies and programs in cancer control</w:t>
      </w:r>
    </w:p>
    <w:p w:rsidR="00D02917" w:rsidRPr="000F283B" w:rsidRDefault="00D02917" w:rsidP="00D02917">
      <w:pPr>
        <w:pStyle w:val="ERTtext"/>
        <w:spacing w:line="360" w:lineRule="auto"/>
      </w:pPr>
      <w:r w:rsidRPr="000F283B">
        <w:t>g) to provide financial assistance, out of money appropriated by the Parliament, for research mentioned in paragraph(e) and for the implementation of policies and programs mentioned in paragraph (f)</w:t>
      </w:r>
    </w:p>
    <w:p w:rsidR="00D02917" w:rsidRDefault="00D02917" w:rsidP="00D02917">
      <w:pPr>
        <w:pStyle w:val="ERTtext"/>
        <w:spacing w:line="360" w:lineRule="auto"/>
      </w:pPr>
      <w:r w:rsidRPr="000F283B">
        <w:t>h) any functions that the Minister, by writing, directs Cancer Australia to perform.</w:t>
      </w:r>
    </w:p>
    <w:p w:rsidR="00701906" w:rsidRPr="001E313D" w:rsidRDefault="00701906" w:rsidP="007007B8">
      <w:pPr>
        <w:spacing w:line="360" w:lineRule="auto"/>
        <w:rPr>
          <w:rFonts w:ascii="Century Gothic" w:hAnsi="Century Gothic" w:cs="Calibri"/>
          <w:sz w:val="20"/>
          <w:szCs w:val="20"/>
        </w:rPr>
      </w:pPr>
    </w:p>
    <w:p w:rsidR="00C927FA" w:rsidRPr="001E313D" w:rsidRDefault="00C927FA" w:rsidP="00D0221E">
      <w:pPr>
        <w:pStyle w:val="Default"/>
        <w:rPr>
          <w:rFonts w:ascii="Century Gothic" w:hAnsi="Century Gothic" w:cs="Calibri"/>
          <w:color w:val="FF0000"/>
        </w:rPr>
      </w:pPr>
    </w:p>
    <w:sectPr w:rsidR="00C927FA" w:rsidRPr="001E313D" w:rsidSect="00986676">
      <w:footerReference w:type="default" r:id="rId28"/>
      <w:footnotePr>
        <w:numFmt w:val="lowerLetter"/>
      </w:footnotePr>
      <w:type w:val="continuous"/>
      <w:pgSz w:w="11906" w:h="16838" w:code="9"/>
      <w:pgMar w:top="1238" w:right="1440" w:bottom="1135" w:left="1440" w:header="709"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F3" w:rsidRDefault="00C549F3">
      <w:r>
        <w:separator/>
      </w:r>
    </w:p>
  </w:endnote>
  <w:endnote w:type="continuationSeparator" w:id="0">
    <w:p w:rsidR="00C549F3" w:rsidRDefault="00C5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51" w:rsidRPr="006E5A64" w:rsidRDefault="00D02917" w:rsidP="007079C2">
    <w:pPr>
      <w:pStyle w:val="Footer"/>
      <w:jc w:val="right"/>
      <w:rPr>
        <w:rFonts w:ascii="Century Gothic" w:hAnsi="Century Gothic"/>
        <w:sz w:val="20"/>
        <w:szCs w:val="20"/>
        <w:lang w:val="en-AU"/>
      </w:rPr>
    </w:pPr>
    <w:r>
      <w:rPr>
        <w:rFonts w:ascii="Century Gothic" w:hAnsi="Century Gothic"/>
        <w:sz w:val="20"/>
        <w:szCs w:val="20"/>
        <w:lang w:val="en-AU"/>
      </w:rPr>
      <w:t>Cancer Australia Submission – Data Availability and Use</w:t>
    </w:r>
    <w:r w:rsidR="00664251">
      <w:rPr>
        <w:rFonts w:ascii="Century Gothic" w:hAnsi="Century Gothic"/>
        <w:sz w:val="20"/>
        <w:szCs w:val="20"/>
        <w:lang w:val="en-AU"/>
      </w:rPr>
      <w:tab/>
    </w:r>
    <w:r w:rsidR="00664251">
      <w:rPr>
        <w:rFonts w:ascii="Century Gothic" w:hAnsi="Century Gothic"/>
        <w:sz w:val="20"/>
        <w:szCs w:val="20"/>
        <w:lang w:val="en-AU"/>
      </w:rPr>
      <w:tab/>
    </w:r>
    <w:r w:rsidR="00664251">
      <w:rPr>
        <w:rFonts w:ascii="Century Gothic" w:hAnsi="Century Gothic"/>
        <w:sz w:val="20"/>
        <w:szCs w:val="20"/>
        <w:lang w:val="en-AU"/>
      </w:rPr>
      <w:tab/>
    </w:r>
    <w:r w:rsidR="00664251" w:rsidRPr="009839F4">
      <w:rPr>
        <w:rFonts w:ascii="Century Gothic" w:hAnsi="Century Gothic"/>
        <w:sz w:val="20"/>
        <w:szCs w:val="20"/>
      </w:rPr>
      <w:fldChar w:fldCharType="begin"/>
    </w:r>
    <w:r w:rsidR="00664251" w:rsidRPr="009839F4">
      <w:rPr>
        <w:rFonts w:ascii="Century Gothic" w:hAnsi="Century Gothic"/>
        <w:sz w:val="20"/>
        <w:szCs w:val="20"/>
      </w:rPr>
      <w:instrText xml:space="preserve"> PAGE   \* MERGEFORMAT </w:instrText>
    </w:r>
    <w:r w:rsidR="00664251" w:rsidRPr="009839F4">
      <w:rPr>
        <w:rFonts w:ascii="Century Gothic" w:hAnsi="Century Gothic"/>
        <w:sz w:val="20"/>
        <w:szCs w:val="20"/>
      </w:rPr>
      <w:fldChar w:fldCharType="separate"/>
    </w:r>
    <w:r w:rsidR="00A5382F">
      <w:rPr>
        <w:rFonts w:ascii="Century Gothic" w:hAnsi="Century Gothic"/>
        <w:noProof/>
        <w:sz w:val="20"/>
        <w:szCs w:val="20"/>
      </w:rPr>
      <w:t>1</w:t>
    </w:r>
    <w:r w:rsidR="00664251" w:rsidRPr="009839F4">
      <w:rPr>
        <w:rFonts w:ascii="Century Gothic" w:hAnsi="Century Gothic"/>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F3" w:rsidRDefault="00C549F3">
      <w:r>
        <w:separator/>
      </w:r>
    </w:p>
  </w:footnote>
  <w:footnote w:type="continuationSeparator" w:id="0">
    <w:p w:rsidR="00C549F3" w:rsidRDefault="00C5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FD2"/>
    <w:multiLevelType w:val="hybridMultilevel"/>
    <w:tmpl w:val="E424E00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nsid w:val="05CC110F"/>
    <w:multiLevelType w:val="hybridMultilevel"/>
    <w:tmpl w:val="942E473A"/>
    <w:lvl w:ilvl="0" w:tplc="E6701D5E">
      <w:start w:val="1"/>
      <w:numFmt w:val="decimal"/>
      <w:pStyle w:val="ERT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70C39"/>
    <w:multiLevelType w:val="hybridMultilevel"/>
    <w:tmpl w:val="330CBED6"/>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F5D1B65"/>
    <w:multiLevelType w:val="hybridMultilevel"/>
    <w:tmpl w:val="15C44E40"/>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14787CF0"/>
    <w:multiLevelType w:val="hybridMultilevel"/>
    <w:tmpl w:val="BCEC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2D0EBB"/>
    <w:multiLevelType w:val="hybridMultilevel"/>
    <w:tmpl w:val="36BA0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27491B"/>
    <w:multiLevelType w:val="hybridMultilevel"/>
    <w:tmpl w:val="AB5A3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733B30"/>
    <w:multiLevelType w:val="hybridMultilevel"/>
    <w:tmpl w:val="C9AE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0B3D93"/>
    <w:multiLevelType w:val="hybridMultilevel"/>
    <w:tmpl w:val="D5E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9F74EE"/>
    <w:multiLevelType w:val="hybridMultilevel"/>
    <w:tmpl w:val="3462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5E2822"/>
    <w:multiLevelType w:val="hybridMultilevel"/>
    <w:tmpl w:val="2BD60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1E5930"/>
    <w:multiLevelType w:val="hybridMultilevel"/>
    <w:tmpl w:val="C2D4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9D3E74"/>
    <w:multiLevelType w:val="hybridMultilevel"/>
    <w:tmpl w:val="0B22828C"/>
    <w:lvl w:ilvl="0" w:tplc="35A0A4C6">
      <w:start w:val="1"/>
      <w:numFmt w:val="decimal"/>
      <w:lvlText w:val="%1."/>
      <w:lvlJc w:val="left"/>
      <w:pPr>
        <w:ind w:left="2007" w:hanging="360"/>
      </w:pPr>
      <w:rPr>
        <w:rFonts w:hint="default"/>
      </w:rPr>
    </w:lvl>
    <w:lvl w:ilvl="1" w:tplc="0C090019">
      <w:start w:val="1"/>
      <w:numFmt w:val="lowerLetter"/>
      <w:lvlText w:val="%2."/>
      <w:lvlJc w:val="left"/>
      <w:pPr>
        <w:ind w:left="2727" w:hanging="360"/>
      </w:pPr>
    </w:lvl>
    <w:lvl w:ilvl="2" w:tplc="0C09001B">
      <w:start w:val="1"/>
      <w:numFmt w:val="lowerRoman"/>
      <w:lvlText w:val="%3."/>
      <w:lvlJc w:val="right"/>
      <w:pPr>
        <w:ind w:left="3447" w:hanging="180"/>
      </w:pPr>
    </w:lvl>
    <w:lvl w:ilvl="3" w:tplc="0C09000F">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3">
    <w:nsid w:val="388D37C1"/>
    <w:multiLevelType w:val="hybridMultilevel"/>
    <w:tmpl w:val="9976C06A"/>
    <w:lvl w:ilvl="0" w:tplc="52CCE3D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E9326E"/>
    <w:multiLevelType w:val="multilevel"/>
    <w:tmpl w:val="4A948D42"/>
    <w:styleLink w:val="ListBulle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sz w:val="24"/>
      </w:rPr>
    </w:lvl>
    <w:lvl w:ilvl="2">
      <w:start w:val="1"/>
      <w:numFmt w:val="bullet"/>
      <w:lvlText w:val="­"/>
      <w:lvlJc w:val="left"/>
      <w:pPr>
        <w:tabs>
          <w:tab w:val="num" w:pos="1800"/>
        </w:tabs>
        <w:ind w:left="1800" w:hanging="360"/>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C2922D7"/>
    <w:multiLevelType w:val="hybridMultilevel"/>
    <w:tmpl w:val="D6E47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18A0A2F"/>
    <w:multiLevelType w:val="hybridMultilevel"/>
    <w:tmpl w:val="CAA0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09207C"/>
    <w:multiLevelType w:val="hybridMultilevel"/>
    <w:tmpl w:val="E7B6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953ABC"/>
    <w:multiLevelType w:val="hybridMultilevel"/>
    <w:tmpl w:val="FAB8F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120A8C"/>
    <w:multiLevelType w:val="hybridMultilevel"/>
    <w:tmpl w:val="A2DE9A14"/>
    <w:lvl w:ilvl="0" w:tplc="0C090001">
      <w:start w:val="1"/>
      <w:numFmt w:val="bullet"/>
      <w:lvlText w:val=""/>
      <w:lvlJc w:val="left"/>
      <w:pPr>
        <w:ind w:left="927" w:hanging="360"/>
      </w:pPr>
      <w:rPr>
        <w:rFonts w:ascii="Symbol" w:hAnsi="Symbol" w:hint="default"/>
      </w:rPr>
    </w:lvl>
    <w:lvl w:ilvl="1" w:tplc="B9047246">
      <w:start w:val="1"/>
      <w:numFmt w:val="bullet"/>
      <w:lvlText w:val="­"/>
      <w:lvlJc w:val="left"/>
      <w:pPr>
        <w:ind w:left="1647" w:hanging="360"/>
      </w:pPr>
      <w:rPr>
        <w:rFonts w:ascii="Courier New" w:hAnsi="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498B23B4"/>
    <w:multiLevelType w:val="hybridMultilevel"/>
    <w:tmpl w:val="CBDA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0F6C2E"/>
    <w:multiLevelType w:val="hybridMultilevel"/>
    <w:tmpl w:val="D12E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B84BDB"/>
    <w:multiLevelType w:val="hybridMultilevel"/>
    <w:tmpl w:val="C9D0B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1E5947"/>
    <w:multiLevelType w:val="hybridMultilevel"/>
    <w:tmpl w:val="8F14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E667A5"/>
    <w:multiLevelType w:val="hybridMultilevel"/>
    <w:tmpl w:val="F522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7575EE"/>
    <w:multiLevelType w:val="hybridMultilevel"/>
    <w:tmpl w:val="FD149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C86DF8"/>
    <w:multiLevelType w:val="hybridMultilevel"/>
    <w:tmpl w:val="41E2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265031"/>
    <w:multiLevelType w:val="hybridMultilevel"/>
    <w:tmpl w:val="A78C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C33D02"/>
    <w:multiLevelType w:val="hybridMultilevel"/>
    <w:tmpl w:val="8F649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2665D7"/>
    <w:multiLevelType w:val="hybridMultilevel"/>
    <w:tmpl w:val="F15CECE0"/>
    <w:lvl w:ilvl="0" w:tplc="314A5FCE">
      <w:numFmt w:val="bullet"/>
      <w:lvlText w:val="-"/>
      <w:lvlJc w:val="left"/>
      <w:pPr>
        <w:ind w:left="720" w:hanging="360"/>
      </w:pPr>
      <w:rPr>
        <w:rFonts w:ascii="Century Gothic" w:eastAsia="Calibri" w:hAnsi="Century Gothic"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E9C238A"/>
    <w:multiLevelType w:val="hybridMultilevel"/>
    <w:tmpl w:val="98A0A3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7942E93"/>
    <w:multiLevelType w:val="hybridMultilevel"/>
    <w:tmpl w:val="EDDA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31"/>
  </w:num>
  <w:num w:numId="8">
    <w:abstractNumId w:val="22"/>
  </w:num>
  <w:num w:numId="9">
    <w:abstractNumId w:val="29"/>
  </w:num>
  <w:num w:numId="10">
    <w:abstractNumId w:val="9"/>
  </w:num>
  <w:num w:numId="11">
    <w:abstractNumId w:val="16"/>
  </w:num>
  <w:num w:numId="12">
    <w:abstractNumId w:val="27"/>
  </w:num>
  <w:num w:numId="13">
    <w:abstractNumId w:val="20"/>
  </w:num>
  <w:num w:numId="14">
    <w:abstractNumId w:val="23"/>
  </w:num>
  <w:num w:numId="15">
    <w:abstractNumId w:val="28"/>
  </w:num>
  <w:num w:numId="16">
    <w:abstractNumId w:val="10"/>
  </w:num>
  <w:num w:numId="17">
    <w:abstractNumId w:val="25"/>
  </w:num>
  <w:num w:numId="18">
    <w:abstractNumId w:val="19"/>
  </w:num>
  <w:num w:numId="19">
    <w:abstractNumId w:val="2"/>
  </w:num>
  <w:num w:numId="20">
    <w:abstractNumId w:val="12"/>
  </w:num>
  <w:num w:numId="21">
    <w:abstractNumId w:val="6"/>
  </w:num>
  <w:num w:numId="22">
    <w:abstractNumId w:val="0"/>
  </w:num>
  <w:num w:numId="23">
    <w:abstractNumId w:val="1"/>
  </w:num>
  <w:num w:numId="24">
    <w:abstractNumId w:val="15"/>
  </w:num>
  <w:num w:numId="25">
    <w:abstractNumId w:val="21"/>
  </w:num>
  <w:num w:numId="26">
    <w:abstractNumId w:val="26"/>
  </w:num>
  <w:num w:numId="27">
    <w:abstractNumId w:val="4"/>
  </w:num>
  <w:num w:numId="28">
    <w:abstractNumId w:val="17"/>
  </w:num>
  <w:num w:numId="29">
    <w:abstractNumId w:val="30"/>
  </w:num>
  <w:num w:numId="30">
    <w:abstractNumId w:val="11"/>
  </w:num>
  <w:num w:numId="31">
    <w:abstractNumId w:val="24"/>
  </w:num>
  <w:num w:numId="32">
    <w:abstractNumId w:val="18"/>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characterSpacingControl w:val="doNotCompress"/>
  <w:hdrShapeDefaults>
    <o:shapedefaults v:ext="edit" spidmax="36865"/>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A"/>
    <w:rsid w:val="000024F9"/>
    <w:rsid w:val="000038CF"/>
    <w:rsid w:val="00003C7E"/>
    <w:rsid w:val="00004AF4"/>
    <w:rsid w:val="0000543A"/>
    <w:rsid w:val="00005461"/>
    <w:rsid w:val="000074AE"/>
    <w:rsid w:val="00007DF8"/>
    <w:rsid w:val="000111BA"/>
    <w:rsid w:val="000112E6"/>
    <w:rsid w:val="00011C6E"/>
    <w:rsid w:val="00012332"/>
    <w:rsid w:val="0001276F"/>
    <w:rsid w:val="0001315B"/>
    <w:rsid w:val="00013F40"/>
    <w:rsid w:val="00014161"/>
    <w:rsid w:val="00015947"/>
    <w:rsid w:val="00017655"/>
    <w:rsid w:val="000219A2"/>
    <w:rsid w:val="00023075"/>
    <w:rsid w:val="0002326C"/>
    <w:rsid w:val="000241E7"/>
    <w:rsid w:val="00024AE9"/>
    <w:rsid w:val="00024B71"/>
    <w:rsid w:val="00026662"/>
    <w:rsid w:val="000269C6"/>
    <w:rsid w:val="0003006A"/>
    <w:rsid w:val="0003050E"/>
    <w:rsid w:val="000321F5"/>
    <w:rsid w:val="00034447"/>
    <w:rsid w:val="00037F87"/>
    <w:rsid w:val="00040AFF"/>
    <w:rsid w:val="00040D25"/>
    <w:rsid w:val="00041A55"/>
    <w:rsid w:val="00042782"/>
    <w:rsid w:val="000428DD"/>
    <w:rsid w:val="00042956"/>
    <w:rsid w:val="00043E2B"/>
    <w:rsid w:val="00043F8E"/>
    <w:rsid w:val="00044233"/>
    <w:rsid w:val="00044579"/>
    <w:rsid w:val="000463B1"/>
    <w:rsid w:val="00046481"/>
    <w:rsid w:val="0004692A"/>
    <w:rsid w:val="00050814"/>
    <w:rsid w:val="000527E2"/>
    <w:rsid w:val="00053549"/>
    <w:rsid w:val="00054690"/>
    <w:rsid w:val="00054B50"/>
    <w:rsid w:val="0005529B"/>
    <w:rsid w:val="00055FF6"/>
    <w:rsid w:val="00056853"/>
    <w:rsid w:val="0006442E"/>
    <w:rsid w:val="00065612"/>
    <w:rsid w:val="00065C0F"/>
    <w:rsid w:val="00066446"/>
    <w:rsid w:val="00066474"/>
    <w:rsid w:val="00066AF5"/>
    <w:rsid w:val="00067180"/>
    <w:rsid w:val="0006739D"/>
    <w:rsid w:val="00067B5B"/>
    <w:rsid w:val="0007030F"/>
    <w:rsid w:val="000713AE"/>
    <w:rsid w:val="00072FFB"/>
    <w:rsid w:val="00073EF8"/>
    <w:rsid w:val="00074203"/>
    <w:rsid w:val="00074E00"/>
    <w:rsid w:val="000757D1"/>
    <w:rsid w:val="000822F6"/>
    <w:rsid w:val="00084D48"/>
    <w:rsid w:val="00086905"/>
    <w:rsid w:val="00090322"/>
    <w:rsid w:val="0009087E"/>
    <w:rsid w:val="00092952"/>
    <w:rsid w:val="00094ABE"/>
    <w:rsid w:val="000959D7"/>
    <w:rsid w:val="0009639E"/>
    <w:rsid w:val="0009648C"/>
    <w:rsid w:val="00096C99"/>
    <w:rsid w:val="00097615"/>
    <w:rsid w:val="000A01C0"/>
    <w:rsid w:val="000A1099"/>
    <w:rsid w:val="000A2D7E"/>
    <w:rsid w:val="000A38FC"/>
    <w:rsid w:val="000A3B75"/>
    <w:rsid w:val="000A524B"/>
    <w:rsid w:val="000A5989"/>
    <w:rsid w:val="000A5DF8"/>
    <w:rsid w:val="000A630C"/>
    <w:rsid w:val="000A688F"/>
    <w:rsid w:val="000A6AA5"/>
    <w:rsid w:val="000A735B"/>
    <w:rsid w:val="000B0D8E"/>
    <w:rsid w:val="000B1982"/>
    <w:rsid w:val="000B4A24"/>
    <w:rsid w:val="000B4F66"/>
    <w:rsid w:val="000B5032"/>
    <w:rsid w:val="000B6E3A"/>
    <w:rsid w:val="000B7AA0"/>
    <w:rsid w:val="000C07D7"/>
    <w:rsid w:val="000C1B5D"/>
    <w:rsid w:val="000C1C87"/>
    <w:rsid w:val="000C255D"/>
    <w:rsid w:val="000C279F"/>
    <w:rsid w:val="000C32F5"/>
    <w:rsid w:val="000C35DF"/>
    <w:rsid w:val="000C4200"/>
    <w:rsid w:val="000C469D"/>
    <w:rsid w:val="000C47EF"/>
    <w:rsid w:val="000C496E"/>
    <w:rsid w:val="000C4C77"/>
    <w:rsid w:val="000C50BD"/>
    <w:rsid w:val="000C5DEC"/>
    <w:rsid w:val="000C678D"/>
    <w:rsid w:val="000C7002"/>
    <w:rsid w:val="000D064A"/>
    <w:rsid w:val="000D16E0"/>
    <w:rsid w:val="000D18C7"/>
    <w:rsid w:val="000D200C"/>
    <w:rsid w:val="000D20C2"/>
    <w:rsid w:val="000D20F8"/>
    <w:rsid w:val="000D2511"/>
    <w:rsid w:val="000D2673"/>
    <w:rsid w:val="000D2B36"/>
    <w:rsid w:val="000D3822"/>
    <w:rsid w:val="000D3EBC"/>
    <w:rsid w:val="000D4AEC"/>
    <w:rsid w:val="000D504E"/>
    <w:rsid w:val="000E160C"/>
    <w:rsid w:val="000E200A"/>
    <w:rsid w:val="000E2603"/>
    <w:rsid w:val="000E3041"/>
    <w:rsid w:val="000E3A7F"/>
    <w:rsid w:val="000E3DAA"/>
    <w:rsid w:val="000E43A4"/>
    <w:rsid w:val="000E550A"/>
    <w:rsid w:val="000E59B8"/>
    <w:rsid w:val="000E5D87"/>
    <w:rsid w:val="000E7714"/>
    <w:rsid w:val="000F01D6"/>
    <w:rsid w:val="000F4098"/>
    <w:rsid w:val="000F4CE5"/>
    <w:rsid w:val="00102719"/>
    <w:rsid w:val="00103FAC"/>
    <w:rsid w:val="00105BBF"/>
    <w:rsid w:val="00112B12"/>
    <w:rsid w:val="001130D5"/>
    <w:rsid w:val="00114588"/>
    <w:rsid w:val="00115850"/>
    <w:rsid w:val="001167F6"/>
    <w:rsid w:val="001169AE"/>
    <w:rsid w:val="0012114C"/>
    <w:rsid w:val="00125455"/>
    <w:rsid w:val="00125D4D"/>
    <w:rsid w:val="00126004"/>
    <w:rsid w:val="001277CB"/>
    <w:rsid w:val="001301C6"/>
    <w:rsid w:val="00131576"/>
    <w:rsid w:val="00131F2E"/>
    <w:rsid w:val="00133883"/>
    <w:rsid w:val="00135662"/>
    <w:rsid w:val="0013699E"/>
    <w:rsid w:val="00136B62"/>
    <w:rsid w:val="00140364"/>
    <w:rsid w:val="00140AEB"/>
    <w:rsid w:val="00142B57"/>
    <w:rsid w:val="00144D83"/>
    <w:rsid w:val="001466F1"/>
    <w:rsid w:val="001466FC"/>
    <w:rsid w:val="0014728D"/>
    <w:rsid w:val="00147ECE"/>
    <w:rsid w:val="0015149C"/>
    <w:rsid w:val="0015166B"/>
    <w:rsid w:val="00151C5A"/>
    <w:rsid w:val="00151ED7"/>
    <w:rsid w:val="00152E56"/>
    <w:rsid w:val="00153799"/>
    <w:rsid w:val="0015396D"/>
    <w:rsid w:val="00153EC1"/>
    <w:rsid w:val="00154F50"/>
    <w:rsid w:val="001553D9"/>
    <w:rsid w:val="00156398"/>
    <w:rsid w:val="00157BF4"/>
    <w:rsid w:val="00160FDB"/>
    <w:rsid w:val="00161B89"/>
    <w:rsid w:val="00162998"/>
    <w:rsid w:val="00163863"/>
    <w:rsid w:val="00164357"/>
    <w:rsid w:val="00164A16"/>
    <w:rsid w:val="0016558C"/>
    <w:rsid w:val="00165842"/>
    <w:rsid w:val="00165EFA"/>
    <w:rsid w:val="00166F04"/>
    <w:rsid w:val="00166F30"/>
    <w:rsid w:val="00170CC2"/>
    <w:rsid w:val="001722D5"/>
    <w:rsid w:val="00172942"/>
    <w:rsid w:val="0017407E"/>
    <w:rsid w:val="00174A0E"/>
    <w:rsid w:val="00175885"/>
    <w:rsid w:val="00176081"/>
    <w:rsid w:val="00176AF5"/>
    <w:rsid w:val="00177328"/>
    <w:rsid w:val="001776D2"/>
    <w:rsid w:val="00181958"/>
    <w:rsid w:val="00182409"/>
    <w:rsid w:val="0018316D"/>
    <w:rsid w:val="00184704"/>
    <w:rsid w:val="00186C0F"/>
    <w:rsid w:val="00186F42"/>
    <w:rsid w:val="001878CA"/>
    <w:rsid w:val="0019250B"/>
    <w:rsid w:val="001931D0"/>
    <w:rsid w:val="001941C9"/>
    <w:rsid w:val="00194759"/>
    <w:rsid w:val="00194817"/>
    <w:rsid w:val="00195131"/>
    <w:rsid w:val="001954F7"/>
    <w:rsid w:val="001956A1"/>
    <w:rsid w:val="001956AD"/>
    <w:rsid w:val="00196935"/>
    <w:rsid w:val="001A1B3A"/>
    <w:rsid w:val="001A2379"/>
    <w:rsid w:val="001A23BD"/>
    <w:rsid w:val="001A25B4"/>
    <w:rsid w:val="001A2D7C"/>
    <w:rsid w:val="001A3168"/>
    <w:rsid w:val="001A372B"/>
    <w:rsid w:val="001A3DF0"/>
    <w:rsid w:val="001A4A8A"/>
    <w:rsid w:val="001A4C51"/>
    <w:rsid w:val="001A4CF8"/>
    <w:rsid w:val="001A4D55"/>
    <w:rsid w:val="001B107F"/>
    <w:rsid w:val="001B14C6"/>
    <w:rsid w:val="001B46BE"/>
    <w:rsid w:val="001B5EF0"/>
    <w:rsid w:val="001B6020"/>
    <w:rsid w:val="001B70ED"/>
    <w:rsid w:val="001B7DCB"/>
    <w:rsid w:val="001B7F77"/>
    <w:rsid w:val="001C19B3"/>
    <w:rsid w:val="001C1BC9"/>
    <w:rsid w:val="001C3500"/>
    <w:rsid w:val="001C5460"/>
    <w:rsid w:val="001C6565"/>
    <w:rsid w:val="001D070A"/>
    <w:rsid w:val="001D37EF"/>
    <w:rsid w:val="001D38C5"/>
    <w:rsid w:val="001D4807"/>
    <w:rsid w:val="001D539B"/>
    <w:rsid w:val="001D7141"/>
    <w:rsid w:val="001D71F0"/>
    <w:rsid w:val="001D76EC"/>
    <w:rsid w:val="001E003F"/>
    <w:rsid w:val="001E124C"/>
    <w:rsid w:val="001E2EF1"/>
    <w:rsid w:val="001E313D"/>
    <w:rsid w:val="001E3B58"/>
    <w:rsid w:val="001E590A"/>
    <w:rsid w:val="001E60DC"/>
    <w:rsid w:val="001E65D4"/>
    <w:rsid w:val="001F19B9"/>
    <w:rsid w:val="001F25FE"/>
    <w:rsid w:val="001F3103"/>
    <w:rsid w:val="001F3466"/>
    <w:rsid w:val="001F3975"/>
    <w:rsid w:val="001F490F"/>
    <w:rsid w:val="001F5C10"/>
    <w:rsid w:val="001F6893"/>
    <w:rsid w:val="001F6EA0"/>
    <w:rsid w:val="001F740C"/>
    <w:rsid w:val="001F77DE"/>
    <w:rsid w:val="0020035C"/>
    <w:rsid w:val="00201799"/>
    <w:rsid w:val="00201BAB"/>
    <w:rsid w:val="0020217F"/>
    <w:rsid w:val="00206B64"/>
    <w:rsid w:val="00207661"/>
    <w:rsid w:val="0021024E"/>
    <w:rsid w:val="002102AE"/>
    <w:rsid w:val="002103EB"/>
    <w:rsid w:val="00210CF0"/>
    <w:rsid w:val="0021139E"/>
    <w:rsid w:val="002146D5"/>
    <w:rsid w:val="00214C28"/>
    <w:rsid w:val="0021576A"/>
    <w:rsid w:val="00215D01"/>
    <w:rsid w:val="00215FE2"/>
    <w:rsid w:val="00216300"/>
    <w:rsid w:val="0021795B"/>
    <w:rsid w:val="00217C59"/>
    <w:rsid w:val="0022047F"/>
    <w:rsid w:val="00220590"/>
    <w:rsid w:val="00220858"/>
    <w:rsid w:val="00223381"/>
    <w:rsid w:val="002243C7"/>
    <w:rsid w:val="0022456B"/>
    <w:rsid w:val="00224626"/>
    <w:rsid w:val="00226EA9"/>
    <w:rsid w:val="00227D4E"/>
    <w:rsid w:val="002312D6"/>
    <w:rsid w:val="0023189A"/>
    <w:rsid w:val="00231A17"/>
    <w:rsid w:val="00231F0B"/>
    <w:rsid w:val="00232C54"/>
    <w:rsid w:val="002342D4"/>
    <w:rsid w:val="0023465A"/>
    <w:rsid w:val="0023472F"/>
    <w:rsid w:val="002349B0"/>
    <w:rsid w:val="00237476"/>
    <w:rsid w:val="00237A42"/>
    <w:rsid w:val="002436D0"/>
    <w:rsid w:val="00243805"/>
    <w:rsid w:val="00244407"/>
    <w:rsid w:val="00245693"/>
    <w:rsid w:val="00245A15"/>
    <w:rsid w:val="00246986"/>
    <w:rsid w:val="00246AB9"/>
    <w:rsid w:val="00247142"/>
    <w:rsid w:val="002503FD"/>
    <w:rsid w:val="0025362E"/>
    <w:rsid w:val="002550B9"/>
    <w:rsid w:val="00255562"/>
    <w:rsid w:val="00256BBC"/>
    <w:rsid w:val="00257210"/>
    <w:rsid w:val="0025757F"/>
    <w:rsid w:val="00257D94"/>
    <w:rsid w:val="00257EDE"/>
    <w:rsid w:val="00260E24"/>
    <w:rsid w:val="00261790"/>
    <w:rsid w:val="00261E57"/>
    <w:rsid w:val="00261FDC"/>
    <w:rsid w:val="00262382"/>
    <w:rsid w:val="00263018"/>
    <w:rsid w:val="00266CEE"/>
    <w:rsid w:val="002703DD"/>
    <w:rsid w:val="00270C5B"/>
    <w:rsid w:val="00271029"/>
    <w:rsid w:val="00271A5B"/>
    <w:rsid w:val="00274670"/>
    <w:rsid w:val="00275618"/>
    <w:rsid w:val="002759DE"/>
    <w:rsid w:val="0027730B"/>
    <w:rsid w:val="00280D2B"/>
    <w:rsid w:val="00282A2D"/>
    <w:rsid w:val="00282A99"/>
    <w:rsid w:val="002842E1"/>
    <w:rsid w:val="00291977"/>
    <w:rsid w:val="0029209E"/>
    <w:rsid w:val="002922D7"/>
    <w:rsid w:val="00293CA1"/>
    <w:rsid w:val="00293EDE"/>
    <w:rsid w:val="00294B11"/>
    <w:rsid w:val="00297EAE"/>
    <w:rsid w:val="002A1B45"/>
    <w:rsid w:val="002A1C94"/>
    <w:rsid w:val="002A1D20"/>
    <w:rsid w:val="002A1EF3"/>
    <w:rsid w:val="002A2703"/>
    <w:rsid w:val="002A28FE"/>
    <w:rsid w:val="002A2CE8"/>
    <w:rsid w:val="002A383D"/>
    <w:rsid w:val="002A3CE0"/>
    <w:rsid w:val="002A43A7"/>
    <w:rsid w:val="002B1EAB"/>
    <w:rsid w:val="002B1ECC"/>
    <w:rsid w:val="002B1F54"/>
    <w:rsid w:val="002B2168"/>
    <w:rsid w:val="002B2DF9"/>
    <w:rsid w:val="002B31B4"/>
    <w:rsid w:val="002B3DB5"/>
    <w:rsid w:val="002B5CD8"/>
    <w:rsid w:val="002B6298"/>
    <w:rsid w:val="002B6DA8"/>
    <w:rsid w:val="002B71DC"/>
    <w:rsid w:val="002B7E0F"/>
    <w:rsid w:val="002C2557"/>
    <w:rsid w:val="002C3B6D"/>
    <w:rsid w:val="002C42D1"/>
    <w:rsid w:val="002C6145"/>
    <w:rsid w:val="002C719A"/>
    <w:rsid w:val="002C7B22"/>
    <w:rsid w:val="002D04BA"/>
    <w:rsid w:val="002D0709"/>
    <w:rsid w:val="002D0E02"/>
    <w:rsid w:val="002D0E09"/>
    <w:rsid w:val="002D1847"/>
    <w:rsid w:val="002D1FCA"/>
    <w:rsid w:val="002D278E"/>
    <w:rsid w:val="002D4811"/>
    <w:rsid w:val="002D4BEB"/>
    <w:rsid w:val="002D56ED"/>
    <w:rsid w:val="002D5BA2"/>
    <w:rsid w:val="002D6711"/>
    <w:rsid w:val="002D788E"/>
    <w:rsid w:val="002E0D40"/>
    <w:rsid w:val="002E0F35"/>
    <w:rsid w:val="002E24F1"/>
    <w:rsid w:val="002E2BCC"/>
    <w:rsid w:val="002E474B"/>
    <w:rsid w:val="002E497A"/>
    <w:rsid w:val="002E512C"/>
    <w:rsid w:val="002E52EA"/>
    <w:rsid w:val="002E597F"/>
    <w:rsid w:val="002E623E"/>
    <w:rsid w:val="002E6C78"/>
    <w:rsid w:val="002E7FFD"/>
    <w:rsid w:val="002F0460"/>
    <w:rsid w:val="002F0998"/>
    <w:rsid w:val="002F1A77"/>
    <w:rsid w:val="002F1AEC"/>
    <w:rsid w:val="002F4407"/>
    <w:rsid w:val="002F4FE8"/>
    <w:rsid w:val="002F5384"/>
    <w:rsid w:val="002F5F1E"/>
    <w:rsid w:val="002F7290"/>
    <w:rsid w:val="002F7428"/>
    <w:rsid w:val="002F7F90"/>
    <w:rsid w:val="0030016C"/>
    <w:rsid w:val="00300CDE"/>
    <w:rsid w:val="00301D78"/>
    <w:rsid w:val="0030268F"/>
    <w:rsid w:val="00302780"/>
    <w:rsid w:val="00303932"/>
    <w:rsid w:val="003043E3"/>
    <w:rsid w:val="0030449D"/>
    <w:rsid w:val="00304F80"/>
    <w:rsid w:val="003063DB"/>
    <w:rsid w:val="00306BF8"/>
    <w:rsid w:val="00307532"/>
    <w:rsid w:val="00307F29"/>
    <w:rsid w:val="0031024A"/>
    <w:rsid w:val="00311DBE"/>
    <w:rsid w:val="00311DC6"/>
    <w:rsid w:val="00312781"/>
    <w:rsid w:val="00312916"/>
    <w:rsid w:val="00312A4B"/>
    <w:rsid w:val="00313BE0"/>
    <w:rsid w:val="0031515A"/>
    <w:rsid w:val="0031548D"/>
    <w:rsid w:val="0031587F"/>
    <w:rsid w:val="00316F29"/>
    <w:rsid w:val="00322029"/>
    <w:rsid w:val="00322553"/>
    <w:rsid w:val="00323536"/>
    <w:rsid w:val="00324D43"/>
    <w:rsid w:val="00325128"/>
    <w:rsid w:val="0032540D"/>
    <w:rsid w:val="00325BF5"/>
    <w:rsid w:val="00326048"/>
    <w:rsid w:val="00326D03"/>
    <w:rsid w:val="00327E24"/>
    <w:rsid w:val="00330096"/>
    <w:rsid w:val="00330FD5"/>
    <w:rsid w:val="00331778"/>
    <w:rsid w:val="00332B50"/>
    <w:rsid w:val="00332CB9"/>
    <w:rsid w:val="00334B68"/>
    <w:rsid w:val="0033506E"/>
    <w:rsid w:val="00337ADD"/>
    <w:rsid w:val="00340C82"/>
    <w:rsid w:val="00341289"/>
    <w:rsid w:val="00341BC2"/>
    <w:rsid w:val="00341FD1"/>
    <w:rsid w:val="00342BC1"/>
    <w:rsid w:val="00342CD3"/>
    <w:rsid w:val="00342EC2"/>
    <w:rsid w:val="0034346F"/>
    <w:rsid w:val="00344FE8"/>
    <w:rsid w:val="003450AF"/>
    <w:rsid w:val="0034683A"/>
    <w:rsid w:val="00346C74"/>
    <w:rsid w:val="00346FB8"/>
    <w:rsid w:val="00347F2C"/>
    <w:rsid w:val="00353A34"/>
    <w:rsid w:val="00353D90"/>
    <w:rsid w:val="003549D7"/>
    <w:rsid w:val="003557CD"/>
    <w:rsid w:val="00357B47"/>
    <w:rsid w:val="00360E31"/>
    <w:rsid w:val="0036285F"/>
    <w:rsid w:val="003640BF"/>
    <w:rsid w:val="00365572"/>
    <w:rsid w:val="00366A30"/>
    <w:rsid w:val="00367E6D"/>
    <w:rsid w:val="00371D3E"/>
    <w:rsid w:val="00371F60"/>
    <w:rsid w:val="003723D6"/>
    <w:rsid w:val="00373291"/>
    <w:rsid w:val="003734AC"/>
    <w:rsid w:val="003734D6"/>
    <w:rsid w:val="003745C7"/>
    <w:rsid w:val="0037561F"/>
    <w:rsid w:val="00375762"/>
    <w:rsid w:val="00375B98"/>
    <w:rsid w:val="00377F00"/>
    <w:rsid w:val="0038179D"/>
    <w:rsid w:val="003823CC"/>
    <w:rsid w:val="00383B0C"/>
    <w:rsid w:val="003843D1"/>
    <w:rsid w:val="00385CA7"/>
    <w:rsid w:val="00390283"/>
    <w:rsid w:val="00392BAD"/>
    <w:rsid w:val="0039367B"/>
    <w:rsid w:val="00393F07"/>
    <w:rsid w:val="00396B13"/>
    <w:rsid w:val="003A09DF"/>
    <w:rsid w:val="003A111C"/>
    <w:rsid w:val="003A2698"/>
    <w:rsid w:val="003A5B01"/>
    <w:rsid w:val="003A66E1"/>
    <w:rsid w:val="003B08B3"/>
    <w:rsid w:val="003B0E4E"/>
    <w:rsid w:val="003B1F58"/>
    <w:rsid w:val="003B4E46"/>
    <w:rsid w:val="003B4EE5"/>
    <w:rsid w:val="003B5779"/>
    <w:rsid w:val="003B6AF7"/>
    <w:rsid w:val="003C16FF"/>
    <w:rsid w:val="003C1955"/>
    <w:rsid w:val="003C20B9"/>
    <w:rsid w:val="003C2585"/>
    <w:rsid w:val="003C2AFB"/>
    <w:rsid w:val="003C2B35"/>
    <w:rsid w:val="003C32B9"/>
    <w:rsid w:val="003C4435"/>
    <w:rsid w:val="003C44DD"/>
    <w:rsid w:val="003C48D5"/>
    <w:rsid w:val="003C52EF"/>
    <w:rsid w:val="003C71FF"/>
    <w:rsid w:val="003C7BDA"/>
    <w:rsid w:val="003D0833"/>
    <w:rsid w:val="003D0EE0"/>
    <w:rsid w:val="003D15E4"/>
    <w:rsid w:val="003D412C"/>
    <w:rsid w:val="003D41F2"/>
    <w:rsid w:val="003D4360"/>
    <w:rsid w:val="003D4991"/>
    <w:rsid w:val="003D4D77"/>
    <w:rsid w:val="003D5AD6"/>
    <w:rsid w:val="003D63AD"/>
    <w:rsid w:val="003D731C"/>
    <w:rsid w:val="003E0357"/>
    <w:rsid w:val="003E0BCA"/>
    <w:rsid w:val="003E11E7"/>
    <w:rsid w:val="003E2C37"/>
    <w:rsid w:val="003E4C6E"/>
    <w:rsid w:val="003E5063"/>
    <w:rsid w:val="003E6033"/>
    <w:rsid w:val="003F1FAD"/>
    <w:rsid w:val="003F2E61"/>
    <w:rsid w:val="003F37A2"/>
    <w:rsid w:val="003F48CE"/>
    <w:rsid w:val="003F5F3A"/>
    <w:rsid w:val="004005A1"/>
    <w:rsid w:val="004016B7"/>
    <w:rsid w:val="004022C4"/>
    <w:rsid w:val="004024E9"/>
    <w:rsid w:val="00403F0D"/>
    <w:rsid w:val="00407B38"/>
    <w:rsid w:val="00410F6C"/>
    <w:rsid w:val="0041137D"/>
    <w:rsid w:val="004136E7"/>
    <w:rsid w:val="00414138"/>
    <w:rsid w:val="00416EEE"/>
    <w:rsid w:val="0041716E"/>
    <w:rsid w:val="00417ECD"/>
    <w:rsid w:val="00421F2D"/>
    <w:rsid w:val="004233D4"/>
    <w:rsid w:val="00423DE4"/>
    <w:rsid w:val="004240E7"/>
    <w:rsid w:val="004255AA"/>
    <w:rsid w:val="00425BB0"/>
    <w:rsid w:val="00426E79"/>
    <w:rsid w:val="00430676"/>
    <w:rsid w:val="00430E44"/>
    <w:rsid w:val="00430EC5"/>
    <w:rsid w:val="00430EE9"/>
    <w:rsid w:val="004310C0"/>
    <w:rsid w:val="0043228F"/>
    <w:rsid w:val="00432F1A"/>
    <w:rsid w:val="0043519A"/>
    <w:rsid w:val="00435C08"/>
    <w:rsid w:val="00436AB0"/>
    <w:rsid w:val="00437E68"/>
    <w:rsid w:val="004410AD"/>
    <w:rsid w:val="0044183D"/>
    <w:rsid w:val="00441D45"/>
    <w:rsid w:val="00442053"/>
    <w:rsid w:val="00444A78"/>
    <w:rsid w:val="00445ADD"/>
    <w:rsid w:val="00445B21"/>
    <w:rsid w:val="00447835"/>
    <w:rsid w:val="00451734"/>
    <w:rsid w:val="004520E8"/>
    <w:rsid w:val="00454A87"/>
    <w:rsid w:val="00455187"/>
    <w:rsid w:val="0045587F"/>
    <w:rsid w:val="00455BC5"/>
    <w:rsid w:val="00455EA7"/>
    <w:rsid w:val="004570AA"/>
    <w:rsid w:val="00457A0C"/>
    <w:rsid w:val="0046022B"/>
    <w:rsid w:val="00461741"/>
    <w:rsid w:val="004640D2"/>
    <w:rsid w:val="004656BF"/>
    <w:rsid w:val="00465DBB"/>
    <w:rsid w:val="0046660D"/>
    <w:rsid w:val="004666BA"/>
    <w:rsid w:val="00466E2F"/>
    <w:rsid w:val="0046753C"/>
    <w:rsid w:val="00467942"/>
    <w:rsid w:val="00467B1D"/>
    <w:rsid w:val="00467D22"/>
    <w:rsid w:val="00467D4A"/>
    <w:rsid w:val="00471777"/>
    <w:rsid w:val="00472123"/>
    <w:rsid w:val="00473EA5"/>
    <w:rsid w:val="00477291"/>
    <w:rsid w:val="00480E20"/>
    <w:rsid w:val="00481BDA"/>
    <w:rsid w:val="00481D96"/>
    <w:rsid w:val="00481EE5"/>
    <w:rsid w:val="004839F6"/>
    <w:rsid w:val="00484529"/>
    <w:rsid w:val="004872AA"/>
    <w:rsid w:val="00487FF5"/>
    <w:rsid w:val="0049101A"/>
    <w:rsid w:val="00491567"/>
    <w:rsid w:val="004922C5"/>
    <w:rsid w:val="004965C0"/>
    <w:rsid w:val="00496971"/>
    <w:rsid w:val="00496D17"/>
    <w:rsid w:val="00496D55"/>
    <w:rsid w:val="00497ED4"/>
    <w:rsid w:val="004A0B82"/>
    <w:rsid w:val="004A0ECA"/>
    <w:rsid w:val="004A293C"/>
    <w:rsid w:val="004A35F4"/>
    <w:rsid w:val="004A495C"/>
    <w:rsid w:val="004A4D4C"/>
    <w:rsid w:val="004A6706"/>
    <w:rsid w:val="004A7A6D"/>
    <w:rsid w:val="004B06DA"/>
    <w:rsid w:val="004B0F56"/>
    <w:rsid w:val="004B2384"/>
    <w:rsid w:val="004B3678"/>
    <w:rsid w:val="004B4006"/>
    <w:rsid w:val="004B5C44"/>
    <w:rsid w:val="004B64A8"/>
    <w:rsid w:val="004B65F7"/>
    <w:rsid w:val="004B7C07"/>
    <w:rsid w:val="004B7CEF"/>
    <w:rsid w:val="004C0677"/>
    <w:rsid w:val="004C0853"/>
    <w:rsid w:val="004C11A4"/>
    <w:rsid w:val="004C122A"/>
    <w:rsid w:val="004C25AC"/>
    <w:rsid w:val="004C2ED3"/>
    <w:rsid w:val="004C31D8"/>
    <w:rsid w:val="004C4717"/>
    <w:rsid w:val="004C7B8F"/>
    <w:rsid w:val="004D20A6"/>
    <w:rsid w:val="004D2543"/>
    <w:rsid w:val="004D4004"/>
    <w:rsid w:val="004D4320"/>
    <w:rsid w:val="004D562A"/>
    <w:rsid w:val="004D7133"/>
    <w:rsid w:val="004D7AEF"/>
    <w:rsid w:val="004E00B8"/>
    <w:rsid w:val="004E093B"/>
    <w:rsid w:val="004E0AC9"/>
    <w:rsid w:val="004E1256"/>
    <w:rsid w:val="004E2854"/>
    <w:rsid w:val="004E3194"/>
    <w:rsid w:val="004E3C82"/>
    <w:rsid w:val="004E5E6C"/>
    <w:rsid w:val="004E6169"/>
    <w:rsid w:val="004E67D2"/>
    <w:rsid w:val="004E6EC2"/>
    <w:rsid w:val="004E76EC"/>
    <w:rsid w:val="004F0406"/>
    <w:rsid w:val="004F0FE6"/>
    <w:rsid w:val="004F112F"/>
    <w:rsid w:val="004F261F"/>
    <w:rsid w:val="004F3B81"/>
    <w:rsid w:val="004F42D7"/>
    <w:rsid w:val="004F5438"/>
    <w:rsid w:val="004F7C1E"/>
    <w:rsid w:val="00501188"/>
    <w:rsid w:val="00502821"/>
    <w:rsid w:val="00503B67"/>
    <w:rsid w:val="005063F9"/>
    <w:rsid w:val="0050645C"/>
    <w:rsid w:val="00507438"/>
    <w:rsid w:val="00511E4D"/>
    <w:rsid w:val="00511F6C"/>
    <w:rsid w:val="00512D61"/>
    <w:rsid w:val="0051357A"/>
    <w:rsid w:val="00513CAA"/>
    <w:rsid w:val="00513D8A"/>
    <w:rsid w:val="0051456B"/>
    <w:rsid w:val="00515BD9"/>
    <w:rsid w:val="0051604C"/>
    <w:rsid w:val="00516354"/>
    <w:rsid w:val="00517C74"/>
    <w:rsid w:val="00522120"/>
    <w:rsid w:val="00522D74"/>
    <w:rsid w:val="0052402C"/>
    <w:rsid w:val="0052441B"/>
    <w:rsid w:val="005255EF"/>
    <w:rsid w:val="00525DC5"/>
    <w:rsid w:val="00530C69"/>
    <w:rsid w:val="00532A34"/>
    <w:rsid w:val="0053497C"/>
    <w:rsid w:val="00535572"/>
    <w:rsid w:val="00535941"/>
    <w:rsid w:val="00536E72"/>
    <w:rsid w:val="00537A74"/>
    <w:rsid w:val="005402CC"/>
    <w:rsid w:val="00541B48"/>
    <w:rsid w:val="005433AE"/>
    <w:rsid w:val="00543880"/>
    <w:rsid w:val="005444E2"/>
    <w:rsid w:val="005474DD"/>
    <w:rsid w:val="005477C1"/>
    <w:rsid w:val="0055019C"/>
    <w:rsid w:val="00551C4B"/>
    <w:rsid w:val="0055326A"/>
    <w:rsid w:val="0055521B"/>
    <w:rsid w:val="00555327"/>
    <w:rsid w:val="005557E3"/>
    <w:rsid w:val="00555F4D"/>
    <w:rsid w:val="00555F82"/>
    <w:rsid w:val="005569A3"/>
    <w:rsid w:val="00556B8F"/>
    <w:rsid w:val="00560495"/>
    <w:rsid w:val="00560FED"/>
    <w:rsid w:val="00562BDF"/>
    <w:rsid w:val="00567C77"/>
    <w:rsid w:val="00567FA7"/>
    <w:rsid w:val="00573DF6"/>
    <w:rsid w:val="00574D96"/>
    <w:rsid w:val="00575D28"/>
    <w:rsid w:val="00575EED"/>
    <w:rsid w:val="0057736B"/>
    <w:rsid w:val="00577761"/>
    <w:rsid w:val="00577983"/>
    <w:rsid w:val="00580C44"/>
    <w:rsid w:val="00581480"/>
    <w:rsid w:val="00581786"/>
    <w:rsid w:val="00581A90"/>
    <w:rsid w:val="005835E5"/>
    <w:rsid w:val="00584E19"/>
    <w:rsid w:val="005868A7"/>
    <w:rsid w:val="00586AE7"/>
    <w:rsid w:val="005900CF"/>
    <w:rsid w:val="005905D5"/>
    <w:rsid w:val="00595992"/>
    <w:rsid w:val="00595C8A"/>
    <w:rsid w:val="00596A97"/>
    <w:rsid w:val="00596D64"/>
    <w:rsid w:val="005A2DDE"/>
    <w:rsid w:val="005A4680"/>
    <w:rsid w:val="005A5BEB"/>
    <w:rsid w:val="005A5D46"/>
    <w:rsid w:val="005A6B43"/>
    <w:rsid w:val="005A6CC8"/>
    <w:rsid w:val="005A7EB2"/>
    <w:rsid w:val="005B0AA5"/>
    <w:rsid w:val="005B116C"/>
    <w:rsid w:val="005B1B16"/>
    <w:rsid w:val="005B2DAD"/>
    <w:rsid w:val="005B3977"/>
    <w:rsid w:val="005B42C2"/>
    <w:rsid w:val="005B4677"/>
    <w:rsid w:val="005B55D6"/>
    <w:rsid w:val="005B6509"/>
    <w:rsid w:val="005B66C5"/>
    <w:rsid w:val="005C1B70"/>
    <w:rsid w:val="005C56DC"/>
    <w:rsid w:val="005C56FE"/>
    <w:rsid w:val="005C58B4"/>
    <w:rsid w:val="005D114A"/>
    <w:rsid w:val="005D14C9"/>
    <w:rsid w:val="005D2484"/>
    <w:rsid w:val="005D3EB4"/>
    <w:rsid w:val="005D56D3"/>
    <w:rsid w:val="005D6F61"/>
    <w:rsid w:val="005D7655"/>
    <w:rsid w:val="005D7EE6"/>
    <w:rsid w:val="005E2246"/>
    <w:rsid w:val="005E2691"/>
    <w:rsid w:val="005E40CC"/>
    <w:rsid w:val="005E68D0"/>
    <w:rsid w:val="005E759A"/>
    <w:rsid w:val="005F0F6F"/>
    <w:rsid w:val="005F1A66"/>
    <w:rsid w:val="005F1EA7"/>
    <w:rsid w:val="005F21B8"/>
    <w:rsid w:val="005F2DFA"/>
    <w:rsid w:val="005F399D"/>
    <w:rsid w:val="005F41F7"/>
    <w:rsid w:val="005F4779"/>
    <w:rsid w:val="005F6832"/>
    <w:rsid w:val="005F77ED"/>
    <w:rsid w:val="00600A27"/>
    <w:rsid w:val="00601515"/>
    <w:rsid w:val="00601548"/>
    <w:rsid w:val="00601D85"/>
    <w:rsid w:val="0060251F"/>
    <w:rsid w:val="006028BC"/>
    <w:rsid w:val="006029DF"/>
    <w:rsid w:val="0060401E"/>
    <w:rsid w:val="00605E0F"/>
    <w:rsid w:val="0060647B"/>
    <w:rsid w:val="00606801"/>
    <w:rsid w:val="00606ADB"/>
    <w:rsid w:val="00606E51"/>
    <w:rsid w:val="0061093C"/>
    <w:rsid w:val="0061402A"/>
    <w:rsid w:val="006156E0"/>
    <w:rsid w:val="006156E5"/>
    <w:rsid w:val="00615D7F"/>
    <w:rsid w:val="006162E8"/>
    <w:rsid w:val="00620333"/>
    <w:rsid w:val="006211C0"/>
    <w:rsid w:val="00623865"/>
    <w:rsid w:val="00624A18"/>
    <w:rsid w:val="00625947"/>
    <w:rsid w:val="006261F3"/>
    <w:rsid w:val="00626483"/>
    <w:rsid w:val="006267C4"/>
    <w:rsid w:val="00626822"/>
    <w:rsid w:val="00627048"/>
    <w:rsid w:val="0063276C"/>
    <w:rsid w:val="0063533A"/>
    <w:rsid w:val="0063545E"/>
    <w:rsid w:val="006357A2"/>
    <w:rsid w:val="00637524"/>
    <w:rsid w:val="00637D90"/>
    <w:rsid w:val="00640B04"/>
    <w:rsid w:val="00641D0D"/>
    <w:rsid w:val="006425D3"/>
    <w:rsid w:val="00642720"/>
    <w:rsid w:val="00643652"/>
    <w:rsid w:val="006462B6"/>
    <w:rsid w:val="0064710F"/>
    <w:rsid w:val="00650131"/>
    <w:rsid w:val="0065015A"/>
    <w:rsid w:val="00650C3C"/>
    <w:rsid w:val="00652FD4"/>
    <w:rsid w:val="00653ACD"/>
    <w:rsid w:val="00654A39"/>
    <w:rsid w:val="00654F17"/>
    <w:rsid w:val="006558B3"/>
    <w:rsid w:val="00655BFE"/>
    <w:rsid w:val="00655F7B"/>
    <w:rsid w:val="00656E10"/>
    <w:rsid w:val="00660192"/>
    <w:rsid w:val="00662DD3"/>
    <w:rsid w:val="00664251"/>
    <w:rsid w:val="00666CF2"/>
    <w:rsid w:val="00667323"/>
    <w:rsid w:val="00667932"/>
    <w:rsid w:val="00671D92"/>
    <w:rsid w:val="00671E75"/>
    <w:rsid w:val="0067248D"/>
    <w:rsid w:val="006726A9"/>
    <w:rsid w:val="00672813"/>
    <w:rsid w:val="006728C4"/>
    <w:rsid w:val="00674D59"/>
    <w:rsid w:val="0067652D"/>
    <w:rsid w:val="00682190"/>
    <w:rsid w:val="0068288D"/>
    <w:rsid w:val="006833BE"/>
    <w:rsid w:val="00683F98"/>
    <w:rsid w:val="0068598C"/>
    <w:rsid w:val="00685DB7"/>
    <w:rsid w:val="006860F4"/>
    <w:rsid w:val="00690F94"/>
    <w:rsid w:val="006914C7"/>
    <w:rsid w:val="00691574"/>
    <w:rsid w:val="006915B2"/>
    <w:rsid w:val="006945E0"/>
    <w:rsid w:val="00695EFC"/>
    <w:rsid w:val="006961EC"/>
    <w:rsid w:val="00696558"/>
    <w:rsid w:val="0069677A"/>
    <w:rsid w:val="006976E1"/>
    <w:rsid w:val="006A185D"/>
    <w:rsid w:val="006A1919"/>
    <w:rsid w:val="006A1BC6"/>
    <w:rsid w:val="006A5192"/>
    <w:rsid w:val="006A7BE3"/>
    <w:rsid w:val="006A7CD1"/>
    <w:rsid w:val="006B0307"/>
    <w:rsid w:val="006B0F72"/>
    <w:rsid w:val="006B18C0"/>
    <w:rsid w:val="006B1F63"/>
    <w:rsid w:val="006B2022"/>
    <w:rsid w:val="006B4192"/>
    <w:rsid w:val="006B45CC"/>
    <w:rsid w:val="006B47D4"/>
    <w:rsid w:val="006B5748"/>
    <w:rsid w:val="006B6ED4"/>
    <w:rsid w:val="006B760A"/>
    <w:rsid w:val="006C1DE7"/>
    <w:rsid w:val="006C332B"/>
    <w:rsid w:val="006C335F"/>
    <w:rsid w:val="006C39E8"/>
    <w:rsid w:val="006C434A"/>
    <w:rsid w:val="006C61D3"/>
    <w:rsid w:val="006C7CD8"/>
    <w:rsid w:val="006D022B"/>
    <w:rsid w:val="006D110A"/>
    <w:rsid w:val="006D1F56"/>
    <w:rsid w:val="006D5B79"/>
    <w:rsid w:val="006D6277"/>
    <w:rsid w:val="006D62FA"/>
    <w:rsid w:val="006D65D9"/>
    <w:rsid w:val="006D687E"/>
    <w:rsid w:val="006D68C7"/>
    <w:rsid w:val="006D6A7A"/>
    <w:rsid w:val="006E0F72"/>
    <w:rsid w:val="006E1E0C"/>
    <w:rsid w:val="006E1FAE"/>
    <w:rsid w:val="006E38E6"/>
    <w:rsid w:val="006E390D"/>
    <w:rsid w:val="006E45BC"/>
    <w:rsid w:val="006E4D9B"/>
    <w:rsid w:val="006E57D6"/>
    <w:rsid w:val="006E5A64"/>
    <w:rsid w:val="006E5CE1"/>
    <w:rsid w:val="006F193D"/>
    <w:rsid w:val="006F2E85"/>
    <w:rsid w:val="006F3A90"/>
    <w:rsid w:val="006F4884"/>
    <w:rsid w:val="006F5C8C"/>
    <w:rsid w:val="006F5CEE"/>
    <w:rsid w:val="006F5DD3"/>
    <w:rsid w:val="006F6C78"/>
    <w:rsid w:val="006F6FB6"/>
    <w:rsid w:val="00700712"/>
    <w:rsid w:val="007007B8"/>
    <w:rsid w:val="00701568"/>
    <w:rsid w:val="00701612"/>
    <w:rsid w:val="00701906"/>
    <w:rsid w:val="00702022"/>
    <w:rsid w:val="0070247D"/>
    <w:rsid w:val="0070302E"/>
    <w:rsid w:val="00705ACD"/>
    <w:rsid w:val="007069B6"/>
    <w:rsid w:val="00707536"/>
    <w:rsid w:val="007079C2"/>
    <w:rsid w:val="00707DF5"/>
    <w:rsid w:val="0071166E"/>
    <w:rsid w:val="0071169B"/>
    <w:rsid w:val="00715F5F"/>
    <w:rsid w:val="0071613C"/>
    <w:rsid w:val="00716568"/>
    <w:rsid w:val="00716D96"/>
    <w:rsid w:val="00716DC8"/>
    <w:rsid w:val="00716E68"/>
    <w:rsid w:val="00717B41"/>
    <w:rsid w:val="007209E8"/>
    <w:rsid w:val="00720B83"/>
    <w:rsid w:val="00720E6D"/>
    <w:rsid w:val="0072161E"/>
    <w:rsid w:val="007248BA"/>
    <w:rsid w:val="00724C06"/>
    <w:rsid w:val="007258C7"/>
    <w:rsid w:val="00725EAC"/>
    <w:rsid w:val="00726660"/>
    <w:rsid w:val="007329B5"/>
    <w:rsid w:val="007348BD"/>
    <w:rsid w:val="00734D19"/>
    <w:rsid w:val="0073754E"/>
    <w:rsid w:val="00737EAB"/>
    <w:rsid w:val="00741BD9"/>
    <w:rsid w:val="007421A9"/>
    <w:rsid w:val="00742824"/>
    <w:rsid w:val="0074717C"/>
    <w:rsid w:val="0074764E"/>
    <w:rsid w:val="00751DF4"/>
    <w:rsid w:val="0075326A"/>
    <w:rsid w:val="00753701"/>
    <w:rsid w:val="00753BBC"/>
    <w:rsid w:val="00755201"/>
    <w:rsid w:val="007555E3"/>
    <w:rsid w:val="007573FA"/>
    <w:rsid w:val="00757988"/>
    <w:rsid w:val="007626CC"/>
    <w:rsid w:val="00764A0B"/>
    <w:rsid w:val="00764B01"/>
    <w:rsid w:val="00766DE0"/>
    <w:rsid w:val="00767431"/>
    <w:rsid w:val="007741B7"/>
    <w:rsid w:val="007746F5"/>
    <w:rsid w:val="0077500B"/>
    <w:rsid w:val="007757A5"/>
    <w:rsid w:val="00776F79"/>
    <w:rsid w:val="00780069"/>
    <w:rsid w:val="007839C5"/>
    <w:rsid w:val="00783D43"/>
    <w:rsid w:val="00784A37"/>
    <w:rsid w:val="007865A2"/>
    <w:rsid w:val="00786C4C"/>
    <w:rsid w:val="00790C62"/>
    <w:rsid w:val="00790D29"/>
    <w:rsid w:val="00792AF0"/>
    <w:rsid w:val="007931F8"/>
    <w:rsid w:val="00793999"/>
    <w:rsid w:val="00793A24"/>
    <w:rsid w:val="007940FB"/>
    <w:rsid w:val="00794586"/>
    <w:rsid w:val="00794DD1"/>
    <w:rsid w:val="00795306"/>
    <w:rsid w:val="007956AA"/>
    <w:rsid w:val="007963AD"/>
    <w:rsid w:val="007971F0"/>
    <w:rsid w:val="00797F3D"/>
    <w:rsid w:val="007A19CA"/>
    <w:rsid w:val="007A1ADE"/>
    <w:rsid w:val="007A211B"/>
    <w:rsid w:val="007A2D83"/>
    <w:rsid w:val="007A3522"/>
    <w:rsid w:val="007A4F72"/>
    <w:rsid w:val="007A62DF"/>
    <w:rsid w:val="007A767E"/>
    <w:rsid w:val="007B1D66"/>
    <w:rsid w:val="007B38E1"/>
    <w:rsid w:val="007B5814"/>
    <w:rsid w:val="007B5A65"/>
    <w:rsid w:val="007B6143"/>
    <w:rsid w:val="007B7596"/>
    <w:rsid w:val="007C050C"/>
    <w:rsid w:val="007C1991"/>
    <w:rsid w:val="007C2159"/>
    <w:rsid w:val="007C3CB2"/>
    <w:rsid w:val="007C4237"/>
    <w:rsid w:val="007C5041"/>
    <w:rsid w:val="007C58C4"/>
    <w:rsid w:val="007C5B91"/>
    <w:rsid w:val="007C66E0"/>
    <w:rsid w:val="007C6B64"/>
    <w:rsid w:val="007C770F"/>
    <w:rsid w:val="007D0461"/>
    <w:rsid w:val="007D0CD2"/>
    <w:rsid w:val="007D12D2"/>
    <w:rsid w:val="007D1AD9"/>
    <w:rsid w:val="007D2FF2"/>
    <w:rsid w:val="007D3586"/>
    <w:rsid w:val="007D55BA"/>
    <w:rsid w:val="007D5738"/>
    <w:rsid w:val="007D63CD"/>
    <w:rsid w:val="007D6E7D"/>
    <w:rsid w:val="007D7C9D"/>
    <w:rsid w:val="007E2AD5"/>
    <w:rsid w:val="007E2CD2"/>
    <w:rsid w:val="007E33D9"/>
    <w:rsid w:val="007E33F9"/>
    <w:rsid w:val="007E4FB7"/>
    <w:rsid w:val="007E57D0"/>
    <w:rsid w:val="007E5B10"/>
    <w:rsid w:val="007E6A72"/>
    <w:rsid w:val="007E7497"/>
    <w:rsid w:val="007E7BF4"/>
    <w:rsid w:val="007F09A9"/>
    <w:rsid w:val="007F0F13"/>
    <w:rsid w:val="007F0F71"/>
    <w:rsid w:val="007F2634"/>
    <w:rsid w:val="007F29B2"/>
    <w:rsid w:val="007F2F77"/>
    <w:rsid w:val="007F34AF"/>
    <w:rsid w:val="007F35D9"/>
    <w:rsid w:val="007F4217"/>
    <w:rsid w:val="007F4273"/>
    <w:rsid w:val="007F576C"/>
    <w:rsid w:val="007F5EC7"/>
    <w:rsid w:val="007F630E"/>
    <w:rsid w:val="007F6AC8"/>
    <w:rsid w:val="007F6BBD"/>
    <w:rsid w:val="007F70D9"/>
    <w:rsid w:val="007F7FF8"/>
    <w:rsid w:val="0080058D"/>
    <w:rsid w:val="00801A54"/>
    <w:rsid w:val="00802286"/>
    <w:rsid w:val="008035C8"/>
    <w:rsid w:val="0080416E"/>
    <w:rsid w:val="00804AF7"/>
    <w:rsid w:val="00805B2D"/>
    <w:rsid w:val="00805C88"/>
    <w:rsid w:val="00805CAA"/>
    <w:rsid w:val="0080632C"/>
    <w:rsid w:val="00806C25"/>
    <w:rsid w:val="00810B67"/>
    <w:rsid w:val="00811758"/>
    <w:rsid w:val="00812283"/>
    <w:rsid w:val="00814C2E"/>
    <w:rsid w:val="00815F45"/>
    <w:rsid w:val="00821F09"/>
    <w:rsid w:val="00822629"/>
    <w:rsid w:val="00822936"/>
    <w:rsid w:val="00824320"/>
    <w:rsid w:val="0082650E"/>
    <w:rsid w:val="00827838"/>
    <w:rsid w:val="00830319"/>
    <w:rsid w:val="0083132E"/>
    <w:rsid w:val="0083252C"/>
    <w:rsid w:val="0083398D"/>
    <w:rsid w:val="008346DC"/>
    <w:rsid w:val="00835038"/>
    <w:rsid w:val="0083608F"/>
    <w:rsid w:val="008377BE"/>
    <w:rsid w:val="00840EE2"/>
    <w:rsid w:val="00842577"/>
    <w:rsid w:val="00842B8C"/>
    <w:rsid w:val="00842BDC"/>
    <w:rsid w:val="0084355C"/>
    <w:rsid w:val="00843D71"/>
    <w:rsid w:val="00843E66"/>
    <w:rsid w:val="0084401A"/>
    <w:rsid w:val="0084514C"/>
    <w:rsid w:val="008526A0"/>
    <w:rsid w:val="00853A88"/>
    <w:rsid w:val="008544E3"/>
    <w:rsid w:val="00855C64"/>
    <w:rsid w:val="0085654F"/>
    <w:rsid w:val="008569C5"/>
    <w:rsid w:val="00860127"/>
    <w:rsid w:val="0086091D"/>
    <w:rsid w:val="0086162E"/>
    <w:rsid w:val="008620E2"/>
    <w:rsid w:val="0086230E"/>
    <w:rsid w:val="008646B0"/>
    <w:rsid w:val="00864702"/>
    <w:rsid w:val="00864D3F"/>
    <w:rsid w:val="0086585B"/>
    <w:rsid w:val="00873C85"/>
    <w:rsid w:val="00874F9D"/>
    <w:rsid w:val="00875AE7"/>
    <w:rsid w:val="008766C5"/>
    <w:rsid w:val="00877147"/>
    <w:rsid w:val="0087727B"/>
    <w:rsid w:val="00877AEF"/>
    <w:rsid w:val="00877BBA"/>
    <w:rsid w:val="00880064"/>
    <w:rsid w:val="00881838"/>
    <w:rsid w:val="00881A47"/>
    <w:rsid w:val="0088272B"/>
    <w:rsid w:val="00882DDF"/>
    <w:rsid w:val="00883CE2"/>
    <w:rsid w:val="0088433F"/>
    <w:rsid w:val="008851F7"/>
    <w:rsid w:val="00885C19"/>
    <w:rsid w:val="00885EA5"/>
    <w:rsid w:val="0088665F"/>
    <w:rsid w:val="00886B67"/>
    <w:rsid w:val="008870AA"/>
    <w:rsid w:val="00887D42"/>
    <w:rsid w:val="00890047"/>
    <w:rsid w:val="0089136D"/>
    <w:rsid w:val="00892600"/>
    <w:rsid w:val="008929D9"/>
    <w:rsid w:val="00895CB8"/>
    <w:rsid w:val="00896501"/>
    <w:rsid w:val="008A2C1C"/>
    <w:rsid w:val="008A3631"/>
    <w:rsid w:val="008A3DB0"/>
    <w:rsid w:val="008A4B3D"/>
    <w:rsid w:val="008A6B53"/>
    <w:rsid w:val="008A7948"/>
    <w:rsid w:val="008A7C54"/>
    <w:rsid w:val="008B3110"/>
    <w:rsid w:val="008B3723"/>
    <w:rsid w:val="008B4B5A"/>
    <w:rsid w:val="008B50DC"/>
    <w:rsid w:val="008B6B92"/>
    <w:rsid w:val="008C1946"/>
    <w:rsid w:val="008C1E7A"/>
    <w:rsid w:val="008C35DD"/>
    <w:rsid w:val="008C4409"/>
    <w:rsid w:val="008C44FA"/>
    <w:rsid w:val="008C4D06"/>
    <w:rsid w:val="008C560F"/>
    <w:rsid w:val="008C61A1"/>
    <w:rsid w:val="008C6606"/>
    <w:rsid w:val="008C6752"/>
    <w:rsid w:val="008C6927"/>
    <w:rsid w:val="008C6974"/>
    <w:rsid w:val="008D02AE"/>
    <w:rsid w:val="008D0A4D"/>
    <w:rsid w:val="008D22D7"/>
    <w:rsid w:val="008D38A9"/>
    <w:rsid w:val="008D510E"/>
    <w:rsid w:val="008D6F91"/>
    <w:rsid w:val="008D707E"/>
    <w:rsid w:val="008D7A7A"/>
    <w:rsid w:val="008D7FD1"/>
    <w:rsid w:val="008E00A6"/>
    <w:rsid w:val="008E03E2"/>
    <w:rsid w:val="008E0B20"/>
    <w:rsid w:val="008E192F"/>
    <w:rsid w:val="008E193D"/>
    <w:rsid w:val="008E1E0D"/>
    <w:rsid w:val="008E1FCD"/>
    <w:rsid w:val="008E3665"/>
    <w:rsid w:val="008E3C2E"/>
    <w:rsid w:val="008F0FF9"/>
    <w:rsid w:val="008F17A7"/>
    <w:rsid w:val="008F23C6"/>
    <w:rsid w:val="008F249E"/>
    <w:rsid w:val="008F2749"/>
    <w:rsid w:val="008F2936"/>
    <w:rsid w:val="008F5637"/>
    <w:rsid w:val="008F7D9C"/>
    <w:rsid w:val="008F7F53"/>
    <w:rsid w:val="00900578"/>
    <w:rsid w:val="00901FF4"/>
    <w:rsid w:val="009034C7"/>
    <w:rsid w:val="00903B66"/>
    <w:rsid w:val="00903E8B"/>
    <w:rsid w:val="0090461D"/>
    <w:rsid w:val="0090473B"/>
    <w:rsid w:val="00904D80"/>
    <w:rsid w:val="00905CD1"/>
    <w:rsid w:val="009079F0"/>
    <w:rsid w:val="00907DF9"/>
    <w:rsid w:val="00911908"/>
    <w:rsid w:val="00913CCF"/>
    <w:rsid w:val="00914788"/>
    <w:rsid w:val="00916130"/>
    <w:rsid w:val="009166F7"/>
    <w:rsid w:val="00917882"/>
    <w:rsid w:val="00917B19"/>
    <w:rsid w:val="0092091F"/>
    <w:rsid w:val="00921041"/>
    <w:rsid w:val="009217A6"/>
    <w:rsid w:val="00921BC6"/>
    <w:rsid w:val="0092203A"/>
    <w:rsid w:val="00922F6B"/>
    <w:rsid w:val="00923230"/>
    <w:rsid w:val="0092373D"/>
    <w:rsid w:val="00923BCA"/>
    <w:rsid w:val="009243BB"/>
    <w:rsid w:val="00926251"/>
    <w:rsid w:val="00926402"/>
    <w:rsid w:val="00927701"/>
    <w:rsid w:val="0092777B"/>
    <w:rsid w:val="00930C87"/>
    <w:rsid w:val="0093104A"/>
    <w:rsid w:val="0093192B"/>
    <w:rsid w:val="00933C22"/>
    <w:rsid w:val="00935A81"/>
    <w:rsid w:val="00936520"/>
    <w:rsid w:val="00937242"/>
    <w:rsid w:val="00937F77"/>
    <w:rsid w:val="009415FB"/>
    <w:rsid w:val="0094169A"/>
    <w:rsid w:val="0094440D"/>
    <w:rsid w:val="009446DE"/>
    <w:rsid w:val="00944A95"/>
    <w:rsid w:val="00944C2E"/>
    <w:rsid w:val="0094620E"/>
    <w:rsid w:val="009476A4"/>
    <w:rsid w:val="00947801"/>
    <w:rsid w:val="0095041E"/>
    <w:rsid w:val="00950D77"/>
    <w:rsid w:val="009552FD"/>
    <w:rsid w:val="009575A2"/>
    <w:rsid w:val="00960671"/>
    <w:rsid w:val="0096086F"/>
    <w:rsid w:val="009609DB"/>
    <w:rsid w:val="009627B2"/>
    <w:rsid w:val="00964386"/>
    <w:rsid w:val="00964419"/>
    <w:rsid w:val="00965D72"/>
    <w:rsid w:val="009670E8"/>
    <w:rsid w:val="00970E12"/>
    <w:rsid w:val="00974497"/>
    <w:rsid w:val="009748FB"/>
    <w:rsid w:val="009762F9"/>
    <w:rsid w:val="00977FFA"/>
    <w:rsid w:val="009807C9"/>
    <w:rsid w:val="00981344"/>
    <w:rsid w:val="00981C69"/>
    <w:rsid w:val="00982A5F"/>
    <w:rsid w:val="009839F4"/>
    <w:rsid w:val="00983DEA"/>
    <w:rsid w:val="00984ECC"/>
    <w:rsid w:val="00986676"/>
    <w:rsid w:val="009868DC"/>
    <w:rsid w:val="00990245"/>
    <w:rsid w:val="009905F4"/>
    <w:rsid w:val="00990F20"/>
    <w:rsid w:val="00991731"/>
    <w:rsid w:val="00991F53"/>
    <w:rsid w:val="00992B5A"/>
    <w:rsid w:val="00992CA2"/>
    <w:rsid w:val="009940FA"/>
    <w:rsid w:val="009950FB"/>
    <w:rsid w:val="00996854"/>
    <w:rsid w:val="00997858"/>
    <w:rsid w:val="009A02D6"/>
    <w:rsid w:val="009A5034"/>
    <w:rsid w:val="009A50FE"/>
    <w:rsid w:val="009A51D0"/>
    <w:rsid w:val="009A53D8"/>
    <w:rsid w:val="009A6476"/>
    <w:rsid w:val="009A6F15"/>
    <w:rsid w:val="009B0DD9"/>
    <w:rsid w:val="009B1313"/>
    <w:rsid w:val="009B1461"/>
    <w:rsid w:val="009B167E"/>
    <w:rsid w:val="009B2434"/>
    <w:rsid w:val="009B3E7B"/>
    <w:rsid w:val="009B55C2"/>
    <w:rsid w:val="009B59F9"/>
    <w:rsid w:val="009B70D6"/>
    <w:rsid w:val="009B79C5"/>
    <w:rsid w:val="009C1D56"/>
    <w:rsid w:val="009C24E0"/>
    <w:rsid w:val="009C2842"/>
    <w:rsid w:val="009C41B8"/>
    <w:rsid w:val="009C440F"/>
    <w:rsid w:val="009C4430"/>
    <w:rsid w:val="009C4CF3"/>
    <w:rsid w:val="009C4D5D"/>
    <w:rsid w:val="009C5BB5"/>
    <w:rsid w:val="009C6156"/>
    <w:rsid w:val="009C647F"/>
    <w:rsid w:val="009C6886"/>
    <w:rsid w:val="009D01EC"/>
    <w:rsid w:val="009D243C"/>
    <w:rsid w:val="009D27FE"/>
    <w:rsid w:val="009D311C"/>
    <w:rsid w:val="009D3ADD"/>
    <w:rsid w:val="009D48AC"/>
    <w:rsid w:val="009D49AA"/>
    <w:rsid w:val="009D5A94"/>
    <w:rsid w:val="009D6BC1"/>
    <w:rsid w:val="009D759C"/>
    <w:rsid w:val="009E05F3"/>
    <w:rsid w:val="009E27B2"/>
    <w:rsid w:val="009E36DD"/>
    <w:rsid w:val="009E5399"/>
    <w:rsid w:val="009E5EAD"/>
    <w:rsid w:val="009E6C84"/>
    <w:rsid w:val="009E7F68"/>
    <w:rsid w:val="009F0181"/>
    <w:rsid w:val="009F0854"/>
    <w:rsid w:val="009F0945"/>
    <w:rsid w:val="009F0C52"/>
    <w:rsid w:val="009F221E"/>
    <w:rsid w:val="009F2A71"/>
    <w:rsid w:val="009F355D"/>
    <w:rsid w:val="009F5CF2"/>
    <w:rsid w:val="009F7DC4"/>
    <w:rsid w:val="00A00321"/>
    <w:rsid w:val="00A014F0"/>
    <w:rsid w:val="00A0282A"/>
    <w:rsid w:val="00A029D7"/>
    <w:rsid w:val="00A053DC"/>
    <w:rsid w:val="00A07816"/>
    <w:rsid w:val="00A07BED"/>
    <w:rsid w:val="00A1055E"/>
    <w:rsid w:val="00A106F0"/>
    <w:rsid w:val="00A1144F"/>
    <w:rsid w:val="00A11E96"/>
    <w:rsid w:val="00A1717A"/>
    <w:rsid w:val="00A17831"/>
    <w:rsid w:val="00A20117"/>
    <w:rsid w:val="00A20148"/>
    <w:rsid w:val="00A20F50"/>
    <w:rsid w:val="00A21589"/>
    <w:rsid w:val="00A219E4"/>
    <w:rsid w:val="00A224BB"/>
    <w:rsid w:val="00A22700"/>
    <w:rsid w:val="00A22A36"/>
    <w:rsid w:val="00A22F27"/>
    <w:rsid w:val="00A23A25"/>
    <w:rsid w:val="00A24554"/>
    <w:rsid w:val="00A269BC"/>
    <w:rsid w:val="00A26EA3"/>
    <w:rsid w:val="00A27E74"/>
    <w:rsid w:val="00A27EC5"/>
    <w:rsid w:val="00A27EE5"/>
    <w:rsid w:val="00A3065A"/>
    <w:rsid w:val="00A3144E"/>
    <w:rsid w:val="00A31E30"/>
    <w:rsid w:val="00A3216D"/>
    <w:rsid w:val="00A33541"/>
    <w:rsid w:val="00A3442F"/>
    <w:rsid w:val="00A34882"/>
    <w:rsid w:val="00A35799"/>
    <w:rsid w:val="00A404D0"/>
    <w:rsid w:val="00A40CB2"/>
    <w:rsid w:val="00A4112C"/>
    <w:rsid w:val="00A427A1"/>
    <w:rsid w:val="00A434A4"/>
    <w:rsid w:val="00A44947"/>
    <w:rsid w:val="00A459FE"/>
    <w:rsid w:val="00A45AF1"/>
    <w:rsid w:val="00A47CC8"/>
    <w:rsid w:val="00A47CF6"/>
    <w:rsid w:val="00A5118C"/>
    <w:rsid w:val="00A52207"/>
    <w:rsid w:val="00A5299B"/>
    <w:rsid w:val="00A52A9B"/>
    <w:rsid w:val="00A52B5D"/>
    <w:rsid w:val="00A534FE"/>
    <w:rsid w:val="00A5382F"/>
    <w:rsid w:val="00A540BD"/>
    <w:rsid w:val="00A5475A"/>
    <w:rsid w:val="00A55336"/>
    <w:rsid w:val="00A566FA"/>
    <w:rsid w:val="00A57677"/>
    <w:rsid w:val="00A60633"/>
    <w:rsid w:val="00A609C6"/>
    <w:rsid w:val="00A60C3C"/>
    <w:rsid w:val="00A6256B"/>
    <w:rsid w:val="00A6380B"/>
    <w:rsid w:val="00A64A56"/>
    <w:rsid w:val="00A664E6"/>
    <w:rsid w:val="00A66584"/>
    <w:rsid w:val="00A66850"/>
    <w:rsid w:val="00A673A4"/>
    <w:rsid w:val="00A67BE3"/>
    <w:rsid w:val="00A72D10"/>
    <w:rsid w:val="00A737CB"/>
    <w:rsid w:val="00A7460D"/>
    <w:rsid w:val="00A75E13"/>
    <w:rsid w:val="00A75E68"/>
    <w:rsid w:val="00A7691E"/>
    <w:rsid w:val="00A80975"/>
    <w:rsid w:val="00A82762"/>
    <w:rsid w:val="00A83E5E"/>
    <w:rsid w:val="00A8441F"/>
    <w:rsid w:val="00A848BB"/>
    <w:rsid w:val="00A86F5C"/>
    <w:rsid w:val="00A87894"/>
    <w:rsid w:val="00A908BD"/>
    <w:rsid w:val="00A92617"/>
    <w:rsid w:val="00A939DB"/>
    <w:rsid w:val="00A93D30"/>
    <w:rsid w:val="00A9410A"/>
    <w:rsid w:val="00A95952"/>
    <w:rsid w:val="00A9683E"/>
    <w:rsid w:val="00A96FD2"/>
    <w:rsid w:val="00AA24A2"/>
    <w:rsid w:val="00AA33B9"/>
    <w:rsid w:val="00AA38A7"/>
    <w:rsid w:val="00AA44CF"/>
    <w:rsid w:val="00AA4F2C"/>
    <w:rsid w:val="00AA673E"/>
    <w:rsid w:val="00AA7203"/>
    <w:rsid w:val="00AA7414"/>
    <w:rsid w:val="00AA7439"/>
    <w:rsid w:val="00AA799A"/>
    <w:rsid w:val="00AB01E2"/>
    <w:rsid w:val="00AB0301"/>
    <w:rsid w:val="00AB047E"/>
    <w:rsid w:val="00AB0916"/>
    <w:rsid w:val="00AB1076"/>
    <w:rsid w:val="00AB262B"/>
    <w:rsid w:val="00AB31A4"/>
    <w:rsid w:val="00AB3A1F"/>
    <w:rsid w:val="00AB5AD8"/>
    <w:rsid w:val="00AB65DB"/>
    <w:rsid w:val="00AB65EC"/>
    <w:rsid w:val="00AC06DE"/>
    <w:rsid w:val="00AC1A35"/>
    <w:rsid w:val="00AC204B"/>
    <w:rsid w:val="00AC3B9F"/>
    <w:rsid w:val="00AD0C82"/>
    <w:rsid w:val="00AD2051"/>
    <w:rsid w:val="00AD2889"/>
    <w:rsid w:val="00AD2B4E"/>
    <w:rsid w:val="00AD340A"/>
    <w:rsid w:val="00AD3463"/>
    <w:rsid w:val="00AD39CA"/>
    <w:rsid w:val="00AD5095"/>
    <w:rsid w:val="00AD59E0"/>
    <w:rsid w:val="00AD669F"/>
    <w:rsid w:val="00AD6F50"/>
    <w:rsid w:val="00AE0BD6"/>
    <w:rsid w:val="00AE1023"/>
    <w:rsid w:val="00AE1246"/>
    <w:rsid w:val="00AE2FDD"/>
    <w:rsid w:val="00AE416B"/>
    <w:rsid w:val="00AE42F6"/>
    <w:rsid w:val="00AE4330"/>
    <w:rsid w:val="00AE4472"/>
    <w:rsid w:val="00AE504B"/>
    <w:rsid w:val="00AF0629"/>
    <w:rsid w:val="00AF2A51"/>
    <w:rsid w:val="00AF3E98"/>
    <w:rsid w:val="00AF4FBA"/>
    <w:rsid w:val="00AF5227"/>
    <w:rsid w:val="00AF7623"/>
    <w:rsid w:val="00B009DF"/>
    <w:rsid w:val="00B00E6F"/>
    <w:rsid w:val="00B016A8"/>
    <w:rsid w:val="00B016EB"/>
    <w:rsid w:val="00B01772"/>
    <w:rsid w:val="00B03666"/>
    <w:rsid w:val="00B05D66"/>
    <w:rsid w:val="00B1186C"/>
    <w:rsid w:val="00B11B62"/>
    <w:rsid w:val="00B11D7E"/>
    <w:rsid w:val="00B141DF"/>
    <w:rsid w:val="00B148F4"/>
    <w:rsid w:val="00B14ACF"/>
    <w:rsid w:val="00B15C64"/>
    <w:rsid w:val="00B1655A"/>
    <w:rsid w:val="00B21628"/>
    <w:rsid w:val="00B22155"/>
    <w:rsid w:val="00B222E2"/>
    <w:rsid w:val="00B22CF0"/>
    <w:rsid w:val="00B23358"/>
    <w:rsid w:val="00B24C89"/>
    <w:rsid w:val="00B26CA0"/>
    <w:rsid w:val="00B278E9"/>
    <w:rsid w:val="00B30C11"/>
    <w:rsid w:val="00B30F69"/>
    <w:rsid w:val="00B31395"/>
    <w:rsid w:val="00B31BDF"/>
    <w:rsid w:val="00B33D88"/>
    <w:rsid w:val="00B33E5B"/>
    <w:rsid w:val="00B33F2D"/>
    <w:rsid w:val="00B3425D"/>
    <w:rsid w:val="00B36EBD"/>
    <w:rsid w:val="00B375A8"/>
    <w:rsid w:val="00B40DE6"/>
    <w:rsid w:val="00B41273"/>
    <w:rsid w:val="00B4167F"/>
    <w:rsid w:val="00B41F27"/>
    <w:rsid w:val="00B42582"/>
    <w:rsid w:val="00B430F3"/>
    <w:rsid w:val="00B43523"/>
    <w:rsid w:val="00B44084"/>
    <w:rsid w:val="00B44ACC"/>
    <w:rsid w:val="00B4541D"/>
    <w:rsid w:val="00B46463"/>
    <w:rsid w:val="00B51097"/>
    <w:rsid w:val="00B510D1"/>
    <w:rsid w:val="00B5308F"/>
    <w:rsid w:val="00B54675"/>
    <w:rsid w:val="00B54FAF"/>
    <w:rsid w:val="00B5715C"/>
    <w:rsid w:val="00B600E3"/>
    <w:rsid w:val="00B61332"/>
    <w:rsid w:val="00B61857"/>
    <w:rsid w:val="00B61DA8"/>
    <w:rsid w:val="00B63C8A"/>
    <w:rsid w:val="00B64AD1"/>
    <w:rsid w:val="00B65B1D"/>
    <w:rsid w:val="00B664C0"/>
    <w:rsid w:val="00B668F9"/>
    <w:rsid w:val="00B67499"/>
    <w:rsid w:val="00B70912"/>
    <w:rsid w:val="00B70E6C"/>
    <w:rsid w:val="00B72B8D"/>
    <w:rsid w:val="00B739F7"/>
    <w:rsid w:val="00B74661"/>
    <w:rsid w:val="00B751AE"/>
    <w:rsid w:val="00B75381"/>
    <w:rsid w:val="00B760D3"/>
    <w:rsid w:val="00B80D47"/>
    <w:rsid w:val="00B811BE"/>
    <w:rsid w:val="00B81F44"/>
    <w:rsid w:val="00B842DE"/>
    <w:rsid w:val="00B85382"/>
    <w:rsid w:val="00B86361"/>
    <w:rsid w:val="00B86A2F"/>
    <w:rsid w:val="00B908B8"/>
    <w:rsid w:val="00B91913"/>
    <w:rsid w:val="00B92CB9"/>
    <w:rsid w:val="00B935B3"/>
    <w:rsid w:val="00B93F83"/>
    <w:rsid w:val="00B96578"/>
    <w:rsid w:val="00B96720"/>
    <w:rsid w:val="00B96ADB"/>
    <w:rsid w:val="00BA1F21"/>
    <w:rsid w:val="00BA210C"/>
    <w:rsid w:val="00BA3151"/>
    <w:rsid w:val="00BA3A2A"/>
    <w:rsid w:val="00BA4C23"/>
    <w:rsid w:val="00BA50FB"/>
    <w:rsid w:val="00BA5AC7"/>
    <w:rsid w:val="00BA60CF"/>
    <w:rsid w:val="00BA649C"/>
    <w:rsid w:val="00BA66FB"/>
    <w:rsid w:val="00BA6E63"/>
    <w:rsid w:val="00BA7D5A"/>
    <w:rsid w:val="00BB16DE"/>
    <w:rsid w:val="00BB1CD9"/>
    <w:rsid w:val="00BB1F87"/>
    <w:rsid w:val="00BB2C8D"/>
    <w:rsid w:val="00BB2DE0"/>
    <w:rsid w:val="00BB3083"/>
    <w:rsid w:val="00BB3624"/>
    <w:rsid w:val="00BB6547"/>
    <w:rsid w:val="00BB784E"/>
    <w:rsid w:val="00BB7896"/>
    <w:rsid w:val="00BC1E44"/>
    <w:rsid w:val="00BC2EB5"/>
    <w:rsid w:val="00BC3A34"/>
    <w:rsid w:val="00BC3CA1"/>
    <w:rsid w:val="00BC3F35"/>
    <w:rsid w:val="00BC5EA8"/>
    <w:rsid w:val="00BD0347"/>
    <w:rsid w:val="00BD1605"/>
    <w:rsid w:val="00BD222B"/>
    <w:rsid w:val="00BD258A"/>
    <w:rsid w:val="00BD3B24"/>
    <w:rsid w:val="00BD4F2C"/>
    <w:rsid w:val="00BD51BF"/>
    <w:rsid w:val="00BD579B"/>
    <w:rsid w:val="00BD5CB9"/>
    <w:rsid w:val="00BD61DB"/>
    <w:rsid w:val="00BE13C9"/>
    <w:rsid w:val="00BE1BEE"/>
    <w:rsid w:val="00BE530F"/>
    <w:rsid w:val="00BE56AF"/>
    <w:rsid w:val="00BE5B08"/>
    <w:rsid w:val="00BE7401"/>
    <w:rsid w:val="00BE7EEF"/>
    <w:rsid w:val="00BF0225"/>
    <w:rsid w:val="00BF0D2E"/>
    <w:rsid w:val="00BF22F9"/>
    <w:rsid w:val="00BF31C6"/>
    <w:rsid w:val="00BF394D"/>
    <w:rsid w:val="00BF3E4C"/>
    <w:rsid w:val="00BF3F53"/>
    <w:rsid w:val="00BF481E"/>
    <w:rsid w:val="00BF55C6"/>
    <w:rsid w:val="00BF7670"/>
    <w:rsid w:val="00BF7A03"/>
    <w:rsid w:val="00C00839"/>
    <w:rsid w:val="00C00EC1"/>
    <w:rsid w:val="00C00FCC"/>
    <w:rsid w:val="00C0258C"/>
    <w:rsid w:val="00C04535"/>
    <w:rsid w:val="00C04CE0"/>
    <w:rsid w:val="00C04DD5"/>
    <w:rsid w:val="00C05A52"/>
    <w:rsid w:val="00C06E5D"/>
    <w:rsid w:val="00C071E3"/>
    <w:rsid w:val="00C1104F"/>
    <w:rsid w:val="00C12D75"/>
    <w:rsid w:val="00C14080"/>
    <w:rsid w:val="00C141E7"/>
    <w:rsid w:val="00C144D5"/>
    <w:rsid w:val="00C1589F"/>
    <w:rsid w:val="00C1614C"/>
    <w:rsid w:val="00C1618D"/>
    <w:rsid w:val="00C17137"/>
    <w:rsid w:val="00C17AE6"/>
    <w:rsid w:val="00C17F96"/>
    <w:rsid w:val="00C203C1"/>
    <w:rsid w:val="00C210C0"/>
    <w:rsid w:val="00C2251D"/>
    <w:rsid w:val="00C24BFA"/>
    <w:rsid w:val="00C25172"/>
    <w:rsid w:val="00C261DC"/>
    <w:rsid w:val="00C26272"/>
    <w:rsid w:val="00C26A26"/>
    <w:rsid w:val="00C27DA9"/>
    <w:rsid w:val="00C31AA9"/>
    <w:rsid w:val="00C3247C"/>
    <w:rsid w:val="00C328DE"/>
    <w:rsid w:val="00C3375C"/>
    <w:rsid w:val="00C33783"/>
    <w:rsid w:val="00C33990"/>
    <w:rsid w:val="00C33D67"/>
    <w:rsid w:val="00C342A5"/>
    <w:rsid w:val="00C34FA7"/>
    <w:rsid w:val="00C36129"/>
    <w:rsid w:val="00C37111"/>
    <w:rsid w:val="00C40943"/>
    <w:rsid w:val="00C41AA3"/>
    <w:rsid w:val="00C41DE5"/>
    <w:rsid w:val="00C422F0"/>
    <w:rsid w:val="00C42E50"/>
    <w:rsid w:val="00C42E98"/>
    <w:rsid w:val="00C43317"/>
    <w:rsid w:val="00C43B24"/>
    <w:rsid w:val="00C43F09"/>
    <w:rsid w:val="00C44C40"/>
    <w:rsid w:val="00C450DE"/>
    <w:rsid w:val="00C455FE"/>
    <w:rsid w:val="00C4574C"/>
    <w:rsid w:val="00C45A3C"/>
    <w:rsid w:val="00C45AEA"/>
    <w:rsid w:val="00C46406"/>
    <w:rsid w:val="00C464CE"/>
    <w:rsid w:val="00C46B89"/>
    <w:rsid w:val="00C5068D"/>
    <w:rsid w:val="00C50C5F"/>
    <w:rsid w:val="00C522CB"/>
    <w:rsid w:val="00C52D50"/>
    <w:rsid w:val="00C532A8"/>
    <w:rsid w:val="00C53609"/>
    <w:rsid w:val="00C54354"/>
    <w:rsid w:val="00C54827"/>
    <w:rsid w:val="00C549F3"/>
    <w:rsid w:val="00C6096B"/>
    <w:rsid w:val="00C60AEE"/>
    <w:rsid w:val="00C60E54"/>
    <w:rsid w:val="00C6129B"/>
    <w:rsid w:val="00C6196A"/>
    <w:rsid w:val="00C61AC9"/>
    <w:rsid w:val="00C62684"/>
    <w:rsid w:val="00C62AF0"/>
    <w:rsid w:val="00C65853"/>
    <w:rsid w:val="00C65D35"/>
    <w:rsid w:val="00C660EC"/>
    <w:rsid w:val="00C66F90"/>
    <w:rsid w:val="00C6721D"/>
    <w:rsid w:val="00C67562"/>
    <w:rsid w:val="00C678B1"/>
    <w:rsid w:val="00C67912"/>
    <w:rsid w:val="00C7175A"/>
    <w:rsid w:val="00C719E1"/>
    <w:rsid w:val="00C72E05"/>
    <w:rsid w:val="00C754A4"/>
    <w:rsid w:val="00C7569C"/>
    <w:rsid w:val="00C75D9E"/>
    <w:rsid w:val="00C77FA9"/>
    <w:rsid w:val="00C80E58"/>
    <w:rsid w:val="00C81030"/>
    <w:rsid w:val="00C8193D"/>
    <w:rsid w:val="00C81B6A"/>
    <w:rsid w:val="00C8352F"/>
    <w:rsid w:val="00C86007"/>
    <w:rsid w:val="00C86C41"/>
    <w:rsid w:val="00C918C1"/>
    <w:rsid w:val="00C92025"/>
    <w:rsid w:val="00C920EE"/>
    <w:rsid w:val="00C927FA"/>
    <w:rsid w:val="00C939FF"/>
    <w:rsid w:val="00C95609"/>
    <w:rsid w:val="00C9606A"/>
    <w:rsid w:val="00C96DB6"/>
    <w:rsid w:val="00C97094"/>
    <w:rsid w:val="00C9711E"/>
    <w:rsid w:val="00C9744C"/>
    <w:rsid w:val="00CA2A85"/>
    <w:rsid w:val="00CA32FB"/>
    <w:rsid w:val="00CA45E6"/>
    <w:rsid w:val="00CA76CD"/>
    <w:rsid w:val="00CA7E2E"/>
    <w:rsid w:val="00CB110F"/>
    <w:rsid w:val="00CB1472"/>
    <w:rsid w:val="00CB1BC1"/>
    <w:rsid w:val="00CB2420"/>
    <w:rsid w:val="00CB2F97"/>
    <w:rsid w:val="00CB3756"/>
    <w:rsid w:val="00CB4457"/>
    <w:rsid w:val="00CB48CC"/>
    <w:rsid w:val="00CB7793"/>
    <w:rsid w:val="00CC02E4"/>
    <w:rsid w:val="00CC0F1A"/>
    <w:rsid w:val="00CC245F"/>
    <w:rsid w:val="00CC3734"/>
    <w:rsid w:val="00CC3803"/>
    <w:rsid w:val="00CC4041"/>
    <w:rsid w:val="00CC4AED"/>
    <w:rsid w:val="00CC4DF0"/>
    <w:rsid w:val="00CC563B"/>
    <w:rsid w:val="00CC615B"/>
    <w:rsid w:val="00CC63E8"/>
    <w:rsid w:val="00CD0176"/>
    <w:rsid w:val="00CD0E87"/>
    <w:rsid w:val="00CD117A"/>
    <w:rsid w:val="00CD2530"/>
    <w:rsid w:val="00CD33A4"/>
    <w:rsid w:val="00CD3A09"/>
    <w:rsid w:val="00CD5324"/>
    <w:rsid w:val="00CD58BC"/>
    <w:rsid w:val="00CD5C38"/>
    <w:rsid w:val="00CD7B02"/>
    <w:rsid w:val="00CE10CE"/>
    <w:rsid w:val="00CE2E66"/>
    <w:rsid w:val="00CE3464"/>
    <w:rsid w:val="00CE3CD8"/>
    <w:rsid w:val="00CE50EA"/>
    <w:rsid w:val="00CE5509"/>
    <w:rsid w:val="00CE5A67"/>
    <w:rsid w:val="00CE5DAA"/>
    <w:rsid w:val="00CE6D1E"/>
    <w:rsid w:val="00CE752B"/>
    <w:rsid w:val="00CF02C1"/>
    <w:rsid w:val="00CF1CAA"/>
    <w:rsid w:val="00CF359E"/>
    <w:rsid w:val="00CF4B1A"/>
    <w:rsid w:val="00CF5A94"/>
    <w:rsid w:val="00CF61E9"/>
    <w:rsid w:val="00CF6EF9"/>
    <w:rsid w:val="00CF74B3"/>
    <w:rsid w:val="00CF7DDD"/>
    <w:rsid w:val="00D00675"/>
    <w:rsid w:val="00D00BE9"/>
    <w:rsid w:val="00D0221E"/>
    <w:rsid w:val="00D02917"/>
    <w:rsid w:val="00D04095"/>
    <w:rsid w:val="00D04DCB"/>
    <w:rsid w:val="00D04ED6"/>
    <w:rsid w:val="00D05598"/>
    <w:rsid w:val="00D06D27"/>
    <w:rsid w:val="00D06E39"/>
    <w:rsid w:val="00D0744F"/>
    <w:rsid w:val="00D077CC"/>
    <w:rsid w:val="00D10BCF"/>
    <w:rsid w:val="00D11996"/>
    <w:rsid w:val="00D14D28"/>
    <w:rsid w:val="00D16A8B"/>
    <w:rsid w:val="00D16CBF"/>
    <w:rsid w:val="00D20022"/>
    <w:rsid w:val="00D21E3E"/>
    <w:rsid w:val="00D22020"/>
    <w:rsid w:val="00D221A2"/>
    <w:rsid w:val="00D22F7D"/>
    <w:rsid w:val="00D237FA"/>
    <w:rsid w:val="00D241C8"/>
    <w:rsid w:val="00D26E55"/>
    <w:rsid w:val="00D30477"/>
    <w:rsid w:val="00D30886"/>
    <w:rsid w:val="00D30B04"/>
    <w:rsid w:val="00D31B5C"/>
    <w:rsid w:val="00D31F75"/>
    <w:rsid w:val="00D32364"/>
    <w:rsid w:val="00D32536"/>
    <w:rsid w:val="00D32A06"/>
    <w:rsid w:val="00D3315E"/>
    <w:rsid w:val="00D334D9"/>
    <w:rsid w:val="00D33988"/>
    <w:rsid w:val="00D34031"/>
    <w:rsid w:val="00D34100"/>
    <w:rsid w:val="00D34E02"/>
    <w:rsid w:val="00D352EF"/>
    <w:rsid w:val="00D36FA3"/>
    <w:rsid w:val="00D37191"/>
    <w:rsid w:val="00D403F1"/>
    <w:rsid w:val="00D40F80"/>
    <w:rsid w:val="00D42A90"/>
    <w:rsid w:val="00D43C5F"/>
    <w:rsid w:val="00D459DA"/>
    <w:rsid w:val="00D468FF"/>
    <w:rsid w:val="00D51166"/>
    <w:rsid w:val="00D519A5"/>
    <w:rsid w:val="00D51F34"/>
    <w:rsid w:val="00D520D4"/>
    <w:rsid w:val="00D522F8"/>
    <w:rsid w:val="00D537BC"/>
    <w:rsid w:val="00D54585"/>
    <w:rsid w:val="00D549EC"/>
    <w:rsid w:val="00D54EA2"/>
    <w:rsid w:val="00D55590"/>
    <w:rsid w:val="00D5614D"/>
    <w:rsid w:val="00D565F1"/>
    <w:rsid w:val="00D6044E"/>
    <w:rsid w:val="00D60C91"/>
    <w:rsid w:val="00D60F32"/>
    <w:rsid w:val="00D624D9"/>
    <w:rsid w:val="00D62DA3"/>
    <w:rsid w:val="00D6731C"/>
    <w:rsid w:val="00D7398C"/>
    <w:rsid w:val="00D74D3B"/>
    <w:rsid w:val="00D76721"/>
    <w:rsid w:val="00D77DE8"/>
    <w:rsid w:val="00D77F24"/>
    <w:rsid w:val="00D80694"/>
    <w:rsid w:val="00D83D2C"/>
    <w:rsid w:val="00D84F50"/>
    <w:rsid w:val="00D87518"/>
    <w:rsid w:val="00D9039A"/>
    <w:rsid w:val="00D918F9"/>
    <w:rsid w:val="00D91BDE"/>
    <w:rsid w:val="00D9257E"/>
    <w:rsid w:val="00D94328"/>
    <w:rsid w:val="00D94597"/>
    <w:rsid w:val="00D9576B"/>
    <w:rsid w:val="00D95AA0"/>
    <w:rsid w:val="00D96661"/>
    <w:rsid w:val="00D96833"/>
    <w:rsid w:val="00D96EB7"/>
    <w:rsid w:val="00D978C7"/>
    <w:rsid w:val="00DA1706"/>
    <w:rsid w:val="00DA2ACB"/>
    <w:rsid w:val="00DA2FF4"/>
    <w:rsid w:val="00DA319B"/>
    <w:rsid w:val="00DA43FA"/>
    <w:rsid w:val="00DA46B4"/>
    <w:rsid w:val="00DA4B07"/>
    <w:rsid w:val="00DB044A"/>
    <w:rsid w:val="00DB2BA7"/>
    <w:rsid w:val="00DB2F28"/>
    <w:rsid w:val="00DB42C3"/>
    <w:rsid w:val="00DB5286"/>
    <w:rsid w:val="00DB61D6"/>
    <w:rsid w:val="00DB7F89"/>
    <w:rsid w:val="00DC2CF0"/>
    <w:rsid w:val="00DC3BF3"/>
    <w:rsid w:val="00DC44D4"/>
    <w:rsid w:val="00DC4BB6"/>
    <w:rsid w:val="00DC5C00"/>
    <w:rsid w:val="00DC5EFA"/>
    <w:rsid w:val="00DC71C6"/>
    <w:rsid w:val="00DC7A49"/>
    <w:rsid w:val="00DD2BA9"/>
    <w:rsid w:val="00DD41DE"/>
    <w:rsid w:val="00DD4732"/>
    <w:rsid w:val="00DD4D50"/>
    <w:rsid w:val="00DD57D6"/>
    <w:rsid w:val="00DD78C9"/>
    <w:rsid w:val="00DE0D94"/>
    <w:rsid w:val="00DE109C"/>
    <w:rsid w:val="00DE1AC0"/>
    <w:rsid w:val="00DE1C78"/>
    <w:rsid w:val="00DE2B26"/>
    <w:rsid w:val="00DE483E"/>
    <w:rsid w:val="00DE48A3"/>
    <w:rsid w:val="00DE4952"/>
    <w:rsid w:val="00DE53DC"/>
    <w:rsid w:val="00DE6CAD"/>
    <w:rsid w:val="00DE76B7"/>
    <w:rsid w:val="00DF02FB"/>
    <w:rsid w:val="00DF060D"/>
    <w:rsid w:val="00DF07A8"/>
    <w:rsid w:val="00DF0A7E"/>
    <w:rsid w:val="00DF0C15"/>
    <w:rsid w:val="00DF0FC7"/>
    <w:rsid w:val="00DF1B29"/>
    <w:rsid w:val="00DF1BBC"/>
    <w:rsid w:val="00DF2172"/>
    <w:rsid w:val="00DF2F70"/>
    <w:rsid w:val="00DF3120"/>
    <w:rsid w:val="00DF41A4"/>
    <w:rsid w:val="00DF5A70"/>
    <w:rsid w:val="00DF77F1"/>
    <w:rsid w:val="00E0052C"/>
    <w:rsid w:val="00E009AF"/>
    <w:rsid w:val="00E00D03"/>
    <w:rsid w:val="00E013B7"/>
    <w:rsid w:val="00E0166E"/>
    <w:rsid w:val="00E0229E"/>
    <w:rsid w:val="00E02AA8"/>
    <w:rsid w:val="00E02B38"/>
    <w:rsid w:val="00E038EE"/>
    <w:rsid w:val="00E0736C"/>
    <w:rsid w:val="00E07A44"/>
    <w:rsid w:val="00E10332"/>
    <w:rsid w:val="00E11943"/>
    <w:rsid w:val="00E1305B"/>
    <w:rsid w:val="00E131E2"/>
    <w:rsid w:val="00E13388"/>
    <w:rsid w:val="00E13763"/>
    <w:rsid w:val="00E15158"/>
    <w:rsid w:val="00E1567B"/>
    <w:rsid w:val="00E15696"/>
    <w:rsid w:val="00E15BF3"/>
    <w:rsid w:val="00E17F41"/>
    <w:rsid w:val="00E2007A"/>
    <w:rsid w:val="00E214C0"/>
    <w:rsid w:val="00E2293D"/>
    <w:rsid w:val="00E24581"/>
    <w:rsid w:val="00E24BF4"/>
    <w:rsid w:val="00E26E6A"/>
    <w:rsid w:val="00E27708"/>
    <w:rsid w:val="00E33B30"/>
    <w:rsid w:val="00E35BD7"/>
    <w:rsid w:val="00E35E8A"/>
    <w:rsid w:val="00E36438"/>
    <w:rsid w:val="00E36478"/>
    <w:rsid w:val="00E36709"/>
    <w:rsid w:val="00E4005B"/>
    <w:rsid w:val="00E40CA5"/>
    <w:rsid w:val="00E4115A"/>
    <w:rsid w:val="00E42159"/>
    <w:rsid w:val="00E42B47"/>
    <w:rsid w:val="00E43AF0"/>
    <w:rsid w:val="00E43C5D"/>
    <w:rsid w:val="00E46ADD"/>
    <w:rsid w:val="00E46D8C"/>
    <w:rsid w:val="00E47C9F"/>
    <w:rsid w:val="00E47D33"/>
    <w:rsid w:val="00E47DC6"/>
    <w:rsid w:val="00E51B86"/>
    <w:rsid w:val="00E523A8"/>
    <w:rsid w:val="00E53099"/>
    <w:rsid w:val="00E5341E"/>
    <w:rsid w:val="00E54369"/>
    <w:rsid w:val="00E5681E"/>
    <w:rsid w:val="00E56D48"/>
    <w:rsid w:val="00E603E7"/>
    <w:rsid w:val="00E61D08"/>
    <w:rsid w:val="00E61FFA"/>
    <w:rsid w:val="00E6231B"/>
    <w:rsid w:val="00E62A83"/>
    <w:rsid w:val="00E637A3"/>
    <w:rsid w:val="00E64846"/>
    <w:rsid w:val="00E6499E"/>
    <w:rsid w:val="00E65CD3"/>
    <w:rsid w:val="00E6629D"/>
    <w:rsid w:val="00E67ABB"/>
    <w:rsid w:val="00E704BF"/>
    <w:rsid w:val="00E7284E"/>
    <w:rsid w:val="00E740A6"/>
    <w:rsid w:val="00E741DC"/>
    <w:rsid w:val="00E77BF9"/>
    <w:rsid w:val="00E80E50"/>
    <w:rsid w:val="00E81E7B"/>
    <w:rsid w:val="00E82C5B"/>
    <w:rsid w:val="00E86474"/>
    <w:rsid w:val="00E87266"/>
    <w:rsid w:val="00E90563"/>
    <w:rsid w:val="00E906DC"/>
    <w:rsid w:val="00E90CB8"/>
    <w:rsid w:val="00E90E1F"/>
    <w:rsid w:val="00E90FE5"/>
    <w:rsid w:val="00E913EE"/>
    <w:rsid w:val="00E931AA"/>
    <w:rsid w:val="00E9368B"/>
    <w:rsid w:val="00E95669"/>
    <w:rsid w:val="00E95AB3"/>
    <w:rsid w:val="00EA0910"/>
    <w:rsid w:val="00EA0EB9"/>
    <w:rsid w:val="00EA11B4"/>
    <w:rsid w:val="00EA1491"/>
    <w:rsid w:val="00EA1641"/>
    <w:rsid w:val="00EA2CB9"/>
    <w:rsid w:val="00EA3C5A"/>
    <w:rsid w:val="00EA486D"/>
    <w:rsid w:val="00EA4FEF"/>
    <w:rsid w:val="00EA6503"/>
    <w:rsid w:val="00EA6EE9"/>
    <w:rsid w:val="00EA7042"/>
    <w:rsid w:val="00EA72AF"/>
    <w:rsid w:val="00EA7610"/>
    <w:rsid w:val="00EB1D14"/>
    <w:rsid w:val="00EB214E"/>
    <w:rsid w:val="00EB2C17"/>
    <w:rsid w:val="00EB49AA"/>
    <w:rsid w:val="00EB508B"/>
    <w:rsid w:val="00EB531C"/>
    <w:rsid w:val="00EB575E"/>
    <w:rsid w:val="00EB609C"/>
    <w:rsid w:val="00EB7FCC"/>
    <w:rsid w:val="00EC033B"/>
    <w:rsid w:val="00EC2CEB"/>
    <w:rsid w:val="00EC31E2"/>
    <w:rsid w:val="00EC3886"/>
    <w:rsid w:val="00EC3D17"/>
    <w:rsid w:val="00EC579A"/>
    <w:rsid w:val="00EC60F3"/>
    <w:rsid w:val="00EC630B"/>
    <w:rsid w:val="00EC665B"/>
    <w:rsid w:val="00EC668D"/>
    <w:rsid w:val="00EC6DD9"/>
    <w:rsid w:val="00ED0EDC"/>
    <w:rsid w:val="00ED1CF2"/>
    <w:rsid w:val="00ED24D8"/>
    <w:rsid w:val="00ED361D"/>
    <w:rsid w:val="00ED3781"/>
    <w:rsid w:val="00ED3F99"/>
    <w:rsid w:val="00ED62B3"/>
    <w:rsid w:val="00ED67BF"/>
    <w:rsid w:val="00ED7203"/>
    <w:rsid w:val="00ED7EF6"/>
    <w:rsid w:val="00EE06FE"/>
    <w:rsid w:val="00EE0792"/>
    <w:rsid w:val="00EE1255"/>
    <w:rsid w:val="00EE13DF"/>
    <w:rsid w:val="00EE1B72"/>
    <w:rsid w:val="00EE377D"/>
    <w:rsid w:val="00EE3E08"/>
    <w:rsid w:val="00EE4674"/>
    <w:rsid w:val="00EE7546"/>
    <w:rsid w:val="00EF0324"/>
    <w:rsid w:val="00EF128B"/>
    <w:rsid w:val="00EF13D2"/>
    <w:rsid w:val="00EF1E9B"/>
    <w:rsid w:val="00EF20FA"/>
    <w:rsid w:val="00EF2907"/>
    <w:rsid w:val="00EF2E43"/>
    <w:rsid w:val="00EF367B"/>
    <w:rsid w:val="00EF4A3A"/>
    <w:rsid w:val="00EF4CF8"/>
    <w:rsid w:val="00EF6226"/>
    <w:rsid w:val="00EF6C58"/>
    <w:rsid w:val="00F00210"/>
    <w:rsid w:val="00F0037B"/>
    <w:rsid w:val="00F003D5"/>
    <w:rsid w:val="00F00798"/>
    <w:rsid w:val="00F017B3"/>
    <w:rsid w:val="00F01E9D"/>
    <w:rsid w:val="00F02229"/>
    <w:rsid w:val="00F043D5"/>
    <w:rsid w:val="00F04D76"/>
    <w:rsid w:val="00F07F1D"/>
    <w:rsid w:val="00F119DF"/>
    <w:rsid w:val="00F11FEA"/>
    <w:rsid w:val="00F12718"/>
    <w:rsid w:val="00F12AB2"/>
    <w:rsid w:val="00F13B49"/>
    <w:rsid w:val="00F1587B"/>
    <w:rsid w:val="00F160CB"/>
    <w:rsid w:val="00F1674E"/>
    <w:rsid w:val="00F20608"/>
    <w:rsid w:val="00F21654"/>
    <w:rsid w:val="00F216B0"/>
    <w:rsid w:val="00F21AF3"/>
    <w:rsid w:val="00F239FB"/>
    <w:rsid w:val="00F253EB"/>
    <w:rsid w:val="00F2574C"/>
    <w:rsid w:val="00F259BD"/>
    <w:rsid w:val="00F25C3C"/>
    <w:rsid w:val="00F264C2"/>
    <w:rsid w:val="00F269F0"/>
    <w:rsid w:val="00F309F6"/>
    <w:rsid w:val="00F31AF4"/>
    <w:rsid w:val="00F32E56"/>
    <w:rsid w:val="00F35FB8"/>
    <w:rsid w:val="00F36279"/>
    <w:rsid w:val="00F36ACC"/>
    <w:rsid w:val="00F37960"/>
    <w:rsid w:val="00F41A2F"/>
    <w:rsid w:val="00F4216B"/>
    <w:rsid w:val="00F44181"/>
    <w:rsid w:val="00F45FAF"/>
    <w:rsid w:val="00F512BA"/>
    <w:rsid w:val="00F518E2"/>
    <w:rsid w:val="00F5294E"/>
    <w:rsid w:val="00F53887"/>
    <w:rsid w:val="00F543A3"/>
    <w:rsid w:val="00F548FB"/>
    <w:rsid w:val="00F558E5"/>
    <w:rsid w:val="00F56393"/>
    <w:rsid w:val="00F56532"/>
    <w:rsid w:val="00F5721B"/>
    <w:rsid w:val="00F60A98"/>
    <w:rsid w:val="00F621E6"/>
    <w:rsid w:val="00F62596"/>
    <w:rsid w:val="00F62DB3"/>
    <w:rsid w:val="00F63E2E"/>
    <w:rsid w:val="00F648CD"/>
    <w:rsid w:val="00F64A51"/>
    <w:rsid w:val="00F64C1A"/>
    <w:rsid w:val="00F65169"/>
    <w:rsid w:val="00F6698F"/>
    <w:rsid w:val="00F721A2"/>
    <w:rsid w:val="00F73BA0"/>
    <w:rsid w:val="00F75519"/>
    <w:rsid w:val="00F7611B"/>
    <w:rsid w:val="00F76490"/>
    <w:rsid w:val="00F77430"/>
    <w:rsid w:val="00F77440"/>
    <w:rsid w:val="00F7747D"/>
    <w:rsid w:val="00F8101B"/>
    <w:rsid w:val="00F81AC9"/>
    <w:rsid w:val="00F822B2"/>
    <w:rsid w:val="00F82FE9"/>
    <w:rsid w:val="00F83F12"/>
    <w:rsid w:val="00F85058"/>
    <w:rsid w:val="00F8599D"/>
    <w:rsid w:val="00F905BF"/>
    <w:rsid w:val="00F90F19"/>
    <w:rsid w:val="00F9147A"/>
    <w:rsid w:val="00F91F02"/>
    <w:rsid w:val="00F92D0F"/>
    <w:rsid w:val="00F936D8"/>
    <w:rsid w:val="00F94508"/>
    <w:rsid w:val="00F9609B"/>
    <w:rsid w:val="00F96D85"/>
    <w:rsid w:val="00F97FC8"/>
    <w:rsid w:val="00FA03AD"/>
    <w:rsid w:val="00FA059E"/>
    <w:rsid w:val="00FA127B"/>
    <w:rsid w:val="00FA2130"/>
    <w:rsid w:val="00FA4300"/>
    <w:rsid w:val="00FA438F"/>
    <w:rsid w:val="00FA4859"/>
    <w:rsid w:val="00FA603D"/>
    <w:rsid w:val="00FA7E2E"/>
    <w:rsid w:val="00FB156F"/>
    <w:rsid w:val="00FB5BA2"/>
    <w:rsid w:val="00FB6C65"/>
    <w:rsid w:val="00FB7783"/>
    <w:rsid w:val="00FB7C12"/>
    <w:rsid w:val="00FB7D46"/>
    <w:rsid w:val="00FC105E"/>
    <w:rsid w:val="00FC197C"/>
    <w:rsid w:val="00FC349F"/>
    <w:rsid w:val="00FC397F"/>
    <w:rsid w:val="00FC39A8"/>
    <w:rsid w:val="00FC4570"/>
    <w:rsid w:val="00FC4C57"/>
    <w:rsid w:val="00FC5762"/>
    <w:rsid w:val="00FC598E"/>
    <w:rsid w:val="00FC635A"/>
    <w:rsid w:val="00FD0748"/>
    <w:rsid w:val="00FD0814"/>
    <w:rsid w:val="00FD1A68"/>
    <w:rsid w:val="00FD271E"/>
    <w:rsid w:val="00FD2EAE"/>
    <w:rsid w:val="00FD3895"/>
    <w:rsid w:val="00FD3A63"/>
    <w:rsid w:val="00FD3B32"/>
    <w:rsid w:val="00FD4C05"/>
    <w:rsid w:val="00FD4EDA"/>
    <w:rsid w:val="00FD52AD"/>
    <w:rsid w:val="00FD7BC2"/>
    <w:rsid w:val="00FE0D81"/>
    <w:rsid w:val="00FE5693"/>
    <w:rsid w:val="00FE5CC1"/>
    <w:rsid w:val="00FE6A7E"/>
    <w:rsid w:val="00FE7422"/>
    <w:rsid w:val="00FE79A5"/>
    <w:rsid w:val="00FE7A67"/>
    <w:rsid w:val="00FF04F7"/>
    <w:rsid w:val="00FF08D5"/>
    <w:rsid w:val="00FF134A"/>
    <w:rsid w:val="00FF183E"/>
    <w:rsid w:val="00FF1C9F"/>
    <w:rsid w:val="00FF211B"/>
    <w:rsid w:val="00FF3448"/>
    <w:rsid w:val="00FF47FA"/>
    <w:rsid w:val="00FF5384"/>
    <w:rsid w:val="00FF555C"/>
    <w:rsid w:val="00FF5853"/>
    <w:rsid w:val="00FF65EE"/>
    <w:rsid w:val="00FF6EB5"/>
    <w:rsid w:val="00FF6F6E"/>
    <w:rsid w:val="00FF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65A"/>
    <w:rPr>
      <w:sz w:val="24"/>
      <w:szCs w:val="24"/>
      <w:lang w:eastAsia="en-US"/>
    </w:rPr>
  </w:style>
  <w:style w:type="paragraph" w:styleId="Heading1">
    <w:name w:val="heading 1"/>
    <w:basedOn w:val="Normal"/>
    <w:next w:val="Normal"/>
    <w:link w:val="Heading1Char"/>
    <w:qFormat/>
    <w:rsid w:val="00A3065A"/>
    <w:pPr>
      <w:keepNext/>
      <w:spacing w:after="120"/>
      <w:outlineLvl w:val="0"/>
    </w:pPr>
    <w:rPr>
      <w:rFonts w:ascii="Times New (W1)" w:hAnsi="Times New (W1)" w:cs="Arial"/>
      <w:b/>
      <w:bCs/>
      <w:caps/>
      <w:kern w:val="32"/>
      <w:sz w:val="28"/>
    </w:rPr>
  </w:style>
  <w:style w:type="paragraph" w:styleId="Heading2">
    <w:name w:val="heading 2"/>
    <w:basedOn w:val="Normal"/>
    <w:next w:val="Normal"/>
    <w:link w:val="Heading2Char"/>
    <w:semiHidden/>
    <w:unhideWhenUsed/>
    <w:qFormat/>
    <w:rsid w:val="00AF5227"/>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A3065A"/>
    <w:pPr>
      <w:keepNext/>
      <w:spacing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F15"/>
    <w:rPr>
      <w:color w:val="0000FF"/>
      <w:u w:val="single"/>
    </w:rPr>
  </w:style>
  <w:style w:type="numbering" w:customStyle="1" w:styleId="ListBullet1">
    <w:name w:val="List Bullet1"/>
    <w:basedOn w:val="NoList"/>
    <w:rsid w:val="00A3065A"/>
    <w:pPr>
      <w:numPr>
        <w:numId w:val="1"/>
      </w:numPr>
    </w:pPr>
  </w:style>
  <w:style w:type="paragraph" w:styleId="Footer">
    <w:name w:val="footer"/>
    <w:basedOn w:val="Normal"/>
    <w:link w:val="FooterChar"/>
    <w:uiPriority w:val="99"/>
    <w:rsid w:val="00A3065A"/>
    <w:pPr>
      <w:tabs>
        <w:tab w:val="center" w:pos="4153"/>
        <w:tab w:val="right" w:pos="8306"/>
      </w:tabs>
    </w:pPr>
    <w:rPr>
      <w:lang w:val="x-none"/>
    </w:rPr>
  </w:style>
  <w:style w:type="character" w:styleId="PageNumber">
    <w:name w:val="page number"/>
    <w:basedOn w:val="DefaultParagraphFont"/>
    <w:rsid w:val="00A3065A"/>
  </w:style>
  <w:style w:type="table" w:styleId="TableGrid">
    <w:name w:val="Table Grid"/>
    <w:basedOn w:val="TableNormal"/>
    <w:rsid w:val="00A30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07438"/>
    <w:rPr>
      <w:sz w:val="24"/>
      <w:szCs w:val="24"/>
      <w:lang w:eastAsia="en-US"/>
    </w:rPr>
  </w:style>
  <w:style w:type="paragraph" w:customStyle="1" w:styleId="HeaderTitle">
    <w:name w:val="Header Title"/>
    <w:basedOn w:val="Heading1"/>
    <w:rsid w:val="00A3065A"/>
    <w:pPr>
      <w:spacing w:after="0"/>
    </w:pPr>
    <w:rPr>
      <w:rFonts w:cs="Times New Roman"/>
      <w:szCs w:val="20"/>
    </w:rPr>
  </w:style>
  <w:style w:type="paragraph" w:styleId="Header">
    <w:name w:val="header"/>
    <w:basedOn w:val="Normal"/>
    <w:rsid w:val="00A3065A"/>
    <w:pPr>
      <w:tabs>
        <w:tab w:val="center" w:pos="4153"/>
        <w:tab w:val="right" w:pos="8306"/>
      </w:tabs>
    </w:pPr>
  </w:style>
  <w:style w:type="paragraph" w:styleId="BalloonText">
    <w:name w:val="Balloon Text"/>
    <w:basedOn w:val="Normal"/>
    <w:semiHidden/>
    <w:rsid w:val="009807C9"/>
    <w:rPr>
      <w:rFonts w:ascii="Tahoma" w:hAnsi="Tahoma" w:cs="Tahoma"/>
      <w:sz w:val="16"/>
      <w:szCs w:val="16"/>
    </w:rPr>
  </w:style>
  <w:style w:type="paragraph" w:styleId="ListParagraph">
    <w:name w:val="List Paragraph"/>
    <w:basedOn w:val="Normal"/>
    <w:uiPriority w:val="34"/>
    <w:qFormat/>
    <w:rsid w:val="00FC39A8"/>
    <w:pPr>
      <w:ind w:left="720"/>
    </w:pPr>
  </w:style>
  <w:style w:type="character" w:styleId="Emphasis">
    <w:name w:val="Emphasis"/>
    <w:uiPriority w:val="20"/>
    <w:qFormat/>
    <w:rsid w:val="00FC39A8"/>
    <w:rPr>
      <w:i/>
      <w:iCs/>
    </w:rPr>
  </w:style>
  <w:style w:type="paragraph" w:customStyle="1" w:styleId="Boardpaperheading1">
    <w:name w:val="Board paper heading 1"/>
    <w:basedOn w:val="Heading2"/>
    <w:autoRedefine/>
    <w:rsid w:val="00AF5227"/>
    <w:pPr>
      <w:tabs>
        <w:tab w:val="left" w:pos="1276"/>
      </w:tabs>
      <w:spacing w:before="0" w:after="0"/>
      <w:jc w:val="center"/>
    </w:pPr>
    <w:rPr>
      <w:rFonts w:ascii="Arial" w:hAnsi="Arial"/>
      <w:i w:val="0"/>
      <w:iCs w:val="0"/>
      <w:lang w:val="en-GB" w:eastAsia="en-AU"/>
    </w:rPr>
  </w:style>
  <w:style w:type="paragraph" w:styleId="NoSpacing">
    <w:name w:val="No Spacing"/>
    <w:basedOn w:val="Normal"/>
    <w:uiPriority w:val="1"/>
    <w:qFormat/>
    <w:rsid w:val="00AF5227"/>
    <w:rPr>
      <w:rFonts w:ascii="Calibri" w:eastAsia="Calibri" w:hAnsi="Calibri" w:cs="Calibri"/>
      <w:sz w:val="22"/>
      <w:szCs w:val="22"/>
    </w:rPr>
  </w:style>
  <w:style w:type="character" w:customStyle="1" w:styleId="highlight">
    <w:name w:val="highlight"/>
    <w:rsid w:val="00AF5227"/>
  </w:style>
  <w:style w:type="character" w:customStyle="1" w:styleId="Heading2Char">
    <w:name w:val="Heading 2 Char"/>
    <w:link w:val="Heading2"/>
    <w:semiHidden/>
    <w:rsid w:val="00AF5227"/>
    <w:rPr>
      <w:rFonts w:ascii="Cambria" w:eastAsia="Times New Roman" w:hAnsi="Cambria" w:cs="Times New Roman"/>
      <w:b/>
      <w:bCs/>
      <w:i/>
      <w:iCs/>
      <w:sz w:val="28"/>
      <w:szCs w:val="28"/>
      <w:lang w:eastAsia="en-US"/>
    </w:rPr>
  </w:style>
  <w:style w:type="character" w:customStyle="1" w:styleId="Heading1Char">
    <w:name w:val="Heading 1 Char"/>
    <w:link w:val="Heading1"/>
    <w:rsid w:val="000D3EBC"/>
    <w:rPr>
      <w:rFonts w:ascii="Times New (W1)" w:hAnsi="Times New (W1)" w:cs="Arial"/>
      <w:b/>
      <w:bCs/>
      <w:caps/>
      <w:kern w:val="32"/>
      <w:sz w:val="28"/>
      <w:szCs w:val="24"/>
      <w:lang w:eastAsia="en-US"/>
    </w:rPr>
  </w:style>
  <w:style w:type="character" w:styleId="CommentReference">
    <w:name w:val="annotation reference"/>
    <w:rsid w:val="007007B8"/>
    <w:rPr>
      <w:sz w:val="16"/>
      <w:szCs w:val="16"/>
    </w:rPr>
  </w:style>
  <w:style w:type="paragraph" w:styleId="CommentText">
    <w:name w:val="annotation text"/>
    <w:basedOn w:val="Normal"/>
    <w:link w:val="CommentTextChar"/>
    <w:rsid w:val="007007B8"/>
    <w:rPr>
      <w:sz w:val="20"/>
      <w:szCs w:val="20"/>
    </w:rPr>
  </w:style>
  <w:style w:type="character" w:customStyle="1" w:styleId="CommentTextChar">
    <w:name w:val="Comment Text Char"/>
    <w:link w:val="CommentText"/>
    <w:rsid w:val="007007B8"/>
    <w:rPr>
      <w:lang w:eastAsia="en-US"/>
    </w:rPr>
  </w:style>
  <w:style w:type="paragraph" w:styleId="CommentSubject">
    <w:name w:val="annotation subject"/>
    <w:basedOn w:val="CommentText"/>
    <w:next w:val="CommentText"/>
    <w:link w:val="CommentSubjectChar"/>
    <w:rsid w:val="007007B8"/>
    <w:rPr>
      <w:b/>
      <w:bCs/>
    </w:rPr>
  </w:style>
  <w:style w:type="character" w:customStyle="1" w:styleId="CommentSubjectChar">
    <w:name w:val="Comment Subject Char"/>
    <w:link w:val="CommentSubject"/>
    <w:rsid w:val="007007B8"/>
    <w:rPr>
      <w:b/>
      <w:bCs/>
      <w:lang w:eastAsia="en-US"/>
    </w:rPr>
  </w:style>
  <w:style w:type="paragraph" w:styleId="FootnoteText">
    <w:name w:val="footnote text"/>
    <w:basedOn w:val="Normal"/>
    <w:link w:val="FootnoteTextChar"/>
    <w:rsid w:val="004024E9"/>
    <w:rPr>
      <w:sz w:val="20"/>
      <w:szCs w:val="20"/>
    </w:rPr>
  </w:style>
  <w:style w:type="character" w:customStyle="1" w:styleId="FootnoteTextChar">
    <w:name w:val="Footnote Text Char"/>
    <w:link w:val="FootnoteText"/>
    <w:rsid w:val="004024E9"/>
    <w:rPr>
      <w:lang w:eastAsia="en-US"/>
    </w:rPr>
  </w:style>
  <w:style w:type="character" w:styleId="FootnoteReference">
    <w:name w:val="footnote reference"/>
    <w:rsid w:val="004024E9"/>
    <w:rPr>
      <w:vertAlign w:val="superscript"/>
    </w:rPr>
  </w:style>
  <w:style w:type="paragraph" w:customStyle="1" w:styleId="Default">
    <w:name w:val="Default"/>
    <w:rsid w:val="00541B4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91731"/>
    <w:pPr>
      <w:spacing w:before="100" w:beforeAutospacing="1" w:after="100" w:afterAutospacing="1"/>
    </w:pPr>
    <w:rPr>
      <w:lang w:eastAsia="en-AU"/>
    </w:rPr>
  </w:style>
  <w:style w:type="character" w:customStyle="1" w:styleId="usercontent">
    <w:name w:val="usercontent"/>
    <w:rsid w:val="008E3665"/>
  </w:style>
  <w:style w:type="character" w:customStyle="1" w:styleId="completetext">
    <w:name w:val="complete_text"/>
    <w:rsid w:val="00690F94"/>
  </w:style>
  <w:style w:type="table" w:customStyle="1" w:styleId="TableGrid1">
    <w:name w:val="Table Grid1"/>
    <w:basedOn w:val="TableNormal"/>
    <w:next w:val="TableGrid"/>
    <w:uiPriority w:val="59"/>
    <w:rsid w:val="00C927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RTtext">
    <w:name w:val="ERT text"/>
    <w:basedOn w:val="NoSpacing"/>
    <w:qFormat/>
    <w:rsid w:val="00D02917"/>
    <w:pPr>
      <w:spacing w:before="120" w:after="120"/>
    </w:pPr>
    <w:rPr>
      <w:rFonts w:ascii="Century Gothic" w:hAnsi="Century Gothic" w:cstheme="minorHAnsi"/>
      <w:sz w:val="20"/>
      <w:szCs w:val="20"/>
      <w:lang w:val="en-US"/>
    </w:rPr>
  </w:style>
  <w:style w:type="paragraph" w:customStyle="1" w:styleId="ERTHeading1">
    <w:name w:val="ERT Heading 1"/>
    <w:basedOn w:val="NoSpacing"/>
    <w:qFormat/>
    <w:rsid w:val="00D02917"/>
    <w:pPr>
      <w:numPr>
        <w:numId w:val="23"/>
      </w:numPr>
      <w:spacing w:after="240"/>
    </w:pPr>
    <w:rPr>
      <w:rFonts w:ascii="Century Gothic" w:hAnsi="Century Gothic" w:cstheme="minorHAnsi"/>
      <w:b/>
      <w:szCs w:val="20"/>
      <w:lang w:val="en-US"/>
    </w:rPr>
  </w:style>
  <w:style w:type="character" w:styleId="Strong">
    <w:name w:val="Strong"/>
    <w:basedOn w:val="DefaultParagraphFont"/>
    <w:uiPriority w:val="22"/>
    <w:qFormat/>
    <w:rsid w:val="00BF22F9"/>
    <w:rPr>
      <w:b/>
      <w:bCs/>
    </w:rPr>
  </w:style>
  <w:style w:type="character" w:styleId="FollowedHyperlink">
    <w:name w:val="FollowedHyperlink"/>
    <w:basedOn w:val="DefaultParagraphFont"/>
    <w:rsid w:val="00802286"/>
    <w:rPr>
      <w:color w:val="800080" w:themeColor="followedHyperlink"/>
      <w:u w:val="single"/>
    </w:rPr>
  </w:style>
  <w:style w:type="paragraph" w:styleId="Revision">
    <w:name w:val="Revision"/>
    <w:hidden/>
    <w:uiPriority w:val="99"/>
    <w:semiHidden/>
    <w:rsid w:val="005835E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65A"/>
    <w:rPr>
      <w:sz w:val="24"/>
      <w:szCs w:val="24"/>
      <w:lang w:eastAsia="en-US"/>
    </w:rPr>
  </w:style>
  <w:style w:type="paragraph" w:styleId="Heading1">
    <w:name w:val="heading 1"/>
    <w:basedOn w:val="Normal"/>
    <w:next w:val="Normal"/>
    <w:link w:val="Heading1Char"/>
    <w:qFormat/>
    <w:rsid w:val="00A3065A"/>
    <w:pPr>
      <w:keepNext/>
      <w:spacing w:after="120"/>
      <w:outlineLvl w:val="0"/>
    </w:pPr>
    <w:rPr>
      <w:rFonts w:ascii="Times New (W1)" w:hAnsi="Times New (W1)" w:cs="Arial"/>
      <w:b/>
      <w:bCs/>
      <w:caps/>
      <w:kern w:val="32"/>
      <w:sz w:val="28"/>
    </w:rPr>
  </w:style>
  <w:style w:type="paragraph" w:styleId="Heading2">
    <w:name w:val="heading 2"/>
    <w:basedOn w:val="Normal"/>
    <w:next w:val="Normal"/>
    <w:link w:val="Heading2Char"/>
    <w:semiHidden/>
    <w:unhideWhenUsed/>
    <w:qFormat/>
    <w:rsid w:val="00AF5227"/>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A3065A"/>
    <w:pPr>
      <w:keepNext/>
      <w:spacing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F15"/>
    <w:rPr>
      <w:color w:val="0000FF"/>
      <w:u w:val="single"/>
    </w:rPr>
  </w:style>
  <w:style w:type="numbering" w:customStyle="1" w:styleId="ListBullet1">
    <w:name w:val="List Bullet1"/>
    <w:basedOn w:val="NoList"/>
    <w:rsid w:val="00A3065A"/>
    <w:pPr>
      <w:numPr>
        <w:numId w:val="1"/>
      </w:numPr>
    </w:pPr>
  </w:style>
  <w:style w:type="paragraph" w:styleId="Footer">
    <w:name w:val="footer"/>
    <w:basedOn w:val="Normal"/>
    <w:link w:val="FooterChar"/>
    <w:uiPriority w:val="99"/>
    <w:rsid w:val="00A3065A"/>
    <w:pPr>
      <w:tabs>
        <w:tab w:val="center" w:pos="4153"/>
        <w:tab w:val="right" w:pos="8306"/>
      </w:tabs>
    </w:pPr>
    <w:rPr>
      <w:lang w:val="x-none"/>
    </w:rPr>
  </w:style>
  <w:style w:type="character" w:styleId="PageNumber">
    <w:name w:val="page number"/>
    <w:basedOn w:val="DefaultParagraphFont"/>
    <w:rsid w:val="00A3065A"/>
  </w:style>
  <w:style w:type="table" w:styleId="TableGrid">
    <w:name w:val="Table Grid"/>
    <w:basedOn w:val="TableNormal"/>
    <w:rsid w:val="00A30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07438"/>
    <w:rPr>
      <w:sz w:val="24"/>
      <w:szCs w:val="24"/>
      <w:lang w:eastAsia="en-US"/>
    </w:rPr>
  </w:style>
  <w:style w:type="paragraph" w:customStyle="1" w:styleId="HeaderTitle">
    <w:name w:val="Header Title"/>
    <w:basedOn w:val="Heading1"/>
    <w:rsid w:val="00A3065A"/>
    <w:pPr>
      <w:spacing w:after="0"/>
    </w:pPr>
    <w:rPr>
      <w:rFonts w:cs="Times New Roman"/>
      <w:szCs w:val="20"/>
    </w:rPr>
  </w:style>
  <w:style w:type="paragraph" w:styleId="Header">
    <w:name w:val="header"/>
    <w:basedOn w:val="Normal"/>
    <w:rsid w:val="00A3065A"/>
    <w:pPr>
      <w:tabs>
        <w:tab w:val="center" w:pos="4153"/>
        <w:tab w:val="right" w:pos="8306"/>
      </w:tabs>
    </w:pPr>
  </w:style>
  <w:style w:type="paragraph" w:styleId="BalloonText">
    <w:name w:val="Balloon Text"/>
    <w:basedOn w:val="Normal"/>
    <w:semiHidden/>
    <w:rsid w:val="009807C9"/>
    <w:rPr>
      <w:rFonts w:ascii="Tahoma" w:hAnsi="Tahoma" w:cs="Tahoma"/>
      <w:sz w:val="16"/>
      <w:szCs w:val="16"/>
    </w:rPr>
  </w:style>
  <w:style w:type="paragraph" w:styleId="ListParagraph">
    <w:name w:val="List Paragraph"/>
    <w:basedOn w:val="Normal"/>
    <w:uiPriority w:val="34"/>
    <w:qFormat/>
    <w:rsid w:val="00FC39A8"/>
    <w:pPr>
      <w:ind w:left="720"/>
    </w:pPr>
  </w:style>
  <w:style w:type="character" w:styleId="Emphasis">
    <w:name w:val="Emphasis"/>
    <w:uiPriority w:val="20"/>
    <w:qFormat/>
    <w:rsid w:val="00FC39A8"/>
    <w:rPr>
      <w:i/>
      <w:iCs/>
    </w:rPr>
  </w:style>
  <w:style w:type="paragraph" w:customStyle="1" w:styleId="Boardpaperheading1">
    <w:name w:val="Board paper heading 1"/>
    <w:basedOn w:val="Heading2"/>
    <w:autoRedefine/>
    <w:rsid w:val="00AF5227"/>
    <w:pPr>
      <w:tabs>
        <w:tab w:val="left" w:pos="1276"/>
      </w:tabs>
      <w:spacing w:before="0" w:after="0"/>
      <w:jc w:val="center"/>
    </w:pPr>
    <w:rPr>
      <w:rFonts w:ascii="Arial" w:hAnsi="Arial"/>
      <w:i w:val="0"/>
      <w:iCs w:val="0"/>
      <w:lang w:val="en-GB" w:eastAsia="en-AU"/>
    </w:rPr>
  </w:style>
  <w:style w:type="paragraph" w:styleId="NoSpacing">
    <w:name w:val="No Spacing"/>
    <w:basedOn w:val="Normal"/>
    <w:uiPriority w:val="1"/>
    <w:qFormat/>
    <w:rsid w:val="00AF5227"/>
    <w:rPr>
      <w:rFonts w:ascii="Calibri" w:eastAsia="Calibri" w:hAnsi="Calibri" w:cs="Calibri"/>
      <w:sz w:val="22"/>
      <w:szCs w:val="22"/>
    </w:rPr>
  </w:style>
  <w:style w:type="character" w:customStyle="1" w:styleId="highlight">
    <w:name w:val="highlight"/>
    <w:rsid w:val="00AF5227"/>
  </w:style>
  <w:style w:type="character" w:customStyle="1" w:styleId="Heading2Char">
    <w:name w:val="Heading 2 Char"/>
    <w:link w:val="Heading2"/>
    <w:semiHidden/>
    <w:rsid w:val="00AF5227"/>
    <w:rPr>
      <w:rFonts w:ascii="Cambria" w:eastAsia="Times New Roman" w:hAnsi="Cambria" w:cs="Times New Roman"/>
      <w:b/>
      <w:bCs/>
      <w:i/>
      <w:iCs/>
      <w:sz w:val="28"/>
      <w:szCs w:val="28"/>
      <w:lang w:eastAsia="en-US"/>
    </w:rPr>
  </w:style>
  <w:style w:type="character" w:customStyle="1" w:styleId="Heading1Char">
    <w:name w:val="Heading 1 Char"/>
    <w:link w:val="Heading1"/>
    <w:rsid w:val="000D3EBC"/>
    <w:rPr>
      <w:rFonts w:ascii="Times New (W1)" w:hAnsi="Times New (W1)" w:cs="Arial"/>
      <w:b/>
      <w:bCs/>
      <w:caps/>
      <w:kern w:val="32"/>
      <w:sz w:val="28"/>
      <w:szCs w:val="24"/>
      <w:lang w:eastAsia="en-US"/>
    </w:rPr>
  </w:style>
  <w:style w:type="character" w:styleId="CommentReference">
    <w:name w:val="annotation reference"/>
    <w:rsid w:val="007007B8"/>
    <w:rPr>
      <w:sz w:val="16"/>
      <w:szCs w:val="16"/>
    </w:rPr>
  </w:style>
  <w:style w:type="paragraph" w:styleId="CommentText">
    <w:name w:val="annotation text"/>
    <w:basedOn w:val="Normal"/>
    <w:link w:val="CommentTextChar"/>
    <w:rsid w:val="007007B8"/>
    <w:rPr>
      <w:sz w:val="20"/>
      <w:szCs w:val="20"/>
    </w:rPr>
  </w:style>
  <w:style w:type="character" w:customStyle="1" w:styleId="CommentTextChar">
    <w:name w:val="Comment Text Char"/>
    <w:link w:val="CommentText"/>
    <w:rsid w:val="007007B8"/>
    <w:rPr>
      <w:lang w:eastAsia="en-US"/>
    </w:rPr>
  </w:style>
  <w:style w:type="paragraph" w:styleId="CommentSubject">
    <w:name w:val="annotation subject"/>
    <w:basedOn w:val="CommentText"/>
    <w:next w:val="CommentText"/>
    <w:link w:val="CommentSubjectChar"/>
    <w:rsid w:val="007007B8"/>
    <w:rPr>
      <w:b/>
      <w:bCs/>
    </w:rPr>
  </w:style>
  <w:style w:type="character" w:customStyle="1" w:styleId="CommentSubjectChar">
    <w:name w:val="Comment Subject Char"/>
    <w:link w:val="CommentSubject"/>
    <w:rsid w:val="007007B8"/>
    <w:rPr>
      <w:b/>
      <w:bCs/>
      <w:lang w:eastAsia="en-US"/>
    </w:rPr>
  </w:style>
  <w:style w:type="paragraph" w:styleId="FootnoteText">
    <w:name w:val="footnote text"/>
    <w:basedOn w:val="Normal"/>
    <w:link w:val="FootnoteTextChar"/>
    <w:rsid w:val="004024E9"/>
    <w:rPr>
      <w:sz w:val="20"/>
      <w:szCs w:val="20"/>
    </w:rPr>
  </w:style>
  <w:style w:type="character" w:customStyle="1" w:styleId="FootnoteTextChar">
    <w:name w:val="Footnote Text Char"/>
    <w:link w:val="FootnoteText"/>
    <w:rsid w:val="004024E9"/>
    <w:rPr>
      <w:lang w:eastAsia="en-US"/>
    </w:rPr>
  </w:style>
  <w:style w:type="character" w:styleId="FootnoteReference">
    <w:name w:val="footnote reference"/>
    <w:rsid w:val="004024E9"/>
    <w:rPr>
      <w:vertAlign w:val="superscript"/>
    </w:rPr>
  </w:style>
  <w:style w:type="paragraph" w:customStyle="1" w:styleId="Default">
    <w:name w:val="Default"/>
    <w:rsid w:val="00541B4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91731"/>
    <w:pPr>
      <w:spacing w:before="100" w:beforeAutospacing="1" w:after="100" w:afterAutospacing="1"/>
    </w:pPr>
    <w:rPr>
      <w:lang w:eastAsia="en-AU"/>
    </w:rPr>
  </w:style>
  <w:style w:type="character" w:customStyle="1" w:styleId="usercontent">
    <w:name w:val="usercontent"/>
    <w:rsid w:val="008E3665"/>
  </w:style>
  <w:style w:type="character" w:customStyle="1" w:styleId="completetext">
    <w:name w:val="complete_text"/>
    <w:rsid w:val="00690F94"/>
  </w:style>
  <w:style w:type="table" w:customStyle="1" w:styleId="TableGrid1">
    <w:name w:val="Table Grid1"/>
    <w:basedOn w:val="TableNormal"/>
    <w:next w:val="TableGrid"/>
    <w:uiPriority w:val="59"/>
    <w:rsid w:val="00C927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RTtext">
    <w:name w:val="ERT text"/>
    <w:basedOn w:val="NoSpacing"/>
    <w:qFormat/>
    <w:rsid w:val="00D02917"/>
    <w:pPr>
      <w:spacing w:before="120" w:after="120"/>
    </w:pPr>
    <w:rPr>
      <w:rFonts w:ascii="Century Gothic" w:hAnsi="Century Gothic" w:cstheme="minorHAnsi"/>
      <w:sz w:val="20"/>
      <w:szCs w:val="20"/>
      <w:lang w:val="en-US"/>
    </w:rPr>
  </w:style>
  <w:style w:type="paragraph" w:customStyle="1" w:styleId="ERTHeading1">
    <w:name w:val="ERT Heading 1"/>
    <w:basedOn w:val="NoSpacing"/>
    <w:qFormat/>
    <w:rsid w:val="00D02917"/>
    <w:pPr>
      <w:numPr>
        <w:numId w:val="23"/>
      </w:numPr>
      <w:spacing w:after="240"/>
    </w:pPr>
    <w:rPr>
      <w:rFonts w:ascii="Century Gothic" w:hAnsi="Century Gothic" w:cstheme="minorHAnsi"/>
      <w:b/>
      <w:szCs w:val="20"/>
      <w:lang w:val="en-US"/>
    </w:rPr>
  </w:style>
  <w:style w:type="character" w:styleId="Strong">
    <w:name w:val="Strong"/>
    <w:basedOn w:val="DefaultParagraphFont"/>
    <w:uiPriority w:val="22"/>
    <w:qFormat/>
    <w:rsid w:val="00BF22F9"/>
    <w:rPr>
      <w:b/>
      <w:bCs/>
    </w:rPr>
  </w:style>
  <w:style w:type="character" w:styleId="FollowedHyperlink">
    <w:name w:val="FollowedHyperlink"/>
    <w:basedOn w:val="DefaultParagraphFont"/>
    <w:rsid w:val="00802286"/>
    <w:rPr>
      <w:color w:val="800080" w:themeColor="followedHyperlink"/>
      <w:u w:val="single"/>
    </w:rPr>
  </w:style>
  <w:style w:type="paragraph" w:styleId="Revision">
    <w:name w:val="Revision"/>
    <w:hidden/>
    <w:uiPriority w:val="99"/>
    <w:semiHidden/>
    <w:rsid w:val="005835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2810">
      <w:bodyDiv w:val="1"/>
      <w:marLeft w:val="0"/>
      <w:marRight w:val="0"/>
      <w:marTop w:val="0"/>
      <w:marBottom w:val="0"/>
      <w:divBdr>
        <w:top w:val="none" w:sz="0" w:space="0" w:color="auto"/>
        <w:left w:val="none" w:sz="0" w:space="0" w:color="auto"/>
        <w:bottom w:val="none" w:sz="0" w:space="0" w:color="auto"/>
        <w:right w:val="none" w:sz="0" w:space="0" w:color="auto"/>
      </w:divBdr>
    </w:div>
    <w:div w:id="307561715">
      <w:bodyDiv w:val="1"/>
      <w:marLeft w:val="0"/>
      <w:marRight w:val="0"/>
      <w:marTop w:val="0"/>
      <w:marBottom w:val="0"/>
      <w:divBdr>
        <w:top w:val="none" w:sz="0" w:space="0" w:color="auto"/>
        <w:left w:val="none" w:sz="0" w:space="0" w:color="auto"/>
        <w:bottom w:val="none" w:sz="0" w:space="0" w:color="auto"/>
        <w:right w:val="none" w:sz="0" w:space="0" w:color="auto"/>
      </w:divBdr>
    </w:div>
    <w:div w:id="361244971">
      <w:bodyDiv w:val="1"/>
      <w:marLeft w:val="0"/>
      <w:marRight w:val="0"/>
      <w:marTop w:val="0"/>
      <w:marBottom w:val="0"/>
      <w:divBdr>
        <w:top w:val="none" w:sz="0" w:space="0" w:color="auto"/>
        <w:left w:val="none" w:sz="0" w:space="0" w:color="auto"/>
        <w:bottom w:val="none" w:sz="0" w:space="0" w:color="auto"/>
        <w:right w:val="none" w:sz="0" w:space="0" w:color="auto"/>
      </w:divBdr>
      <w:divsChild>
        <w:div w:id="1644265191">
          <w:marLeft w:val="0"/>
          <w:marRight w:val="0"/>
          <w:marTop w:val="0"/>
          <w:marBottom w:val="0"/>
          <w:divBdr>
            <w:top w:val="none" w:sz="0" w:space="0" w:color="auto"/>
            <w:left w:val="none" w:sz="0" w:space="0" w:color="auto"/>
            <w:bottom w:val="none" w:sz="0" w:space="0" w:color="auto"/>
            <w:right w:val="none" w:sz="0" w:space="0" w:color="auto"/>
          </w:divBdr>
          <w:divsChild>
            <w:div w:id="853812155">
              <w:marLeft w:val="300"/>
              <w:marRight w:val="0"/>
              <w:marTop w:val="0"/>
              <w:marBottom w:val="0"/>
              <w:divBdr>
                <w:top w:val="none" w:sz="0" w:space="0" w:color="auto"/>
                <w:left w:val="none" w:sz="0" w:space="0" w:color="auto"/>
                <w:bottom w:val="none" w:sz="0" w:space="0" w:color="auto"/>
                <w:right w:val="none" w:sz="0" w:space="0" w:color="auto"/>
              </w:divBdr>
              <w:divsChild>
                <w:div w:id="1799565817">
                  <w:marLeft w:val="0"/>
                  <w:marRight w:val="0"/>
                  <w:marTop w:val="120"/>
                  <w:marBottom w:val="300"/>
                  <w:divBdr>
                    <w:top w:val="none" w:sz="0" w:space="0" w:color="auto"/>
                    <w:left w:val="none" w:sz="0" w:space="0" w:color="auto"/>
                    <w:bottom w:val="none" w:sz="0" w:space="0" w:color="auto"/>
                    <w:right w:val="none" w:sz="0" w:space="0" w:color="auto"/>
                  </w:divBdr>
                  <w:divsChild>
                    <w:div w:id="1016274986">
                      <w:marLeft w:val="0"/>
                      <w:marRight w:val="0"/>
                      <w:marTop w:val="0"/>
                      <w:marBottom w:val="375"/>
                      <w:divBdr>
                        <w:top w:val="none" w:sz="0" w:space="0" w:color="auto"/>
                        <w:left w:val="none" w:sz="0" w:space="0" w:color="auto"/>
                        <w:bottom w:val="none" w:sz="0" w:space="0" w:color="auto"/>
                        <w:right w:val="none" w:sz="0" w:space="0" w:color="auto"/>
                      </w:divBdr>
                      <w:divsChild>
                        <w:div w:id="6684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7161">
      <w:bodyDiv w:val="1"/>
      <w:marLeft w:val="0"/>
      <w:marRight w:val="0"/>
      <w:marTop w:val="0"/>
      <w:marBottom w:val="0"/>
      <w:divBdr>
        <w:top w:val="none" w:sz="0" w:space="0" w:color="auto"/>
        <w:left w:val="none" w:sz="0" w:space="0" w:color="auto"/>
        <w:bottom w:val="none" w:sz="0" w:space="0" w:color="auto"/>
        <w:right w:val="none" w:sz="0" w:space="0" w:color="auto"/>
      </w:divBdr>
    </w:div>
    <w:div w:id="9287350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12870882">
          <w:marLeft w:val="2550"/>
          <w:marRight w:val="0"/>
          <w:marTop w:val="0"/>
          <w:marBottom w:val="300"/>
          <w:divBdr>
            <w:top w:val="none" w:sz="0" w:space="0" w:color="auto"/>
            <w:left w:val="single" w:sz="6" w:space="15" w:color="AABBCC"/>
            <w:bottom w:val="none" w:sz="0" w:space="0" w:color="auto"/>
            <w:right w:val="none" w:sz="0" w:space="0" w:color="auto"/>
          </w:divBdr>
        </w:div>
      </w:divsChild>
    </w:div>
    <w:div w:id="961502536">
      <w:bodyDiv w:val="1"/>
      <w:marLeft w:val="0"/>
      <w:marRight w:val="0"/>
      <w:marTop w:val="0"/>
      <w:marBottom w:val="0"/>
      <w:divBdr>
        <w:top w:val="none" w:sz="0" w:space="0" w:color="auto"/>
        <w:left w:val="none" w:sz="0" w:space="0" w:color="auto"/>
        <w:bottom w:val="none" w:sz="0" w:space="0" w:color="auto"/>
        <w:right w:val="none" w:sz="0" w:space="0" w:color="auto"/>
      </w:divBdr>
    </w:div>
    <w:div w:id="1196768222">
      <w:bodyDiv w:val="1"/>
      <w:marLeft w:val="0"/>
      <w:marRight w:val="0"/>
      <w:marTop w:val="0"/>
      <w:marBottom w:val="0"/>
      <w:divBdr>
        <w:top w:val="none" w:sz="0" w:space="0" w:color="auto"/>
        <w:left w:val="none" w:sz="0" w:space="0" w:color="auto"/>
        <w:bottom w:val="none" w:sz="0" w:space="0" w:color="auto"/>
        <w:right w:val="none" w:sz="0" w:space="0" w:color="auto"/>
      </w:divBdr>
    </w:div>
    <w:div w:id="1268125782">
      <w:bodyDiv w:val="1"/>
      <w:marLeft w:val="0"/>
      <w:marRight w:val="0"/>
      <w:marTop w:val="0"/>
      <w:marBottom w:val="0"/>
      <w:divBdr>
        <w:top w:val="none" w:sz="0" w:space="0" w:color="auto"/>
        <w:left w:val="none" w:sz="0" w:space="0" w:color="auto"/>
        <w:bottom w:val="none" w:sz="0" w:space="0" w:color="auto"/>
        <w:right w:val="none" w:sz="0" w:space="0" w:color="auto"/>
      </w:divBdr>
    </w:div>
    <w:div w:id="1432973772">
      <w:bodyDiv w:val="1"/>
      <w:marLeft w:val="0"/>
      <w:marRight w:val="0"/>
      <w:marTop w:val="0"/>
      <w:marBottom w:val="0"/>
      <w:divBdr>
        <w:top w:val="none" w:sz="0" w:space="0" w:color="auto"/>
        <w:left w:val="none" w:sz="0" w:space="0" w:color="auto"/>
        <w:bottom w:val="none" w:sz="0" w:space="0" w:color="auto"/>
        <w:right w:val="none" w:sz="0" w:space="0" w:color="auto"/>
      </w:divBdr>
      <w:divsChild>
        <w:div w:id="1471705355">
          <w:marLeft w:val="0"/>
          <w:marRight w:val="0"/>
          <w:marTop w:val="0"/>
          <w:marBottom w:val="0"/>
          <w:divBdr>
            <w:top w:val="none" w:sz="0" w:space="0" w:color="auto"/>
            <w:left w:val="none" w:sz="0" w:space="0" w:color="auto"/>
            <w:bottom w:val="none" w:sz="0" w:space="0" w:color="auto"/>
            <w:right w:val="none" w:sz="0" w:space="0" w:color="auto"/>
          </w:divBdr>
          <w:divsChild>
            <w:div w:id="765272205">
              <w:marLeft w:val="0"/>
              <w:marRight w:val="0"/>
              <w:marTop w:val="0"/>
              <w:marBottom w:val="0"/>
              <w:divBdr>
                <w:top w:val="none" w:sz="0" w:space="0" w:color="auto"/>
                <w:left w:val="none" w:sz="0" w:space="0" w:color="auto"/>
                <w:bottom w:val="none" w:sz="0" w:space="0" w:color="auto"/>
                <w:right w:val="none" w:sz="0" w:space="0" w:color="auto"/>
              </w:divBdr>
              <w:divsChild>
                <w:div w:id="1334457646">
                  <w:marLeft w:val="0"/>
                  <w:marRight w:val="0"/>
                  <w:marTop w:val="0"/>
                  <w:marBottom w:val="0"/>
                  <w:divBdr>
                    <w:top w:val="none" w:sz="0" w:space="0" w:color="auto"/>
                    <w:left w:val="none" w:sz="0" w:space="0" w:color="auto"/>
                    <w:bottom w:val="none" w:sz="0" w:space="0" w:color="auto"/>
                    <w:right w:val="none" w:sz="0" w:space="0" w:color="auto"/>
                  </w:divBdr>
                  <w:divsChild>
                    <w:div w:id="16522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2540">
      <w:bodyDiv w:val="1"/>
      <w:marLeft w:val="0"/>
      <w:marRight w:val="0"/>
      <w:marTop w:val="0"/>
      <w:marBottom w:val="0"/>
      <w:divBdr>
        <w:top w:val="none" w:sz="0" w:space="0" w:color="auto"/>
        <w:left w:val="none" w:sz="0" w:space="0" w:color="auto"/>
        <w:bottom w:val="none" w:sz="0" w:space="0" w:color="auto"/>
        <w:right w:val="none" w:sz="0" w:space="0" w:color="auto"/>
      </w:divBdr>
    </w:div>
    <w:div w:id="1785999124">
      <w:bodyDiv w:val="1"/>
      <w:marLeft w:val="0"/>
      <w:marRight w:val="0"/>
      <w:marTop w:val="0"/>
      <w:marBottom w:val="0"/>
      <w:divBdr>
        <w:top w:val="none" w:sz="0" w:space="0" w:color="auto"/>
        <w:left w:val="none" w:sz="0" w:space="0" w:color="auto"/>
        <w:bottom w:val="none" w:sz="0" w:space="0" w:color="auto"/>
        <w:right w:val="none" w:sz="0" w:space="0" w:color="auto"/>
      </w:divBdr>
      <w:divsChild>
        <w:div w:id="1064793032">
          <w:marLeft w:val="0"/>
          <w:marRight w:val="0"/>
          <w:marTop w:val="0"/>
          <w:marBottom w:val="0"/>
          <w:divBdr>
            <w:top w:val="none" w:sz="0" w:space="0" w:color="auto"/>
            <w:left w:val="none" w:sz="0" w:space="0" w:color="auto"/>
            <w:bottom w:val="none" w:sz="0" w:space="0" w:color="auto"/>
            <w:right w:val="none" w:sz="0" w:space="0" w:color="auto"/>
          </w:divBdr>
          <w:divsChild>
            <w:div w:id="863058202">
              <w:marLeft w:val="300"/>
              <w:marRight w:val="0"/>
              <w:marTop w:val="0"/>
              <w:marBottom w:val="0"/>
              <w:divBdr>
                <w:top w:val="none" w:sz="0" w:space="0" w:color="auto"/>
                <w:left w:val="none" w:sz="0" w:space="0" w:color="auto"/>
                <w:bottom w:val="none" w:sz="0" w:space="0" w:color="auto"/>
                <w:right w:val="none" w:sz="0" w:space="0" w:color="auto"/>
              </w:divBdr>
              <w:divsChild>
                <w:div w:id="1307709456">
                  <w:marLeft w:val="0"/>
                  <w:marRight w:val="0"/>
                  <w:marTop w:val="120"/>
                  <w:marBottom w:val="300"/>
                  <w:divBdr>
                    <w:top w:val="none" w:sz="0" w:space="0" w:color="auto"/>
                    <w:left w:val="none" w:sz="0" w:space="0" w:color="auto"/>
                    <w:bottom w:val="none" w:sz="0" w:space="0" w:color="auto"/>
                    <w:right w:val="none" w:sz="0" w:space="0" w:color="auto"/>
                  </w:divBdr>
                  <w:divsChild>
                    <w:div w:id="1824006585">
                      <w:marLeft w:val="0"/>
                      <w:marRight w:val="0"/>
                      <w:marTop w:val="0"/>
                      <w:marBottom w:val="375"/>
                      <w:divBdr>
                        <w:top w:val="none" w:sz="0" w:space="0" w:color="auto"/>
                        <w:left w:val="none" w:sz="0" w:space="0" w:color="auto"/>
                        <w:bottom w:val="none" w:sz="0" w:space="0" w:color="auto"/>
                        <w:right w:val="none" w:sz="0" w:space="0" w:color="auto"/>
                      </w:divBdr>
                      <w:divsChild>
                        <w:div w:id="1874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1043">
      <w:bodyDiv w:val="1"/>
      <w:marLeft w:val="0"/>
      <w:marRight w:val="0"/>
      <w:marTop w:val="0"/>
      <w:marBottom w:val="0"/>
      <w:divBdr>
        <w:top w:val="none" w:sz="0" w:space="0" w:color="auto"/>
        <w:left w:val="none" w:sz="0" w:space="0" w:color="auto"/>
        <w:bottom w:val="none" w:sz="0" w:space="0" w:color="auto"/>
        <w:right w:val="none" w:sz="0" w:space="0" w:color="auto"/>
      </w:divBdr>
      <w:divsChild>
        <w:div w:id="582566886">
          <w:marLeft w:val="0"/>
          <w:marRight w:val="0"/>
          <w:marTop w:val="0"/>
          <w:marBottom w:val="0"/>
          <w:divBdr>
            <w:top w:val="none" w:sz="0" w:space="0" w:color="auto"/>
            <w:left w:val="none" w:sz="0" w:space="0" w:color="auto"/>
            <w:bottom w:val="none" w:sz="0" w:space="0" w:color="auto"/>
            <w:right w:val="none" w:sz="0" w:space="0" w:color="auto"/>
          </w:divBdr>
          <w:divsChild>
            <w:div w:id="457769751">
              <w:marLeft w:val="0"/>
              <w:marRight w:val="0"/>
              <w:marTop w:val="0"/>
              <w:marBottom w:val="0"/>
              <w:divBdr>
                <w:top w:val="none" w:sz="0" w:space="0" w:color="auto"/>
                <w:left w:val="none" w:sz="0" w:space="0" w:color="auto"/>
                <w:bottom w:val="none" w:sz="0" w:space="0" w:color="auto"/>
                <w:right w:val="none" w:sz="0" w:space="0" w:color="auto"/>
              </w:divBdr>
              <w:divsChild>
                <w:div w:id="609631377">
                  <w:marLeft w:val="0"/>
                  <w:marRight w:val="0"/>
                  <w:marTop w:val="0"/>
                  <w:marBottom w:val="0"/>
                  <w:divBdr>
                    <w:top w:val="none" w:sz="0" w:space="0" w:color="auto"/>
                    <w:left w:val="none" w:sz="0" w:space="0" w:color="auto"/>
                    <w:bottom w:val="none" w:sz="0" w:space="0" w:color="auto"/>
                    <w:right w:val="none" w:sz="0" w:space="0" w:color="auto"/>
                  </w:divBdr>
                  <w:divsChild>
                    <w:div w:id="16332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nss.gov.au/" TargetMode="External"/><Relationship Id="rId26" Type="http://schemas.openxmlformats.org/officeDocument/2006/relationships/hyperlink" Target="http://www.datalinkage-wa.org.au/" TargetMode="External"/><Relationship Id="rId3" Type="http://schemas.openxmlformats.org/officeDocument/2006/relationships/customXml" Target="../customXml/item3.xml"/><Relationship Id="rId21" Type="http://schemas.openxmlformats.org/officeDocument/2006/relationships/hyperlink" Target="https://nationalmap.gov.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dpmc.gov.au/sites/default/files/publications/public_sector_data_mgt_project.pdf" TargetMode="External"/><Relationship Id="rId25" Type="http://schemas.openxmlformats.org/officeDocument/2006/relationships/hyperlink" Target="https://www.santdatalink.org.au/" TargetMode="External"/><Relationship Id="rId2" Type="http://schemas.openxmlformats.org/officeDocument/2006/relationships/customXml" Target="../customXml/item2.xml"/><Relationship Id="rId16" Type="http://schemas.openxmlformats.org/officeDocument/2006/relationships/hyperlink" Target="https://canceraustralia.gov.au/sites/default/files/publications/ncds_final_web1_504af02093a68.pdf" TargetMode="External"/><Relationship Id="rId20" Type="http://schemas.openxmlformats.org/officeDocument/2006/relationships/hyperlink" Target="https://www.dat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abs.gov.au/ausstats/abs@.nsf/Lookup/by%20Subject/4329.0.00.003~2011~Main%20Features~Introduction~1"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nss.gov.au/nss/home.nsf/pages/Data%20Integration:%20Accredited%20Integrating%20Authorities" TargetMode="External"/><Relationship Id="rId28"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www.abs.gov.au/ausstats/abs@.nsf/mf/1395.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abs.gov.au/websitedbs/D3310114.nsf/home/Microdata+Entry+Page" TargetMode="External"/><Relationship Id="rId27" Type="http://schemas.openxmlformats.org/officeDocument/2006/relationships/hyperlink" Target="http://www.rcpa.edu.au/Library/Practising-Pathology/Structured-Pathology-Reporting-of-Canc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D59C-88C4-40F7-AA6E-1FB0AA48EB07}">
  <ds:schemaRefs>
    <ds:schemaRef ds:uri="http://schemas.microsoft.com/sharepoint/v3/contenttype/forms"/>
  </ds:schemaRefs>
</ds:datastoreItem>
</file>

<file path=customXml/itemProps2.xml><?xml version="1.0" encoding="utf-8"?>
<ds:datastoreItem xmlns:ds="http://schemas.openxmlformats.org/officeDocument/2006/customXml" ds:itemID="{145E27ED-1CF7-4FB9-BB0F-A86938196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FCE49-D211-4717-93B2-36CDE56CD088}">
  <ds:schemaRefs>
    <ds:schemaRef ds:uri="Microsoft.SharePoint.Taxonomy.ContentTypeSync"/>
  </ds:schemaRefs>
</ds:datastoreItem>
</file>

<file path=customXml/itemProps4.xml><?xml version="1.0" encoding="utf-8"?>
<ds:datastoreItem xmlns:ds="http://schemas.openxmlformats.org/officeDocument/2006/customXml" ds:itemID="{6E85CC72-8BDB-4973-B49A-6422ADD0A108}">
  <ds:schemaRefs>
    <ds:schemaRef ds:uri="http://www.w3.org/XML/1998/namespace"/>
    <ds:schemaRef ds:uri="3f4bcce7-ac1a-4c9d-aa3e-7e77695652db"/>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8044c801-d84b-4ee1-a77e-678f8dcdee17"/>
    <ds:schemaRef ds:uri="http://schemas.microsoft.com/office/2006/metadata/properties"/>
  </ds:schemaRefs>
</ds:datastoreItem>
</file>

<file path=customXml/itemProps5.xml><?xml version="1.0" encoding="utf-8"?>
<ds:datastoreItem xmlns:ds="http://schemas.openxmlformats.org/officeDocument/2006/customXml" ds:itemID="{2652C7EA-1614-4BCB-A0CA-537F0738F393}">
  <ds:schemaRefs>
    <ds:schemaRef ds:uri="http://schemas.microsoft.com/office/2006/metadata/customXsn"/>
  </ds:schemaRefs>
</ds:datastoreItem>
</file>

<file path=customXml/itemProps6.xml><?xml version="1.0" encoding="utf-8"?>
<ds:datastoreItem xmlns:ds="http://schemas.openxmlformats.org/officeDocument/2006/customXml" ds:itemID="{D20D4147-98FC-4434-AB24-0D73DCF9CD8F}">
  <ds:schemaRefs>
    <ds:schemaRef ds:uri="http://schemas.microsoft.com/sharepoint/events"/>
  </ds:schemaRefs>
</ds:datastoreItem>
</file>

<file path=customXml/itemProps7.xml><?xml version="1.0" encoding="utf-8"?>
<ds:datastoreItem xmlns:ds="http://schemas.openxmlformats.org/officeDocument/2006/customXml" ds:itemID="{2F7964D6-B5F3-4B2F-A60E-70600FB4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4976</Words>
  <Characters>30997</Characters>
  <Application>Microsoft Office Word</Application>
  <DocSecurity>0</DocSecurity>
  <Lines>525</Lines>
  <Paragraphs>194</Paragraphs>
  <ScaleCrop>false</ScaleCrop>
  <HeadingPairs>
    <vt:vector size="2" baseType="variant">
      <vt:variant>
        <vt:lpstr>Title</vt:lpstr>
      </vt:variant>
      <vt:variant>
        <vt:i4>1</vt:i4>
      </vt:variant>
    </vt:vector>
  </HeadingPairs>
  <TitlesOfParts>
    <vt:vector size="1" baseType="lpstr">
      <vt:lpstr>Submission 104 - Cancer Australia - Data Availability and Use - Public inquiry</vt:lpstr>
    </vt:vector>
  </TitlesOfParts>
  <Company>Cancer Australia</Company>
  <LinksUpToDate>false</LinksUpToDate>
  <CharactersWithSpaces>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104 - Cancer Australia - Data Availability and Use - Public inquiry</dc:title>
  <dc:creator>Cancer Australia</dc:creator>
  <cp:keywords/>
  <cp:lastModifiedBy>Productivity Commission</cp:lastModifiedBy>
  <cp:revision>4</cp:revision>
  <cp:lastPrinted>2016-07-15T03:28:00Z</cp:lastPrinted>
  <dcterms:created xsi:type="dcterms:W3CDTF">2016-07-29T05:26:00Z</dcterms:created>
  <dcterms:modified xsi:type="dcterms:W3CDTF">2016-08-02T05:44:00Z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ContentTypeId">
    <vt:lpwstr>0x0101007916246811615643A710C6FEAFF56A87110500A0B9D41CDDEAF44CA798A783A79883B0</vt:lpwstr>
  </property>
  <property fmtid="{D5CDD505-2E9C-101B-9397-08002B2CF9AE}" pid="4" name="Order">
    <vt:r8>13400</vt:r8>
  </property>
  <property fmtid="{D5CDD505-2E9C-101B-9397-08002B2CF9AE}" pid="5" name="TaxKeyword">
    <vt:lpwstr/>
  </property>
  <property fmtid="{D5CDD505-2E9C-101B-9397-08002B2CF9AE}" pid="6" name="Record Tag">
    <vt:lpwstr>139;#Submissions|c6e0dbf8-5444-433c-844d-d567dd519a05</vt:lpwstr>
  </property>
</Properties>
</file>