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BF" w:rsidRPr="00026854" w:rsidRDefault="00D86063" w:rsidP="00026854">
      <w:pPr>
        <w:jc w:val="center"/>
        <w:rPr>
          <w:b/>
          <w:sz w:val="48"/>
          <w:szCs w:val="48"/>
          <w:highlight w:val="lightGray"/>
        </w:rPr>
      </w:pPr>
      <w:bookmarkStart w:id="0" w:name="_GoBack"/>
      <w:bookmarkEnd w:id="0"/>
      <w:r w:rsidRPr="00042AB5">
        <w:rPr>
          <w:b/>
          <w:sz w:val="48"/>
          <w:szCs w:val="48"/>
          <w:highlight w:val="lightGray"/>
        </w:rPr>
        <w:t xml:space="preserve"> </w:t>
      </w:r>
      <w:r w:rsidR="008E71BF" w:rsidRPr="00042AB5">
        <w:rPr>
          <w:b/>
          <w:sz w:val="48"/>
          <w:szCs w:val="48"/>
          <w:highlight w:val="lightGray"/>
        </w:rPr>
        <w:t>Association of Liquor Licensees Melbourne</w:t>
      </w:r>
      <w:r w:rsidR="00026854">
        <w:rPr>
          <w:b/>
          <w:sz w:val="48"/>
          <w:szCs w:val="48"/>
          <w:highlight w:val="lightGray"/>
        </w:rPr>
        <w:t xml:space="preserve"> Inc   </w:t>
      </w:r>
    </w:p>
    <w:p w:rsidR="008E71BF" w:rsidRDefault="008E71BF" w:rsidP="008E71BF">
      <w:pPr>
        <w:spacing w:after="0"/>
        <w:jc w:val="center"/>
        <w:rPr>
          <w:b/>
          <w:sz w:val="28"/>
          <w:szCs w:val="28"/>
        </w:rPr>
      </w:pPr>
      <w:r w:rsidRPr="00EB0D06">
        <w:rPr>
          <w:b/>
          <w:sz w:val="28"/>
          <w:szCs w:val="28"/>
        </w:rPr>
        <w:t>PO Box 357 Prahran, Victoria, 3181</w:t>
      </w:r>
      <w:r>
        <w:rPr>
          <w:b/>
          <w:sz w:val="28"/>
          <w:szCs w:val="28"/>
        </w:rPr>
        <w:t xml:space="preserve"> </w:t>
      </w:r>
    </w:p>
    <w:p w:rsidR="008E71BF" w:rsidRDefault="008E71BF" w:rsidP="008E71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9" w:history="1">
        <w:r w:rsidRPr="001754EF">
          <w:rPr>
            <w:rStyle w:val="Hyperlink"/>
            <w:b/>
            <w:sz w:val="28"/>
            <w:szCs w:val="28"/>
          </w:rPr>
          <w:t>www.allm.org</w:t>
        </w:r>
      </w:hyperlink>
      <w:r>
        <w:rPr>
          <w:b/>
          <w:sz w:val="28"/>
          <w:szCs w:val="28"/>
        </w:rPr>
        <w:t xml:space="preserve"> – committee@allm.org</w:t>
      </w:r>
    </w:p>
    <w:p w:rsidR="008E71BF" w:rsidRPr="00042AB5" w:rsidRDefault="008E71BF" w:rsidP="00077819">
      <w:pPr>
        <w:spacing w:after="0"/>
        <w:jc w:val="both"/>
        <w:rPr>
          <w:sz w:val="24"/>
          <w:szCs w:val="24"/>
        </w:rPr>
      </w:pPr>
    </w:p>
    <w:p w:rsidR="008E71BF" w:rsidRPr="00042AB5" w:rsidRDefault="008E71BF" w:rsidP="004320D4">
      <w:pPr>
        <w:spacing w:after="0"/>
        <w:jc w:val="both"/>
        <w:rPr>
          <w:sz w:val="24"/>
          <w:szCs w:val="24"/>
        </w:rPr>
      </w:pPr>
    </w:p>
    <w:p w:rsidR="00104289" w:rsidRPr="00042AB5" w:rsidRDefault="005B20AD" w:rsidP="004320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0910" w:rsidRPr="00042AB5">
        <w:rPr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 w:rsidR="00D35284">
        <w:rPr>
          <w:sz w:val="24"/>
          <w:szCs w:val="24"/>
        </w:rPr>
        <w:t xml:space="preserve"> </w:t>
      </w:r>
      <w:r w:rsidR="00940910" w:rsidRPr="00042AB5">
        <w:rPr>
          <w:sz w:val="24"/>
          <w:szCs w:val="24"/>
        </w:rPr>
        <w:t>201</w:t>
      </w:r>
      <w:r w:rsidR="003E5E87">
        <w:rPr>
          <w:sz w:val="24"/>
          <w:szCs w:val="24"/>
        </w:rPr>
        <w:t>6</w:t>
      </w:r>
    </w:p>
    <w:p w:rsidR="00104289" w:rsidRPr="00042AB5" w:rsidRDefault="00104289" w:rsidP="004320D4">
      <w:pPr>
        <w:spacing w:after="0"/>
        <w:jc w:val="both"/>
        <w:rPr>
          <w:sz w:val="24"/>
          <w:szCs w:val="24"/>
        </w:rPr>
      </w:pPr>
    </w:p>
    <w:p w:rsidR="00104289" w:rsidRPr="00042AB5" w:rsidRDefault="00D35284" w:rsidP="004320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Intellectual Property Arrangements Inquiry</w:t>
      </w:r>
    </w:p>
    <w:p w:rsidR="00104289" w:rsidRPr="00042AB5" w:rsidRDefault="00D35284" w:rsidP="004320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Productivity Commission</w:t>
      </w:r>
    </w:p>
    <w:p w:rsidR="00104289" w:rsidRDefault="00D35284" w:rsidP="004320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GPO Box 1428</w:t>
      </w:r>
    </w:p>
    <w:p w:rsidR="00D35284" w:rsidRPr="00042AB5" w:rsidRDefault="00D35284" w:rsidP="004320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Canberra City 2601</w:t>
      </w:r>
    </w:p>
    <w:p w:rsidR="00104289" w:rsidRPr="00042AB5" w:rsidRDefault="00104289" w:rsidP="004320D4">
      <w:pPr>
        <w:spacing w:after="0" w:line="240" w:lineRule="auto"/>
        <w:jc w:val="both"/>
        <w:rPr>
          <w:sz w:val="24"/>
          <w:szCs w:val="24"/>
        </w:rPr>
      </w:pPr>
    </w:p>
    <w:p w:rsidR="00104289" w:rsidRPr="00042AB5" w:rsidRDefault="00D35284" w:rsidP="004320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940910" w:rsidRPr="00042AB5" w:rsidRDefault="00940910" w:rsidP="004320D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40910" w:rsidRDefault="00104289" w:rsidP="00D3528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42AB5">
        <w:rPr>
          <w:b/>
          <w:bCs/>
          <w:sz w:val="24"/>
          <w:szCs w:val="24"/>
        </w:rPr>
        <w:t xml:space="preserve">RE: </w:t>
      </w:r>
      <w:r w:rsidR="00D35284">
        <w:rPr>
          <w:b/>
          <w:bCs/>
          <w:sz w:val="24"/>
          <w:szCs w:val="24"/>
        </w:rPr>
        <w:t xml:space="preserve">Intellectual Property </w:t>
      </w:r>
      <w:r w:rsidR="00940910" w:rsidRPr="00042AB5">
        <w:rPr>
          <w:b/>
          <w:bCs/>
          <w:sz w:val="24"/>
          <w:szCs w:val="24"/>
        </w:rPr>
        <w:t>A</w:t>
      </w:r>
      <w:r w:rsidR="00D35284">
        <w:rPr>
          <w:b/>
          <w:bCs/>
          <w:sz w:val="24"/>
          <w:szCs w:val="24"/>
        </w:rPr>
        <w:t xml:space="preserve">rrangements </w:t>
      </w:r>
      <w:r w:rsidR="00B828BA">
        <w:rPr>
          <w:b/>
          <w:bCs/>
          <w:sz w:val="24"/>
          <w:szCs w:val="24"/>
        </w:rPr>
        <w:t>–</w:t>
      </w:r>
      <w:r w:rsidR="00444078">
        <w:rPr>
          <w:b/>
          <w:bCs/>
          <w:sz w:val="24"/>
          <w:szCs w:val="24"/>
        </w:rPr>
        <w:t xml:space="preserve"> </w:t>
      </w:r>
      <w:r w:rsidR="00B828BA">
        <w:rPr>
          <w:b/>
          <w:bCs/>
          <w:sz w:val="24"/>
          <w:szCs w:val="24"/>
        </w:rPr>
        <w:t xml:space="preserve">Music </w:t>
      </w:r>
      <w:r w:rsidR="00444078">
        <w:rPr>
          <w:b/>
          <w:bCs/>
          <w:sz w:val="24"/>
          <w:szCs w:val="24"/>
        </w:rPr>
        <w:t>Copyright</w:t>
      </w:r>
    </w:p>
    <w:p w:rsidR="003E5E87" w:rsidRDefault="003E5E87" w:rsidP="00D3528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E5E87" w:rsidRDefault="003E5E87" w:rsidP="00D3528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E5E87" w:rsidRDefault="003E5E87" w:rsidP="00D352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E5E87">
        <w:rPr>
          <w:sz w:val="24"/>
          <w:szCs w:val="24"/>
        </w:rPr>
        <w:t xml:space="preserve">The Association of Liquor Licensees Melbourne Inc (ALLM) welcomes the opportunity to provide further comments on the Productivity Commission’s Intellectual Property Arrangements </w:t>
      </w:r>
      <w:r>
        <w:rPr>
          <w:sz w:val="24"/>
          <w:szCs w:val="24"/>
        </w:rPr>
        <w:t xml:space="preserve">Draft Report issued in </w:t>
      </w:r>
      <w:r w:rsidR="001C7A53">
        <w:rPr>
          <w:sz w:val="24"/>
          <w:szCs w:val="24"/>
        </w:rPr>
        <w:t xml:space="preserve">April </w:t>
      </w:r>
      <w:r>
        <w:rPr>
          <w:sz w:val="24"/>
          <w:szCs w:val="24"/>
        </w:rPr>
        <w:t>2016.</w:t>
      </w:r>
      <w:r w:rsidRPr="003E5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 w:rsidR="00391DF4">
        <w:rPr>
          <w:sz w:val="24"/>
          <w:szCs w:val="24"/>
        </w:rPr>
        <w:t xml:space="preserve">were disappointed </w:t>
      </w:r>
      <w:r>
        <w:rPr>
          <w:sz w:val="24"/>
          <w:szCs w:val="24"/>
        </w:rPr>
        <w:t xml:space="preserve">that </w:t>
      </w:r>
      <w:r w:rsidR="00391DF4">
        <w:rPr>
          <w:sz w:val="24"/>
          <w:szCs w:val="24"/>
        </w:rPr>
        <w:t xml:space="preserve">we were not </w:t>
      </w:r>
      <w:r w:rsidRPr="003E5E87">
        <w:rPr>
          <w:sz w:val="24"/>
          <w:szCs w:val="24"/>
        </w:rPr>
        <w:t xml:space="preserve">invited to </w:t>
      </w:r>
      <w:r>
        <w:rPr>
          <w:sz w:val="24"/>
          <w:szCs w:val="24"/>
        </w:rPr>
        <w:t xml:space="preserve">one of </w:t>
      </w:r>
      <w:r w:rsidRPr="003E5E87">
        <w:rPr>
          <w:sz w:val="24"/>
          <w:szCs w:val="24"/>
        </w:rPr>
        <w:t>the stakeholders meetings</w:t>
      </w:r>
      <w:r w:rsidR="00391DF4">
        <w:rPr>
          <w:sz w:val="24"/>
          <w:szCs w:val="24"/>
        </w:rPr>
        <w:t>. Nevertheless,</w:t>
      </w:r>
      <w:r w:rsidRPr="003E5E87">
        <w:rPr>
          <w:sz w:val="24"/>
          <w:szCs w:val="24"/>
        </w:rPr>
        <w:t xml:space="preserve"> we </w:t>
      </w:r>
      <w:r>
        <w:rPr>
          <w:sz w:val="24"/>
          <w:szCs w:val="24"/>
        </w:rPr>
        <w:t xml:space="preserve">make this submission and </w:t>
      </w:r>
      <w:r w:rsidR="00391DF4">
        <w:rPr>
          <w:sz w:val="24"/>
          <w:szCs w:val="24"/>
        </w:rPr>
        <w:t xml:space="preserve">trust we will have an opportunity to </w:t>
      </w:r>
      <w:r>
        <w:rPr>
          <w:sz w:val="24"/>
          <w:szCs w:val="24"/>
        </w:rPr>
        <w:t xml:space="preserve">further </w:t>
      </w:r>
      <w:r w:rsidR="00391DF4">
        <w:rPr>
          <w:sz w:val="24"/>
          <w:szCs w:val="24"/>
        </w:rPr>
        <w:t xml:space="preserve">elaborate </w:t>
      </w:r>
      <w:r w:rsidRPr="003E5E87">
        <w:rPr>
          <w:sz w:val="24"/>
          <w:szCs w:val="24"/>
        </w:rPr>
        <w:t xml:space="preserve">our </w:t>
      </w:r>
      <w:r w:rsidR="00391DF4">
        <w:rPr>
          <w:sz w:val="24"/>
          <w:szCs w:val="24"/>
        </w:rPr>
        <w:t xml:space="preserve">views during </w:t>
      </w:r>
      <w:r>
        <w:rPr>
          <w:sz w:val="24"/>
          <w:szCs w:val="24"/>
        </w:rPr>
        <w:t xml:space="preserve">one of the </w:t>
      </w:r>
      <w:r w:rsidRPr="003E5E87">
        <w:rPr>
          <w:sz w:val="24"/>
          <w:szCs w:val="24"/>
        </w:rPr>
        <w:t>up</w:t>
      </w:r>
      <w:r>
        <w:rPr>
          <w:sz w:val="24"/>
          <w:szCs w:val="24"/>
        </w:rPr>
        <w:t>coming public hearings later this month.</w:t>
      </w:r>
    </w:p>
    <w:p w:rsidR="00444078" w:rsidRDefault="00444078" w:rsidP="00D352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44078" w:rsidRPr="003E5E87" w:rsidRDefault="00444078" w:rsidP="00D352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agree </w:t>
      </w:r>
      <w:r w:rsidR="00391DF4">
        <w:rPr>
          <w:sz w:val="24"/>
          <w:szCs w:val="24"/>
        </w:rPr>
        <w:t xml:space="preserve">with the </w:t>
      </w:r>
      <w:r>
        <w:rPr>
          <w:sz w:val="24"/>
          <w:szCs w:val="24"/>
        </w:rPr>
        <w:t xml:space="preserve">direction the Productivity Commission is taking in </w:t>
      </w:r>
      <w:r w:rsidR="00391DF4">
        <w:rPr>
          <w:sz w:val="24"/>
          <w:szCs w:val="24"/>
        </w:rPr>
        <w:t xml:space="preserve">attempting </w:t>
      </w:r>
      <w:r>
        <w:rPr>
          <w:sz w:val="24"/>
          <w:szCs w:val="24"/>
        </w:rPr>
        <w:t>to achieve a fairer system</w:t>
      </w:r>
      <w:r w:rsidR="00391DF4">
        <w:rPr>
          <w:sz w:val="24"/>
          <w:szCs w:val="24"/>
        </w:rPr>
        <w:t xml:space="preserve">, which </w:t>
      </w:r>
      <w:r>
        <w:rPr>
          <w:sz w:val="24"/>
          <w:szCs w:val="24"/>
        </w:rPr>
        <w:t xml:space="preserve">balance the interests of rights holders, licensees and </w:t>
      </w:r>
      <w:r w:rsidR="00391DF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consumers. </w:t>
      </w:r>
      <w:r w:rsidR="00391DF4">
        <w:rPr>
          <w:sz w:val="24"/>
          <w:szCs w:val="24"/>
        </w:rPr>
        <w:t>It is our view t</w:t>
      </w:r>
      <w:r>
        <w:rPr>
          <w:sz w:val="24"/>
          <w:szCs w:val="24"/>
        </w:rPr>
        <w:t xml:space="preserve">he Commission’s comment </w:t>
      </w:r>
      <w:r w:rsidR="00B828BA">
        <w:rPr>
          <w:sz w:val="24"/>
          <w:szCs w:val="24"/>
        </w:rPr>
        <w:t xml:space="preserve">on Page 16 that </w:t>
      </w:r>
      <w:r w:rsidR="00B828BA" w:rsidRPr="00B828BA">
        <w:rPr>
          <w:i/>
          <w:sz w:val="24"/>
          <w:szCs w:val="24"/>
        </w:rPr>
        <w:t>“</w:t>
      </w:r>
      <w:r w:rsidR="00B828BA" w:rsidRPr="00B828BA">
        <w:rPr>
          <w:i/>
          <w:sz w:val="23"/>
          <w:szCs w:val="23"/>
        </w:rPr>
        <w:t>Australia’s copyright arrangements are weighed too heavily in favour of copyright owners, to the detriment of the long-term interests of both consumers and intermediate users”,</w:t>
      </w:r>
      <w:r w:rsidR="00B828BA">
        <w:rPr>
          <w:sz w:val="23"/>
          <w:szCs w:val="23"/>
        </w:rPr>
        <w:t xml:space="preserve"> is valid</w:t>
      </w:r>
      <w:r w:rsidR="00391DF4">
        <w:rPr>
          <w:sz w:val="23"/>
          <w:szCs w:val="23"/>
        </w:rPr>
        <w:t>.  There is thus a need to reform the system</w:t>
      </w:r>
      <w:r w:rsidR="00B828BA">
        <w:rPr>
          <w:sz w:val="23"/>
          <w:szCs w:val="23"/>
        </w:rPr>
        <w:t xml:space="preserve"> </w:t>
      </w:r>
      <w:r w:rsidR="00391DF4">
        <w:rPr>
          <w:sz w:val="23"/>
          <w:szCs w:val="23"/>
        </w:rPr>
        <w:t xml:space="preserve">that is heavily weighted in favour of rights holders.  </w:t>
      </w:r>
    </w:p>
    <w:p w:rsidR="003E5E87" w:rsidRPr="003E5E87" w:rsidRDefault="003E5E87" w:rsidP="00D3528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0EB4" w:rsidRDefault="00DF43EE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F43EE">
        <w:rPr>
          <w:sz w:val="24"/>
          <w:szCs w:val="24"/>
        </w:rPr>
        <w:t xml:space="preserve">We </w:t>
      </w:r>
      <w:r w:rsidR="00391DF4">
        <w:rPr>
          <w:sz w:val="24"/>
          <w:szCs w:val="24"/>
        </w:rPr>
        <w:t>sh</w:t>
      </w:r>
      <w:r w:rsidRPr="00DF43EE">
        <w:rPr>
          <w:sz w:val="24"/>
          <w:szCs w:val="24"/>
        </w:rPr>
        <w:t xml:space="preserve">ould </w:t>
      </w:r>
      <w:r w:rsidR="00AA0EB4">
        <w:rPr>
          <w:sz w:val="24"/>
          <w:szCs w:val="24"/>
        </w:rPr>
        <w:t>be paying</w:t>
      </w:r>
      <w:r w:rsidR="0064669E">
        <w:rPr>
          <w:sz w:val="24"/>
          <w:szCs w:val="24"/>
        </w:rPr>
        <w:t xml:space="preserve"> copyright for music </w:t>
      </w:r>
      <w:r w:rsidR="00391DF4">
        <w:rPr>
          <w:sz w:val="24"/>
          <w:szCs w:val="24"/>
        </w:rPr>
        <w:t>p</w:t>
      </w:r>
      <w:r w:rsidR="0064669E">
        <w:rPr>
          <w:sz w:val="24"/>
          <w:szCs w:val="24"/>
        </w:rPr>
        <w:t>lay</w:t>
      </w:r>
      <w:r w:rsidR="00391DF4">
        <w:rPr>
          <w:sz w:val="24"/>
          <w:szCs w:val="24"/>
        </w:rPr>
        <w:t>ed</w:t>
      </w:r>
      <w:r w:rsidR="0064669E">
        <w:rPr>
          <w:sz w:val="24"/>
          <w:szCs w:val="24"/>
        </w:rPr>
        <w:t xml:space="preserve"> in our venues</w:t>
      </w:r>
      <w:r w:rsidR="007964A0">
        <w:rPr>
          <w:sz w:val="24"/>
          <w:szCs w:val="24"/>
        </w:rPr>
        <w:t xml:space="preserve">. </w:t>
      </w:r>
      <w:r w:rsidR="00391DF4">
        <w:rPr>
          <w:sz w:val="24"/>
          <w:szCs w:val="24"/>
        </w:rPr>
        <w:t>The high level of fees paid in Australia</w:t>
      </w:r>
      <w:r w:rsidR="007964A0">
        <w:rPr>
          <w:sz w:val="24"/>
          <w:szCs w:val="24"/>
        </w:rPr>
        <w:t xml:space="preserve">, however, </w:t>
      </w:r>
      <w:r w:rsidR="00AA0EB4">
        <w:rPr>
          <w:sz w:val="24"/>
          <w:szCs w:val="24"/>
        </w:rPr>
        <w:t xml:space="preserve">are </w:t>
      </w:r>
      <w:r w:rsidRPr="00DF43EE">
        <w:rPr>
          <w:rFonts w:asciiTheme="minorHAnsi" w:hAnsiTheme="minorHAnsi"/>
          <w:sz w:val="24"/>
          <w:szCs w:val="24"/>
        </w:rPr>
        <w:t>out of step with the rest of the world</w:t>
      </w:r>
      <w:r w:rsidR="00593611">
        <w:rPr>
          <w:rFonts w:asciiTheme="minorHAnsi" w:hAnsiTheme="minorHAnsi"/>
          <w:sz w:val="24"/>
          <w:szCs w:val="24"/>
        </w:rPr>
        <w:t>, examples of which we</w:t>
      </w:r>
      <w:r w:rsidR="00A51F34">
        <w:rPr>
          <w:rFonts w:asciiTheme="minorHAnsi" w:hAnsiTheme="minorHAnsi"/>
          <w:sz w:val="24"/>
          <w:szCs w:val="24"/>
        </w:rPr>
        <w:t>re</w:t>
      </w:r>
      <w:r w:rsidR="00593611">
        <w:rPr>
          <w:rFonts w:asciiTheme="minorHAnsi" w:hAnsiTheme="minorHAnsi"/>
          <w:sz w:val="24"/>
          <w:szCs w:val="24"/>
        </w:rPr>
        <w:t xml:space="preserve"> provided in our initial submission. </w:t>
      </w:r>
      <w:r w:rsidR="007964A0">
        <w:rPr>
          <w:rFonts w:asciiTheme="minorHAnsi" w:hAnsiTheme="minorHAnsi"/>
          <w:sz w:val="24"/>
          <w:szCs w:val="24"/>
        </w:rPr>
        <w:t xml:space="preserve">This is patently unfair, as these costs imposed on the industry are not internationally competitive. </w:t>
      </w:r>
      <w:r w:rsidR="00593611">
        <w:rPr>
          <w:rFonts w:asciiTheme="minorHAnsi" w:hAnsiTheme="minorHAnsi"/>
          <w:sz w:val="24"/>
          <w:szCs w:val="24"/>
        </w:rPr>
        <w:t xml:space="preserve">We don’t believe this </w:t>
      </w:r>
      <w:r w:rsidRPr="00DF43EE">
        <w:rPr>
          <w:rFonts w:asciiTheme="minorHAnsi" w:hAnsiTheme="minorHAnsi"/>
          <w:sz w:val="24"/>
          <w:szCs w:val="24"/>
        </w:rPr>
        <w:t xml:space="preserve">is fair. </w:t>
      </w:r>
    </w:p>
    <w:p w:rsidR="00AA0EB4" w:rsidRDefault="00AA0EB4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D393A" w:rsidRDefault="007964A0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fair price for music copyright would be </w:t>
      </w:r>
      <w:r w:rsidR="00593611">
        <w:rPr>
          <w:rFonts w:asciiTheme="minorHAnsi" w:hAnsiTheme="minorHAnsi"/>
          <w:sz w:val="24"/>
          <w:szCs w:val="24"/>
        </w:rPr>
        <w:t>a</w:t>
      </w:r>
      <w:r w:rsidR="005B22CF">
        <w:rPr>
          <w:rFonts w:asciiTheme="minorHAnsi" w:hAnsiTheme="minorHAnsi"/>
          <w:sz w:val="24"/>
          <w:szCs w:val="24"/>
        </w:rPr>
        <w:t>t levels levied on</w:t>
      </w:r>
      <w:r w:rsidR="0064669E">
        <w:rPr>
          <w:rFonts w:asciiTheme="minorHAnsi" w:hAnsiTheme="minorHAnsi"/>
          <w:sz w:val="24"/>
          <w:szCs w:val="24"/>
        </w:rPr>
        <w:t xml:space="preserve"> similar businesses </w:t>
      </w:r>
      <w:r w:rsidR="00593611">
        <w:rPr>
          <w:rFonts w:asciiTheme="minorHAnsi" w:hAnsiTheme="minorHAnsi"/>
          <w:sz w:val="24"/>
          <w:szCs w:val="24"/>
        </w:rPr>
        <w:t>in countries</w:t>
      </w:r>
      <w:r w:rsidR="00026854">
        <w:rPr>
          <w:rFonts w:asciiTheme="minorHAnsi" w:hAnsiTheme="minorHAnsi"/>
          <w:sz w:val="24"/>
          <w:szCs w:val="24"/>
        </w:rPr>
        <w:t xml:space="preserve"> from</w:t>
      </w:r>
      <w:r w:rsidR="00593611">
        <w:rPr>
          <w:rFonts w:asciiTheme="minorHAnsi" w:hAnsiTheme="minorHAnsi"/>
          <w:sz w:val="24"/>
          <w:szCs w:val="24"/>
        </w:rPr>
        <w:t xml:space="preserve"> </w:t>
      </w:r>
      <w:r w:rsidR="00A51F34">
        <w:rPr>
          <w:rFonts w:asciiTheme="minorHAnsi" w:hAnsiTheme="minorHAnsi"/>
          <w:sz w:val="24"/>
          <w:szCs w:val="24"/>
        </w:rPr>
        <w:t>wh</w:t>
      </w:r>
      <w:r>
        <w:rPr>
          <w:rFonts w:asciiTheme="minorHAnsi" w:hAnsiTheme="minorHAnsi"/>
          <w:sz w:val="24"/>
          <w:szCs w:val="24"/>
        </w:rPr>
        <w:t>ich</w:t>
      </w:r>
      <w:r w:rsidR="00A51F34">
        <w:rPr>
          <w:rFonts w:asciiTheme="minorHAnsi" w:hAnsiTheme="minorHAnsi"/>
          <w:sz w:val="24"/>
          <w:szCs w:val="24"/>
        </w:rPr>
        <w:t xml:space="preserve"> most of the music played in Australia originates, </w:t>
      </w:r>
      <w:r>
        <w:rPr>
          <w:rFonts w:asciiTheme="minorHAnsi" w:hAnsiTheme="minorHAnsi"/>
          <w:sz w:val="24"/>
          <w:szCs w:val="24"/>
        </w:rPr>
        <w:t xml:space="preserve">namely </w:t>
      </w:r>
      <w:r w:rsidR="00A51F34">
        <w:rPr>
          <w:rFonts w:asciiTheme="minorHAnsi" w:hAnsiTheme="minorHAnsi"/>
          <w:sz w:val="24"/>
          <w:szCs w:val="24"/>
        </w:rPr>
        <w:t>the</w:t>
      </w:r>
      <w:r w:rsidR="00593611">
        <w:rPr>
          <w:rFonts w:asciiTheme="minorHAnsi" w:hAnsiTheme="minorHAnsi"/>
          <w:sz w:val="24"/>
          <w:szCs w:val="24"/>
        </w:rPr>
        <w:t xml:space="preserve"> USA</w:t>
      </w:r>
      <w:r>
        <w:rPr>
          <w:rFonts w:asciiTheme="minorHAnsi" w:hAnsiTheme="minorHAnsi"/>
          <w:sz w:val="24"/>
          <w:szCs w:val="24"/>
        </w:rPr>
        <w:t xml:space="preserve"> and UK</w:t>
      </w:r>
      <w:r w:rsidR="00593611">
        <w:rPr>
          <w:rFonts w:asciiTheme="minorHAnsi" w:hAnsiTheme="minorHAnsi"/>
          <w:sz w:val="24"/>
          <w:szCs w:val="24"/>
        </w:rPr>
        <w:t xml:space="preserve">. </w:t>
      </w:r>
      <w:r w:rsidR="000D6EE4">
        <w:rPr>
          <w:rFonts w:asciiTheme="minorHAnsi" w:hAnsiTheme="minorHAnsi"/>
          <w:sz w:val="24"/>
          <w:szCs w:val="24"/>
        </w:rPr>
        <w:t>The Commission comment</w:t>
      </w:r>
      <w:r>
        <w:rPr>
          <w:rFonts w:asciiTheme="minorHAnsi" w:hAnsiTheme="minorHAnsi"/>
          <w:sz w:val="24"/>
          <w:szCs w:val="24"/>
        </w:rPr>
        <w:t>s</w:t>
      </w:r>
      <w:r w:rsidR="000D6EE4">
        <w:rPr>
          <w:rFonts w:asciiTheme="minorHAnsi" w:hAnsiTheme="minorHAnsi"/>
          <w:sz w:val="24"/>
          <w:szCs w:val="24"/>
        </w:rPr>
        <w:t xml:space="preserve"> on Page 19 </w:t>
      </w:r>
      <w:r w:rsidR="0064669E">
        <w:rPr>
          <w:rFonts w:asciiTheme="minorHAnsi" w:hAnsiTheme="minorHAnsi"/>
          <w:sz w:val="24"/>
          <w:szCs w:val="24"/>
        </w:rPr>
        <w:t xml:space="preserve">that </w:t>
      </w:r>
      <w:r w:rsidR="000D6EE4" w:rsidRPr="0064669E">
        <w:rPr>
          <w:rFonts w:asciiTheme="minorHAnsi" w:hAnsiTheme="minorHAnsi"/>
          <w:i/>
          <w:sz w:val="24"/>
          <w:szCs w:val="24"/>
        </w:rPr>
        <w:t>“......</w:t>
      </w:r>
      <w:r w:rsidR="000D6EE4" w:rsidRPr="0064669E">
        <w:rPr>
          <w:i/>
          <w:sz w:val="23"/>
          <w:szCs w:val="23"/>
        </w:rPr>
        <w:t xml:space="preserve">most new works consumed in Australia are sourced from overseas </w:t>
      </w:r>
      <w:r w:rsidR="000D6EE4" w:rsidRPr="0064669E">
        <w:rPr>
          <w:rFonts w:asciiTheme="minorHAnsi" w:hAnsiTheme="minorHAnsi"/>
          <w:i/>
          <w:sz w:val="24"/>
          <w:szCs w:val="24"/>
        </w:rPr>
        <w:t>.............”</w:t>
      </w:r>
      <w:r>
        <w:rPr>
          <w:rFonts w:asciiTheme="minorHAnsi" w:hAnsiTheme="minorHAnsi"/>
          <w:i/>
          <w:sz w:val="24"/>
          <w:szCs w:val="24"/>
        </w:rPr>
        <w:t xml:space="preserve">.  </w:t>
      </w:r>
      <w:r>
        <w:rPr>
          <w:rFonts w:asciiTheme="minorHAnsi" w:hAnsiTheme="minorHAnsi"/>
          <w:sz w:val="24"/>
          <w:szCs w:val="24"/>
        </w:rPr>
        <w:t>We agree with your assessment, as we estimate this to be between 70-90% in our industry.</w:t>
      </w:r>
    </w:p>
    <w:p w:rsidR="005B22CF" w:rsidRDefault="005B22CF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600E9" w:rsidRDefault="00D600E9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600E9" w:rsidRDefault="00D600E9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600E9" w:rsidRPr="003C38B0" w:rsidRDefault="00D600E9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 w:rsidRPr="003C38B0">
        <w:rPr>
          <w:rFonts w:asciiTheme="minorHAnsi" w:hAnsiTheme="minorHAnsi"/>
          <w:b/>
          <w:sz w:val="26"/>
          <w:szCs w:val="26"/>
        </w:rPr>
        <w:lastRenderedPageBreak/>
        <w:t>Well Being and Living Standards</w:t>
      </w:r>
    </w:p>
    <w:p w:rsidR="003C38B0" w:rsidRDefault="003C38B0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B22CF" w:rsidRDefault="00DD445B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Disproportionately high copyright fees have a negative impact on our productivity, living standards and well being. It also has a negative impact </w:t>
      </w:r>
      <w:r w:rsidR="00E804C5">
        <w:rPr>
          <w:rFonts w:asciiTheme="minorHAnsi" w:hAnsiTheme="minorHAnsi"/>
          <w:sz w:val="24"/>
          <w:szCs w:val="24"/>
        </w:rPr>
        <w:t xml:space="preserve">on </w:t>
      </w:r>
      <w:r>
        <w:rPr>
          <w:rFonts w:asciiTheme="minorHAnsi" w:hAnsiTheme="minorHAnsi"/>
          <w:sz w:val="24"/>
          <w:szCs w:val="24"/>
        </w:rPr>
        <w:t>the Australian economy</w:t>
      </w:r>
      <w:r w:rsidR="00E804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E804C5">
        <w:rPr>
          <w:rFonts w:asciiTheme="minorHAnsi" w:hAnsiTheme="minorHAnsi"/>
          <w:sz w:val="24"/>
          <w:szCs w:val="24"/>
        </w:rPr>
        <w:t>In order to afford the excessive copyright fees some</w:t>
      </w:r>
      <w:r>
        <w:rPr>
          <w:rFonts w:asciiTheme="minorHAnsi" w:hAnsiTheme="minorHAnsi"/>
          <w:sz w:val="24"/>
          <w:szCs w:val="24"/>
        </w:rPr>
        <w:t xml:space="preserve"> businesses </w:t>
      </w:r>
      <w:r w:rsidR="00E804C5">
        <w:rPr>
          <w:rFonts w:asciiTheme="minorHAnsi" w:hAnsiTheme="minorHAnsi"/>
          <w:sz w:val="24"/>
          <w:szCs w:val="24"/>
        </w:rPr>
        <w:t xml:space="preserve">will reduce </w:t>
      </w:r>
      <w:r>
        <w:rPr>
          <w:rFonts w:asciiTheme="minorHAnsi" w:hAnsiTheme="minorHAnsi"/>
          <w:sz w:val="24"/>
          <w:szCs w:val="24"/>
        </w:rPr>
        <w:t>local employment or services to afford to pay their copyright fees</w:t>
      </w:r>
      <w:r w:rsidR="00D031E6">
        <w:rPr>
          <w:rFonts w:asciiTheme="minorHAnsi" w:hAnsiTheme="minorHAnsi"/>
          <w:sz w:val="24"/>
          <w:szCs w:val="24"/>
        </w:rPr>
        <w:t xml:space="preserve"> -</w:t>
      </w:r>
      <w:r>
        <w:rPr>
          <w:rFonts w:asciiTheme="minorHAnsi" w:hAnsiTheme="minorHAnsi"/>
          <w:sz w:val="24"/>
          <w:szCs w:val="24"/>
        </w:rPr>
        <w:t xml:space="preserve"> money t</w:t>
      </w:r>
      <w:r w:rsidR="00D031E6">
        <w:rPr>
          <w:rFonts w:asciiTheme="minorHAnsi" w:hAnsiTheme="minorHAnsi"/>
          <w:sz w:val="24"/>
          <w:szCs w:val="24"/>
        </w:rPr>
        <w:t xml:space="preserve">hat would </w:t>
      </w:r>
      <w:r w:rsidR="00E804C5">
        <w:rPr>
          <w:rFonts w:asciiTheme="minorHAnsi" w:hAnsiTheme="minorHAnsi"/>
          <w:sz w:val="24"/>
          <w:szCs w:val="24"/>
        </w:rPr>
        <w:t xml:space="preserve">otherwise </w:t>
      </w:r>
      <w:r w:rsidR="00D031E6">
        <w:rPr>
          <w:rFonts w:asciiTheme="minorHAnsi" w:hAnsiTheme="minorHAnsi"/>
          <w:sz w:val="24"/>
          <w:szCs w:val="24"/>
        </w:rPr>
        <w:t>be spent in Australia</w:t>
      </w:r>
      <w:r w:rsidR="00E804C5">
        <w:rPr>
          <w:rFonts w:asciiTheme="minorHAnsi" w:hAnsiTheme="minorHAnsi"/>
          <w:sz w:val="24"/>
          <w:szCs w:val="24"/>
        </w:rPr>
        <w:t xml:space="preserve">. Much of this money </w:t>
      </w:r>
      <w:r>
        <w:rPr>
          <w:rFonts w:asciiTheme="minorHAnsi" w:hAnsiTheme="minorHAnsi"/>
          <w:sz w:val="24"/>
          <w:szCs w:val="24"/>
        </w:rPr>
        <w:t xml:space="preserve">is effectively </w:t>
      </w:r>
      <w:r w:rsidR="00EC3ECA">
        <w:rPr>
          <w:rFonts w:asciiTheme="minorHAnsi" w:hAnsiTheme="minorHAnsi"/>
          <w:sz w:val="24"/>
          <w:szCs w:val="24"/>
        </w:rPr>
        <w:t xml:space="preserve">redirected </w:t>
      </w:r>
      <w:r>
        <w:rPr>
          <w:rFonts w:asciiTheme="minorHAnsi" w:hAnsiTheme="minorHAnsi"/>
          <w:sz w:val="24"/>
          <w:szCs w:val="24"/>
        </w:rPr>
        <w:t xml:space="preserve">to overseas rights holders. </w:t>
      </w:r>
    </w:p>
    <w:p w:rsidR="000D6EE4" w:rsidRDefault="000D6EE4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55BAA" w:rsidRPr="00255BAA" w:rsidRDefault="00255BAA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the case of book imports, the Commission, on page 130, estimated that </w:t>
      </w:r>
      <w:r w:rsidRPr="00255BAA">
        <w:rPr>
          <w:rFonts w:asciiTheme="minorHAnsi" w:hAnsiTheme="minorHAnsi"/>
          <w:sz w:val="24"/>
          <w:szCs w:val="24"/>
        </w:rPr>
        <w:t>“</w:t>
      </w:r>
      <w:r w:rsidRPr="00255BAA">
        <w:rPr>
          <w:rFonts w:asciiTheme="minorHAnsi" w:hAnsiTheme="minorHAnsi"/>
          <w:i/>
          <w:sz w:val="24"/>
          <w:szCs w:val="24"/>
        </w:rPr>
        <w:t>additional income flowing overseas is around 1.5 times that retained by local copyright holders. In effect, PIRs impose a private, implicit tax on Australian consumers that largely subsidises foreign copyright holders.</w:t>
      </w:r>
      <w:r>
        <w:rPr>
          <w:rFonts w:asciiTheme="minorHAnsi" w:hAnsiTheme="minorHAnsi"/>
          <w:i/>
          <w:sz w:val="24"/>
          <w:szCs w:val="24"/>
        </w:rPr>
        <w:t xml:space="preserve">” </w:t>
      </w:r>
    </w:p>
    <w:p w:rsidR="00255BAA" w:rsidRPr="00255BAA" w:rsidRDefault="00255BAA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55BAA" w:rsidRPr="00255BAA" w:rsidRDefault="00255BAA" w:rsidP="00255BA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255BAA">
        <w:rPr>
          <w:rFonts w:asciiTheme="minorHAnsi" w:hAnsiTheme="minorHAnsi"/>
          <w:bCs/>
          <w:sz w:val="24"/>
          <w:szCs w:val="24"/>
        </w:rPr>
        <w:t>This applies even more so to music copyright because the price disparity with other collection societies on average is about 7 times greater</w:t>
      </w:r>
      <w:r w:rsidR="00E804C5">
        <w:rPr>
          <w:rFonts w:asciiTheme="minorHAnsi" w:hAnsiTheme="minorHAnsi"/>
          <w:bCs/>
          <w:sz w:val="24"/>
          <w:szCs w:val="24"/>
        </w:rPr>
        <w:t>. We demonstrated this in</w:t>
      </w:r>
      <w:r w:rsidRPr="00255BAA">
        <w:rPr>
          <w:rFonts w:asciiTheme="minorHAnsi" w:hAnsiTheme="minorHAnsi"/>
          <w:bCs/>
          <w:sz w:val="24"/>
          <w:szCs w:val="24"/>
        </w:rPr>
        <w:t xml:space="preserve"> our initial submission where comparisons were made with </w:t>
      </w:r>
      <w:r w:rsidR="00E804C5">
        <w:rPr>
          <w:rFonts w:asciiTheme="minorHAnsi" w:hAnsiTheme="minorHAnsi"/>
          <w:bCs/>
          <w:sz w:val="24"/>
          <w:szCs w:val="24"/>
        </w:rPr>
        <w:t xml:space="preserve">overseas </w:t>
      </w:r>
      <w:r w:rsidRPr="00255BAA">
        <w:rPr>
          <w:rFonts w:asciiTheme="minorHAnsi" w:hAnsiTheme="minorHAnsi"/>
          <w:bCs/>
          <w:sz w:val="24"/>
          <w:szCs w:val="24"/>
        </w:rPr>
        <w:t>collection societies</w:t>
      </w:r>
      <w:r w:rsidR="00E804C5">
        <w:rPr>
          <w:rFonts w:asciiTheme="minorHAnsi" w:hAnsiTheme="minorHAnsi"/>
          <w:bCs/>
          <w:sz w:val="24"/>
          <w:szCs w:val="24"/>
        </w:rPr>
        <w:t>.</w:t>
      </w:r>
      <w:r w:rsidRPr="00255BAA">
        <w:rPr>
          <w:rFonts w:asciiTheme="minorHAnsi" w:hAnsiTheme="minorHAnsi"/>
          <w:bCs/>
          <w:sz w:val="24"/>
          <w:szCs w:val="24"/>
        </w:rPr>
        <w:t xml:space="preserve"> </w:t>
      </w:r>
    </w:p>
    <w:p w:rsidR="007D393A" w:rsidRPr="00DF43EE" w:rsidRDefault="007D393A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3E5E87" w:rsidRPr="003C38B0" w:rsidRDefault="00D600E9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3C38B0">
        <w:rPr>
          <w:rFonts w:asciiTheme="minorHAnsi" w:hAnsiTheme="minorHAnsi"/>
          <w:b/>
          <w:bCs/>
          <w:sz w:val="26"/>
          <w:szCs w:val="26"/>
        </w:rPr>
        <w:t>Safeguards</w:t>
      </w:r>
    </w:p>
    <w:p w:rsidR="003C38B0" w:rsidRDefault="003C38B0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140028" w:rsidRDefault="00D600E9" w:rsidP="00D352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Your draft report, on page 134</w:t>
      </w:r>
      <w:r w:rsidR="003928B9">
        <w:rPr>
          <w:rFonts w:asciiTheme="minorHAnsi" w:hAnsiTheme="minorHAnsi"/>
          <w:bCs/>
          <w:sz w:val="24"/>
          <w:szCs w:val="24"/>
        </w:rPr>
        <w:t xml:space="preserve"> </w:t>
      </w:r>
      <w:r w:rsidR="00516579">
        <w:rPr>
          <w:rFonts w:asciiTheme="minorHAnsi" w:hAnsiTheme="minorHAnsi"/>
          <w:bCs/>
          <w:sz w:val="24"/>
          <w:szCs w:val="24"/>
        </w:rPr>
        <w:t xml:space="preserve">offers </w:t>
      </w:r>
      <w:r w:rsidR="00BC731B">
        <w:rPr>
          <w:rFonts w:asciiTheme="minorHAnsi" w:hAnsiTheme="minorHAnsi"/>
          <w:bCs/>
          <w:sz w:val="24"/>
          <w:szCs w:val="24"/>
        </w:rPr>
        <w:t xml:space="preserve">licensees </w:t>
      </w:r>
      <w:r w:rsidR="00516579">
        <w:rPr>
          <w:rFonts w:asciiTheme="minorHAnsi" w:hAnsiTheme="minorHAnsi"/>
          <w:bCs/>
          <w:sz w:val="24"/>
          <w:szCs w:val="24"/>
        </w:rPr>
        <w:t xml:space="preserve">the option of having any grievances heard by the Copyright Tribunal. </w:t>
      </w:r>
    </w:p>
    <w:p w:rsidR="00EC3ECA" w:rsidRDefault="00140028" w:rsidP="00140028">
      <w:pPr>
        <w:pStyle w:val="BodyText"/>
        <w:rPr>
          <w:rFonts w:asciiTheme="minorHAnsi" w:hAnsiTheme="minorHAnsi"/>
          <w:szCs w:val="24"/>
        </w:rPr>
      </w:pPr>
      <w:r w:rsidRPr="00140028">
        <w:rPr>
          <w:rFonts w:asciiTheme="minorHAnsi" w:hAnsiTheme="minorHAnsi"/>
          <w:szCs w:val="24"/>
        </w:rPr>
        <w:t xml:space="preserve">Whilst the option </w:t>
      </w:r>
      <w:r w:rsidR="003928B9">
        <w:rPr>
          <w:rFonts w:asciiTheme="minorHAnsi" w:hAnsiTheme="minorHAnsi"/>
          <w:szCs w:val="24"/>
        </w:rPr>
        <w:t>exists</w:t>
      </w:r>
      <w:r w:rsidRPr="00140028">
        <w:rPr>
          <w:rFonts w:asciiTheme="minorHAnsi" w:hAnsiTheme="minorHAnsi"/>
          <w:szCs w:val="24"/>
        </w:rPr>
        <w:t xml:space="preserve">, the chance of an individual business owner having the knowledge, </w:t>
      </w:r>
      <w:r w:rsidR="00922D6E">
        <w:rPr>
          <w:rFonts w:asciiTheme="minorHAnsi" w:hAnsiTheme="minorHAnsi"/>
          <w:szCs w:val="24"/>
        </w:rPr>
        <w:t xml:space="preserve">budget and energy to </w:t>
      </w:r>
      <w:r w:rsidR="003928B9">
        <w:rPr>
          <w:rFonts w:asciiTheme="minorHAnsi" w:hAnsiTheme="minorHAnsi"/>
          <w:szCs w:val="24"/>
        </w:rPr>
        <w:t>take a matter to the Copyright Tribunal would be u</w:t>
      </w:r>
      <w:r w:rsidRPr="00140028">
        <w:rPr>
          <w:rFonts w:asciiTheme="minorHAnsi" w:hAnsiTheme="minorHAnsi"/>
          <w:szCs w:val="24"/>
        </w:rPr>
        <w:t xml:space="preserve">nlikely. </w:t>
      </w:r>
      <w:r w:rsidR="00922D6E" w:rsidRPr="00140028">
        <w:rPr>
          <w:rFonts w:asciiTheme="minorHAnsi" w:hAnsiTheme="minorHAnsi"/>
          <w:bCs/>
          <w:szCs w:val="24"/>
        </w:rPr>
        <w:t xml:space="preserve">Most licensees are small businesses who would not have the expertise to launch such proceedings in the first place. </w:t>
      </w:r>
      <w:r w:rsidRPr="00140028">
        <w:rPr>
          <w:rFonts w:asciiTheme="minorHAnsi" w:hAnsiTheme="minorHAnsi"/>
          <w:szCs w:val="24"/>
        </w:rPr>
        <w:t xml:space="preserve">The safeguard is there, but it would be difficult </w:t>
      </w:r>
      <w:r>
        <w:rPr>
          <w:rFonts w:asciiTheme="minorHAnsi" w:hAnsiTheme="minorHAnsi"/>
          <w:szCs w:val="24"/>
        </w:rPr>
        <w:t>without costly representation. A more sensible approach would be to fix the inherent problems by removing restrictions</w:t>
      </w:r>
      <w:r w:rsidR="003928B9">
        <w:rPr>
          <w:rFonts w:asciiTheme="minorHAnsi" w:hAnsiTheme="minorHAnsi"/>
          <w:szCs w:val="24"/>
        </w:rPr>
        <w:t>. This is what you have p</w:t>
      </w:r>
      <w:r>
        <w:rPr>
          <w:rFonts w:asciiTheme="minorHAnsi" w:hAnsiTheme="minorHAnsi"/>
          <w:szCs w:val="24"/>
        </w:rPr>
        <w:t>roposed for the book industry, by allowing licensees to purchase their copyright licenses from any legitimate service provider.</w:t>
      </w:r>
      <w:r w:rsidR="00EC3ECA">
        <w:rPr>
          <w:rFonts w:asciiTheme="minorHAnsi" w:hAnsiTheme="minorHAnsi"/>
          <w:szCs w:val="24"/>
        </w:rPr>
        <w:t xml:space="preserve"> The role of the Copyright Tribunal to hear grievances </w:t>
      </w:r>
      <w:r w:rsidR="003928B9">
        <w:rPr>
          <w:rFonts w:asciiTheme="minorHAnsi" w:hAnsiTheme="minorHAnsi"/>
          <w:szCs w:val="24"/>
        </w:rPr>
        <w:t xml:space="preserve">should </w:t>
      </w:r>
      <w:r w:rsidR="00EC3ECA">
        <w:rPr>
          <w:rFonts w:asciiTheme="minorHAnsi" w:hAnsiTheme="minorHAnsi"/>
          <w:szCs w:val="24"/>
        </w:rPr>
        <w:t>remain.</w:t>
      </w:r>
    </w:p>
    <w:p w:rsidR="00D11302" w:rsidRDefault="00D11302" w:rsidP="00D11302">
      <w:pPr>
        <w:pStyle w:val="BodyText"/>
        <w:spacing w:before="0"/>
        <w:rPr>
          <w:rFonts w:asciiTheme="minorHAnsi" w:hAnsiTheme="minorHAnsi"/>
          <w:szCs w:val="24"/>
        </w:rPr>
      </w:pPr>
    </w:p>
    <w:p w:rsidR="00EC3ECA" w:rsidRDefault="00EC3ECA" w:rsidP="00EC3E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It was the PPCA, who initiated proceedings at the Copyright Tribunal</w:t>
      </w:r>
      <w:r w:rsidR="003928B9">
        <w:rPr>
          <w:rFonts w:asciiTheme="minorHAnsi" w:hAnsiTheme="minorHAnsi"/>
          <w:bCs/>
          <w:sz w:val="24"/>
          <w:szCs w:val="24"/>
        </w:rPr>
        <w:t>. They</w:t>
      </w:r>
      <w:r>
        <w:rPr>
          <w:rFonts w:asciiTheme="minorHAnsi" w:hAnsiTheme="minorHAnsi"/>
          <w:bCs/>
          <w:sz w:val="24"/>
          <w:szCs w:val="24"/>
        </w:rPr>
        <w:t xml:space="preserve"> reli</w:t>
      </w:r>
      <w:r w:rsidR="003928B9">
        <w:rPr>
          <w:rFonts w:asciiTheme="minorHAnsi" w:hAnsiTheme="minorHAnsi"/>
          <w:bCs/>
          <w:sz w:val="24"/>
          <w:szCs w:val="24"/>
        </w:rPr>
        <w:t>ed</w:t>
      </w:r>
      <w:r>
        <w:rPr>
          <w:rFonts w:asciiTheme="minorHAnsi" w:hAnsiTheme="minorHAnsi"/>
          <w:bCs/>
          <w:sz w:val="24"/>
          <w:szCs w:val="24"/>
        </w:rPr>
        <w:t xml:space="preserve"> o</w:t>
      </w:r>
      <w:r w:rsidR="003928B9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 xml:space="preserve"> a report they had commissioned </w:t>
      </w:r>
      <w:r w:rsidR="003928B9">
        <w:rPr>
          <w:rFonts w:asciiTheme="minorHAnsi" w:hAnsiTheme="minorHAnsi"/>
          <w:bCs/>
          <w:sz w:val="24"/>
          <w:szCs w:val="24"/>
        </w:rPr>
        <w:t>by the</w:t>
      </w:r>
      <w:r>
        <w:rPr>
          <w:rFonts w:asciiTheme="minorHAnsi" w:hAnsiTheme="minorHAnsi"/>
          <w:bCs/>
          <w:sz w:val="24"/>
          <w:szCs w:val="24"/>
        </w:rPr>
        <w:t xml:space="preserve"> Allen Consulting Group</w:t>
      </w:r>
      <w:r w:rsidR="003928B9">
        <w:rPr>
          <w:rFonts w:asciiTheme="minorHAnsi" w:hAnsiTheme="minorHAnsi"/>
          <w:bCs/>
          <w:sz w:val="24"/>
          <w:szCs w:val="24"/>
        </w:rPr>
        <w:t>. In accepting their</w:t>
      </w:r>
      <w:r>
        <w:rPr>
          <w:rFonts w:asciiTheme="minorHAnsi" w:hAnsiTheme="minorHAnsi"/>
          <w:bCs/>
          <w:sz w:val="24"/>
          <w:szCs w:val="24"/>
        </w:rPr>
        <w:t xml:space="preserve"> evidence</w:t>
      </w:r>
      <w:r w:rsidR="003928B9"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bCs/>
          <w:sz w:val="24"/>
          <w:szCs w:val="24"/>
        </w:rPr>
        <w:t xml:space="preserve">the Tribunal </w:t>
      </w:r>
      <w:r w:rsidR="003928B9">
        <w:rPr>
          <w:rFonts w:asciiTheme="minorHAnsi" w:hAnsiTheme="minorHAnsi"/>
          <w:bCs/>
          <w:sz w:val="24"/>
          <w:szCs w:val="24"/>
        </w:rPr>
        <w:t>implemented the current higher price regime currently in place.</w:t>
      </w:r>
    </w:p>
    <w:p w:rsidR="00EC3ECA" w:rsidRPr="00D600E9" w:rsidRDefault="00EC3ECA" w:rsidP="00EC3E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EC3ECA" w:rsidRPr="00DF43EE" w:rsidRDefault="003928B9" w:rsidP="00EC3E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The </w:t>
      </w:r>
      <w:r w:rsidR="00EC3ECA" w:rsidRPr="00DF43EE">
        <w:rPr>
          <w:rFonts w:asciiTheme="minorHAnsi" w:hAnsiTheme="minorHAnsi"/>
          <w:bCs/>
          <w:sz w:val="24"/>
          <w:szCs w:val="24"/>
        </w:rPr>
        <w:t xml:space="preserve">submission </w:t>
      </w:r>
      <w:r>
        <w:rPr>
          <w:rFonts w:asciiTheme="minorHAnsi" w:hAnsiTheme="minorHAnsi"/>
          <w:bCs/>
          <w:sz w:val="24"/>
          <w:szCs w:val="24"/>
        </w:rPr>
        <w:t xml:space="preserve">made to </w:t>
      </w:r>
      <w:r w:rsidR="00EC3ECA" w:rsidRPr="00DF43EE">
        <w:rPr>
          <w:rFonts w:asciiTheme="minorHAnsi" w:hAnsiTheme="minorHAnsi"/>
          <w:bCs/>
          <w:sz w:val="24"/>
          <w:szCs w:val="24"/>
        </w:rPr>
        <w:t xml:space="preserve">your inquiry made by the American University Washington College of Law and members of the Global Expert Network on Copyright Users Rights </w:t>
      </w:r>
      <w:r>
        <w:rPr>
          <w:rFonts w:asciiTheme="minorHAnsi" w:hAnsiTheme="minorHAnsi"/>
          <w:bCs/>
          <w:sz w:val="24"/>
          <w:szCs w:val="24"/>
        </w:rPr>
        <w:t xml:space="preserve">seems relevant </w:t>
      </w:r>
      <w:r w:rsidR="00EC3ECA" w:rsidRPr="00DF43EE">
        <w:rPr>
          <w:rFonts w:asciiTheme="minorHAnsi" w:hAnsiTheme="minorHAnsi"/>
          <w:bCs/>
          <w:sz w:val="24"/>
          <w:szCs w:val="24"/>
        </w:rPr>
        <w:t xml:space="preserve">to </w:t>
      </w:r>
      <w:r w:rsidR="00B53323">
        <w:rPr>
          <w:rFonts w:asciiTheme="minorHAnsi" w:hAnsiTheme="minorHAnsi"/>
          <w:bCs/>
          <w:sz w:val="24"/>
          <w:szCs w:val="24"/>
        </w:rPr>
        <w:t xml:space="preserve">this situation. They have criticised the </w:t>
      </w:r>
      <w:r w:rsidR="00EC3ECA" w:rsidRPr="00DF43EE">
        <w:rPr>
          <w:rFonts w:asciiTheme="minorHAnsi" w:hAnsiTheme="minorHAnsi"/>
          <w:bCs/>
          <w:sz w:val="24"/>
          <w:szCs w:val="24"/>
        </w:rPr>
        <w:t>report by Price</w:t>
      </w:r>
      <w:r w:rsidR="00B53323">
        <w:rPr>
          <w:rFonts w:asciiTheme="minorHAnsi" w:hAnsiTheme="minorHAnsi"/>
          <w:bCs/>
          <w:sz w:val="24"/>
          <w:szCs w:val="24"/>
        </w:rPr>
        <w:t xml:space="preserve"> W</w:t>
      </w:r>
      <w:r w:rsidR="00EC3ECA" w:rsidRPr="00DF43EE">
        <w:rPr>
          <w:rFonts w:asciiTheme="minorHAnsi" w:hAnsiTheme="minorHAnsi"/>
          <w:bCs/>
          <w:sz w:val="24"/>
          <w:szCs w:val="24"/>
        </w:rPr>
        <w:t>aterhouse</w:t>
      </w:r>
      <w:r w:rsidR="00B53323">
        <w:rPr>
          <w:rFonts w:asciiTheme="minorHAnsi" w:hAnsiTheme="minorHAnsi"/>
          <w:bCs/>
          <w:sz w:val="24"/>
          <w:szCs w:val="24"/>
        </w:rPr>
        <w:t xml:space="preserve"> </w:t>
      </w:r>
      <w:r w:rsidR="00EC3ECA" w:rsidRPr="00DF43EE">
        <w:rPr>
          <w:rFonts w:asciiTheme="minorHAnsi" w:hAnsiTheme="minorHAnsi"/>
          <w:bCs/>
          <w:sz w:val="24"/>
          <w:szCs w:val="24"/>
        </w:rPr>
        <w:t xml:space="preserve">Coopers </w:t>
      </w:r>
      <w:r w:rsidR="00B53323">
        <w:rPr>
          <w:rFonts w:asciiTheme="minorHAnsi" w:hAnsiTheme="minorHAnsi"/>
          <w:bCs/>
          <w:sz w:val="24"/>
          <w:szCs w:val="24"/>
        </w:rPr>
        <w:t>commissioned by</w:t>
      </w:r>
      <w:r w:rsidR="00EC3ECA" w:rsidRPr="00DF43EE">
        <w:rPr>
          <w:rFonts w:asciiTheme="minorHAnsi" w:hAnsiTheme="minorHAnsi"/>
          <w:bCs/>
          <w:sz w:val="24"/>
          <w:szCs w:val="24"/>
        </w:rPr>
        <w:t xml:space="preserve"> APRA &amp; PPCA</w:t>
      </w:r>
      <w:r w:rsidR="00B53323">
        <w:rPr>
          <w:rFonts w:asciiTheme="minorHAnsi" w:hAnsiTheme="minorHAnsi"/>
          <w:bCs/>
          <w:sz w:val="24"/>
          <w:szCs w:val="24"/>
        </w:rPr>
        <w:t xml:space="preserve">. </w:t>
      </w:r>
    </w:p>
    <w:p w:rsidR="00EC3ECA" w:rsidRPr="00DF43EE" w:rsidRDefault="00EC3ECA" w:rsidP="00EC3E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5208D0" w:rsidRPr="005208D0" w:rsidRDefault="005A41DD" w:rsidP="005208D0">
      <w:pPr>
        <w:pStyle w:val="BodyText"/>
        <w:spacing w:before="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This robust analysis of the PWC report </w:t>
      </w:r>
      <w:r w:rsidR="00B53323">
        <w:rPr>
          <w:rFonts w:asciiTheme="minorHAnsi" w:hAnsiTheme="minorHAnsi"/>
          <w:bCs/>
          <w:szCs w:val="24"/>
        </w:rPr>
        <w:t>demonstrates how d</w:t>
      </w:r>
      <w:r w:rsidR="00EC3ECA" w:rsidRPr="00DF43EE">
        <w:rPr>
          <w:rFonts w:asciiTheme="minorHAnsi" w:hAnsiTheme="minorHAnsi"/>
          <w:bCs/>
          <w:szCs w:val="24"/>
        </w:rPr>
        <w:t xml:space="preserve">ifficult </w:t>
      </w:r>
      <w:r w:rsidR="00B53323">
        <w:rPr>
          <w:rFonts w:asciiTheme="minorHAnsi" w:hAnsiTheme="minorHAnsi"/>
          <w:bCs/>
          <w:szCs w:val="24"/>
        </w:rPr>
        <w:t xml:space="preserve">it </w:t>
      </w:r>
      <w:r w:rsidR="00EC3ECA" w:rsidRPr="00DF43EE">
        <w:rPr>
          <w:rFonts w:asciiTheme="minorHAnsi" w:hAnsiTheme="minorHAnsi"/>
          <w:bCs/>
          <w:szCs w:val="24"/>
        </w:rPr>
        <w:t xml:space="preserve">would be for </w:t>
      </w:r>
      <w:r w:rsidR="00B53323">
        <w:rPr>
          <w:rFonts w:asciiTheme="minorHAnsi" w:hAnsiTheme="minorHAnsi"/>
          <w:bCs/>
          <w:szCs w:val="24"/>
        </w:rPr>
        <w:t xml:space="preserve">an </w:t>
      </w:r>
      <w:r>
        <w:rPr>
          <w:rFonts w:asciiTheme="minorHAnsi" w:hAnsiTheme="minorHAnsi"/>
          <w:bCs/>
          <w:szCs w:val="24"/>
        </w:rPr>
        <w:t xml:space="preserve">individual business </w:t>
      </w:r>
      <w:r w:rsidR="00EC3ECA" w:rsidRPr="00DF43EE">
        <w:rPr>
          <w:rFonts w:asciiTheme="minorHAnsi" w:hAnsiTheme="minorHAnsi"/>
          <w:bCs/>
          <w:szCs w:val="24"/>
        </w:rPr>
        <w:t>owner</w:t>
      </w:r>
      <w:r w:rsidR="00B53323">
        <w:rPr>
          <w:rFonts w:asciiTheme="minorHAnsi" w:hAnsiTheme="minorHAnsi"/>
          <w:bCs/>
          <w:szCs w:val="24"/>
        </w:rPr>
        <w:t xml:space="preserve"> </w:t>
      </w:r>
      <w:r w:rsidR="00EC3ECA" w:rsidRPr="00DF43EE">
        <w:rPr>
          <w:rFonts w:asciiTheme="minorHAnsi" w:hAnsiTheme="minorHAnsi"/>
          <w:bCs/>
          <w:szCs w:val="24"/>
        </w:rPr>
        <w:t xml:space="preserve">to </w:t>
      </w:r>
      <w:r w:rsidR="00B53323">
        <w:rPr>
          <w:rFonts w:asciiTheme="minorHAnsi" w:hAnsiTheme="minorHAnsi"/>
          <w:bCs/>
          <w:szCs w:val="24"/>
        </w:rPr>
        <w:t>present a submission to</w:t>
      </w:r>
      <w:r w:rsidR="00EC3ECA" w:rsidRPr="00DF43EE">
        <w:rPr>
          <w:rFonts w:asciiTheme="minorHAnsi" w:hAnsiTheme="minorHAnsi"/>
          <w:bCs/>
          <w:szCs w:val="24"/>
        </w:rPr>
        <w:t xml:space="preserve"> the Copyright Tribunal </w:t>
      </w:r>
      <w:r w:rsidR="00EC3ECA">
        <w:rPr>
          <w:rFonts w:asciiTheme="minorHAnsi" w:hAnsiTheme="minorHAnsi"/>
          <w:bCs/>
          <w:szCs w:val="24"/>
        </w:rPr>
        <w:t>o</w:t>
      </w:r>
      <w:r w:rsidR="00EC3ECA" w:rsidRPr="00DF43EE">
        <w:rPr>
          <w:rFonts w:asciiTheme="minorHAnsi" w:hAnsiTheme="minorHAnsi"/>
          <w:bCs/>
          <w:szCs w:val="24"/>
        </w:rPr>
        <w:t>ver excessive copyright fees</w:t>
      </w:r>
      <w:r w:rsidR="00B53323">
        <w:rPr>
          <w:rFonts w:asciiTheme="minorHAnsi" w:hAnsiTheme="minorHAnsi"/>
          <w:bCs/>
          <w:szCs w:val="24"/>
        </w:rPr>
        <w:t>. Commissioned reports</w:t>
      </w:r>
      <w:r w:rsidR="00D11302">
        <w:rPr>
          <w:rFonts w:asciiTheme="minorHAnsi" w:hAnsiTheme="minorHAnsi"/>
          <w:bCs/>
          <w:szCs w:val="24"/>
        </w:rPr>
        <w:t xml:space="preserve"> biased in favour of their clients can be</w:t>
      </w:r>
      <w:r w:rsidR="00B53323">
        <w:rPr>
          <w:rFonts w:asciiTheme="minorHAnsi" w:hAnsiTheme="minorHAnsi"/>
          <w:bCs/>
          <w:szCs w:val="24"/>
        </w:rPr>
        <w:t xml:space="preserve"> very influential. </w:t>
      </w:r>
      <w:r w:rsidR="005208D0">
        <w:rPr>
          <w:rFonts w:asciiTheme="minorHAnsi" w:hAnsiTheme="minorHAnsi"/>
          <w:bCs/>
          <w:szCs w:val="24"/>
        </w:rPr>
        <w:t xml:space="preserve">You </w:t>
      </w:r>
      <w:r w:rsidR="00C035D7">
        <w:rPr>
          <w:rFonts w:asciiTheme="minorHAnsi" w:hAnsiTheme="minorHAnsi"/>
          <w:bCs/>
          <w:szCs w:val="24"/>
        </w:rPr>
        <w:t xml:space="preserve">stated </w:t>
      </w:r>
      <w:r w:rsidR="005208D0">
        <w:rPr>
          <w:rFonts w:asciiTheme="minorHAnsi" w:hAnsiTheme="minorHAnsi"/>
          <w:bCs/>
          <w:szCs w:val="24"/>
        </w:rPr>
        <w:t>on page 134, that “</w:t>
      </w:r>
      <w:r w:rsidR="005208D0" w:rsidRPr="005208D0">
        <w:rPr>
          <w:rFonts w:asciiTheme="minorHAnsi" w:hAnsiTheme="minorHAnsi"/>
          <w:i/>
          <w:szCs w:val="24"/>
        </w:rPr>
        <w:t>Absent other safeguards, collecting societies may have both the incentive and ability to charge excessiv</w:t>
      </w:r>
      <w:r w:rsidR="005208D0">
        <w:rPr>
          <w:rFonts w:asciiTheme="minorHAnsi" w:hAnsiTheme="minorHAnsi"/>
          <w:i/>
          <w:szCs w:val="24"/>
        </w:rPr>
        <w:t>e fees for collective licences”</w:t>
      </w:r>
      <w:r w:rsidR="00C035D7">
        <w:rPr>
          <w:rFonts w:asciiTheme="minorHAnsi" w:hAnsiTheme="minorHAnsi"/>
          <w:i/>
          <w:szCs w:val="24"/>
        </w:rPr>
        <w:t xml:space="preserve">. </w:t>
      </w:r>
      <w:r w:rsidR="005208D0">
        <w:rPr>
          <w:rFonts w:asciiTheme="minorHAnsi" w:hAnsiTheme="minorHAnsi"/>
          <w:i/>
          <w:szCs w:val="24"/>
        </w:rPr>
        <w:t xml:space="preserve"> </w:t>
      </w:r>
      <w:r w:rsidR="00C035D7">
        <w:rPr>
          <w:rFonts w:asciiTheme="minorHAnsi" w:hAnsiTheme="minorHAnsi"/>
          <w:szCs w:val="24"/>
        </w:rPr>
        <w:t xml:space="preserve">This situation enabled </w:t>
      </w:r>
      <w:r w:rsidR="00E06E79">
        <w:rPr>
          <w:rFonts w:asciiTheme="minorHAnsi" w:hAnsiTheme="minorHAnsi"/>
          <w:szCs w:val="24"/>
        </w:rPr>
        <w:t xml:space="preserve">PPCA </w:t>
      </w:r>
      <w:r w:rsidR="00C035D7">
        <w:rPr>
          <w:rFonts w:asciiTheme="minorHAnsi" w:hAnsiTheme="minorHAnsi"/>
          <w:szCs w:val="24"/>
        </w:rPr>
        <w:t xml:space="preserve">and APRA to gain </w:t>
      </w:r>
      <w:r w:rsidR="005208D0">
        <w:rPr>
          <w:rFonts w:asciiTheme="minorHAnsi" w:hAnsiTheme="minorHAnsi"/>
          <w:szCs w:val="24"/>
        </w:rPr>
        <w:t xml:space="preserve">disproportionately high </w:t>
      </w:r>
      <w:r w:rsidR="00C035D7">
        <w:rPr>
          <w:rFonts w:asciiTheme="minorHAnsi" w:hAnsiTheme="minorHAnsi"/>
          <w:szCs w:val="24"/>
        </w:rPr>
        <w:t xml:space="preserve">royalty fees. </w:t>
      </w:r>
    </w:p>
    <w:p w:rsidR="00EC3ECA" w:rsidRPr="00DF43EE" w:rsidRDefault="00EC3ECA" w:rsidP="00EC3E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EC3ECA" w:rsidRDefault="00EC3ECA" w:rsidP="00EC3E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11302" w:rsidRPr="00DF43EE" w:rsidRDefault="00D11302" w:rsidP="00EC3EC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EC3ECA" w:rsidRPr="003C38B0" w:rsidRDefault="00D11302" w:rsidP="00D11302">
      <w:pPr>
        <w:pStyle w:val="BodyText"/>
        <w:spacing w:before="0"/>
        <w:rPr>
          <w:rFonts w:asciiTheme="minorHAnsi" w:hAnsiTheme="minorHAnsi"/>
          <w:b/>
          <w:sz w:val="26"/>
          <w:szCs w:val="26"/>
        </w:rPr>
      </w:pPr>
      <w:r w:rsidRPr="003C38B0">
        <w:rPr>
          <w:rFonts w:asciiTheme="minorHAnsi" w:hAnsiTheme="minorHAnsi"/>
          <w:b/>
          <w:sz w:val="26"/>
          <w:szCs w:val="26"/>
        </w:rPr>
        <w:t>Parallel Importing</w:t>
      </w:r>
    </w:p>
    <w:p w:rsidR="003C38B0" w:rsidRPr="00D11302" w:rsidRDefault="003C38B0" w:rsidP="00D11302">
      <w:pPr>
        <w:pStyle w:val="BodyText"/>
        <w:spacing w:before="0"/>
        <w:rPr>
          <w:rFonts w:asciiTheme="minorHAnsi" w:hAnsiTheme="minorHAnsi"/>
          <w:b/>
          <w:szCs w:val="24"/>
        </w:rPr>
      </w:pPr>
    </w:p>
    <w:p w:rsidR="0086145A" w:rsidRDefault="00D11302" w:rsidP="008614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our initial submission, we requested that </w:t>
      </w:r>
      <w:r w:rsidR="005208D0">
        <w:rPr>
          <w:rFonts w:asciiTheme="minorHAnsi" w:hAnsiTheme="minorHAnsi"/>
          <w:szCs w:val="24"/>
        </w:rPr>
        <w:t xml:space="preserve">Australian licensees </w:t>
      </w:r>
      <w:r>
        <w:rPr>
          <w:rFonts w:asciiTheme="minorHAnsi" w:hAnsiTheme="minorHAnsi"/>
          <w:szCs w:val="24"/>
        </w:rPr>
        <w:t xml:space="preserve">be permitted to purchase copyright from legitimate overseas suppliers. </w:t>
      </w:r>
      <w:r w:rsidR="0086145A">
        <w:rPr>
          <w:rFonts w:asciiTheme="minorHAnsi" w:hAnsiTheme="minorHAnsi"/>
          <w:szCs w:val="24"/>
        </w:rPr>
        <w:t>On page 129 of your draft report, in respect to parallel import restrictions on books, you state that “</w:t>
      </w:r>
      <w:r w:rsidR="0086145A" w:rsidRPr="0086145A">
        <w:rPr>
          <w:rFonts w:asciiTheme="minorHAnsi" w:hAnsiTheme="minorHAnsi"/>
          <w:i/>
          <w:sz w:val="24"/>
          <w:szCs w:val="24"/>
        </w:rPr>
        <w:t>Prohibiting parallel imports enables IP rights holders to engage in geographic price discrimination. Such price discrimination — the ability to charge different prices for the same good in different countries, or to vary the quality of goods supplied in different countries — is only possible if rights holders can prevent consumers, retailers or importers from purchasing those goods from overseas markets directly</w:t>
      </w:r>
      <w:r w:rsidR="0086145A">
        <w:rPr>
          <w:rFonts w:asciiTheme="minorHAnsi" w:hAnsiTheme="minorHAnsi"/>
          <w:i/>
          <w:szCs w:val="24"/>
        </w:rPr>
        <w:t xml:space="preserve">.” </w:t>
      </w:r>
      <w:r w:rsidR="0086145A">
        <w:rPr>
          <w:rFonts w:asciiTheme="minorHAnsi" w:hAnsiTheme="minorHAnsi"/>
          <w:szCs w:val="24"/>
        </w:rPr>
        <w:t xml:space="preserve"> </w:t>
      </w:r>
    </w:p>
    <w:p w:rsidR="005208D0" w:rsidRDefault="005208D0" w:rsidP="0086145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Cs w:val="24"/>
        </w:rPr>
      </w:pPr>
    </w:p>
    <w:p w:rsidR="0086145A" w:rsidRDefault="00C035D7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problem for Au</w:t>
      </w:r>
      <w:r w:rsidR="0086145A">
        <w:rPr>
          <w:rFonts w:asciiTheme="minorHAnsi" w:hAnsiTheme="minorHAnsi"/>
          <w:sz w:val="24"/>
          <w:szCs w:val="24"/>
        </w:rPr>
        <w:t xml:space="preserve">stralian </w:t>
      </w:r>
      <w:r w:rsidR="003C38B0">
        <w:rPr>
          <w:rFonts w:asciiTheme="minorHAnsi" w:hAnsiTheme="minorHAnsi"/>
          <w:sz w:val="24"/>
          <w:szCs w:val="24"/>
        </w:rPr>
        <w:t>licensees</w:t>
      </w:r>
      <w:r w:rsidR="0086145A">
        <w:rPr>
          <w:rFonts w:asciiTheme="minorHAnsi" w:hAnsiTheme="minorHAnsi"/>
          <w:sz w:val="24"/>
          <w:szCs w:val="24"/>
        </w:rPr>
        <w:t xml:space="preserve"> </w:t>
      </w:r>
      <w:r w:rsidR="0086145A" w:rsidRPr="00DF43EE">
        <w:rPr>
          <w:rFonts w:asciiTheme="minorHAnsi" w:hAnsiTheme="minorHAnsi"/>
          <w:sz w:val="24"/>
          <w:szCs w:val="24"/>
        </w:rPr>
        <w:t>is th</w:t>
      </w:r>
      <w:r>
        <w:rPr>
          <w:rFonts w:asciiTheme="minorHAnsi" w:hAnsiTheme="minorHAnsi"/>
          <w:sz w:val="24"/>
          <w:szCs w:val="24"/>
        </w:rPr>
        <w:t xml:space="preserve">at the </w:t>
      </w:r>
      <w:r w:rsidR="0086145A" w:rsidRPr="00DF43EE">
        <w:rPr>
          <w:rFonts w:asciiTheme="minorHAnsi" w:hAnsiTheme="minorHAnsi"/>
          <w:sz w:val="24"/>
          <w:szCs w:val="24"/>
        </w:rPr>
        <w:t xml:space="preserve">Australian collection </w:t>
      </w:r>
      <w:r w:rsidR="005A41DD" w:rsidRPr="00DF43EE">
        <w:rPr>
          <w:rFonts w:asciiTheme="minorHAnsi" w:hAnsiTheme="minorHAnsi"/>
          <w:sz w:val="24"/>
          <w:szCs w:val="24"/>
        </w:rPr>
        <w:t>societies;</w:t>
      </w:r>
      <w:r w:rsidR="0086145A" w:rsidRPr="00DF43EE">
        <w:rPr>
          <w:rFonts w:asciiTheme="minorHAnsi" w:hAnsiTheme="minorHAnsi"/>
          <w:sz w:val="24"/>
          <w:szCs w:val="24"/>
        </w:rPr>
        <w:t xml:space="preserve"> name</w:t>
      </w:r>
      <w:r w:rsidR="005A41DD">
        <w:rPr>
          <w:rFonts w:asciiTheme="minorHAnsi" w:hAnsiTheme="minorHAnsi"/>
          <w:sz w:val="24"/>
          <w:szCs w:val="24"/>
        </w:rPr>
        <w:t>ly</w:t>
      </w:r>
      <w:r w:rsidR="0086145A" w:rsidRPr="00DF43EE">
        <w:rPr>
          <w:rFonts w:asciiTheme="minorHAnsi" w:hAnsiTheme="minorHAnsi"/>
          <w:sz w:val="24"/>
          <w:szCs w:val="24"/>
        </w:rPr>
        <w:t xml:space="preserve"> APRA &amp; </w:t>
      </w:r>
      <w:r w:rsidR="005A41DD" w:rsidRPr="00DF43EE">
        <w:rPr>
          <w:rFonts w:asciiTheme="minorHAnsi" w:hAnsiTheme="minorHAnsi"/>
          <w:sz w:val="24"/>
          <w:szCs w:val="24"/>
        </w:rPr>
        <w:t>PPCA</w:t>
      </w:r>
      <w:r>
        <w:rPr>
          <w:rFonts w:asciiTheme="minorHAnsi" w:hAnsiTheme="minorHAnsi"/>
          <w:sz w:val="24"/>
          <w:szCs w:val="24"/>
        </w:rPr>
        <w:t xml:space="preserve">, charge local business fees that </w:t>
      </w:r>
      <w:r w:rsidR="0086145A" w:rsidRPr="00DF43EE">
        <w:rPr>
          <w:rFonts w:asciiTheme="minorHAnsi" w:hAnsiTheme="minorHAnsi"/>
          <w:sz w:val="24"/>
          <w:szCs w:val="24"/>
        </w:rPr>
        <w:t xml:space="preserve">are significantly higher </w:t>
      </w:r>
      <w:r w:rsidR="00766871">
        <w:rPr>
          <w:rFonts w:asciiTheme="minorHAnsi" w:hAnsiTheme="minorHAnsi"/>
          <w:sz w:val="24"/>
          <w:szCs w:val="24"/>
        </w:rPr>
        <w:t>than what</w:t>
      </w:r>
      <w:r w:rsidR="00E06E79">
        <w:rPr>
          <w:rFonts w:asciiTheme="minorHAnsi" w:hAnsiTheme="minorHAnsi"/>
          <w:sz w:val="24"/>
          <w:szCs w:val="24"/>
        </w:rPr>
        <w:t xml:space="preserve"> overseas collection societies </w:t>
      </w:r>
      <w:r>
        <w:rPr>
          <w:rFonts w:asciiTheme="minorHAnsi" w:hAnsiTheme="minorHAnsi"/>
          <w:sz w:val="24"/>
          <w:szCs w:val="24"/>
        </w:rPr>
        <w:t xml:space="preserve">charge. </w:t>
      </w:r>
    </w:p>
    <w:p w:rsidR="0086145A" w:rsidRDefault="0086145A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208D0" w:rsidRDefault="005208D0" w:rsidP="005208D0">
      <w:pPr>
        <w:pStyle w:val="BodyText"/>
        <w:tabs>
          <w:tab w:val="right" w:pos="8789"/>
        </w:tabs>
        <w:spacing w:befor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By preventing</w:t>
      </w:r>
      <w:r w:rsidRPr="00DF43EE">
        <w:rPr>
          <w:rFonts w:asciiTheme="minorHAnsi" w:hAnsiTheme="minorHAnsi"/>
          <w:szCs w:val="24"/>
        </w:rPr>
        <w:t xml:space="preserve"> Australian licensees </w:t>
      </w:r>
      <w:r>
        <w:rPr>
          <w:rFonts w:asciiTheme="minorHAnsi" w:hAnsiTheme="minorHAnsi"/>
          <w:szCs w:val="24"/>
        </w:rPr>
        <w:t xml:space="preserve">from </w:t>
      </w:r>
      <w:r w:rsidRPr="00DF43EE">
        <w:rPr>
          <w:rFonts w:asciiTheme="minorHAnsi" w:hAnsiTheme="minorHAnsi"/>
          <w:szCs w:val="24"/>
        </w:rPr>
        <w:t>purchas</w:t>
      </w:r>
      <w:r>
        <w:rPr>
          <w:rFonts w:asciiTheme="minorHAnsi" w:hAnsiTheme="minorHAnsi"/>
          <w:szCs w:val="24"/>
        </w:rPr>
        <w:t>ing</w:t>
      </w:r>
      <w:r w:rsidRPr="00DF43EE">
        <w:rPr>
          <w:rFonts w:asciiTheme="minorHAnsi" w:hAnsiTheme="minorHAnsi"/>
          <w:szCs w:val="24"/>
        </w:rPr>
        <w:t xml:space="preserve"> from </w:t>
      </w:r>
      <w:r>
        <w:rPr>
          <w:rFonts w:asciiTheme="minorHAnsi" w:hAnsiTheme="minorHAnsi"/>
          <w:szCs w:val="24"/>
        </w:rPr>
        <w:t>overseas</w:t>
      </w:r>
      <w:r w:rsidRPr="00DF43EE">
        <w:rPr>
          <w:rFonts w:asciiTheme="minorHAnsi" w:hAnsiTheme="minorHAnsi"/>
          <w:szCs w:val="24"/>
        </w:rPr>
        <w:t>, current law</w:t>
      </w:r>
      <w:r>
        <w:rPr>
          <w:rFonts w:asciiTheme="minorHAnsi" w:hAnsiTheme="minorHAnsi"/>
          <w:szCs w:val="24"/>
        </w:rPr>
        <w:t>s are</w:t>
      </w:r>
      <w:r w:rsidRPr="00DF43EE">
        <w:rPr>
          <w:rFonts w:asciiTheme="minorHAnsi" w:hAnsiTheme="minorHAnsi"/>
          <w:szCs w:val="24"/>
        </w:rPr>
        <w:t xml:space="preserve"> promoting </w:t>
      </w:r>
      <w:r w:rsidR="005A41DD">
        <w:rPr>
          <w:rFonts w:asciiTheme="minorHAnsi" w:hAnsiTheme="minorHAnsi"/>
          <w:szCs w:val="24"/>
        </w:rPr>
        <w:t xml:space="preserve">and allowing </w:t>
      </w:r>
      <w:r w:rsidRPr="00DF43EE">
        <w:rPr>
          <w:rFonts w:asciiTheme="minorHAnsi" w:hAnsiTheme="minorHAnsi"/>
          <w:szCs w:val="24"/>
        </w:rPr>
        <w:t>price discrimination to occur.</w:t>
      </w:r>
      <w:r w:rsidR="00255BAA">
        <w:rPr>
          <w:rFonts w:asciiTheme="minorHAnsi" w:hAnsiTheme="minorHAnsi"/>
          <w:szCs w:val="24"/>
        </w:rPr>
        <w:t xml:space="preserve"> </w:t>
      </w:r>
      <w:r w:rsidRPr="00DF43EE">
        <w:rPr>
          <w:rFonts w:asciiTheme="minorHAnsi" w:hAnsiTheme="minorHAnsi"/>
          <w:szCs w:val="24"/>
        </w:rPr>
        <w:t>It is counterproductive to charge local businesses high rates for predominantly overseas product</w:t>
      </w:r>
      <w:r w:rsidR="003C38B0">
        <w:rPr>
          <w:rFonts w:asciiTheme="minorHAnsi" w:hAnsiTheme="minorHAnsi"/>
          <w:szCs w:val="24"/>
        </w:rPr>
        <w:t xml:space="preserve">. Allowing parallel importing </w:t>
      </w:r>
      <w:r w:rsidRPr="00DF43EE">
        <w:rPr>
          <w:rFonts w:asciiTheme="minorHAnsi" w:hAnsiTheme="minorHAnsi"/>
          <w:szCs w:val="24"/>
        </w:rPr>
        <w:t xml:space="preserve">will </w:t>
      </w:r>
      <w:r w:rsidR="003C38B0">
        <w:rPr>
          <w:rFonts w:asciiTheme="minorHAnsi" w:hAnsiTheme="minorHAnsi"/>
          <w:szCs w:val="24"/>
        </w:rPr>
        <w:t xml:space="preserve">overcome this discrimination. </w:t>
      </w:r>
      <w:r w:rsidRPr="00DF43EE">
        <w:rPr>
          <w:rFonts w:asciiTheme="minorHAnsi" w:hAnsiTheme="minorHAnsi"/>
          <w:szCs w:val="24"/>
        </w:rPr>
        <w:t xml:space="preserve"> </w:t>
      </w:r>
    </w:p>
    <w:p w:rsidR="00C3796A" w:rsidRDefault="00C3796A" w:rsidP="005208D0">
      <w:pPr>
        <w:pStyle w:val="BodyText"/>
        <w:tabs>
          <w:tab w:val="right" w:pos="8789"/>
        </w:tabs>
        <w:spacing w:before="0"/>
        <w:rPr>
          <w:rFonts w:asciiTheme="minorHAnsi" w:hAnsiTheme="minorHAnsi"/>
          <w:szCs w:val="24"/>
        </w:rPr>
      </w:pPr>
    </w:p>
    <w:p w:rsidR="00C3796A" w:rsidRDefault="00C3796A" w:rsidP="005208D0">
      <w:pPr>
        <w:pStyle w:val="BodyText"/>
        <w:tabs>
          <w:tab w:val="right" w:pos="8789"/>
        </w:tabs>
        <w:spacing w:befor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We conducted further research from New Zealand, where rates charged </w:t>
      </w:r>
      <w:r w:rsidR="00766871">
        <w:rPr>
          <w:rFonts w:asciiTheme="minorHAnsi" w:hAnsiTheme="minorHAnsi"/>
          <w:szCs w:val="24"/>
        </w:rPr>
        <w:t>for d</w:t>
      </w:r>
      <w:r>
        <w:rPr>
          <w:rFonts w:asciiTheme="minorHAnsi" w:hAnsiTheme="minorHAnsi"/>
          <w:szCs w:val="24"/>
        </w:rPr>
        <w:t xml:space="preserve">ance </w:t>
      </w:r>
      <w:r w:rsidR="00766871">
        <w:rPr>
          <w:rFonts w:asciiTheme="minorHAnsi" w:hAnsiTheme="minorHAnsi"/>
          <w:szCs w:val="24"/>
        </w:rPr>
        <w:t>events</w:t>
      </w:r>
      <w:r>
        <w:rPr>
          <w:rFonts w:asciiTheme="minorHAnsi" w:hAnsiTheme="minorHAnsi"/>
          <w:szCs w:val="24"/>
        </w:rPr>
        <w:t xml:space="preserve"> are currently set at 15.02 cents per person versus door percentages, which are </w:t>
      </w:r>
      <w:r w:rsidR="00766871">
        <w:rPr>
          <w:rFonts w:asciiTheme="minorHAnsi" w:hAnsiTheme="minorHAnsi"/>
          <w:szCs w:val="24"/>
        </w:rPr>
        <w:t xml:space="preserve">roughly </w:t>
      </w:r>
      <w:r>
        <w:rPr>
          <w:rFonts w:asciiTheme="minorHAnsi" w:hAnsiTheme="minorHAnsi"/>
          <w:szCs w:val="24"/>
        </w:rPr>
        <w:t>in line with pricing from the rest of the world</w:t>
      </w:r>
      <w:r w:rsidR="00766871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You may wish to refer to the following link for more information.</w:t>
      </w:r>
      <w:r w:rsidR="00766871">
        <w:rPr>
          <w:rFonts w:asciiTheme="minorHAnsi" w:hAnsiTheme="minorHAnsi"/>
          <w:szCs w:val="24"/>
        </w:rPr>
        <w:t xml:space="preserve">  </w:t>
      </w:r>
    </w:p>
    <w:p w:rsidR="00C3796A" w:rsidRPr="00C3796A" w:rsidRDefault="00C3796A" w:rsidP="005208D0">
      <w:pPr>
        <w:pStyle w:val="BodyText"/>
        <w:tabs>
          <w:tab w:val="right" w:pos="8789"/>
        </w:tabs>
        <w:spacing w:before="0"/>
        <w:rPr>
          <w:rFonts w:asciiTheme="minorHAnsi" w:hAnsiTheme="minorHAnsi"/>
          <w:i/>
          <w:szCs w:val="24"/>
        </w:rPr>
      </w:pPr>
      <w:r w:rsidRPr="00C3796A">
        <w:rPr>
          <w:rFonts w:asciiTheme="minorHAnsi" w:hAnsiTheme="minorHAnsi"/>
          <w:i/>
          <w:szCs w:val="24"/>
        </w:rPr>
        <w:t>http://apraamcos.co.nz/music-customers/licence-types/using-music-at-your-event/</w:t>
      </w:r>
    </w:p>
    <w:p w:rsidR="005208D0" w:rsidRDefault="005208D0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BA0D9E" w:rsidRDefault="0086145A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same issues and restrictions affecting book importers, </w:t>
      </w:r>
      <w:r w:rsidR="003C38B0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 xml:space="preserve">pplies to music venues. </w:t>
      </w:r>
      <w:r w:rsidR="003C38B0">
        <w:rPr>
          <w:rFonts w:asciiTheme="minorHAnsi" w:hAnsiTheme="minorHAnsi"/>
          <w:sz w:val="24"/>
          <w:szCs w:val="24"/>
        </w:rPr>
        <w:t xml:space="preserve">Allowing parallel importing of music royalties will positively affect competition, trade and consumer welfare. </w:t>
      </w:r>
    </w:p>
    <w:p w:rsidR="00BA0D9E" w:rsidRDefault="00BA0D9E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86145A" w:rsidRPr="00DF43EE" w:rsidRDefault="003C38B0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trust that you will include this reform for music copyright in your recommendation to our government. </w:t>
      </w:r>
    </w:p>
    <w:p w:rsidR="00EC3ECA" w:rsidRPr="0086145A" w:rsidRDefault="00EC3ECA" w:rsidP="005208D0">
      <w:pPr>
        <w:pStyle w:val="BodyText"/>
        <w:spacing w:before="0"/>
        <w:rPr>
          <w:rFonts w:asciiTheme="minorHAnsi" w:hAnsiTheme="minorHAnsi"/>
          <w:szCs w:val="24"/>
        </w:rPr>
      </w:pPr>
    </w:p>
    <w:p w:rsidR="00EC3ECA" w:rsidRPr="00140028" w:rsidRDefault="00EC3ECA" w:rsidP="005208D0">
      <w:pPr>
        <w:pStyle w:val="BodyText"/>
        <w:spacing w:before="0"/>
        <w:rPr>
          <w:rFonts w:asciiTheme="minorHAnsi" w:hAnsiTheme="minorHAnsi"/>
          <w:szCs w:val="24"/>
        </w:rPr>
      </w:pPr>
    </w:p>
    <w:p w:rsidR="00D600E9" w:rsidRPr="00140028" w:rsidRDefault="00D600E9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5284" w:rsidRPr="00DF43EE" w:rsidRDefault="00D35284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5A41DD" w:rsidRDefault="005A41DD" w:rsidP="005A41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Vernon Chalker, Hank Oudendyk, Con Sarrou, Nic Albon, Zok Szoeke, Chris Leonards.</w:t>
      </w:r>
    </w:p>
    <w:p w:rsidR="005A41DD" w:rsidRPr="00042AB5" w:rsidRDefault="005A41DD" w:rsidP="005A41D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="003C38B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Association of Liquor Licensees Melbourne INC </w:t>
      </w:r>
    </w:p>
    <w:p w:rsidR="005A41DD" w:rsidRPr="00042AB5" w:rsidRDefault="005A41DD" w:rsidP="005A4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32"/>
          <w:lang w:val="en-US" w:eastAsia="en-AU"/>
        </w:rPr>
      </w:pPr>
    </w:p>
    <w:p w:rsidR="000F0529" w:rsidRPr="00DF43EE" w:rsidRDefault="000F0529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F0529" w:rsidRPr="00DF43EE" w:rsidRDefault="000F0529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F0529" w:rsidRPr="00DF43EE" w:rsidRDefault="000F0529" w:rsidP="00520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F0529" w:rsidRPr="00DF43EE" w:rsidRDefault="000F0529" w:rsidP="00D113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F0529" w:rsidRPr="00DF43EE" w:rsidRDefault="000F0529" w:rsidP="00D113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86063" w:rsidRPr="00042AB5" w:rsidRDefault="00D86063" w:rsidP="00432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32"/>
          <w:lang w:val="en-US" w:eastAsia="en-AU"/>
        </w:rPr>
      </w:pPr>
    </w:p>
    <w:sectPr w:rsidR="00D86063" w:rsidRPr="00042AB5" w:rsidSect="00A877B6">
      <w:pgSz w:w="11906" w:h="16838"/>
      <w:pgMar w:top="1361" w:right="1304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3A" w:rsidRDefault="00C33D3A" w:rsidP="0089031D">
      <w:pPr>
        <w:spacing w:after="0" w:line="240" w:lineRule="auto"/>
      </w:pPr>
      <w:r>
        <w:separator/>
      </w:r>
    </w:p>
  </w:endnote>
  <w:endnote w:type="continuationSeparator" w:id="0">
    <w:p w:rsidR="00C33D3A" w:rsidRDefault="00C33D3A" w:rsidP="0089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3A" w:rsidRDefault="00C33D3A" w:rsidP="0089031D">
      <w:pPr>
        <w:spacing w:after="0" w:line="240" w:lineRule="auto"/>
      </w:pPr>
      <w:r>
        <w:separator/>
      </w:r>
    </w:p>
  </w:footnote>
  <w:footnote w:type="continuationSeparator" w:id="0">
    <w:p w:rsidR="00C33D3A" w:rsidRDefault="00C33D3A" w:rsidP="0089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2570"/>
    <w:multiLevelType w:val="hybridMultilevel"/>
    <w:tmpl w:val="E200A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E269E"/>
    <w:multiLevelType w:val="hybridMultilevel"/>
    <w:tmpl w:val="F5ECECA0"/>
    <w:lvl w:ilvl="0" w:tplc="A896061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06BBF"/>
    <w:multiLevelType w:val="hybridMultilevel"/>
    <w:tmpl w:val="AF0C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586D"/>
    <w:multiLevelType w:val="hybridMultilevel"/>
    <w:tmpl w:val="07163E72"/>
    <w:lvl w:ilvl="0" w:tplc="A6DEFF5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A3F57"/>
    <w:multiLevelType w:val="hybridMultilevel"/>
    <w:tmpl w:val="50C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6">
    <w:nsid w:val="5DAC4E93"/>
    <w:multiLevelType w:val="hybridMultilevel"/>
    <w:tmpl w:val="642449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87754"/>
    <w:multiLevelType w:val="hybridMultilevel"/>
    <w:tmpl w:val="F6B04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7277D"/>
    <w:rsid w:val="00007F77"/>
    <w:rsid w:val="000143D0"/>
    <w:rsid w:val="0001489D"/>
    <w:rsid w:val="00017A55"/>
    <w:rsid w:val="00025BB5"/>
    <w:rsid w:val="00026854"/>
    <w:rsid w:val="00034F21"/>
    <w:rsid w:val="00042AB5"/>
    <w:rsid w:val="00044E6C"/>
    <w:rsid w:val="000543C5"/>
    <w:rsid w:val="00067AC7"/>
    <w:rsid w:val="00077819"/>
    <w:rsid w:val="00091D48"/>
    <w:rsid w:val="00096E74"/>
    <w:rsid w:val="000C758B"/>
    <w:rsid w:val="000D6EE4"/>
    <w:rsid w:val="000E0F82"/>
    <w:rsid w:val="000E6DD1"/>
    <w:rsid w:val="000F0529"/>
    <w:rsid w:val="00101256"/>
    <w:rsid w:val="001032B7"/>
    <w:rsid w:val="00104289"/>
    <w:rsid w:val="00107610"/>
    <w:rsid w:val="001126B8"/>
    <w:rsid w:val="0012225E"/>
    <w:rsid w:val="001329CF"/>
    <w:rsid w:val="00140028"/>
    <w:rsid w:val="00156978"/>
    <w:rsid w:val="00156EEE"/>
    <w:rsid w:val="00165337"/>
    <w:rsid w:val="00177CEB"/>
    <w:rsid w:val="001A4F8B"/>
    <w:rsid w:val="001C7A53"/>
    <w:rsid w:val="001F7CC7"/>
    <w:rsid w:val="0020188A"/>
    <w:rsid w:val="00206CC3"/>
    <w:rsid w:val="0021335B"/>
    <w:rsid w:val="00224F55"/>
    <w:rsid w:val="00241328"/>
    <w:rsid w:val="00250477"/>
    <w:rsid w:val="00255BAA"/>
    <w:rsid w:val="00256915"/>
    <w:rsid w:val="00261297"/>
    <w:rsid w:val="0026721F"/>
    <w:rsid w:val="00296562"/>
    <w:rsid w:val="00296C1D"/>
    <w:rsid w:val="002B3F85"/>
    <w:rsid w:val="002D2426"/>
    <w:rsid w:val="002F0036"/>
    <w:rsid w:val="002F7000"/>
    <w:rsid w:val="00304404"/>
    <w:rsid w:val="0031491B"/>
    <w:rsid w:val="00327F00"/>
    <w:rsid w:val="00335188"/>
    <w:rsid w:val="00335DBE"/>
    <w:rsid w:val="00337C50"/>
    <w:rsid w:val="00351501"/>
    <w:rsid w:val="00357E3A"/>
    <w:rsid w:val="003824D0"/>
    <w:rsid w:val="00391DF4"/>
    <w:rsid w:val="003928B9"/>
    <w:rsid w:val="00397F51"/>
    <w:rsid w:val="003A0274"/>
    <w:rsid w:val="003B0A34"/>
    <w:rsid w:val="003B15AB"/>
    <w:rsid w:val="003B1E25"/>
    <w:rsid w:val="003C38B0"/>
    <w:rsid w:val="003C4900"/>
    <w:rsid w:val="003C6AE5"/>
    <w:rsid w:val="003D0B7B"/>
    <w:rsid w:val="003E5E87"/>
    <w:rsid w:val="003E6518"/>
    <w:rsid w:val="003F5EE6"/>
    <w:rsid w:val="0041270B"/>
    <w:rsid w:val="004320D4"/>
    <w:rsid w:val="00443912"/>
    <w:rsid w:val="00444078"/>
    <w:rsid w:val="00445675"/>
    <w:rsid w:val="00451B8D"/>
    <w:rsid w:val="00456BD5"/>
    <w:rsid w:val="0046221A"/>
    <w:rsid w:val="004646FF"/>
    <w:rsid w:val="0047066F"/>
    <w:rsid w:val="004B59B3"/>
    <w:rsid w:val="004D4ED2"/>
    <w:rsid w:val="004D7FA2"/>
    <w:rsid w:val="004F0F7B"/>
    <w:rsid w:val="004F7C2D"/>
    <w:rsid w:val="0050780E"/>
    <w:rsid w:val="00514C5A"/>
    <w:rsid w:val="00516579"/>
    <w:rsid w:val="005208D0"/>
    <w:rsid w:val="00533DE6"/>
    <w:rsid w:val="0053716B"/>
    <w:rsid w:val="0054097A"/>
    <w:rsid w:val="00561B92"/>
    <w:rsid w:val="0057277D"/>
    <w:rsid w:val="00581AA1"/>
    <w:rsid w:val="00584B2A"/>
    <w:rsid w:val="00593611"/>
    <w:rsid w:val="005A41DD"/>
    <w:rsid w:val="005B20AD"/>
    <w:rsid w:val="005B22CF"/>
    <w:rsid w:val="005B4509"/>
    <w:rsid w:val="005C2CF4"/>
    <w:rsid w:val="005C314F"/>
    <w:rsid w:val="005C7F4E"/>
    <w:rsid w:val="005D2E5F"/>
    <w:rsid w:val="005D4134"/>
    <w:rsid w:val="005F1FAA"/>
    <w:rsid w:val="006234E3"/>
    <w:rsid w:val="006246D5"/>
    <w:rsid w:val="00631407"/>
    <w:rsid w:val="00634646"/>
    <w:rsid w:val="00641881"/>
    <w:rsid w:val="00642994"/>
    <w:rsid w:val="0064669E"/>
    <w:rsid w:val="00664E6A"/>
    <w:rsid w:val="006723AB"/>
    <w:rsid w:val="00687CFA"/>
    <w:rsid w:val="006911B9"/>
    <w:rsid w:val="006974CB"/>
    <w:rsid w:val="006A03C7"/>
    <w:rsid w:val="006A30FE"/>
    <w:rsid w:val="006B048A"/>
    <w:rsid w:val="006C75F9"/>
    <w:rsid w:val="006E067E"/>
    <w:rsid w:val="007102A4"/>
    <w:rsid w:val="00721512"/>
    <w:rsid w:val="007315FB"/>
    <w:rsid w:val="007331E1"/>
    <w:rsid w:val="007332CD"/>
    <w:rsid w:val="007339FD"/>
    <w:rsid w:val="00734F49"/>
    <w:rsid w:val="00750440"/>
    <w:rsid w:val="00752C8A"/>
    <w:rsid w:val="007533C4"/>
    <w:rsid w:val="0075448E"/>
    <w:rsid w:val="00766871"/>
    <w:rsid w:val="007909CE"/>
    <w:rsid w:val="007964A0"/>
    <w:rsid w:val="007B2E57"/>
    <w:rsid w:val="007C5883"/>
    <w:rsid w:val="007D3767"/>
    <w:rsid w:val="007D393A"/>
    <w:rsid w:val="007E3236"/>
    <w:rsid w:val="00811671"/>
    <w:rsid w:val="0081701C"/>
    <w:rsid w:val="00826101"/>
    <w:rsid w:val="008401F2"/>
    <w:rsid w:val="008420F1"/>
    <w:rsid w:val="0085271C"/>
    <w:rsid w:val="008534A8"/>
    <w:rsid w:val="0086145A"/>
    <w:rsid w:val="0086303B"/>
    <w:rsid w:val="00876CE6"/>
    <w:rsid w:val="00881404"/>
    <w:rsid w:val="0089031D"/>
    <w:rsid w:val="008A682C"/>
    <w:rsid w:val="008E71BF"/>
    <w:rsid w:val="008F0B9A"/>
    <w:rsid w:val="008F2CDF"/>
    <w:rsid w:val="009057B0"/>
    <w:rsid w:val="0091424F"/>
    <w:rsid w:val="009154E6"/>
    <w:rsid w:val="00917606"/>
    <w:rsid w:val="00920250"/>
    <w:rsid w:val="00922D6E"/>
    <w:rsid w:val="00926009"/>
    <w:rsid w:val="0093611A"/>
    <w:rsid w:val="00940910"/>
    <w:rsid w:val="009411BD"/>
    <w:rsid w:val="00952B75"/>
    <w:rsid w:val="00957832"/>
    <w:rsid w:val="009642DC"/>
    <w:rsid w:val="00983C1A"/>
    <w:rsid w:val="009856C1"/>
    <w:rsid w:val="00993E58"/>
    <w:rsid w:val="009B62C5"/>
    <w:rsid w:val="009C2E47"/>
    <w:rsid w:val="00A070F4"/>
    <w:rsid w:val="00A22E81"/>
    <w:rsid w:val="00A31A0C"/>
    <w:rsid w:val="00A51F34"/>
    <w:rsid w:val="00A64BB3"/>
    <w:rsid w:val="00A877B6"/>
    <w:rsid w:val="00AA0EB4"/>
    <w:rsid w:val="00AB3224"/>
    <w:rsid w:val="00AB69D5"/>
    <w:rsid w:val="00AB7577"/>
    <w:rsid w:val="00AC076C"/>
    <w:rsid w:val="00AC5F68"/>
    <w:rsid w:val="00AE0768"/>
    <w:rsid w:val="00AE4301"/>
    <w:rsid w:val="00AE73DD"/>
    <w:rsid w:val="00AF489F"/>
    <w:rsid w:val="00AF7F2D"/>
    <w:rsid w:val="00B14475"/>
    <w:rsid w:val="00B162B7"/>
    <w:rsid w:val="00B2203B"/>
    <w:rsid w:val="00B30A82"/>
    <w:rsid w:val="00B4159C"/>
    <w:rsid w:val="00B53323"/>
    <w:rsid w:val="00B74DAD"/>
    <w:rsid w:val="00B828BA"/>
    <w:rsid w:val="00B83AB4"/>
    <w:rsid w:val="00B95CCD"/>
    <w:rsid w:val="00BA0D9E"/>
    <w:rsid w:val="00BB1B47"/>
    <w:rsid w:val="00BB3704"/>
    <w:rsid w:val="00BC4AC7"/>
    <w:rsid w:val="00BC5E83"/>
    <w:rsid w:val="00BC731B"/>
    <w:rsid w:val="00BD2B13"/>
    <w:rsid w:val="00BD401A"/>
    <w:rsid w:val="00BE4D75"/>
    <w:rsid w:val="00C00F5C"/>
    <w:rsid w:val="00C035D7"/>
    <w:rsid w:val="00C32168"/>
    <w:rsid w:val="00C32913"/>
    <w:rsid w:val="00C33D3A"/>
    <w:rsid w:val="00C3796A"/>
    <w:rsid w:val="00C45EB3"/>
    <w:rsid w:val="00C60E92"/>
    <w:rsid w:val="00C60F8C"/>
    <w:rsid w:val="00C6360A"/>
    <w:rsid w:val="00CA5AC4"/>
    <w:rsid w:val="00CA6D16"/>
    <w:rsid w:val="00CB68F3"/>
    <w:rsid w:val="00CD024D"/>
    <w:rsid w:val="00CF2ABC"/>
    <w:rsid w:val="00D031E6"/>
    <w:rsid w:val="00D0550A"/>
    <w:rsid w:val="00D11302"/>
    <w:rsid w:val="00D1298D"/>
    <w:rsid w:val="00D34C08"/>
    <w:rsid w:val="00D35284"/>
    <w:rsid w:val="00D36F37"/>
    <w:rsid w:val="00D417A5"/>
    <w:rsid w:val="00D50DFD"/>
    <w:rsid w:val="00D600E9"/>
    <w:rsid w:val="00D7524D"/>
    <w:rsid w:val="00D75DF1"/>
    <w:rsid w:val="00D81F49"/>
    <w:rsid w:val="00D83BDF"/>
    <w:rsid w:val="00D86063"/>
    <w:rsid w:val="00DD3DD6"/>
    <w:rsid w:val="00DD445B"/>
    <w:rsid w:val="00DD6CB5"/>
    <w:rsid w:val="00DD759F"/>
    <w:rsid w:val="00DE578F"/>
    <w:rsid w:val="00DF2BE1"/>
    <w:rsid w:val="00DF43EE"/>
    <w:rsid w:val="00E06E79"/>
    <w:rsid w:val="00E072C0"/>
    <w:rsid w:val="00E22D96"/>
    <w:rsid w:val="00E250D4"/>
    <w:rsid w:val="00E360D5"/>
    <w:rsid w:val="00E44DFD"/>
    <w:rsid w:val="00E51EE1"/>
    <w:rsid w:val="00E67350"/>
    <w:rsid w:val="00E72F5E"/>
    <w:rsid w:val="00E74ADF"/>
    <w:rsid w:val="00E804C5"/>
    <w:rsid w:val="00EA2CC3"/>
    <w:rsid w:val="00EB19E6"/>
    <w:rsid w:val="00EB20DE"/>
    <w:rsid w:val="00EC2461"/>
    <w:rsid w:val="00EC3ECA"/>
    <w:rsid w:val="00ED0161"/>
    <w:rsid w:val="00EE11FE"/>
    <w:rsid w:val="00EE5E6C"/>
    <w:rsid w:val="00F06A03"/>
    <w:rsid w:val="00F14525"/>
    <w:rsid w:val="00F179A7"/>
    <w:rsid w:val="00F23BD8"/>
    <w:rsid w:val="00F30BEE"/>
    <w:rsid w:val="00F31AD2"/>
    <w:rsid w:val="00F355B0"/>
    <w:rsid w:val="00F61C42"/>
    <w:rsid w:val="00F638B1"/>
    <w:rsid w:val="00F70C2F"/>
    <w:rsid w:val="00F84D8F"/>
    <w:rsid w:val="00F86E43"/>
    <w:rsid w:val="00F87BF2"/>
    <w:rsid w:val="00FA324A"/>
    <w:rsid w:val="00FA5D04"/>
    <w:rsid w:val="00FB4BC8"/>
    <w:rsid w:val="00FB71A6"/>
    <w:rsid w:val="00FC060D"/>
    <w:rsid w:val="00FE337D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00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09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031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9031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9031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89031D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271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85271C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34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7D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6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21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21A"/>
    <w:rPr>
      <w:b/>
      <w:bCs/>
      <w:lang w:eastAsia="zh-CN"/>
    </w:rPr>
  </w:style>
  <w:style w:type="paragraph" w:styleId="BodyText">
    <w:name w:val="Body Text"/>
    <w:link w:val="BodyTextChar"/>
    <w:qFormat/>
    <w:rsid w:val="000F0529"/>
    <w:pPr>
      <w:spacing w:before="240" w:line="300" w:lineRule="atLeast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0F0529"/>
    <w:rPr>
      <w:rFonts w:ascii="Times New Roman" w:eastAsia="Times New Roman" w:hAnsi="Times New Roman" w:cs="Times New Roman"/>
      <w:sz w:val="24"/>
    </w:rPr>
  </w:style>
  <w:style w:type="paragraph" w:styleId="Quote">
    <w:name w:val="Quote"/>
    <w:basedOn w:val="BodyText"/>
    <w:next w:val="BodyText"/>
    <w:link w:val="QuoteChar"/>
    <w:qFormat/>
    <w:rsid w:val="006B048A"/>
    <w:pPr>
      <w:spacing w:before="120" w:line="280" w:lineRule="exact"/>
      <w:ind w:left="340"/>
    </w:pPr>
    <w:rPr>
      <w:sz w:val="22"/>
    </w:rPr>
  </w:style>
  <w:style w:type="character" w:customStyle="1" w:styleId="QuoteChar">
    <w:name w:val="Quote Char"/>
    <w:basedOn w:val="DefaultParagraphFont"/>
    <w:link w:val="Quote"/>
    <w:rsid w:val="006B048A"/>
    <w:rPr>
      <w:rFonts w:ascii="Times New Roman" w:eastAsia="Times New Roman" w:hAnsi="Times New Roman" w:cs="Times New Roman"/>
      <w:sz w:val="22"/>
    </w:rPr>
  </w:style>
  <w:style w:type="paragraph" w:styleId="ListBullet">
    <w:name w:val="List Bullet"/>
    <w:basedOn w:val="BodyText"/>
    <w:link w:val="ListBulletChar"/>
    <w:rsid w:val="0001489D"/>
    <w:pPr>
      <w:numPr>
        <w:numId w:val="8"/>
      </w:numPr>
      <w:spacing w:before="120"/>
    </w:pPr>
  </w:style>
  <w:style w:type="character" w:customStyle="1" w:styleId="ListBulletChar">
    <w:name w:val="List Bullet Char"/>
    <w:basedOn w:val="DefaultParagraphFont"/>
    <w:link w:val="ListBullet"/>
    <w:locked/>
    <w:rsid w:val="0001489D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l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5441D-2CDF-4C56-A640-D1085BFA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DR544 - Association of Liquor Licensees Melbourne Inc - Intellectual Property Arrangements - Public inquiry</vt:lpstr>
    </vt:vector>
  </TitlesOfParts>
  <Company>Association of Liquor Licensees Melbourne Inc</Company>
  <LinksUpToDate>false</LinksUpToDate>
  <CharactersWithSpaces>6992</CharactersWithSpaces>
  <SharedDoc>false</SharedDoc>
  <HLinks>
    <vt:vector size="24" baseType="variant">
      <vt:variant>
        <vt:i4>4522103</vt:i4>
      </vt:variant>
      <vt:variant>
        <vt:i4>9</vt:i4>
      </vt:variant>
      <vt:variant>
        <vt:i4>0</vt:i4>
      </vt:variant>
      <vt:variant>
        <vt:i4>5</vt:i4>
      </vt:variant>
      <vt:variant>
        <vt:lpwstr>mailto:committee@allm.org</vt:lpwstr>
      </vt:variant>
      <vt:variant>
        <vt:lpwstr/>
      </vt:variant>
      <vt:variant>
        <vt:i4>5570649</vt:i4>
      </vt:variant>
      <vt:variant>
        <vt:i4>6</vt:i4>
      </vt:variant>
      <vt:variant>
        <vt:i4>0</vt:i4>
      </vt:variant>
      <vt:variant>
        <vt:i4>5</vt:i4>
      </vt:variant>
      <vt:variant>
        <vt:lpwstr>http://www.allm.org/</vt:lpwstr>
      </vt:variant>
      <vt:variant>
        <vt:lpwstr/>
      </vt:variant>
      <vt:variant>
        <vt:i4>5570649</vt:i4>
      </vt:variant>
      <vt:variant>
        <vt:i4>3</vt:i4>
      </vt:variant>
      <vt:variant>
        <vt:i4>0</vt:i4>
      </vt:variant>
      <vt:variant>
        <vt:i4>5</vt:i4>
      </vt:variant>
      <vt:variant>
        <vt:lpwstr>http://www.allm.org/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http://www.allm.org/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DR544 - Association of Liquor Licensees Melbourne Inc - Intellectual Property Arrangements - Public inquiry</dc:title>
  <dc:creator>Association of Liquor Licensees Melbourne Inc</dc:creator>
  <cp:lastModifiedBy>Productivity Commission</cp:lastModifiedBy>
  <cp:revision>9</cp:revision>
  <cp:lastPrinted>2016-06-03T07:03:00Z</cp:lastPrinted>
  <dcterms:created xsi:type="dcterms:W3CDTF">2016-06-03T03:49:00Z</dcterms:created>
  <dcterms:modified xsi:type="dcterms:W3CDTF">2016-06-21T02:30:00Z</dcterms:modified>
</cp:coreProperties>
</file>