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88" w:rsidRDefault="00717789" w:rsidP="002178D3">
      <w:pPr>
        <w:tabs>
          <w:tab w:val="left" w:pos="7695"/>
        </w:tabs>
        <w:ind w:right="891"/>
        <w:rPr>
          <w:sz w:val="22"/>
        </w:rPr>
      </w:pPr>
      <w:r>
        <w:rPr>
          <w:noProof/>
          <w:sz w:val="20"/>
          <w:lang w:val="en-AU" w:eastAsia="en-AU"/>
        </w:rPr>
        <mc:AlternateContent>
          <mc:Choice Requires="wps">
            <w:drawing>
              <wp:anchor distT="0" distB="0" distL="114300" distR="114300" simplePos="0" relativeHeight="251658240" behindDoc="0" locked="0" layoutInCell="1" allowOverlap="1">
                <wp:simplePos x="0" y="0"/>
                <wp:positionH relativeFrom="column">
                  <wp:posOffset>1013460</wp:posOffset>
                </wp:positionH>
                <wp:positionV relativeFrom="paragraph">
                  <wp:posOffset>-114300</wp:posOffset>
                </wp:positionV>
                <wp:extent cx="4813935" cy="685800"/>
                <wp:effectExtent l="381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23" w:rsidRPr="00401E88" w:rsidRDefault="00965F23">
                            <w:pPr>
                              <w:pStyle w:val="Heading1"/>
                              <w:rPr>
                                <w:szCs w:val="36"/>
                              </w:rPr>
                            </w:pPr>
                            <w:r w:rsidRPr="00401E88">
                              <w:rPr>
                                <w:szCs w:val="36"/>
                              </w:rPr>
                              <w:t>Shoalcoast Community Legal Centre Inc</w:t>
                            </w:r>
                          </w:p>
                          <w:p w:rsidR="00965F23" w:rsidRPr="00401E88" w:rsidRDefault="00965F23">
                            <w:pPr>
                              <w:pStyle w:val="Heading2"/>
                              <w:rPr>
                                <w:sz w:val="24"/>
                              </w:rPr>
                            </w:pPr>
                            <w:r w:rsidRPr="00401E88">
                              <w:rPr>
                                <w:sz w:val="24"/>
                              </w:rPr>
                              <w:t>Legal Advice &amp; Advocacy</w:t>
                            </w:r>
                          </w:p>
                          <w:p w:rsidR="00965F23" w:rsidRDefault="00965F23">
                            <w:pPr>
                              <w:rPr>
                                <w:sz w:val="20"/>
                                <w:lang w:val="en-AU"/>
                              </w:rPr>
                            </w:pPr>
                            <w:r>
                              <w:rPr>
                                <w:sz w:val="20"/>
                                <w:lang w:val="en-AU"/>
                              </w:rPr>
                              <w:t>ABN 85 989 128 796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9.8pt;margin-top:-9pt;width:379.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2uuA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" filled="f" stroked="f">
                <v:textbox>
                  <w:txbxContent>
                    <w:p w:rsidR="00965F23" w:rsidRPr="00401E88" w:rsidRDefault="00965F23">
                      <w:pPr>
                        <w:pStyle w:val="Heading1"/>
                        <w:rPr>
                          <w:szCs w:val="36"/>
                        </w:rPr>
                      </w:pPr>
                      <w:r w:rsidRPr="00401E88">
                        <w:rPr>
                          <w:szCs w:val="36"/>
                        </w:rPr>
                        <w:t>Shoalcoast Community Legal Centre Inc</w:t>
                      </w:r>
                    </w:p>
                    <w:p w:rsidR="00965F23" w:rsidRPr="00401E88" w:rsidRDefault="00965F23">
                      <w:pPr>
                        <w:pStyle w:val="Heading2"/>
                        <w:rPr>
                          <w:sz w:val="24"/>
                        </w:rPr>
                      </w:pPr>
                      <w:r w:rsidRPr="00401E88">
                        <w:rPr>
                          <w:sz w:val="24"/>
                        </w:rPr>
                        <w:t>Legal Advice &amp; Advocacy</w:t>
                      </w:r>
                    </w:p>
                    <w:p w:rsidR="00965F23" w:rsidRDefault="00965F23">
                      <w:pPr>
                        <w:rPr>
                          <w:sz w:val="20"/>
                          <w:lang w:val="en-AU"/>
                        </w:rPr>
                      </w:pPr>
                      <w:r>
                        <w:rPr>
                          <w:sz w:val="20"/>
                          <w:lang w:val="en-AU"/>
                        </w:rPr>
                        <w:t>ABN 85 989 128 796</w:t>
                      </w:r>
                    </w:p>
                  </w:txbxContent>
                </v:textbox>
              </v:shape>
            </w:pict>
          </mc:Fallback>
        </mc:AlternateContent>
      </w:r>
      <w:r>
        <w:rPr>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1049655</wp:posOffset>
                </wp:positionH>
                <wp:positionV relativeFrom="paragraph">
                  <wp:posOffset>685800</wp:posOffset>
                </wp:positionV>
                <wp:extent cx="5429250" cy="0"/>
                <wp:effectExtent l="11430" t="9525" r="762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54pt" to="510.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XBS5PN8A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"/>
            </w:pict>
          </mc:Fallback>
        </mc:AlternateContent>
      </w:r>
      <w:r w:rsidR="00401E88">
        <w:t xml:space="preserve"> </w:t>
      </w:r>
      <w:r w:rsidR="00401E88">
        <w:object w:dxaOrig="3075"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pt;height:72.05pt" o:ole="">
            <v:imagedata r:id="rId9" o:title=""/>
          </v:shape>
          <o:OLEObject Type="Embed" ProgID="PBrush" ShapeID="_x0000_i1025" DrawAspect="Content" ObjectID="_1445327435" r:id="rId10"/>
        </w:object>
      </w:r>
      <w:r w:rsidR="00401E88">
        <w:tab/>
      </w:r>
      <w:r w:rsidR="00401E88">
        <w:rPr>
          <w:sz w:val="22"/>
        </w:rPr>
        <w:t xml:space="preserve"> </w:t>
      </w:r>
    </w:p>
    <w:p w:rsidR="00401E88" w:rsidRDefault="002724CE">
      <w:pPr>
        <w:tabs>
          <w:tab w:val="left" w:pos="7695"/>
        </w:tabs>
        <w:rPr>
          <w:sz w:val="22"/>
        </w:rPr>
      </w:pPr>
      <w:r>
        <w:rPr>
          <w:sz w:val="22"/>
        </w:rPr>
        <w:tab/>
      </w:r>
    </w:p>
    <w:p w:rsidR="00401E88" w:rsidRPr="004B3D4E" w:rsidRDefault="00401E88" w:rsidP="00767047">
      <w:pPr>
        <w:ind w:left="855"/>
        <w:jc w:val="both"/>
        <w:rPr>
          <w:rFonts w:ascii="Arial" w:hAnsi="Arial" w:cs="Arial"/>
          <w:sz w:val="26"/>
        </w:rPr>
      </w:pPr>
      <w:r w:rsidRPr="004B3D4E">
        <w:rPr>
          <w:rFonts w:ascii="Arial" w:hAnsi="Arial" w:cs="Arial"/>
          <w:sz w:val="26"/>
        </w:rPr>
        <w:fldChar w:fldCharType="begin"/>
      </w:r>
      <w:r w:rsidRPr="004B3D4E">
        <w:rPr>
          <w:rFonts w:ascii="Arial" w:hAnsi="Arial" w:cs="Arial"/>
          <w:sz w:val="26"/>
        </w:rPr>
        <w:instrText xml:space="preserve"> TIME \@ "d MMMM yyyy" </w:instrText>
      </w:r>
      <w:r w:rsidRPr="004B3D4E">
        <w:rPr>
          <w:rFonts w:ascii="Arial" w:hAnsi="Arial" w:cs="Arial"/>
          <w:sz w:val="26"/>
        </w:rPr>
        <w:fldChar w:fldCharType="separate"/>
      </w:r>
      <w:r w:rsidR="007D0B1A">
        <w:rPr>
          <w:rFonts w:ascii="Arial" w:hAnsi="Arial" w:cs="Arial"/>
          <w:noProof/>
          <w:sz w:val="26"/>
        </w:rPr>
        <w:t>7 November 2013</w:t>
      </w:r>
      <w:r w:rsidRPr="004B3D4E">
        <w:rPr>
          <w:rFonts w:ascii="Arial" w:hAnsi="Arial" w:cs="Arial"/>
          <w:sz w:val="26"/>
        </w:rPr>
        <w:fldChar w:fldCharType="end"/>
      </w:r>
    </w:p>
    <w:p w:rsidR="00695D5C" w:rsidRPr="00695D5C" w:rsidRDefault="00695D5C" w:rsidP="00695D5C">
      <w:pPr>
        <w:ind w:right="606"/>
        <w:rPr>
          <w:rFonts w:ascii="Arial" w:hAnsi="Arial" w:cs="Arial"/>
        </w:rPr>
      </w:pPr>
    </w:p>
    <w:p w:rsidR="00695D5C" w:rsidRPr="00695D5C" w:rsidRDefault="00695D5C" w:rsidP="00695D5C">
      <w:pPr>
        <w:ind w:left="855" w:right="606"/>
        <w:rPr>
          <w:rFonts w:ascii="Arial" w:hAnsi="Arial" w:cs="Arial"/>
        </w:rPr>
      </w:pPr>
    </w:p>
    <w:p w:rsidR="005E6F84" w:rsidRDefault="005E6F84" w:rsidP="00695D5C">
      <w:pPr>
        <w:ind w:left="855" w:right="606"/>
        <w:rPr>
          <w:rFonts w:ascii="Arial" w:hAnsi="Arial" w:cs="Arial"/>
        </w:rPr>
      </w:pPr>
    </w:p>
    <w:p w:rsidR="00695D5C" w:rsidRPr="00695D5C" w:rsidRDefault="00695D5C" w:rsidP="00695D5C">
      <w:pPr>
        <w:ind w:left="855" w:right="606"/>
        <w:rPr>
          <w:rFonts w:ascii="Arial" w:hAnsi="Arial" w:cs="Arial"/>
        </w:rPr>
      </w:pPr>
      <w:r w:rsidRPr="00695D5C">
        <w:rPr>
          <w:rFonts w:ascii="Arial" w:hAnsi="Arial" w:cs="Arial"/>
        </w:rPr>
        <w:t>Access to Justice Arrangements</w:t>
      </w:r>
    </w:p>
    <w:p w:rsidR="00695D5C" w:rsidRPr="00695D5C" w:rsidRDefault="00695D5C" w:rsidP="00695D5C">
      <w:pPr>
        <w:ind w:left="855" w:right="606"/>
        <w:rPr>
          <w:rFonts w:ascii="Arial" w:hAnsi="Arial" w:cs="Arial"/>
        </w:rPr>
      </w:pPr>
      <w:r w:rsidRPr="00695D5C">
        <w:rPr>
          <w:rFonts w:ascii="Arial" w:hAnsi="Arial" w:cs="Arial"/>
        </w:rPr>
        <w:t>Productivity Commission</w:t>
      </w:r>
    </w:p>
    <w:p w:rsidR="00695D5C" w:rsidRPr="00695D5C" w:rsidRDefault="00695D5C" w:rsidP="00695D5C">
      <w:pPr>
        <w:ind w:left="855" w:right="606"/>
        <w:rPr>
          <w:rFonts w:ascii="Arial" w:hAnsi="Arial" w:cs="Arial"/>
        </w:rPr>
      </w:pPr>
      <w:r w:rsidRPr="00695D5C">
        <w:rPr>
          <w:rFonts w:ascii="Arial" w:hAnsi="Arial" w:cs="Arial"/>
        </w:rPr>
        <w:t>LB2 Collins Street East</w:t>
      </w:r>
    </w:p>
    <w:p w:rsidR="00695D5C" w:rsidRPr="00695D5C" w:rsidRDefault="00695D5C" w:rsidP="00C656A3">
      <w:pPr>
        <w:ind w:left="855" w:right="606"/>
        <w:rPr>
          <w:rFonts w:ascii="Arial" w:hAnsi="Arial" w:cs="Arial"/>
        </w:rPr>
      </w:pPr>
      <w:r w:rsidRPr="00695D5C">
        <w:rPr>
          <w:rFonts w:ascii="Arial" w:hAnsi="Arial" w:cs="Arial"/>
        </w:rPr>
        <w:t>Melbourne Vic 8003</w:t>
      </w:r>
    </w:p>
    <w:p w:rsidR="00695D5C" w:rsidRDefault="00695D5C" w:rsidP="00695D5C">
      <w:pPr>
        <w:ind w:left="855" w:right="606"/>
        <w:rPr>
          <w:rFonts w:ascii="Arial" w:hAnsi="Arial" w:cs="Arial"/>
        </w:rPr>
      </w:pPr>
      <w:bookmarkStart w:id="0" w:name="_GoBack"/>
      <w:bookmarkEnd w:id="0"/>
    </w:p>
    <w:p w:rsidR="005E6F84" w:rsidRDefault="005E6F84" w:rsidP="00695D5C">
      <w:pPr>
        <w:ind w:left="855" w:right="606"/>
        <w:rPr>
          <w:rFonts w:ascii="Arial" w:hAnsi="Arial" w:cs="Arial"/>
        </w:rPr>
      </w:pPr>
    </w:p>
    <w:p w:rsidR="00713AA8" w:rsidRPr="00695D5C" w:rsidRDefault="00B7097B" w:rsidP="00695D5C">
      <w:pPr>
        <w:ind w:left="855" w:right="606"/>
        <w:rPr>
          <w:rFonts w:ascii="Arial" w:hAnsi="Arial" w:cs="Arial"/>
        </w:rPr>
      </w:pPr>
      <w:r>
        <w:rPr>
          <w:rFonts w:ascii="Arial" w:hAnsi="Arial" w:cs="Arial"/>
        </w:rPr>
        <w:t xml:space="preserve">By Email: </w:t>
      </w:r>
      <w:r w:rsidR="00494081">
        <w:rPr>
          <w:rFonts w:ascii="Arial" w:hAnsi="Arial" w:cs="Arial"/>
        </w:rPr>
        <w:t>access.justice@pc.gov.au</w:t>
      </w:r>
    </w:p>
    <w:p w:rsidR="00695D5C" w:rsidRDefault="00695D5C" w:rsidP="00695D5C">
      <w:pPr>
        <w:ind w:left="855" w:right="606"/>
        <w:rPr>
          <w:rFonts w:ascii="Arial" w:hAnsi="Arial" w:cs="Arial"/>
        </w:rPr>
      </w:pPr>
    </w:p>
    <w:p w:rsidR="00B7097B" w:rsidRDefault="00B7097B" w:rsidP="00695D5C">
      <w:pPr>
        <w:ind w:left="855" w:right="606"/>
        <w:rPr>
          <w:rFonts w:ascii="Arial" w:hAnsi="Arial" w:cs="Arial"/>
        </w:rPr>
      </w:pPr>
    </w:p>
    <w:p w:rsidR="005E6F84" w:rsidRDefault="005E6F84" w:rsidP="00695D5C">
      <w:pPr>
        <w:ind w:left="855" w:right="606"/>
        <w:rPr>
          <w:rFonts w:ascii="Arial" w:hAnsi="Arial" w:cs="Arial"/>
        </w:rPr>
      </w:pPr>
    </w:p>
    <w:p w:rsidR="00695D5C" w:rsidRPr="00695D5C" w:rsidRDefault="00695D5C" w:rsidP="00695D5C">
      <w:pPr>
        <w:ind w:left="855" w:right="606"/>
        <w:rPr>
          <w:rFonts w:ascii="Arial" w:hAnsi="Arial" w:cs="Arial"/>
        </w:rPr>
      </w:pPr>
      <w:r w:rsidRPr="00695D5C">
        <w:rPr>
          <w:rFonts w:ascii="Arial" w:hAnsi="Arial" w:cs="Arial"/>
        </w:rPr>
        <w:t>Dear Commissioner,</w:t>
      </w:r>
    </w:p>
    <w:p w:rsidR="00695D5C" w:rsidRPr="00695D5C" w:rsidRDefault="00695D5C" w:rsidP="00695D5C">
      <w:pPr>
        <w:ind w:left="855" w:right="606"/>
        <w:rPr>
          <w:rFonts w:ascii="Arial" w:hAnsi="Arial" w:cs="Arial"/>
        </w:rPr>
      </w:pPr>
    </w:p>
    <w:p w:rsidR="00695D5C" w:rsidRPr="00695D5C" w:rsidRDefault="00695D5C" w:rsidP="00695D5C">
      <w:pPr>
        <w:ind w:left="855" w:right="606"/>
        <w:rPr>
          <w:rFonts w:ascii="Arial" w:hAnsi="Arial" w:cs="Arial"/>
          <w:b/>
        </w:rPr>
      </w:pPr>
      <w:r w:rsidRPr="00695D5C">
        <w:rPr>
          <w:rFonts w:ascii="Arial" w:hAnsi="Arial" w:cs="Arial"/>
          <w:b/>
        </w:rPr>
        <w:t>INQUIRY INTO ACCES</w:t>
      </w:r>
      <w:r w:rsidR="003A22C0">
        <w:rPr>
          <w:rFonts w:ascii="Arial" w:hAnsi="Arial" w:cs="Arial"/>
          <w:b/>
        </w:rPr>
        <w:t>S</w:t>
      </w:r>
      <w:r w:rsidRPr="00695D5C">
        <w:rPr>
          <w:rFonts w:ascii="Arial" w:hAnsi="Arial" w:cs="Arial"/>
          <w:b/>
        </w:rPr>
        <w:t xml:space="preserve"> TO JUSTICE ARRANGEMENTS</w:t>
      </w:r>
    </w:p>
    <w:p w:rsidR="00695D5C" w:rsidRPr="00695D5C" w:rsidRDefault="00695D5C" w:rsidP="00695D5C">
      <w:pPr>
        <w:ind w:left="855" w:right="606"/>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Shoalcoast Community Legal Centre (Shoalcoast) is a generalist legal service and member of Community Legal Centres New South Wales as part of the National Association of Community Legal Centres.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We welcome the opportunity to contribute to the inquiry in an effort to increase access to justice for our community, significantly including those from a diverse range </w:t>
      </w:r>
      <w:r w:rsidR="00B7097B">
        <w:rPr>
          <w:rFonts w:ascii="Arial" w:hAnsi="Arial" w:cs="Arial"/>
        </w:rPr>
        <w:t xml:space="preserve">of </w:t>
      </w:r>
      <w:r w:rsidRPr="00695D5C">
        <w:rPr>
          <w:rFonts w:ascii="Arial" w:hAnsi="Arial" w:cs="Arial"/>
        </w:rPr>
        <w:t xml:space="preserve">disadvantaged backgrounds.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This submission outlines some of the strategies Shoalcoast uses to increase access to justice in our region in addition to our response to the issues in the discussion paper that we believe we have some expertise gained through our extensive experience delivering legal services to a large geographic area of d</w:t>
      </w:r>
      <w:r w:rsidR="00DB233C">
        <w:rPr>
          <w:rFonts w:ascii="Arial" w:hAnsi="Arial" w:cs="Arial"/>
        </w:rPr>
        <w:t>iverse socio economic demographic</w:t>
      </w:r>
      <w:r w:rsidRPr="00695D5C">
        <w:rPr>
          <w:rFonts w:ascii="Arial" w:hAnsi="Arial" w:cs="Arial"/>
        </w:rPr>
        <w:t>.</w:t>
      </w:r>
    </w:p>
    <w:p w:rsidR="00713AA8" w:rsidRPr="00695D5C" w:rsidRDefault="00713AA8" w:rsidP="00B7097B">
      <w:pPr>
        <w:ind w:right="828"/>
        <w:jc w:val="both"/>
        <w:rPr>
          <w:rFonts w:ascii="Arial" w:hAnsi="Arial" w:cs="Arial"/>
        </w:rPr>
      </w:pPr>
    </w:p>
    <w:p w:rsidR="00695D5C" w:rsidRPr="00695D5C" w:rsidRDefault="00695D5C" w:rsidP="00CC22DE">
      <w:pPr>
        <w:ind w:left="855" w:right="828"/>
        <w:jc w:val="both"/>
        <w:rPr>
          <w:rFonts w:ascii="Arial" w:hAnsi="Arial" w:cs="Arial"/>
          <w:b/>
          <w:i/>
        </w:rPr>
      </w:pPr>
      <w:r w:rsidRPr="00695D5C">
        <w:rPr>
          <w:rFonts w:ascii="Arial" w:hAnsi="Arial" w:cs="Arial"/>
          <w:b/>
          <w:i/>
        </w:rPr>
        <w:t>Shoalcoast Background</w:t>
      </w:r>
    </w:p>
    <w:p w:rsidR="00695D5C" w:rsidRPr="00695D5C" w:rsidRDefault="00695D5C" w:rsidP="00CC22DE">
      <w:pPr>
        <w:ind w:left="855" w:right="828"/>
        <w:jc w:val="both"/>
        <w:rPr>
          <w:rFonts w:ascii="Arial" w:hAnsi="Arial" w:cs="Arial"/>
        </w:rPr>
      </w:pPr>
    </w:p>
    <w:p w:rsidR="00465FBA" w:rsidRDefault="00695D5C" w:rsidP="00CC22DE">
      <w:pPr>
        <w:ind w:left="855" w:right="828"/>
        <w:jc w:val="both"/>
        <w:rPr>
          <w:rFonts w:ascii="Arial" w:hAnsi="Arial" w:cs="Arial"/>
        </w:rPr>
      </w:pPr>
      <w:r w:rsidRPr="00695D5C">
        <w:rPr>
          <w:rFonts w:ascii="Arial" w:hAnsi="Arial" w:cs="Arial"/>
        </w:rPr>
        <w:t>Shoalcoast have been operating since 1999</w:t>
      </w:r>
      <w:r w:rsidR="00465FBA">
        <w:rPr>
          <w:rFonts w:ascii="Arial" w:hAnsi="Arial" w:cs="Arial"/>
        </w:rPr>
        <w:t>. O</w:t>
      </w:r>
      <w:r w:rsidRPr="00695D5C">
        <w:rPr>
          <w:rFonts w:ascii="Arial" w:hAnsi="Arial" w:cs="Arial"/>
        </w:rPr>
        <w:t xml:space="preserve">ver these years </w:t>
      </w:r>
      <w:r w:rsidR="00465FBA">
        <w:rPr>
          <w:rFonts w:ascii="Arial" w:hAnsi="Arial" w:cs="Arial"/>
        </w:rPr>
        <w:t xml:space="preserve">we have </w:t>
      </w:r>
      <w:r w:rsidRPr="00695D5C">
        <w:rPr>
          <w:rFonts w:ascii="Arial" w:hAnsi="Arial" w:cs="Arial"/>
        </w:rPr>
        <w:t xml:space="preserve">assisted many disadvantaged people to access both Shoalcoast and other legal services. </w:t>
      </w:r>
    </w:p>
    <w:p w:rsidR="00465FBA" w:rsidRDefault="00465FBA"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We deliver free and accessible legal services to residents of the South Coast and South East NSW communities within the Shoalhaven, Eurobodalla, Bega Valley, Bodalla, Cooma-Monaro, Snowy River, Palerang and Queanbeyan local government areas (Gilmore and Eden-Monaro Federal Electorates).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lastRenderedPageBreak/>
        <w:t xml:space="preserve">Shoalcoast’s mission is to provide an accessible professional legal service, responsive to the needs of those most disadvantaged and which promotes just and lasting solutions to legal and social issues in our community.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Shoalcoast is committed to equal access to justice and in particular in using our limited resources to reach out to communities to ensure people are aware of when they might have a legal issue encouraging early intervention by p</w:t>
      </w:r>
      <w:r w:rsidR="00465FBA">
        <w:rPr>
          <w:rFonts w:ascii="Arial" w:hAnsi="Arial" w:cs="Arial"/>
        </w:rPr>
        <w:t>roviding direct legal advice or</w:t>
      </w:r>
      <w:r w:rsidRPr="00695D5C">
        <w:rPr>
          <w:rFonts w:ascii="Arial" w:hAnsi="Arial" w:cs="Arial"/>
        </w:rPr>
        <w:t xml:space="preserve"> information on how best to get assistance to address their specific issue.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We deliver our services through a range of options including telephone legal advice, and face to face appointments at our Nowra office and various outreach locations. We are now </w:t>
      </w:r>
      <w:r w:rsidR="004D2FE6" w:rsidRPr="00695D5C">
        <w:rPr>
          <w:rFonts w:ascii="Arial" w:hAnsi="Arial" w:cs="Arial"/>
        </w:rPr>
        <w:t>trialing</w:t>
      </w:r>
      <w:r w:rsidRPr="00695D5C">
        <w:rPr>
          <w:rFonts w:ascii="Arial" w:hAnsi="Arial" w:cs="Arial"/>
        </w:rPr>
        <w:t xml:space="preserve"> the use of Skype to connect with more remote communities as part of our outreach schedule.  We also deliver a range of community legal education opportunities throughout our region each year.</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Shoalcoast believes that not having legal issue</w:t>
      </w:r>
      <w:r w:rsidR="002C7B6D">
        <w:rPr>
          <w:rFonts w:ascii="Arial" w:hAnsi="Arial" w:cs="Arial"/>
        </w:rPr>
        <w:t>s dealt with in a timely manner</w:t>
      </w:r>
      <w:r w:rsidRPr="00695D5C">
        <w:rPr>
          <w:rFonts w:ascii="Arial" w:hAnsi="Arial" w:cs="Arial"/>
        </w:rPr>
        <w:t xml:space="preserve"> can have significant adverse effects ultimately impacting on the individuals contributions to society</w:t>
      </w:r>
      <w:r w:rsidR="002C7B6D">
        <w:rPr>
          <w:rFonts w:ascii="Arial" w:hAnsi="Arial" w:cs="Arial"/>
        </w:rPr>
        <w:t>.</w:t>
      </w:r>
      <w:r w:rsidRPr="00695D5C">
        <w:rPr>
          <w:rFonts w:ascii="Arial" w:hAnsi="Arial" w:cs="Arial"/>
        </w:rPr>
        <w:t xml:space="preserve"> </w:t>
      </w:r>
      <w:r w:rsidR="002C7B6D">
        <w:rPr>
          <w:rFonts w:ascii="Arial" w:hAnsi="Arial" w:cs="Arial"/>
        </w:rPr>
        <w:t xml:space="preserve">In this way, not only is </w:t>
      </w:r>
      <w:r w:rsidRPr="00695D5C">
        <w:rPr>
          <w:rFonts w:ascii="Arial" w:hAnsi="Arial" w:cs="Arial"/>
        </w:rPr>
        <w:t>collectiv</w:t>
      </w:r>
      <w:r w:rsidR="002C7B6D">
        <w:rPr>
          <w:rFonts w:ascii="Arial" w:hAnsi="Arial" w:cs="Arial"/>
        </w:rPr>
        <w:t>e productivity of the community reduced</w:t>
      </w:r>
      <w:r w:rsidRPr="00695D5C">
        <w:rPr>
          <w:rFonts w:ascii="Arial" w:hAnsi="Arial" w:cs="Arial"/>
        </w:rPr>
        <w:t xml:space="preserve"> </w:t>
      </w:r>
      <w:r w:rsidR="002C7B6D">
        <w:rPr>
          <w:rFonts w:ascii="Arial" w:hAnsi="Arial" w:cs="Arial"/>
        </w:rPr>
        <w:t xml:space="preserve">but this </w:t>
      </w:r>
      <w:r w:rsidRPr="00695D5C">
        <w:rPr>
          <w:rFonts w:ascii="Arial" w:hAnsi="Arial" w:cs="Arial"/>
        </w:rPr>
        <w:t>consequent</w:t>
      </w:r>
      <w:r w:rsidR="002C7B6D">
        <w:rPr>
          <w:rFonts w:ascii="Arial" w:hAnsi="Arial" w:cs="Arial"/>
        </w:rPr>
        <w:t>ly places</w:t>
      </w:r>
      <w:r w:rsidRPr="00695D5C">
        <w:rPr>
          <w:rFonts w:ascii="Arial" w:hAnsi="Arial" w:cs="Arial"/>
        </w:rPr>
        <w:t xml:space="preserve"> greater pressure on limited and costly social support services.  </w:t>
      </w:r>
    </w:p>
    <w:p w:rsidR="00C656A3" w:rsidRPr="00695D5C" w:rsidRDefault="00C656A3" w:rsidP="00CC22DE">
      <w:pPr>
        <w:ind w:left="855" w:right="828"/>
        <w:jc w:val="both"/>
        <w:rPr>
          <w:rFonts w:ascii="Arial" w:hAnsi="Arial" w:cs="Arial"/>
        </w:rPr>
      </w:pPr>
    </w:p>
    <w:p w:rsidR="00695D5C" w:rsidRPr="00695D5C" w:rsidRDefault="00695D5C" w:rsidP="00CC22DE">
      <w:pPr>
        <w:ind w:left="855" w:right="828"/>
        <w:jc w:val="both"/>
        <w:rPr>
          <w:rFonts w:ascii="Arial" w:hAnsi="Arial" w:cs="Arial"/>
          <w:b/>
          <w:i/>
        </w:rPr>
      </w:pPr>
      <w:r w:rsidRPr="00695D5C">
        <w:rPr>
          <w:rFonts w:ascii="Arial" w:hAnsi="Arial" w:cs="Arial"/>
          <w:b/>
          <w:i/>
        </w:rPr>
        <w:t>Shoalcoast provision of Legal Services</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We provide telephone legal advice through our Nowra office providing a 1800 free call number for people residing south of the Shoalhaven.  Unfortunately, however this </w:t>
      </w:r>
      <w:r w:rsidR="004D2FE6" w:rsidRPr="00695D5C">
        <w:rPr>
          <w:rFonts w:ascii="Arial" w:hAnsi="Arial" w:cs="Arial"/>
        </w:rPr>
        <w:t>free call</w:t>
      </w:r>
      <w:r w:rsidRPr="00695D5C">
        <w:rPr>
          <w:rFonts w:ascii="Arial" w:hAnsi="Arial" w:cs="Arial"/>
        </w:rPr>
        <w:t xml:space="preserve"> number does not apply to some calls</w:t>
      </w:r>
      <w:r w:rsidR="00AD121C">
        <w:rPr>
          <w:rFonts w:ascii="Arial" w:hAnsi="Arial" w:cs="Arial"/>
        </w:rPr>
        <w:t>,</w:t>
      </w:r>
      <w:r w:rsidRPr="00695D5C">
        <w:rPr>
          <w:rFonts w:ascii="Arial" w:hAnsi="Arial" w:cs="Arial"/>
        </w:rPr>
        <w:t xml:space="preserve"> particularly for people using a mobile service.  This in itself has been identified as being a key barrier to free legal services</w:t>
      </w:r>
      <w:r w:rsidR="00AD121C">
        <w:rPr>
          <w:rFonts w:ascii="Arial" w:hAnsi="Arial" w:cs="Arial"/>
        </w:rPr>
        <w:t>,</w:t>
      </w:r>
      <w:r w:rsidRPr="00695D5C">
        <w:rPr>
          <w:rFonts w:ascii="Arial" w:hAnsi="Arial" w:cs="Arial"/>
        </w:rPr>
        <w:t xml:space="preserve"> as many disadvantaged people rely solely on a mobile telephone service. In an attempt to overcome this obstacle we have developed a policy of ringing people </w:t>
      </w:r>
      <w:r w:rsidR="00AD121C">
        <w:rPr>
          <w:rFonts w:ascii="Arial" w:hAnsi="Arial" w:cs="Arial"/>
        </w:rPr>
        <w:t xml:space="preserve">back when calling on a mobile. </w:t>
      </w:r>
      <w:r w:rsidRPr="00695D5C">
        <w:rPr>
          <w:rFonts w:ascii="Arial" w:hAnsi="Arial" w:cs="Arial"/>
        </w:rPr>
        <w:t>Based on the above barrier identification, Shoalcoast along with many other regional services actively participated in the lobbying undertaken by the ACCAN Fair Calls for Alls Campaign in 2011 to the Australian Communications and Media Authority (ACMA)</w:t>
      </w:r>
      <w:r w:rsidR="00AD121C">
        <w:rPr>
          <w:rFonts w:ascii="Arial" w:hAnsi="Arial" w:cs="Arial"/>
        </w:rPr>
        <w:t>,</w:t>
      </w:r>
      <w:r w:rsidRPr="00695D5C">
        <w:rPr>
          <w:rFonts w:ascii="Arial" w:hAnsi="Arial" w:cs="Arial"/>
        </w:rPr>
        <w:t xml:space="preserve"> encouraging the wider telecommunications industry to change revenue sharing arrangements for mobile calls to 1800, 1300 and 13 numbers to ensure they are affordable for all.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Shoalcoast </w:t>
      </w:r>
      <w:r w:rsidR="00AD121C">
        <w:rPr>
          <w:rFonts w:ascii="Arial" w:hAnsi="Arial" w:cs="Arial"/>
        </w:rPr>
        <w:t xml:space="preserve">also </w:t>
      </w:r>
      <w:r w:rsidRPr="00695D5C">
        <w:rPr>
          <w:rFonts w:ascii="Arial" w:hAnsi="Arial" w:cs="Arial"/>
        </w:rPr>
        <w:t>provides an extensive range of outreach face to face appointments within our region on a regular basis in partnership with communities and agencies</w:t>
      </w:r>
      <w:r w:rsidR="00AD121C">
        <w:rPr>
          <w:rFonts w:ascii="Arial" w:hAnsi="Arial" w:cs="Arial"/>
        </w:rPr>
        <w:t>,</w:t>
      </w:r>
      <w:r w:rsidRPr="00695D5C">
        <w:rPr>
          <w:rFonts w:ascii="Arial" w:hAnsi="Arial" w:cs="Arial"/>
        </w:rPr>
        <w:t xml:space="preserve"> including </w:t>
      </w:r>
      <w:r w:rsidR="00AD121C">
        <w:rPr>
          <w:rFonts w:ascii="Arial" w:hAnsi="Arial" w:cs="Arial"/>
        </w:rPr>
        <w:t>Aboriginal and Torres Strait Islander</w:t>
      </w:r>
      <w:r w:rsidRPr="00695D5C">
        <w:rPr>
          <w:rFonts w:ascii="Arial" w:hAnsi="Arial" w:cs="Arial"/>
        </w:rPr>
        <w:t xml:space="preserve"> communities</w:t>
      </w:r>
      <w:r w:rsidR="00AD121C">
        <w:rPr>
          <w:rFonts w:ascii="Arial" w:hAnsi="Arial" w:cs="Arial"/>
        </w:rPr>
        <w:t xml:space="preserve"> (ATSI)</w:t>
      </w:r>
      <w:r w:rsidRPr="00695D5C">
        <w:rPr>
          <w:rFonts w:ascii="Arial" w:hAnsi="Arial" w:cs="Arial"/>
        </w:rPr>
        <w:t xml:space="preserve">. These are a combination of drop in and appointment based arrangements depending on where we are attending.  Our </w:t>
      </w:r>
      <w:r w:rsidR="00A143B3">
        <w:rPr>
          <w:rFonts w:ascii="Arial" w:hAnsi="Arial" w:cs="Arial"/>
        </w:rPr>
        <w:t>ATSI</w:t>
      </w:r>
      <w:r w:rsidRPr="00695D5C">
        <w:rPr>
          <w:rFonts w:ascii="Arial" w:hAnsi="Arial" w:cs="Arial"/>
        </w:rPr>
        <w:t xml:space="preserve"> legal advice clinics are conducted on communities at Jerrinja (near Nowra), Wreck Bay and Wallaga Lake</w:t>
      </w:r>
      <w:r w:rsidR="00A143B3">
        <w:rPr>
          <w:rFonts w:ascii="Arial" w:hAnsi="Arial" w:cs="Arial"/>
        </w:rPr>
        <w:t>.</w:t>
      </w:r>
      <w:r w:rsidRPr="00695D5C">
        <w:rPr>
          <w:rFonts w:ascii="Arial" w:hAnsi="Arial" w:cs="Arial"/>
        </w:rPr>
        <w:t xml:space="preserve"> </w:t>
      </w:r>
      <w:r w:rsidR="00A143B3">
        <w:rPr>
          <w:rFonts w:ascii="Arial" w:hAnsi="Arial" w:cs="Arial"/>
        </w:rPr>
        <w:t xml:space="preserve">These are all conducted on a are </w:t>
      </w:r>
      <w:r w:rsidRPr="00695D5C">
        <w:rPr>
          <w:rFonts w:ascii="Arial" w:hAnsi="Arial" w:cs="Arial"/>
        </w:rPr>
        <w:t xml:space="preserve">drop in </w:t>
      </w:r>
      <w:r w:rsidR="00A143B3">
        <w:rPr>
          <w:rFonts w:ascii="Arial" w:hAnsi="Arial" w:cs="Arial"/>
        </w:rPr>
        <w:t xml:space="preserve">basis </w:t>
      </w:r>
      <w:r w:rsidRPr="00695D5C">
        <w:rPr>
          <w:rFonts w:ascii="Arial" w:hAnsi="Arial" w:cs="Arial"/>
        </w:rPr>
        <w:t>to allow peop</w:t>
      </w:r>
      <w:r w:rsidR="00A143B3">
        <w:rPr>
          <w:rFonts w:ascii="Arial" w:hAnsi="Arial" w:cs="Arial"/>
        </w:rPr>
        <w:t xml:space="preserve">le to approach our lawyers </w:t>
      </w:r>
      <w:r w:rsidRPr="00695D5C">
        <w:rPr>
          <w:rFonts w:ascii="Arial" w:hAnsi="Arial" w:cs="Arial"/>
        </w:rPr>
        <w:t>more informal</w:t>
      </w:r>
      <w:r w:rsidR="00A143B3">
        <w:rPr>
          <w:rFonts w:ascii="Arial" w:hAnsi="Arial" w:cs="Arial"/>
        </w:rPr>
        <w:t xml:space="preserve">ly.  </w:t>
      </w:r>
      <w:r w:rsidRPr="00695D5C">
        <w:rPr>
          <w:rFonts w:ascii="Arial" w:hAnsi="Arial" w:cs="Arial"/>
        </w:rPr>
        <w:t>Our outreach locations are published on our website www.shoalcoast.org.au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In the 2012/13 year Shoalcoast assisted 1,119 individual clients.  Our statistics demonstrate our access strategies are assisting us to reach the most disadvantaged residents with the following groups represented by a percentage of our total clients in this period:</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w:t>
      </w:r>
      <w:r w:rsidRPr="00695D5C">
        <w:rPr>
          <w:rFonts w:ascii="Arial" w:hAnsi="Arial" w:cs="Arial"/>
        </w:rPr>
        <w:tab/>
        <w:t>Indigenous – 12%</w:t>
      </w:r>
    </w:p>
    <w:p w:rsidR="00695D5C" w:rsidRPr="00695D5C" w:rsidRDefault="00695D5C" w:rsidP="00CC22DE">
      <w:pPr>
        <w:ind w:left="855" w:right="828"/>
        <w:jc w:val="both"/>
        <w:rPr>
          <w:rFonts w:ascii="Arial" w:hAnsi="Arial" w:cs="Arial"/>
        </w:rPr>
      </w:pPr>
      <w:r w:rsidRPr="00695D5C">
        <w:rPr>
          <w:rFonts w:ascii="Arial" w:hAnsi="Arial" w:cs="Arial"/>
        </w:rPr>
        <w:t>•</w:t>
      </w:r>
      <w:r w:rsidRPr="00695D5C">
        <w:rPr>
          <w:rFonts w:ascii="Arial" w:hAnsi="Arial" w:cs="Arial"/>
        </w:rPr>
        <w:tab/>
        <w:t>Sole Parents – 27%</w:t>
      </w:r>
    </w:p>
    <w:p w:rsidR="00695D5C" w:rsidRPr="00695D5C" w:rsidRDefault="00695D5C" w:rsidP="00CC22DE">
      <w:pPr>
        <w:ind w:left="855" w:right="828"/>
        <w:jc w:val="both"/>
        <w:rPr>
          <w:rFonts w:ascii="Arial" w:hAnsi="Arial" w:cs="Arial"/>
        </w:rPr>
      </w:pPr>
      <w:r w:rsidRPr="00695D5C">
        <w:rPr>
          <w:rFonts w:ascii="Arial" w:hAnsi="Arial" w:cs="Arial"/>
        </w:rPr>
        <w:t>•</w:t>
      </w:r>
      <w:r w:rsidRPr="00695D5C">
        <w:rPr>
          <w:rFonts w:ascii="Arial" w:hAnsi="Arial" w:cs="Arial"/>
        </w:rPr>
        <w:tab/>
        <w:t>People Living on a Low or No Income (mainly Centrelink recipients) – 83%</w:t>
      </w:r>
    </w:p>
    <w:p w:rsidR="00695D5C" w:rsidRPr="00695D5C" w:rsidRDefault="00695D5C" w:rsidP="00CC22DE">
      <w:pPr>
        <w:ind w:left="855" w:right="828"/>
        <w:jc w:val="both"/>
        <w:rPr>
          <w:rFonts w:ascii="Arial" w:hAnsi="Arial" w:cs="Arial"/>
        </w:rPr>
      </w:pPr>
      <w:r w:rsidRPr="00695D5C">
        <w:rPr>
          <w:rFonts w:ascii="Arial" w:hAnsi="Arial" w:cs="Arial"/>
        </w:rPr>
        <w:t>•</w:t>
      </w:r>
      <w:r w:rsidRPr="00695D5C">
        <w:rPr>
          <w:rFonts w:ascii="Arial" w:hAnsi="Arial" w:cs="Arial"/>
        </w:rPr>
        <w:tab/>
        <w:t>People with a Disability – 25%</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Shoalcoast provides the following submi</w:t>
      </w:r>
      <w:r w:rsidR="005E6F84">
        <w:rPr>
          <w:rFonts w:ascii="Arial" w:hAnsi="Arial" w:cs="Arial"/>
        </w:rPr>
        <w:t xml:space="preserve">ssions addressing a number of the discussion </w:t>
      </w:r>
      <w:r w:rsidRPr="00695D5C">
        <w:rPr>
          <w:rFonts w:ascii="Arial" w:hAnsi="Arial" w:cs="Arial"/>
        </w:rPr>
        <w:t>points from our perspective of a Community Legal Centre</w:t>
      </w:r>
      <w:r w:rsidR="005E6F84">
        <w:rPr>
          <w:rFonts w:ascii="Arial" w:hAnsi="Arial" w:cs="Arial"/>
        </w:rPr>
        <w:t xml:space="preserve"> drawing on </w:t>
      </w:r>
      <w:r w:rsidRPr="00695D5C">
        <w:rPr>
          <w:rFonts w:ascii="Arial" w:hAnsi="Arial" w:cs="Arial"/>
        </w:rPr>
        <w:t xml:space="preserve">our experience and knowledge gained </w:t>
      </w:r>
      <w:r w:rsidR="005E6F84">
        <w:rPr>
          <w:rFonts w:ascii="Arial" w:hAnsi="Arial" w:cs="Arial"/>
        </w:rPr>
        <w:t>over many years</w:t>
      </w:r>
      <w:r w:rsidRPr="00695D5C">
        <w:rPr>
          <w:rFonts w:ascii="Arial" w:hAnsi="Arial" w:cs="Arial"/>
        </w:rPr>
        <w:t xml:space="preserve"> </w:t>
      </w:r>
      <w:r w:rsidR="005E6F84">
        <w:rPr>
          <w:rFonts w:ascii="Arial" w:hAnsi="Arial" w:cs="Arial"/>
        </w:rPr>
        <w:t xml:space="preserve">delivering free legal services </w:t>
      </w:r>
      <w:r w:rsidRPr="00695D5C">
        <w:rPr>
          <w:rFonts w:ascii="Arial" w:hAnsi="Arial" w:cs="Arial"/>
        </w:rPr>
        <w:t>in a large geographical regional area</w:t>
      </w:r>
      <w:r w:rsidR="005E6F84">
        <w:rPr>
          <w:rFonts w:ascii="Arial" w:hAnsi="Arial" w:cs="Arial"/>
        </w:rPr>
        <w:t xml:space="preserve"> including</w:t>
      </w:r>
      <w:r w:rsidRPr="00695D5C">
        <w:rPr>
          <w:rFonts w:ascii="Arial" w:hAnsi="Arial" w:cs="Arial"/>
        </w:rPr>
        <w:t xml:space="preserve"> remote </w:t>
      </w:r>
      <w:r w:rsidR="005E6F84">
        <w:rPr>
          <w:rFonts w:ascii="Arial" w:hAnsi="Arial" w:cs="Arial"/>
        </w:rPr>
        <w:t>ATSI</w:t>
      </w:r>
      <w:r w:rsidRPr="00695D5C">
        <w:rPr>
          <w:rFonts w:ascii="Arial" w:hAnsi="Arial" w:cs="Arial"/>
        </w:rPr>
        <w:t xml:space="preserve"> communities isolated due to high levels of unemployment, lack of public transport and other social issues. </w:t>
      </w:r>
    </w:p>
    <w:p w:rsidR="00695D5C" w:rsidRPr="00695D5C" w:rsidRDefault="00695D5C" w:rsidP="00CC22DE">
      <w:pPr>
        <w:ind w:left="855" w:right="828"/>
        <w:jc w:val="both"/>
        <w:rPr>
          <w:rFonts w:ascii="Arial" w:hAnsi="Arial" w:cs="Arial"/>
        </w:rPr>
      </w:pPr>
    </w:p>
    <w:p w:rsidR="00695D5C" w:rsidRPr="000165F6" w:rsidRDefault="00695D5C" w:rsidP="00CC22DE">
      <w:pPr>
        <w:ind w:left="855" w:right="828"/>
        <w:jc w:val="both"/>
        <w:rPr>
          <w:rFonts w:ascii="Arial" w:hAnsi="Arial" w:cs="Arial"/>
          <w:b/>
          <w:i/>
        </w:rPr>
      </w:pPr>
      <w:r w:rsidRPr="000165F6">
        <w:rPr>
          <w:rFonts w:ascii="Arial" w:hAnsi="Arial" w:cs="Arial"/>
          <w:b/>
          <w:i/>
        </w:rPr>
        <w:t>What are the benefits to individuals and the community of an accessible civil dispute resolution system? How does a failure to provide adequate access to justice impact on individuals and the community more broadly?</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An accessible civil dispute resolution system provides significant flow on benefits for the community in terms of individual contribution to collective productivity and a reduction in individual reliance on resources provided by the community through assistance projects and government support services.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When individuals have ready access to a legal dispute resolution system they are more likely to seek out a resolution to their problem through this system</w:t>
      </w:r>
      <w:r w:rsidR="00EC7CEA">
        <w:rPr>
          <w:rFonts w:ascii="Arial" w:hAnsi="Arial" w:cs="Arial"/>
        </w:rPr>
        <w:t>,</w:t>
      </w:r>
      <w:r w:rsidRPr="00695D5C">
        <w:rPr>
          <w:rFonts w:ascii="Arial" w:hAnsi="Arial" w:cs="Arial"/>
        </w:rPr>
        <w:t xml:space="preserve"> rather than ignore the problem resulting in its escalation. In this way we can see the benefits of proactive early intervention that has a flow on affect to the broader community in terms of productivity contribution.</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Failure to provide adequate access to justice has the polar opposite negative affect. Individuals that do not have ready access to justice will anecdotally ignore their problems hoping they will go away or at least not get worse. Unfortunately for these groups of people an ‘untreated’ legal problem will inevitably get worse</w:t>
      </w:r>
      <w:r w:rsidR="00EC7CEA">
        <w:rPr>
          <w:rFonts w:ascii="Arial" w:hAnsi="Arial" w:cs="Arial"/>
        </w:rPr>
        <w:t>,</w:t>
      </w:r>
      <w:r w:rsidRPr="00695D5C">
        <w:rPr>
          <w:rFonts w:ascii="Arial" w:hAnsi="Arial" w:cs="Arial"/>
        </w:rPr>
        <w:t xml:space="preserve"> with greater adverse effects for both the individual and the community at large.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As the problem escalates the impact on the individual becomes greater and the flow on affect is a reduction in the individual’s contribution to society in a more complex way than would have been the case had access to justice been </w:t>
      </w:r>
      <w:r w:rsidR="00EC7CEA">
        <w:rPr>
          <w:rFonts w:ascii="Arial" w:hAnsi="Arial" w:cs="Arial"/>
        </w:rPr>
        <w:t xml:space="preserve">readily </w:t>
      </w:r>
      <w:r w:rsidRPr="00695D5C">
        <w:rPr>
          <w:rFonts w:ascii="Arial" w:hAnsi="Arial" w:cs="Arial"/>
        </w:rPr>
        <w:t xml:space="preserve">available. The resultant adverse effects on the individual and the flow on reduction in contributions to the community are </w:t>
      </w:r>
      <w:r w:rsidR="00EC7CEA">
        <w:rPr>
          <w:rFonts w:ascii="Arial" w:hAnsi="Arial" w:cs="Arial"/>
        </w:rPr>
        <w:t xml:space="preserve">seen to be </w:t>
      </w:r>
      <w:r w:rsidRPr="00695D5C">
        <w:rPr>
          <w:rFonts w:ascii="Arial" w:hAnsi="Arial" w:cs="Arial"/>
        </w:rPr>
        <w:t xml:space="preserve">greater in regional and remote areas due to relative geographic isolation and limited social assistance resources. </w:t>
      </w:r>
    </w:p>
    <w:p w:rsidR="00713AA8" w:rsidRPr="00695D5C" w:rsidRDefault="00713AA8" w:rsidP="003639B3">
      <w:pPr>
        <w:ind w:right="828"/>
        <w:jc w:val="both"/>
        <w:rPr>
          <w:rFonts w:ascii="Arial" w:hAnsi="Arial" w:cs="Arial"/>
        </w:rPr>
      </w:pPr>
    </w:p>
    <w:p w:rsidR="00695D5C" w:rsidRPr="00695D5C" w:rsidRDefault="00695D5C" w:rsidP="00CC22DE">
      <w:pPr>
        <w:ind w:left="855" w:right="828"/>
        <w:jc w:val="both"/>
        <w:rPr>
          <w:rFonts w:ascii="Arial" w:hAnsi="Arial" w:cs="Arial"/>
          <w:b/>
          <w:i/>
        </w:rPr>
      </w:pPr>
      <w:r w:rsidRPr="00695D5C">
        <w:rPr>
          <w:rFonts w:ascii="Arial" w:hAnsi="Arial" w:cs="Arial"/>
          <w:b/>
          <w:i/>
        </w:rPr>
        <w:t>Case Study Example 1</w:t>
      </w:r>
    </w:p>
    <w:p w:rsidR="00695D5C" w:rsidRPr="00695D5C" w:rsidRDefault="00695D5C" w:rsidP="00CC22DE">
      <w:pPr>
        <w:ind w:left="855" w:right="828"/>
        <w:jc w:val="both"/>
        <w:rPr>
          <w:rFonts w:ascii="Arial" w:hAnsi="Arial" w:cs="Arial"/>
        </w:rPr>
      </w:pPr>
    </w:p>
    <w:p w:rsidR="00CE7002" w:rsidRDefault="003639B3" w:rsidP="00CC22DE">
      <w:pPr>
        <w:ind w:left="855" w:right="828"/>
        <w:jc w:val="both"/>
        <w:rPr>
          <w:rFonts w:ascii="Arial" w:hAnsi="Arial" w:cs="Arial"/>
        </w:rPr>
      </w:pPr>
      <w:r>
        <w:rPr>
          <w:rFonts w:ascii="Arial" w:hAnsi="Arial" w:cs="Arial"/>
        </w:rPr>
        <w:t>The</w:t>
      </w:r>
      <w:r w:rsidR="00695D5C" w:rsidRPr="00695D5C">
        <w:rPr>
          <w:rFonts w:ascii="Arial" w:hAnsi="Arial" w:cs="Arial"/>
        </w:rPr>
        <w:t xml:space="preserve"> client </w:t>
      </w:r>
      <w:r>
        <w:rPr>
          <w:rFonts w:ascii="Arial" w:hAnsi="Arial" w:cs="Arial"/>
        </w:rPr>
        <w:t xml:space="preserve">is </w:t>
      </w:r>
      <w:r w:rsidR="00695D5C" w:rsidRPr="00695D5C">
        <w:rPr>
          <w:rFonts w:ascii="Arial" w:hAnsi="Arial" w:cs="Arial"/>
        </w:rPr>
        <w:t xml:space="preserve">living in the Bega Valley, relatively isolated due to the geographic location and the lack of public transport in the area. The client loses their job as a result of what the employer says in a downturn in the areas economy. The client is unable to maintain their living </w:t>
      </w:r>
      <w:r>
        <w:rPr>
          <w:rFonts w:ascii="Arial" w:hAnsi="Arial" w:cs="Arial"/>
        </w:rPr>
        <w:t>expenses on government benefits including being unable to</w:t>
      </w:r>
      <w:r w:rsidR="00695D5C" w:rsidRPr="00695D5C">
        <w:rPr>
          <w:rFonts w:ascii="Arial" w:hAnsi="Arial" w:cs="Arial"/>
        </w:rPr>
        <w:t xml:space="preserve"> </w:t>
      </w:r>
      <w:r w:rsidR="004D2FE6" w:rsidRPr="00695D5C">
        <w:rPr>
          <w:rFonts w:ascii="Arial" w:hAnsi="Arial" w:cs="Arial"/>
        </w:rPr>
        <w:t>maintain payments on their car</w:t>
      </w:r>
      <w:r w:rsidR="004D2FE6">
        <w:rPr>
          <w:rFonts w:ascii="Arial" w:hAnsi="Arial" w:cs="Arial"/>
        </w:rPr>
        <w:t xml:space="preserve"> loan and credit card</w:t>
      </w:r>
      <w:r w:rsidR="004D2FE6" w:rsidRPr="00695D5C">
        <w:rPr>
          <w:rFonts w:ascii="Arial" w:hAnsi="Arial" w:cs="Arial"/>
        </w:rPr>
        <w:t xml:space="preserve">. </w:t>
      </w:r>
    </w:p>
    <w:p w:rsidR="00CE7002" w:rsidRDefault="00CE7002"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They do not realise there may be a legal problem here and with no legal services other than private practitioners in the area they simply struggle by putting living expences on their credit card. To top things off they have received an electricity </w:t>
      </w:r>
      <w:r w:rsidRPr="00695D5C">
        <w:rPr>
          <w:rFonts w:ascii="Arial" w:hAnsi="Arial" w:cs="Arial"/>
        </w:rPr>
        <w:lastRenderedPageBreak/>
        <w:t xml:space="preserve">Bill of $900. This is almost double that of their regular bills. They simply accept that they must have used more electricity.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It is now some time since losing the job and they have no money left on the credit card, the electricity is about to be disconnected, and they have just received a final letter demanding payment for their car loan or it will be repossessed. The stress of this situation has caused much arguing in the relationship and the two young children are suffering as they witness their parent’s relationship deteriorate. They have also witnessed some incidents of domestic violence; something that they have never witnessed prior to this.</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As a result of a lack of access to legal services the individual is now at risk of family breakdown. They risk losing their means of transport in an isolated regional area and that will make it very difficult to re-enter the workforce. They are at risk of having the electricity disconnected making it impossible to provide essential living needs to the family and creating a risk that they may need to seek financial or other assistance from government services</w:t>
      </w:r>
      <w:r w:rsidR="00CE7002">
        <w:rPr>
          <w:rFonts w:ascii="Arial" w:hAnsi="Arial" w:cs="Arial"/>
        </w:rPr>
        <w:t>,</w:t>
      </w:r>
      <w:r w:rsidRPr="00695D5C">
        <w:rPr>
          <w:rFonts w:ascii="Arial" w:hAnsi="Arial" w:cs="Arial"/>
        </w:rPr>
        <w:t xml:space="preserve"> particularly to provid</w:t>
      </w:r>
      <w:r w:rsidR="00CE7002">
        <w:rPr>
          <w:rFonts w:ascii="Arial" w:hAnsi="Arial" w:cs="Arial"/>
        </w:rPr>
        <w:t xml:space="preserve">e for the needs of the children. They may soon </w:t>
      </w:r>
      <w:r w:rsidRPr="00695D5C">
        <w:rPr>
          <w:rFonts w:ascii="Arial" w:hAnsi="Arial" w:cs="Arial"/>
        </w:rPr>
        <w:t xml:space="preserve">even </w:t>
      </w:r>
      <w:r w:rsidR="00CE7002">
        <w:rPr>
          <w:rFonts w:ascii="Arial" w:hAnsi="Arial" w:cs="Arial"/>
        </w:rPr>
        <w:t xml:space="preserve">face </w:t>
      </w:r>
      <w:r w:rsidRPr="00695D5C">
        <w:rPr>
          <w:rFonts w:ascii="Arial" w:hAnsi="Arial" w:cs="Arial"/>
        </w:rPr>
        <w:t xml:space="preserve">the prospect of the children having to </w:t>
      </w:r>
      <w:r w:rsidR="00CE7002">
        <w:rPr>
          <w:rFonts w:ascii="Arial" w:hAnsi="Arial" w:cs="Arial"/>
        </w:rPr>
        <w:t>be placed into the care of the minister if things continue in this way</w:t>
      </w:r>
      <w:r w:rsidRPr="00695D5C">
        <w:rPr>
          <w:rFonts w:ascii="Arial" w:hAnsi="Arial" w:cs="Arial"/>
        </w:rPr>
        <w:t>. It won’t be long before the landlord will be terminating the tenancy for rent arrears and they will need to access public housing or other emergency accommodation.</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If access to justice was readily available this scenario could be remarkably different and the </w:t>
      </w:r>
      <w:r w:rsidR="004D2FE6" w:rsidRPr="00695D5C">
        <w:rPr>
          <w:rFonts w:ascii="Arial" w:hAnsi="Arial" w:cs="Arial"/>
        </w:rPr>
        <w:t>adverse effects</w:t>
      </w:r>
      <w:r w:rsidRPr="00695D5C">
        <w:rPr>
          <w:rFonts w:ascii="Arial" w:hAnsi="Arial" w:cs="Arial"/>
        </w:rPr>
        <w:t xml:space="preserve"> on both the individual and the community could have been avoided or at least </w:t>
      </w:r>
      <w:r w:rsidR="004D2FE6" w:rsidRPr="00695D5C">
        <w:rPr>
          <w:rFonts w:ascii="Arial" w:hAnsi="Arial" w:cs="Arial"/>
        </w:rPr>
        <w:t>significantly</w:t>
      </w:r>
      <w:r w:rsidRPr="00695D5C">
        <w:rPr>
          <w:rFonts w:ascii="Arial" w:hAnsi="Arial" w:cs="Arial"/>
        </w:rPr>
        <w:t xml:space="preserve"> reduced. </w:t>
      </w:r>
    </w:p>
    <w:p w:rsidR="00695D5C" w:rsidRPr="00695D5C" w:rsidRDefault="00695D5C" w:rsidP="00CC22DE">
      <w:pPr>
        <w:ind w:left="855" w:right="828"/>
        <w:jc w:val="both"/>
        <w:rPr>
          <w:rFonts w:ascii="Arial" w:hAnsi="Arial" w:cs="Arial"/>
        </w:rPr>
      </w:pPr>
    </w:p>
    <w:p w:rsidR="00574168" w:rsidRDefault="00695D5C" w:rsidP="00CC22DE">
      <w:pPr>
        <w:ind w:left="855" w:right="828"/>
        <w:jc w:val="both"/>
        <w:rPr>
          <w:rFonts w:ascii="Arial" w:hAnsi="Arial" w:cs="Arial"/>
        </w:rPr>
      </w:pPr>
      <w:r w:rsidRPr="00695D5C">
        <w:rPr>
          <w:rFonts w:ascii="Arial" w:hAnsi="Arial" w:cs="Arial"/>
        </w:rPr>
        <w:t>When the individual’s employment was terminated they could have approached the local Community Legal Centre (CLC) that they pass all the time but have never needed to access. The CLC may have in the first instance been able to establish that the individual’s termination was not a case of genuine redundancy and assisted them to achieve a remedy through industrial relations law that may have seen their position reinstated</w:t>
      </w:r>
      <w:r w:rsidR="00E26B83">
        <w:rPr>
          <w:rFonts w:ascii="Arial" w:hAnsi="Arial" w:cs="Arial"/>
        </w:rPr>
        <w:t>,</w:t>
      </w:r>
      <w:r w:rsidRPr="00695D5C">
        <w:rPr>
          <w:rFonts w:ascii="Arial" w:hAnsi="Arial" w:cs="Arial"/>
        </w:rPr>
        <w:t xml:space="preserve"> or at least </w:t>
      </w:r>
      <w:r w:rsidR="00E26B83">
        <w:rPr>
          <w:rFonts w:ascii="Arial" w:hAnsi="Arial" w:cs="Arial"/>
        </w:rPr>
        <w:t>obtained compensation</w:t>
      </w:r>
      <w:r w:rsidRPr="00695D5C">
        <w:rPr>
          <w:rFonts w:ascii="Arial" w:hAnsi="Arial" w:cs="Arial"/>
        </w:rPr>
        <w:t xml:space="preserve"> to enable them to avoid the financial hardship otherwise experienced. </w:t>
      </w:r>
    </w:p>
    <w:p w:rsidR="00574168" w:rsidRDefault="00574168"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If the termination was a case of genuine redundancy the CLC could assist with negotiating hardship variations to credit contracts and making inquiries to reduce the electricity bill, including a referral to the Energy and Water Ombudsman where necessary. The result would most likely be that the individual could then remain in possession of the transport that would enable them to access employment opportunities and get back ‘on their feet’ quickly as the hardship variation would prevent repossession of their transport</w:t>
      </w:r>
      <w:r w:rsidR="00574168">
        <w:rPr>
          <w:rFonts w:ascii="Arial" w:hAnsi="Arial" w:cs="Arial"/>
        </w:rPr>
        <w:t xml:space="preserve">. They </w:t>
      </w:r>
      <w:r w:rsidRPr="00695D5C">
        <w:rPr>
          <w:rFonts w:ascii="Arial" w:hAnsi="Arial" w:cs="Arial"/>
        </w:rPr>
        <w:t>could</w:t>
      </w:r>
      <w:r w:rsidR="00574168">
        <w:rPr>
          <w:rFonts w:ascii="Arial" w:hAnsi="Arial" w:cs="Arial"/>
        </w:rPr>
        <w:t xml:space="preserve"> then</w:t>
      </w:r>
      <w:r w:rsidRPr="00695D5C">
        <w:rPr>
          <w:rFonts w:ascii="Arial" w:hAnsi="Arial" w:cs="Arial"/>
        </w:rPr>
        <w:t xml:space="preserve"> be assisted </w:t>
      </w:r>
      <w:r w:rsidR="00574168">
        <w:rPr>
          <w:rFonts w:ascii="Arial" w:hAnsi="Arial" w:cs="Arial"/>
        </w:rPr>
        <w:t>to negotiate payments with the landlord to maintain</w:t>
      </w:r>
      <w:r w:rsidRPr="00695D5C">
        <w:rPr>
          <w:rFonts w:ascii="Arial" w:hAnsi="Arial" w:cs="Arial"/>
        </w:rPr>
        <w:t xml:space="preserve"> their tenancy ensuring they can provide for the basic needs of their children</w:t>
      </w:r>
      <w:r w:rsidR="00574168">
        <w:rPr>
          <w:rFonts w:ascii="Arial" w:hAnsi="Arial" w:cs="Arial"/>
        </w:rPr>
        <w:t xml:space="preserve"> avoiding the need to access the services of public housing and the threat of the resources of the Department of Community Services</w:t>
      </w:r>
      <w:r w:rsidRPr="00695D5C">
        <w:rPr>
          <w:rFonts w:ascii="Arial" w:hAnsi="Arial" w:cs="Arial"/>
        </w:rPr>
        <w:t xml:space="preserve">. The </w:t>
      </w:r>
      <w:r w:rsidR="00574168">
        <w:rPr>
          <w:rFonts w:ascii="Arial" w:hAnsi="Arial" w:cs="Arial"/>
        </w:rPr>
        <w:t xml:space="preserve">additional </w:t>
      </w:r>
      <w:r w:rsidRPr="00695D5C">
        <w:rPr>
          <w:rFonts w:ascii="Arial" w:hAnsi="Arial" w:cs="Arial"/>
        </w:rPr>
        <w:t>flow on affect being that the strain on the family relations is reduced, the children remain in the care of their parents, do not witness domestic violence making it less likely they will be perpetrators or victims in the future, and other support services that would otherwise need to be accessed remain available for others in need.</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We believe the above scenario demonstrates the wide reaching benefits of having an easily accessible, local and visible CLC and the clear positive </w:t>
      </w:r>
      <w:r w:rsidR="004D2FE6" w:rsidRPr="00695D5C">
        <w:rPr>
          <w:rFonts w:ascii="Arial" w:hAnsi="Arial" w:cs="Arial"/>
        </w:rPr>
        <w:t>effects</w:t>
      </w:r>
      <w:r w:rsidRPr="00695D5C">
        <w:rPr>
          <w:rFonts w:ascii="Arial" w:hAnsi="Arial" w:cs="Arial"/>
        </w:rPr>
        <w:t xml:space="preserve"> on the </w:t>
      </w:r>
      <w:r w:rsidRPr="00695D5C">
        <w:rPr>
          <w:rFonts w:ascii="Arial" w:hAnsi="Arial" w:cs="Arial"/>
        </w:rPr>
        <w:lastRenderedPageBreak/>
        <w:t>produ</w:t>
      </w:r>
      <w:r w:rsidR="00BC0E83">
        <w:rPr>
          <w:rFonts w:ascii="Arial" w:hAnsi="Arial" w:cs="Arial"/>
        </w:rPr>
        <w:t>ctivity of the individual including th</w:t>
      </w:r>
      <w:r w:rsidRPr="00695D5C">
        <w:rPr>
          <w:rFonts w:ascii="Arial" w:hAnsi="Arial" w:cs="Arial"/>
        </w:rPr>
        <w:t>e flow on beneficial effects to the community that far outweigh the cost of delivering these local services.</w:t>
      </w:r>
    </w:p>
    <w:p w:rsidR="00713AA8" w:rsidRPr="00695D5C" w:rsidRDefault="00713AA8" w:rsidP="006C66B3">
      <w:pPr>
        <w:ind w:right="828"/>
        <w:jc w:val="both"/>
        <w:rPr>
          <w:rFonts w:ascii="Arial" w:hAnsi="Arial" w:cs="Arial"/>
        </w:rPr>
      </w:pPr>
    </w:p>
    <w:p w:rsidR="006C66B3" w:rsidRPr="00A17EA3" w:rsidRDefault="00695D5C" w:rsidP="00A17EA3">
      <w:pPr>
        <w:ind w:left="855" w:right="828"/>
        <w:jc w:val="both"/>
        <w:rPr>
          <w:rFonts w:ascii="Arial" w:hAnsi="Arial" w:cs="Arial"/>
          <w:b/>
          <w:i/>
        </w:rPr>
      </w:pPr>
      <w:r w:rsidRPr="00471037">
        <w:rPr>
          <w:rFonts w:ascii="Arial" w:hAnsi="Arial" w:cs="Arial"/>
          <w:b/>
          <w:i/>
        </w:rPr>
        <w:t>What are the consequences of unmet legal need? For example, what are the social and economic impacts arising from problems that are either unresolved or escalate due to lack of access to legal assistance?</w:t>
      </w:r>
    </w:p>
    <w:p w:rsidR="00695D5C" w:rsidRPr="00695D5C" w:rsidRDefault="00695D5C" w:rsidP="00CC22DE">
      <w:pPr>
        <w:ind w:left="855" w:right="828"/>
        <w:jc w:val="both"/>
        <w:rPr>
          <w:rFonts w:ascii="Arial" w:hAnsi="Arial" w:cs="Arial"/>
        </w:rPr>
      </w:pPr>
    </w:p>
    <w:p w:rsidR="00695D5C" w:rsidRPr="00695D5C" w:rsidRDefault="006C66B3" w:rsidP="006C66B3">
      <w:pPr>
        <w:ind w:left="855" w:right="828"/>
        <w:jc w:val="both"/>
        <w:rPr>
          <w:rFonts w:ascii="Arial" w:hAnsi="Arial" w:cs="Arial"/>
        </w:rPr>
      </w:pPr>
      <w:r>
        <w:rPr>
          <w:rFonts w:ascii="Arial" w:hAnsi="Arial" w:cs="Arial"/>
        </w:rPr>
        <w:t>T</w:t>
      </w:r>
      <w:r w:rsidR="00695D5C" w:rsidRPr="00695D5C">
        <w:rPr>
          <w:rFonts w:ascii="Arial" w:hAnsi="Arial" w:cs="Arial"/>
        </w:rPr>
        <w:t xml:space="preserve">he above </w:t>
      </w:r>
      <w:r>
        <w:rPr>
          <w:rFonts w:ascii="Arial" w:hAnsi="Arial" w:cs="Arial"/>
        </w:rPr>
        <w:t xml:space="preserve">example </w:t>
      </w:r>
      <w:r w:rsidR="00695D5C" w:rsidRPr="00695D5C">
        <w:rPr>
          <w:rFonts w:ascii="Arial" w:hAnsi="Arial" w:cs="Arial"/>
        </w:rPr>
        <w:t>outline</w:t>
      </w:r>
      <w:r>
        <w:rPr>
          <w:rFonts w:ascii="Arial" w:hAnsi="Arial" w:cs="Arial"/>
        </w:rPr>
        <w:t>s</w:t>
      </w:r>
      <w:r w:rsidR="00695D5C" w:rsidRPr="00695D5C">
        <w:rPr>
          <w:rFonts w:ascii="Arial" w:hAnsi="Arial" w:cs="Arial"/>
        </w:rPr>
        <w:t xml:space="preserve"> some of the social and economic impacts result</w:t>
      </w:r>
      <w:r>
        <w:rPr>
          <w:rFonts w:ascii="Arial" w:hAnsi="Arial" w:cs="Arial"/>
        </w:rPr>
        <w:t>ing from</w:t>
      </w:r>
      <w:r w:rsidR="00695D5C" w:rsidRPr="00695D5C">
        <w:rPr>
          <w:rFonts w:ascii="Arial" w:hAnsi="Arial" w:cs="Arial"/>
        </w:rPr>
        <w:t xml:space="preserve"> unresolved </w:t>
      </w:r>
      <w:r>
        <w:rPr>
          <w:rFonts w:ascii="Arial" w:hAnsi="Arial" w:cs="Arial"/>
        </w:rPr>
        <w:t xml:space="preserve">legal </w:t>
      </w:r>
      <w:r w:rsidR="00695D5C" w:rsidRPr="00695D5C">
        <w:rPr>
          <w:rFonts w:ascii="Arial" w:hAnsi="Arial" w:cs="Arial"/>
        </w:rPr>
        <w:t>problems that escalate due to a lack of access to legal assistance. The broad impact on resources and productivity can be id</w:t>
      </w:r>
      <w:r>
        <w:rPr>
          <w:rFonts w:ascii="Arial" w:hAnsi="Arial" w:cs="Arial"/>
        </w:rPr>
        <w:t>entified from the above example</w:t>
      </w:r>
      <w:r w:rsidR="00695D5C" w:rsidRPr="00695D5C">
        <w:rPr>
          <w:rFonts w:ascii="Arial" w:hAnsi="Arial" w:cs="Arial"/>
        </w:rPr>
        <w:t xml:space="preserve"> as being increased reliance on public support services including public housing and community services, but also possible long term impacts as the children learn their behaviour and approaches to life situations largely by observing their parents. Additionally as the matters escalate as a result of a lack of accessible and affordable legal advice or assistance it becomes more likely the matter will need to be resolved in the civil courts clogging up an already overloaded court system with matters that could have been easily avoided with early intervention through access to a legal advice such as a local CLC.</w:t>
      </w:r>
      <w:r>
        <w:rPr>
          <w:rFonts w:ascii="Arial" w:hAnsi="Arial" w:cs="Arial"/>
        </w:rPr>
        <w:t xml:space="preserve"> </w:t>
      </w:r>
      <w:r w:rsidR="00695D5C" w:rsidRPr="00695D5C">
        <w:rPr>
          <w:rFonts w:ascii="Arial" w:hAnsi="Arial" w:cs="Arial"/>
        </w:rPr>
        <w:t xml:space="preserve">As a broad anecdotal generalisation it can be seen from the above scenarios that it is likely these adverse social and economic impacts will continue and magnify through the next generations of these families reducing their productive contribution to society further with each generation.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There are however broad more immediate impacts that significantly include a reduction in the health of those experiencing unresolved legal problems as a result of being unable to access legal services.</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Adverse health problems have been found to be a related consequence of legal problems. Unresolved legal problems are associated with health problems both physical and mental health.</w:t>
      </w:r>
      <w:r w:rsidR="00713AA8">
        <w:rPr>
          <w:rStyle w:val="FootnoteReference"/>
          <w:rFonts w:ascii="Arial" w:hAnsi="Arial" w:cs="Arial"/>
        </w:rPr>
        <w:footnoteReference w:id="1"/>
      </w:r>
    </w:p>
    <w:p w:rsidR="00695D5C" w:rsidRPr="00695D5C" w:rsidRDefault="00695D5C" w:rsidP="00CC22DE">
      <w:pPr>
        <w:ind w:left="855" w:right="828"/>
        <w:jc w:val="both"/>
        <w:rPr>
          <w:rFonts w:ascii="Arial" w:hAnsi="Arial" w:cs="Arial"/>
        </w:rPr>
      </w:pPr>
    </w:p>
    <w:p w:rsidR="00695D5C" w:rsidRDefault="00695D5C" w:rsidP="00CC22DE">
      <w:pPr>
        <w:ind w:left="855" w:right="828"/>
        <w:jc w:val="both"/>
        <w:rPr>
          <w:rFonts w:ascii="Arial" w:hAnsi="Arial" w:cs="Arial"/>
        </w:rPr>
      </w:pPr>
      <w:r w:rsidRPr="00695D5C">
        <w:rPr>
          <w:rFonts w:ascii="Arial" w:hAnsi="Arial" w:cs="Arial"/>
        </w:rPr>
        <w:t>Elizabeth Tobin Tyler identified a ‘</w:t>
      </w:r>
      <w:r w:rsidRPr="00713AA8">
        <w:rPr>
          <w:rFonts w:ascii="Arial" w:hAnsi="Arial" w:cs="Arial"/>
          <w:i/>
        </w:rPr>
        <w:t>cycle of vulnerability</w:t>
      </w:r>
      <w:r w:rsidRPr="00695D5C">
        <w:rPr>
          <w:rFonts w:ascii="Arial" w:hAnsi="Arial" w:cs="Arial"/>
        </w:rPr>
        <w:t>’ that we can see in the examples above. A person loses their job or can’t work; they can’t pay rent and other bill; they get evicted and become homeless. All of these stressors result in a decline in both physical and mental health and have the resultant effect of reducing the individual’s contribution to society. Now homeless and in poor health the cycle continues.</w:t>
      </w:r>
      <w:r w:rsidR="00713AA8">
        <w:rPr>
          <w:rStyle w:val="FootnoteReference"/>
          <w:rFonts w:ascii="Arial" w:hAnsi="Arial" w:cs="Arial"/>
        </w:rPr>
        <w:footnoteReference w:id="2"/>
      </w:r>
      <w:r w:rsidRPr="00695D5C">
        <w:rPr>
          <w:rFonts w:ascii="Arial" w:hAnsi="Arial" w:cs="Arial"/>
        </w:rPr>
        <w:t xml:space="preserve"> </w:t>
      </w:r>
    </w:p>
    <w:p w:rsidR="00E2514F" w:rsidRDefault="00E2514F" w:rsidP="00E2514F">
      <w:pPr>
        <w:ind w:left="855" w:right="828"/>
        <w:jc w:val="both"/>
        <w:rPr>
          <w:rFonts w:ascii="Arial" w:hAnsi="Arial" w:cs="Arial"/>
          <w:b/>
          <w:i/>
        </w:rPr>
      </w:pPr>
    </w:p>
    <w:p w:rsidR="00E2514F" w:rsidRPr="00695D5C" w:rsidRDefault="00E2514F" w:rsidP="00E2514F">
      <w:pPr>
        <w:ind w:left="855" w:right="828"/>
        <w:jc w:val="both"/>
        <w:rPr>
          <w:rFonts w:ascii="Arial" w:hAnsi="Arial" w:cs="Arial"/>
          <w:b/>
          <w:i/>
        </w:rPr>
      </w:pPr>
      <w:r w:rsidRPr="00695D5C">
        <w:rPr>
          <w:rFonts w:ascii="Arial" w:hAnsi="Arial" w:cs="Arial"/>
          <w:b/>
          <w:i/>
        </w:rPr>
        <w:t>Case Study Example 2</w:t>
      </w:r>
    </w:p>
    <w:p w:rsidR="00E2514F" w:rsidRPr="00695D5C" w:rsidRDefault="00E2514F" w:rsidP="00E2514F">
      <w:pPr>
        <w:ind w:left="855" w:right="828"/>
        <w:jc w:val="both"/>
        <w:rPr>
          <w:rFonts w:ascii="Arial" w:hAnsi="Arial" w:cs="Arial"/>
        </w:rPr>
      </w:pPr>
    </w:p>
    <w:p w:rsidR="00E2514F" w:rsidRDefault="00E2514F" w:rsidP="00E2514F">
      <w:pPr>
        <w:ind w:left="855" w:right="828"/>
        <w:jc w:val="both"/>
        <w:rPr>
          <w:rFonts w:ascii="Arial" w:hAnsi="Arial" w:cs="Arial"/>
        </w:rPr>
      </w:pPr>
      <w:r w:rsidRPr="00695D5C">
        <w:rPr>
          <w:rFonts w:ascii="Arial" w:hAnsi="Arial" w:cs="Arial"/>
        </w:rPr>
        <w:t xml:space="preserve">An Aboriginal client in an isolated regional Aboriginal village receives a fine for a traffic offence in the mail but their cousin was actually driving at the time. Our client believes they do not have to pay the fine because they were not driving. However, as there are no </w:t>
      </w:r>
      <w:r>
        <w:rPr>
          <w:rFonts w:ascii="Arial" w:hAnsi="Arial" w:cs="Arial"/>
        </w:rPr>
        <w:t xml:space="preserve">free </w:t>
      </w:r>
      <w:r w:rsidRPr="00695D5C">
        <w:rPr>
          <w:rFonts w:ascii="Arial" w:hAnsi="Arial" w:cs="Arial"/>
        </w:rPr>
        <w:t>legal services in the area</w:t>
      </w:r>
      <w:r>
        <w:rPr>
          <w:rFonts w:ascii="Arial" w:hAnsi="Arial" w:cs="Arial"/>
        </w:rPr>
        <w:t xml:space="preserve"> at the time,</w:t>
      </w:r>
      <w:r w:rsidRPr="00695D5C">
        <w:rPr>
          <w:rFonts w:ascii="Arial" w:hAnsi="Arial" w:cs="Arial"/>
        </w:rPr>
        <w:t xml:space="preserve"> they simply do not pay and hope it just goes away. Roads and Maritime Services cancels their </w:t>
      </w:r>
      <w:r w:rsidRPr="00695D5C">
        <w:rPr>
          <w:rFonts w:ascii="Arial" w:hAnsi="Arial" w:cs="Arial"/>
        </w:rPr>
        <w:lastRenderedPageBreak/>
        <w:t>licence however the client has not received this notification as the mail often goes astray in the village. The client is then fined for unlicensed driving when on</w:t>
      </w:r>
      <w:r>
        <w:rPr>
          <w:rFonts w:ascii="Arial" w:hAnsi="Arial" w:cs="Arial"/>
        </w:rPr>
        <w:t xml:space="preserve"> their</w:t>
      </w:r>
      <w:r w:rsidRPr="00695D5C">
        <w:rPr>
          <w:rFonts w:ascii="Arial" w:hAnsi="Arial" w:cs="Arial"/>
        </w:rPr>
        <w:t xml:space="preserve"> way to work. This not only adds to the now large fines debt but it is now virtually impossible for them to maintain their casual work without a licence as there is no suitable public transport in the area. The client becomes depressed with the lack of work and the inability to travel to look for work or even go to town to get groceries. They </w:t>
      </w:r>
      <w:r>
        <w:rPr>
          <w:rFonts w:ascii="Arial" w:hAnsi="Arial" w:cs="Arial"/>
        </w:rPr>
        <w:t xml:space="preserve">are no longer eating properly, have lost interest in outdoor activities with friends and as such are not </w:t>
      </w:r>
      <w:r w:rsidR="005E5CD9">
        <w:rPr>
          <w:rFonts w:ascii="Arial" w:hAnsi="Arial" w:cs="Arial"/>
        </w:rPr>
        <w:t>exercising</w:t>
      </w:r>
      <w:r>
        <w:rPr>
          <w:rFonts w:ascii="Arial" w:hAnsi="Arial" w:cs="Arial"/>
        </w:rPr>
        <w:t xml:space="preserve"> and have start drinking every day. It won’t be long before they will be facing homelessness as they cannot afford to keep paying the rent and are in a state of mental health where they really do not seem to care anymore. The risk of suicide has become real.</w:t>
      </w:r>
    </w:p>
    <w:p w:rsidR="00E2514F" w:rsidRDefault="00E2514F" w:rsidP="00E2514F">
      <w:pPr>
        <w:ind w:left="855" w:right="828"/>
        <w:jc w:val="both"/>
        <w:rPr>
          <w:rFonts w:ascii="Arial" w:hAnsi="Arial" w:cs="Arial"/>
        </w:rPr>
      </w:pPr>
    </w:p>
    <w:p w:rsidR="00E2514F" w:rsidRDefault="00E2514F" w:rsidP="00E2514F">
      <w:pPr>
        <w:ind w:left="855" w:right="828"/>
        <w:jc w:val="both"/>
        <w:rPr>
          <w:rFonts w:ascii="Arial" w:hAnsi="Arial" w:cs="Arial"/>
        </w:rPr>
      </w:pPr>
      <w:r>
        <w:rPr>
          <w:rFonts w:ascii="Arial" w:hAnsi="Arial" w:cs="Arial"/>
        </w:rPr>
        <w:t xml:space="preserve">As a result of the decline in physical and mental wellbeing that can be traced back to the client not having access to timely free legal advice this Aboriginal client is now facing the risk of significant adverse health effects. Already in a group of society identified as at significantly higher risk of many chronic illnesses, this client is most likely to now have cause to access public health services including mental health services that they may have otherwise not </w:t>
      </w:r>
      <w:r w:rsidR="00655E2E">
        <w:rPr>
          <w:rFonts w:ascii="Arial" w:hAnsi="Arial" w:cs="Arial"/>
        </w:rPr>
        <w:t xml:space="preserve">immediately </w:t>
      </w:r>
      <w:r>
        <w:rPr>
          <w:rFonts w:ascii="Arial" w:hAnsi="Arial" w:cs="Arial"/>
        </w:rPr>
        <w:t xml:space="preserve">needed. </w:t>
      </w:r>
      <w:r w:rsidR="005E5CD9">
        <w:rPr>
          <w:rFonts w:ascii="Arial" w:hAnsi="Arial" w:cs="Arial"/>
        </w:rPr>
        <w:t>Anecdotally</w:t>
      </w:r>
      <w:r>
        <w:rPr>
          <w:rFonts w:ascii="Arial" w:hAnsi="Arial" w:cs="Arial"/>
        </w:rPr>
        <w:t>, the ATSI client with increased alcohol consumption and in a state of depression is at increased risk of engaging in criminal conduct that will then have further wide reaching adverse effects on the individual, their family and the community as they consume the resources of the police, courts and prison systems.</w:t>
      </w:r>
    </w:p>
    <w:p w:rsidR="00E2514F" w:rsidRPr="00695D5C" w:rsidRDefault="00E2514F" w:rsidP="00E2514F">
      <w:pPr>
        <w:ind w:left="855" w:right="828"/>
        <w:jc w:val="both"/>
        <w:rPr>
          <w:rFonts w:ascii="Arial" w:hAnsi="Arial" w:cs="Arial"/>
        </w:rPr>
      </w:pPr>
      <w:r>
        <w:rPr>
          <w:rFonts w:ascii="Arial" w:hAnsi="Arial" w:cs="Arial"/>
        </w:rPr>
        <w:t xml:space="preserve">  </w:t>
      </w:r>
    </w:p>
    <w:p w:rsidR="00E2514F" w:rsidRPr="00695D5C" w:rsidRDefault="00E2514F" w:rsidP="00E2514F">
      <w:pPr>
        <w:ind w:left="855" w:right="828"/>
        <w:jc w:val="both"/>
        <w:rPr>
          <w:rFonts w:ascii="Arial" w:hAnsi="Arial" w:cs="Arial"/>
        </w:rPr>
      </w:pPr>
      <w:r w:rsidRPr="00695D5C">
        <w:rPr>
          <w:rFonts w:ascii="Arial" w:hAnsi="Arial" w:cs="Arial"/>
        </w:rPr>
        <w:t xml:space="preserve">If this client had access to a regular legal service they would be more likely to have approached the service for advice on the fact that they were wrongly issued a fine in the first instance. The solicitor could have easily resolved this mistake and had the fine re issued to the right person. Our client would then have been able to continue with casual work, retain his licence and avoid </w:t>
      </w:r>
      <w:r>
        <w:rPr>
          <w:rFonts w:ascii="Arial" w:hAnsi="Arial" w:cs="Arial"/>
        </w:rPr>
        <w:t>the individual negative effects and costs to society outlined above.</w:t>
      </w:r>
    </w:p>
    <w:p w:rsidR="00E2514F" w:rsidRPr="00695D5C" w:rsidRDefault="00E2514F" w:rsidP="00E2514F">
      <w:pPr>
        <w:ind w:left="855" w:right="828"/>
        <w:jc w:val="both"/>
        <w:rPr>
          <w:rFonts w:ascii="Arial" w:hAnsi="Arial" w:cs="Arial"/>
        </w:rPr>
      </w:pPr>
    </w:p>
    <w:p w:rsidR="00E2514F" w:rsidRDefault="00E2514F" w:rsidP="00E2514F">
      <w:pPr>
        <w:ind w:left="855" w:right="828"/>
        <w:jc w:val="both"/>
        <w:rPr>
          <w:rFonts w:ascii="Arial" w:hAnsi="Arial" w:cs="Arial"/>
        </w:rPr>
      </w:pPr>
      <w:r w:rsidRPr="00695D5C">
        <w:rPr>
          <w:rFonts w:ascii="Arial" w:hAnsi="Arial" w:cs="Arial"/>
        </w:rPr>
        <w:t xml:space="preserve">Even if the client was rightly issued the fines and only approached the </w:t>
      </w:r>
      <w:r>
        <w:rPr>
          <w:rFonts w:ascii="Arial" w:hAnsi="Arial" w:cs="Arial"/>
        </w:rPr>
        <w:t xml:space="preserve">legal </w:t>
      </w:r>
      <w:r w:rsidRPr="00695D5C">
        <w:rPr>
          <w:rFonts w:ascii="Arial" w:hAnsi="Arial" w:cs="Arial"/>
        </w:rPr>
        <w:t>service after the cancelation of the</w:t>
      </w:r>
      <w:r>
        <w:rPr>
          <w:rFonts w:ascii="Arial" w:hAnsi="Arial" w:cs="Arial"/>
        </w:rPr>
        <w:t>ir</w:t>
      </w:r>
      <w:r w:rsidRPr="00695D5C">
        <w:rPr>
          <w:rFonts w:ascii="Arial" w:hAnsi="Arial" w:cs="Arial"/>
        </w:rPr>
        <w:t xml:space="preserve"> licence these issues could have been dealt with by way of addressing the fines through work and development orders that would allow the client to retain a licence and thereby their casual work. This would relieve pressure on the social services as the client does not need income support</w:t>
      </w:r>
      <w:r>
        <w:rPr>
          <w:rFonts w:ascii="Arial" w:hAnsi="Arial" w:cs="Arial"/>
        </w:rPr>
        <w:t>, and the causation factor for the health problems and likelihood of criminal conduct consuming further public resources is ostensibly avoided.</w:t>
      </w:r>
    </w:p>
    <w:p w:rsidR="00713AA8" w:rsidRPr="00695D5C" w:rsidRDefault="00713AA8" w:rsidP="00CC22DE">
      <w:pPr>
        <w:ind w:left="855" w:right="828"/>
        <w:jc w:val="both"/>
        <w:rPr>
          <w:rFonts w:ascii="Arial" w:hAnsi="Arial" w:cs="Arial"/>
        </w:rPr>
      </w:pPr>
    </w:p>
    <w:p w:rsidR="00695D5C" w:rsidRPr="00695D5C" w:rsidRDefault="00655E2E" w:rsidP="00CC22DE">
      <w:pPr>
        <w:ind w:left="855" w:right="828"/>
        <w:jc w:val="both"/>
        <w:rPr>
          <w:rFonts w:ascii="Arial" w:hAnsi="Arial" w:cs="Arial"/>
        </w:rPr>
      </w:pPr>
      <w:r>
        <w:rPr>
          <w:rFonts w:ascii="Arial" w:hAnsi="Arial" w:cs="Arial"/>
        </w:rPr>
        <w:t>The above demonstrates that i</w:t>
      </w:r>
      <w:r w:rsidR="00695D5C" w:rsidRPr="00695D5C">
        <w:rPr>
          <w:rFonts w:ascii="Arial" w:hAnsi="Arial" w:cs="Arial"/>
        </w:rPr>
        <w:t xml:space="preserve">f the individual had been able to get their legal problem resolved by ready access to local legal services they may have avoided this ‘cycle of vulnerability’ and remain contributing productively to society rather than now becoming a consumer of public resources. </w:t>
      </w:r>
    </w:p>
    <w:p w:rsidR="00695D5C" w:rsidRPr="00695D5C" w:rsidRDefault="00695D5C" w:rsidP="00CC22DE">
      <w:pPr>
        <w:ind w:left="855" w:right="828"/>
        <w:jc w:val="both"/>
        <w:rPr>
          <w:rFonts w:ascii="Arial" w:hAnsi="Arial" w:cs="Arial"/>
        </w:rPr>
      </w:pPr>
    </w:p>
    <w:p w:rsidR="00695D5C" w:rsidRDefault="00695D5C" w:rsidP="00CC22DE">
      <w:pPr>
        <w:ind w:left="855" w:right="828"/>
        <w:jc w:val="both"/>
        <w:rPr>
          <w:rFonts w:ascii="Arial" w:hAnsi="Arial" w:cs="Arial"/>
        </w:rPr>
      </w:pPr>
      <w:r w:rsidRPr="00695D5C">
        <w:rPr>
          <w:rFonts w:ascii="Arial" w:hAnsi="Arial" w:cs="Arial"/>
        </w:rPr>
        <w:t>In a study conducted over 3 ½ years in the United Kingdom the economic impact of legal problems was found to be $ 13 Billion dollars.</w:t>
      </w:r>
      <w:r w:rsidR="00713AA8">
        <w:rPr>
          <w:rStyle w:val="FootnoteReference"/>
          <w:rFonts w:ascii="Arial" w:hAnsi="Arial" w:cs="Arial"/>
        </w:rPr>
        <w:footnoteReference w:id="3"/>
      </w:r>
      <w:r w:rsidRPr="00695D5C">
        <w:rPr>
          <w:rFonts w:ascii="Arial" w:hAnsi="Arial" w:cs="Arial"/>
        </w:rPr>
        <w:t xml:space="preserve"> </w:t>
      </w:r>
    </w:p>
    <w:p w:rsidR="00C656A3" w:rsidRDefault="00C656A3" w:rsidP="00A17EA3">
      <w:pPr>
        <w:ind w:right="828"/>
        <w:jc w:val="both"/>
        <w:rPr>
          <w:rFonts w:ascii="Arial" w:hAnsi="Arial" w:cs="Arial"/>
        </w:rPr>
      </w:pPr>
    </w:p>
    <w:p w:rsidR="00A17EA3" w:rsidRDefault="00A17EA3" w:rsidP="00A17EA3">
      <w:pPr>
        <w:ind w:right="828"/>
        <w:jc w:val="both"/>
        <w:rPr>
          <w:rFonts w:ascii="Arial" w:hAnsi="Arial" w:cs="Arial"/>
        </w:rPr>
      </w:pPr>
    </w:p>
    <w:p w:rsidR="00A17EA3" w:rsidRDefault="00A17EA3" w:rsidP="00A17EA3">
      <w:pPr>
        <w:ind w:right="828"/>
        <w:jc w:val="both"/>
        <w:rPr>
          <w:rFonts w:ascii="Arial" w:hAnsi="Arial" w:cs="Arial"/>
          <w:b/>
          <w:i/>
        </w:rPr>
      </w:pPr>
    </w:p>
    <w:p w:rsidR="00695D5C" w:rsidRPr="00695D5C" w:rsidRDefault="00695D5C" w:rsidP="00CC22DE">
      <w:pPr>
        <w:ind w:left="855" w:right="828"/>
        <w:jc w:val="both"/>
        <w:rPr>
          <w:rFonts w:ascii="Arial" w:hAnsi="Arial" w:cs="Arial"/>
          <w:b/>
          <w:i/>
        </w:rPr>
      </w:pPr>
      <w:r w:rsidRPr="00695D5C">
        <w:rPr>
          <w:rFonts w:ascii="Arial" w:hAnsi="Arial" w:cs="Arial"/>
          <w:b/>
          <w:i/>
        </w:rPr>
        <w:t>Conclusion</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Failure to access legal advice at the time an issue arises can cause both further legal problems and other stresses potentially having adverse health effects for the individual as outlined above. In light of this we believe that to achieve the most productive outcomes a legal service must be readily accessible to all including those from disadvantaged backgrounds that generally cannot afford private legal advice. We further believe that these accessible and affordable legal services must be located locally in regional and remote towns not only to be visible and accessible but to promote trust within t</w:t>
      </w:r>
      <w:r w:rsidR="00655E2E">
        <w:rPr>
          <w:rFonts w:ascii="Arial" w:hAnsi="Arial" w:cs="Arial"/>
        </w:rPr>
        <w:t xml:space="preserve">he community they are servicing. This is </w:t>
      </w:r>
      <w:r w:rsidR="005E5CD9">
        <w:rPr>
          <w:rFonts w:ascii="Arial" w:hAnsi="Arial" w:cs="Arial"/>
        </w:rPr>
        <w:t>of particular</w:t>
      </w:r>
      <w:r w:rsidR="00655E2E">
        <w:rPr>
          <w:rFonts w:ascii="Arial" w:hAnsi="Arial" w:cs="Arial"/>
        </w:rPr>
        <w:t xml:space="preserve"> importance</w:t>
      </w:r>
      <w:r w:rsidRPr="00695D5C">
        <w:rPr>
          <w:rFonts w:ascii="Arial" w:hAnsi="Arial" w:cs="Arial"/>
        </w:rPr>
        <w:t xml:space="preserve"> in areas servicing </w:t>
      </w:r>
      <w:r w:rsidR="00655E2E">
        <w:rPr>
          <w:rFonts w:ascii="Arial" w:hAnsi="Arial" w:cs="Arial"/>
        </w:rPr>
        <w:t>ATSI</w:t>
      </w:r>
      <w:r w:rsidRPr="00695D5C">
        <w:rPr>
          <w:rFonts w:ascii="Arial" w:hAnsi="Arial" w:cs="Arial"/>
        </w:rPr>
        <w:t xml:space="preserve"> communities. As such we believe the establishment of additional regional Community Legal Centres and remote outreach offices is the most economically efficient and practically effective delivery of these services. </w:t>
      </w:r>
    </w:p>
    <w:p w:rsidR="00695D5C" w:rsidRPr="00695D5C" w:rsidRDefault="00695D5C" w:rsidP="00655E2E">
      <w:pPr>
        <w:ind w:right="828"/>
        <w:jc w:val="both"/>
        <w:rPr>
          <w:rFonts w:ascii="Arial" w:hAnsi="Arial" w:cs="Arial"/>
        </w:rPr>
      </w:pPr>
    </w:p>
    <w:p w:rsidR="00695D5C" w:rsidRPr="00695D5C" w:rsidRDefault="00695D5C" w:rsidP="00CC22DE">
      <w:pPr>
        <w:ind w:left="855" w:right="828"/>
        <w:jc w:val="both"/>
        <w:rPr>
          <w:rFonts w:ascii="Arial" w:hAnsi="Arial" w:cs="Arial"/>
          <w:b/>
          <w:i/>
        </w:rPr>
      </w:pPr>
      <w:r w:rsidRPr="00695D5C">
        <w:rPr>
          <w:rFonts w:ascii="Arial" w:hAnsi="Arial" w:cs="Arial"/>
          <w:b/>
          <w:i/>
        </w:rPr>
        <w:t>Recommendation</w:t>
      </w:r>
    </w:p>
    <w:p w:rsidR="00695D5C" w:rsidRPr="00695D5C" w:rsidRDefault="00695D5C" w:rsidP="00CC22DE">
      <w:pPr>
        <w:ind w:left="855" w:right="828"/>
        <w:jc w:val="both"/>
        <w:rPr>
          <w:rFonts w:ascii="Arial" w:hAnsi="Arial" w:cs="Arial"/>
        </w:rPr>
      </w:pPr>
    </w:p>
    <w:p w:rsidR="00695D5C" w:rsidRPr="00695D5C" w:rsidRDefault="00655E2E" w:rsidP="00CC22DE">
      <w:pPr>
        <w:pStyle w:val="ListParagraph"/>
        <w:numPr>
          <w:ilvl w:val="0"/>
          <w:numId w:val="4"/>
        </w:numPr>
        <w:ind w:right="828"/>
        <w:jc w:val="both"/>
        <w:rPr>
          <w:rFonts w:ascii="Arial" w:hAnsi="Arial" w:cs="Arial"/>
        </w:rPr>
      </w:pPr>
      <w:r>
        <w:rPr>
          <w:rFonts w:ascii="Arial" w:hAnsi="Arial" w:cs="Arial"/>
        </w:rPr>
        <w:t>I</w:t>
      </w:r>
      <w:r w:rsidR="00695D5C" w:rsidRPr="00695D5C">
        <w:rPr>
          <w:rFonts w:ascii="Arial" w:hAnsi="Arial" w:cs="Arial"/>
        </w:rPr>
        <w:t xml:space="preserve">ncreased and ongoing funding directed toward </w:t>
      </w:r>
      <w:r w:rsidR="00DE72C3">
        <w:rPr>
          <w:rFonts w:ascii="Arial" w:hAnsi="Arial" w:cs="Arial"/>
        </w:rPr>
        <w:t xml:space="preserve">CLC’s including funding for </w:t>
      </w:r>
      <w:r w:rsidR="00695D5C" w:rsidRPr="00695D5C">
        <w:rPr>
          <w:rFonts w:ascii="Arial" w:hAnsi="Arial" w:cs="Arial"/>
        </w:rPr>
        <w:t xml:space="preserve">the establishment of additional regional CLC’s with </w:t>
      </w:r>
      <w:r w:rsidR="004D2FE6" w:rsidRPr="00695D5C">
        <w:rPr>
          <w:rFonts w:ascii="Arial" w:hAnsi="Arial" w:cs="Arial"/>
        </w:rPr>
        <w:t>satellite</w:t>
      </w:r>
      <w:r w:rsidR="00695D5C" w:rsidRPr="00695D5C">
        <w:rPr>
          <w:rFonts w:ascii="Arial" w:hAnsi="Arial" w:cs="Arial"/>
        </w:rPr>
        <w:t xml:space="preserve"> </w:t>
      </w:r>
      <w:r>
        <w:rPr>
          <w:rFonts w:ascii="Arial" w:hAnsi="Arial" w:cs="Arial"/>
        </w:rPr>
        <w:t xml:space="preserve">outreach </w:t>
      </w:r>
      <w:r w:rsidR="00695D5C" w:rsidRPr="00695D5C">
        <w:rPr>
          <w:rFonts w:ascii="Arial" w:hAnsi="Arial" w:cs="Arial"/>
        </w:rPr>
        <w:t>offices in more remote areas</w:t>
      </w:r>
      <w:r>
        <w:rPr>
          <w:rFonts w:ascii="Arial" w:hAnsi="Arial" w:cs="Arial"/>
        </w:rPr>
        <w:t xml:space="preserve"> including ATSI communities</w:t>
      </w:r>
      <w:r w:rsidR="00695D5C" w:rsidRPr="00695D5C">
        <w:rPr>
          <w:rFonts w:ascii="Arial" w:hAnsi="Arial" w:cs="Arial"/>
        </w:rPr>
        <w:t xml:space="preserve">.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 xml:space="preserve">As demonstrated above the establishment of visible, accessible local legal services results in greater awareness and an associated increase in access of free legal services for the disadvantaged. Flowing from this is an increase in those having their legal problems resolved at an early stage preventing or reducing the adverse effect on the individual’s productivity and consequent consumption of public resources. </w:t>
      </w:r>
    </w:p>
    <w:p w:rsidR="00695D5C" w:rsidRP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We appreciate this opportunity to input to this inquiry and can be contacted for further comment if required on 4422 9529 or info@shoalcoast.org.au.</w:t>
      </w:r>
    </w:p>
    <w:p w:rsidR="00695D5C" w:rsidRPr="00695D5C" w:rsidRDefault="00695D5C" w:rsidP="00CC22DE">
      <w:pPr>
        <w:ind w:left="855" w:right="828"/>
        <w:jc w:val="both"/>
        <w:rPr>
          <w:rFonts w:ascii="Arial" w:hAnsi="Arial" w:cs="Arial"/>
        </w:rPr>
      </w:pPr>
    </w:p>
    <w:p w:rsidR="00695D5C" w:rsidRDefault="00695D5C" w:rsidP="00CC22DE">
      <w:pPr>
        <w:ind w:left="855" w:right="828"/>
        <w:jc w:val="both"/>
        <w:rPr>
          <w:rFonts w:ascii="Arial" w:hAnsi="Arial" w:cs="Arial"/>
        </w:rPr>
      </w:pPr>
    </w:p>
    <w:p w:rsidR="00695D5C" w:rsidRPr="00695D5C" w:rsidRDefault="00695D5C" w:rsidP="00CC22DE">
      <w:pPr>
        <w:ind w:left="855" w:right="828"/>
        <w:jc w:val="both"/>
        <w:rPr>
          <w:rFonts w:ascii="Arial" w:hAnsi="Arial" w:cs="Arial"/>
        </w:rPr>
      </w:pPr>
      <w:r w:rsidRPr="00695D5C">
        <w:rPr>
          <w:rFonts w:ascii="Arial" w:hAnsi="Arial" w:cs="Arial"/>
        </w:rPr>
        <w:t>Yours sincerely</w:t>
      </w:r>
    </w:p>
    <w:p w:rsidR="00695D5C" w:rsidRPr="009C719A" w:rsidRDefault="009C719A" w:rsidP="00CC22DE">
      <w:pPr>
        <w:ind w:left="855" w:right="828"/>
        <w:jc w:val="both"/>
        <w:rPr>
          <w:rFonts w:ascii="Arial" w:hAnsi="Arial" w:cs="Arial"/>
          <w:b/>
        </w:rPr>
      </w:pPr>
      <w:r w:rsidRPr="009C719A">
        <w:rPr>
          <w:rFonts w:ascii="Arial" w:hAnsi="Arial" w:cs="Arial"/>
          <w:b/>
        </w:rPr>
        <w:t>Shoalcoast Community Legal Centre</w:t>
      </w:r>
    </w:p>
    <w:p w:rsidR="009C719A" w:rsidRDefault="009C719A" w:rsidP="00A11636">
      <w:pPr>
        <w:ind w:right="828"/>
        <w:jc w:val="both"/>
        <w:rPr>
          <w:rFonts w:ascii="Arial" w:hAnsi="Arial" w:cs="Arial"/>
        </w:rPr>
      </w:pPr>
    </w:p>
    <w:p w:rsidR="009C719A" w:rsidRPr="00A11636" w:rsidRDefault="009C719A" w:rsidP="00CC22DE">
      <w:pPr>
        <w:ind w:left="855" w:right="828"/>
        <w:jc w:val="both"/>
        <w:rPr>
          <w:rFonts w:ascii="Brush Script MT" w:hAnsi="Brush Script MT" w:cs="Arial"/>
        </w:rPr>
      </w:pPr>
      <w:r w:rsidRPr="00A11636">
        <w:rPr>
          <w:rFonts w:ascii="Brush Script MT" w:hAnsi="Brush Script MT" w:cs="Arial"/>
        </w:rPr>
        <w:t>Les Farrell</w:t>
      </w:r>
    </w:p>
    <w:p w:rsidR="00C656A3" w:rsidRDefault="00C656A3" w:rsidP="00CC22DE">
      <w:pPr>
        <w:ind w:left="855" w:right="828"/>
        <w:jc w:val="both"/>
        <w:rPr>
          <w:rFonts w:ascii="Arial" w:hAnsi="Arial" w:cs="Arial"/>
        </w:rPr>
      </w:pPr>
    </w:p>
    <w:p w:rsidR="009C719A" w:rsidRPr="00695D5C" w:rsidRDefault="009C719A" w:rsidP="00CC22DE">
      <w:pPr>
        <w:ind w:left="855" w:right="828"/>
        <w:jc w:val="both"/>
        <w:rPr>
          <w:rFonts w:ascii="Arial" w:hAnsi="Arial" w:cs="Arial"/>
        </w:rPr>
      </w:pPr>
      <w:r>
        <w:rPr>
          <w:rFonts w:ascii="Arial" w:hAnsi="Arial" w:cs="Arial"/>
        </w:rPr>
        <w:t>Per</w:t>
      </w:r>
    </w:p>
    <w:p w:rsidR="00695D5C" w:rsidRPr="00695D5C" w:rsidRDefault="00695D5C" w:rsidP="00CC22DE">
      <w:pPr>
        <w:ind w:left="855" w:right="828"/>
        <w:jc w:val="both"/>
        <w:rPr>
          <w:rFonts w:ascii="Arial" w:hAnsi="Arial" w:cs="Arial"/>
        </w:rPr>
      </w:pPr>
      <w:r>
        <w:rPr>
          <w:rFonts w:ascii="Arial" w:hAnsi="Arial" w:cs="Arial"/>
        </w:rPr>
        <w:t>Barry Penfold</w:t>
      </w:r>
    </w:p>
    <w:p w:rsidR="00695D5C" w:rsidRPr="00695D5C" w:rsidRDefault="00695D5C" w:rsidP="00CC22DE">
      <w:pPr>
        <w:ind w:left="855" w:right="828"/>
        <w:jc w:val="both"/>
        <w:rPr>
          <w:rFonts w:ascii="Arial" w:hAnsi="Arial" w:cs="Arial"/>
        </w:rPr>
      </w:pPr>
      <w:r w:rsidRPr="00695D5C">
        <w:rPr>
          <w:rFonts w:ascii="Arial" w:hAnsi="Arial" w:cs="Arial"/>
        </w:rPr>
        <w:t>Principal Solicitor</w:t>
      </w:r>
    </w:p>
    <w:p w:rsidR="00695D5C" w:rsidRPr="00695D5C" w:rsidRDefault="00695D5C" w:rsidP="00CC22DE">
      <w:pPr>
        <w:ind w:left="855" w:right="828"/>
        <w:jc w:val="both"/>
        <w:rPr>
          <w:rFonts w:ascii="Arial" w:hAnsi="Arial" w:cs="Arial"/>
        </w:rPr>
      </w:pPr>
    </w:p>
    <w:p w:rsidR="00401E88" w:rsidRPr="004B3D4E" w:rsidRDefault="00401E88" w:rsidP="00E4577D">
      <w:pPr>
        <w:ind w:left="855" w:right="606"/>
        <w:rPr>
          <w:rFonts w:ascii="Arial" w:hAnsi="Arial" w:cs="Arial"/>
        </w:rPr>
      </w:pPr>
    </w:p>
    <w:sectPr w:rsidR="00401E88" w:rsidRPr="004B3D4E">
      <w:footerReference w:type="default" r:id="rId11"/>
      <w:footerReference w:type="first" r:id="rId12"/>
      <w:type w:val="continuous"/>
      <w:pgSz w:w="11907" w:h="16840" w:code="9"/>
      <w:pgMar w:top="1021" w:right="720" w:bottom="35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B9" w:rsidRDefault="004074B9">
      <w:r>
        <w:separator/>
      </w:r>
    </w:p>
  </w:endnote>
  <w:endnote w:type="continuationSeparator" w:id="0">
    <w:p w:rsidR="004074B9" w:rsidRDefault="0040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58515"/>
      <w:docPartObj>
        <w:docPartGallery w:val="Page Numbers (Bottom of Page)"/>
        <w:docPartUnique/>
      </w:docPartObj>
    </w:sdtPr>
    <w:sdtEndPr>
      <w:rPr>
        <w:noProof/>
      </w:rPr>
    </w:sdtEndPr>
    <w:sdtContent>
      <w:p w:rsidR="00002365" w:rsidRDefault="00002365">
        <w:pPr>
          <w:pStyle w:val="Footer"/>
          <w:jc w:val="right"/>
        </w:pPr>
        <w:r>
          <w:fldChar w:fldCharType="begin"/>
        </w:r>
        <w:r>
          <w:instrText xml:space="preserve"> PAGE   \* MERGEFORMAT </w:instrText>
        </w:r>
        <w:r>
          <w:fldChar w:fldCharType="separate"/>
        </w:r>
        <w:r w:rsidR="007D0B1A">
          <w:rPr>
            <w:noProof/>
          </w:rPr>
          <w:t>2</w:t>
        </w:r>
        <w:r>
          <w:rPr>
            <w:noProof/>
          </w:rPr>
          <w:fldChar w:fldCharType="end"/>
        </w:r>
      </w:p>
    </w:sdtContent>
  </w:sdt>
  <w:p w:rsidR="00965F23" w:rsidRDefault="00965F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23" w:rsidRDefault="00717789">
    <w:pPr>
      <w:rPr>
        <w:rFonts w:ascii="Californian FB" w:hAnsi="Californian FB"/>
        <w:sz w:val="22"/>
        <w:szCs w:val="22"/>
      </w:rPr>
    </w:pPr>
    <w:r>
      <w:rPr>
        <w:rFonts w:ascii="Californian FB" w:hAnsi="Californian FB"/>
        <w:noProof/>
        <w:sz w:val="22"/>
        <w:szCs w:val="22"/>
        <w:lang w:val="en-AU" w:eastAsia="en-AU"/>
      </w:rPr>
      <mc:AlternateContent>
        <mc:Choice Requires="wps">
          <w:drawing>
            <wp:anchor distT="0" distB="0" distL="114300" distR="114300" simplePos="0" relativeHeight="251658240" behindDoc="0" locked="0" layoutInCell="1" allowOverlap="1">
              <wp:simplePos x="0" y="0"/>
              <wp:positionH relativeFrom="column">
                <wp:posOffset>5006975</wp:posOffset>
              </wp:positionH>
              <wp:positionV relativeFrom="paragraph">
                <wp:posOffset>-38100</wp:posOffset>
              </wp:positionV>
              <wp:extent cx="1012190" cy="920750"/>
              <wp:effectExtent l="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F23" w:rsidRDefault="00717789">
                          <w:r>
                            <w:rPr>
                              <w:noProof/>
                              <w:lang w:val="en-AU" w:eastAsia="en-AU"/>
                            </w:rPr>
                            <w:drawing>
                              <wp:inline distT="0" distB="0" distL="0" distR="0">
                                <wp:extent cx="828675" cy="828675"/>
                                <wp:effectExtent l="0" t="0" r="9525" b="9525"/>
                                <wp:docPr id="3" name="Picture 3" descr="NACLC_TMlogo_vert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LC_TMlogo_vertic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4.25pt;margin-top:-3pt;width:79.7pt;height: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" stroked="f">
              <v:textbox style="mso-fit-shape-to-text:t">
                <w:txbxContent>
                  <w:p w:rsidR="00965F23" w:rsidRDefault="00717789">
                    <w:r>
                      <w:rPr>
                        <w:noProof/>
                        <w:lang w:val="en-AU" w:eastAsia="en-AU"/>
                      </w:rPr>
                      <w:drawing>
                        <wp:inline distT="0" distB="0" distL="0" distR="0">
                          <wp:extent cx="828675" cy="828675"/>
                          <wp:effectExtent l="0" t="0" r="9525" b="9525"/>
                          <wp:docPr id="3" name="Picture 3" descr="NACLC_TMlogo_vert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LC_TMlogo_vertical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Pr>
        <w:rFonts w:ascii="Californian FB" w:hAnsi="Californian FB"/>
        <w:noProof/>
        <w:sz w:val="20"/>
        <w:szCs w:val="22"/>
        <w:lang w:val="en-AU" w:eastAsia="en-AU"/>
      </w:rPr>
      <mc:AlternateContent>
        <mc:Choice Requires="wps">
          <w:drawing>
            <wp:anchor distT="0" distB="0" distL="114300" distR="114300" simplePos="0" relativeHeight="251657216" behindDoc="0" locked="0" layoutInCell="1" allowOverlap="1">
              <wp:simplePos x="0" y="0"/>
              <wp:positionH relativeFrom="column">
                <wp:posOffset>1266825</wp:posOffset>
              </wp:positionH>
              <wp:positionV relativeFrom="paragraph">
                <wp:posOffset>76200</wp:posOffset>
              </wp:positionV>
              <wp:extent cx="4090035" cy="0"/>
              <wp:effectExtent l="9525" t="9525" r="571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03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wW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" strokecolor="gray"/>
          </w:pict>
        </mc:Fallback>
      </mc:AlternateContent>
    </w:r>
  </w:p>
  <w:p w:rsidR="00965F23" w:rsidRDefault="00965F23">
    <w:pPr>
      <w:jc w:val="center"/>
      <w:rPr>
        <w:rFonts w:ascii="Californian FB" w:hAnsi="Californian FB"/>
        <w:sz w:val="22"/>
        <w:szCs w:val="22"/>
      </w:rPr>
    </w:pPr>
    <w:r>
      <w:rPr>
        <w:rFonts w:ascii="Californian FB" w:hAnsi="Californian FB"/>
        <w:sz w:val="22"/>
        <w:szCs w:val="22"/>
      </w:rPr>
      <w:t>Unit 10B, 2</w:t>
    </w:r>
    <w:r w:rsidRPr="005A34B1">
      <w:rPr>
        <w:rFonts w:ascii="Californian FB" w:hAnsi="Californian FB"/>
        <w:sz w:val="22"/>
        <w:szCs w:val="22"/>
        <w:vertAlign w:val="superscript"/>
      </w:rPr>
      <w:t>nd</w:t>
    </w:r>
    <w:r>
      <w:rPr>
        <w:rFonts w:ascii="Californian FB" w:hAnsi="Californian FB"/>
        <w:sz w:val="22"/>
        <w:szCs w:val="22"/>
      </w:rPr>
      <w:t xml:space="preserve"> Floor, The Holt Centre, </w:t>
    </w:r>
    <w:smartTag w:uri="urn:schemas-microsoft-com:office:smarttags" w:element="Street">
      <w:smartTag w:uri="urn:schemas-microsoft-com:office:smarttags" w:element="address">
        <w:r>
          <w:rPr>
            <w:rFonts w:ascii="Californian FB" w:hAnsi="Californian FB"/>
            <w:sz w:val="22"/>
            <w:szCs w:val="22"/>
          </w:rPr>
          <w:t>29-31 Kinghorne St</w:t>
        </w:r>
      </w:smartTag>
    </w:smartTag>
    <w:r>
      <w:rPr>
        <w:rFonts w:ascii="Californian FB" w:hAnsi="Californian FB"/>
        <w:sz w:val="22"/>
        <w:szCs w:val="22"/>
      </w:rPr>
      <w:t xml:space="preserve"> </w:t>
    </w:r>
  </w:p>
  <w:p w:rsidR="00965F23" w:rsidRDefault="00965F23">
    <w:pPr>
      <w:jc w:val="center"/>
      <w:rPr>
        <w:rFonts w:ascii="Californian FB" w:hAnsi="Californian FB"/>
        <w:sz w:val="22"/>
        <w:szCs w:val="22"/>
      </w:rPr>
    </w:pPr>
    <w:r>
      <w:rPr>
        <w:rFonts w:ascii="Californian FB" w:hAnsi="Californian FB"/>
        <w:noProof/>
        <w:sz w:val="18"/>
        <w:szCs w:val="22"/>
      </w:rPr>
      <w:sym w:font="Wingdings" w:char="F075"/>
    </w:r>
    <w:r>
      <w:rPr>
        <w:rFonts w:ascii="Californian FB" w:hAnsi="Californian FB"/>
        <w:sz w:val="22"/>
        <w:szCs w:val="22"/>
      </w:rPr>
      <w:t xml:space="preserve"> (</w:t>
    </w:r>
    <w:smartTag w:uri="urn:schemas-microsoft-com:office:smarttags" w:element="address">
      <w:smartTag w:uri="urn:schemas-microsoft-com:office:smarttags" w:element="Street">
        <w:r>
          <w:rPr>
            <w:rFonts w:ascii="Californian FB" w:hAnsi="Californian FB"/>
            <w:sz w:val="22"/>
            <w:szCs w:val="22"/>
          </w:rPr>
          <w:t>PO Box</w:t>
        </w:r>
      </w:smartTag>
      <w:r>
        <w:rPr>
          <w:rFonts w:ascii="Californian FB" w:hAnsi="Californian FB"/>
          <w:sz w:val="22"/>
          <w:szCs w:val="22"/>
        </w:rPr>
        <w:t xml:space="preserve"> 1496</w:t>
      </w:r>
    </w:smartTag>
    <w:r>
      <w:rPr>
        <w:rFonts w:ascii="Californian FB" w:hAnsi="Californian FB"/>
        <w:sz w:val="22"/>
        <w:szCs w:val="22"/>
      </w:rPr>
      <w:t xml:space="preserve">) </w:t>
    </w:r>
    <w:r>
      <w:rPr>
        <w:rFonts w:ascii="Californian FB" w:hAnsi="Californian FB"/>
        <w:noProof/>
        <w:sz w:val="18"/>
        <w:szCs w:val="22"/>
      </w:rPr>
      <w:sym w:font="Wingdings" w:char="F075"/>
    </w:r>
    <w:r>
      <w:rPr>
        <w:rFonts w:ascii="Californian FB" w:hAnsi="Californian FB"/>
        <w:sz w:val="22"/>
        <w:szCs w:val="22"/>
      </w:rPr>
      <w:t xml:space="preserve"> NOWRA NSW 2541  </w:t>
    </w:r>
  </w:p>
  <w:p w:rsidR="00965F23" w:rsidRDefault="00965F23">
    <w:pPr>
      <w:jc w:val="center"/>
      <w:rPr>
        <w:rFonts w:ascii="Californian FB" w:hAnsi="Californian FB"/>
        <w:sz w:val="22"/>
        <w:szCs w:val="22"/>
      </w:rPr>
    </w:pPr>
    <w:r>
      <w:rPr>
        <w:rFonts w:ascii="Californian FB" w:hAnsi="Californian FB"/>
        <w:sz w:val="22"/>
        <w:szCs w:val="22"/>
      </w:rPr>
      <w:t xml:space="preserve">Ph 02 4422 9529 </w:t>
    </w:r>
    <w:r>
      <w:rPr>
        <w:rFonts w:ascii="Californian FB" w:hAnsi="Californian FB"/>
        <w:noProof/>
        <w:sz w:val="18"/>
        <w:szCs w:val="22"/>
      </w:rPr>
      <w:sym w:font="Wingdings" w:char="F075"/>
    </w:r>
    <w:r>
      <w:rPr>
        <w:rFonts w:ascii="Californian FB" w:hAnsi="Californian FB"/>
        <w:sz w:val="22"/>
        <w:szCs w:val="22"/>
      </w:rPr>
      <w:t xml:space="preserve"> Fax 02 4422 7573 </w:t>
    </w:r>
    <w:r>
      <w:rPr>
        <w:rFonts w:ascii="Californian FB" w:hAnsi="Californian FB"/>
        <w:noProof/>
        <w:sz w:val="18"/>
        <w:szCs w:val="22"/>
      </w:rPr>
      <w:sym w:font="Wingdings" w:char="F075"/>
    </w:r>
    <w:r>
      <w:rPr>
        <w:rFonts w:ascii="Californian FB" w:hAnsi="Californian FB"/>
        <w:sz w:val="22"/>
        <w:szCs w:val="22"/>
      </w:rPr>
      <w:t xml:space="preserve"> 1800 229 529</w:t>
    </w:r>
  </w:p>
  <w:p w:rsidR="00965F23" w:rsidRDefault="00965F23">
    <w:pPr>
      <w:pStyle w:val="Footer"/>
      <w:jc w:val="center"/>
    </w:pPr>
    <w:r>
      <w:rPr>
        <w:rFonts w:ascii="Californian FB" w:hAnsi="Californian FB"/>
        <w:sz w:val="22"/>
        <w:szCs w:val="22"/>
      </w:rPr>
      <w:t xml:space="preserve">www.shoalcoast.org.au </w:t>
    </w:r>
    <w:r>
      <w:rPr>
        <w:rFonts w:ascii="Californian FB" w:hAnsi="Californian FB"/>
        <w:noProof/>
        <w:sz w:val="18"/>
        <w:szCs w:val="22"/>
      </w:rPr>
      <w:sym w:font="Wingdings" w:char="F075"/>
    </w:r>
    <w:r>
      <w:rPr>
        <w:rFonts w:ascii="Californian FB" w:hAnsi="Californian FB"/>
        <w:sz w:val="22"/>
        <w:szCs w:val="22"/>
      </w:rPr>
      <w:t xml:space="preserve"> info@shoalcoast.org.au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B9" w:rsidRDefault="004074B9">
      <w:r>
        <w:separator/>
      </w:r>
    </w:p>
  </w:footnote>
  <w:footnote w:type="continuationSeparator" w:id="0">
    <w:p w:rsidR="004074B9" w:rsidRDefault="004074B9">
      <w:r>
        <w:continuationSeparator/>
      </w:r>
    </w:p>
  </w:footnote>
  <w:footnote w:id="1">
    <w:p w:rsidR="00713AA8" w:rsidRPr="00713AA8" w:rsidRDefault="00713AA8" w:rsidP="00713AA8">
      <w:pPr>
        <w:pStyle w:val="FootnoteText"/>
        <w:ind w:left="851" w:right="828"/>
        <w:rPr>
          <w:lang w:val="en-AU"/>
        </w:rPr>
      </w:pPr>
      <w:r>
        <w:rPr>
          <w:rStyle w:val="FootnoteReference"/>
        </w:rPr>
        <w:footnoteRef/>
      </w:r>
      <w:r>
        <w:t xml:space="preserve"> </w:t>
      </w:r>
      <w:r w:rsidRPr="00713AA8">
        <w:t>See generally, Pleasence, P, Balmer, NJ, Buck, A, O’Grady, A &amp; Genn, H 2004, ‘</w:t>
      </w:r>
      <w:r w:rsidRPr="00713AA8">
        <w:rPr>
          <w:i/>
        </w:rPr>
        <w:t>Civil Law Problems and Morbidity’</w:t>
      </w:r>
      <w:r w:rsidRPr="00713AA8">
        <w:t>, Journal of Epidemiology</w:t>
      </w:r>
      <w:r>
        <w:t xml:space="preserve"> and Community Health, vol.58; S</w:t>
      </w:r>
      <w:r w:rsidRPr="00713AA8">
        <w:t>ee also, Pleasence, P, Balmer, NJ &amp; Buck, A 2008, ‘</w:t>
      </w:r>
      <w:r w:rsidRPr="00713AA8">
        <w:rPr>
          <w:i/>
        </w:rPr>
        <w:t>The health cost of civil law problems: further evidence of links between civil law problems and morbidity and the consequential use of health services’</w:t>
      </w:r>
      <w:r w:rsidRPr="00713AA8">
        <w:t>, Journal of Empirical</w:t>
      </w:r>
      <w:r>
        <w:t xml:space="preserve"> Legal Studies, vol. 5, no. 2; See also, </w:t>
      </w:r>
      <w:r w:rsidRPr="00713AA8">
        <w:t xml:space="preserve">Coumarelos, C, Wei, Z &amp; Zhou, A 2006, </w:t>
      </w:r>
      <w:r w:rsidRPr="00713AA8">
        <w:rPr>
          <w:i/>
        </w:rPr>
        <w:t>Justice made to measure: NSW Legal Needs Survey in disadvantaged areas,</w:t>
      </w:r>
      <w:r w:rsidRPr="00713AA8">
        <w:t xml:space="preserve"> Law and Justice Foundation of NSW, Sydney. /2012)</w:t>
      </w:r>
    </w:p>
  </w:footnote>
  <w:footnote w:id="2">
    <w:p w:rsidR="00713AA8" w:rsidRPr="00713AA8" w:rsidRDefault="00713AA8" w:rsidP="00713AA8">
      <w:pPr>
        <w:pStyle w:val="FootnoteText"/>
        <w:ind w:left="851" w:right="828"/>
        <w:rPr>
          <w:lang w:val="en-AU"/>
        </w:rPr>
      </w:pPr>
      <w:r>
        <w:rPr>
          <w:rStyle w:val="FootnoteReference"/>
        </w:rPr>
        <w:footnoteRef/>
      </w:r>
      <w:r>
        <w:t xml:space="preserve"> See, Tobin </w:t>
      </w:r>
      <w:r w:rsidRPr="00713AA8">
        <w:t>Tyler</w:t>
      </w:r>
      <w:r>
        <w:t xml:space="preserve"> E, </w:t>
      </w:r>
      <w:r w:rsidRPr="00713AA8">
        <w:t xml:space="preserve"> </w:t>
      </w:r>
      <w:r w:rsidRPr="00713AA8">
        <w:rPr>
          <w:i/>
        </w:rPr>
        <w:t>Poverty, Health and Law: Readings and Cases for Medical-Legal Partnership</w:t>
      </w:r>
      <w:r w:rsidRPr="00713AA8">
        <w:t xml:space="preserve">, (Elizabeth Tobin Tyler et al. eds, </w:t>
      </w:r>
      <w:r>
        <w:t>Carolina Academic Press, 2011)</w:t>
      </w:r>
    </w:p>
  </w:footnote>
  <w:footnote w:id="3">
    <w:p w:rsidR="00713AA8" w:rsidRPr="00713AA8" w:rsidRDefault="00713AA8" w:rsidP="00713AA8">
      <w:pPr>
        <w:pStyle w:val="FootnoteText"/>
        <w:ind w:left="851" w:right="828"/>
        <w:rPr>
          <w:lang w:val="en-AU"/>
        </w:rPr>
      </w:pPr>
      <w:r>
        <w:rPr>
          <w:rStyle w:val="FootnoteReference"/>
        </w:rPr>
        <w:footnoteRef/>
      </w:r>
      <w:r>
        <w:t xml:space="preserve"> See, </w:t>
      </w:r>
      <w:r w:rsidRPr="00713AA8">
        <w:t>Pleasence, P, Balmer, NJ &amp; Buck, A 2008, ‘</w:t>
      </w:r>
      <w:r w:rsidRPr="00713AA8">
        <w:rPr>
          <w:i/>
        </w:rPr>
        <w:t>The health cost of civil law problems: further evidence of links between civil law problems and morbidity and the consequential use of health services’</w:t>
      </w:r>
      <w:r w:rsidRPr="00713AA8">
        <w:t>, Journal of Empiric</w:t>
      </w:r>
      <w:r>
        <w:t>al Legal Studies, vol. 5, no. 2; S</w:t>
      </w:r>
      <w:r w:rsidRPr="00713AA8">
        <w:t xml:space="preserve">ee also, Pleasence, P. (2006) </w:t>
      </w:r>
      <w:r>
        <w:t>‘</w:t>
      </w:r>
      <w:r w:rsidRPr="00713AA8">
        <w:rPr>
          <w:i/>
        </w:rPr>
        <w:t>Causes of Action: Civil Law and Social Justice</w:t>
      </w:r>
      <w:r>
        <w:t>’</w:t>
      </w:r>
      <w:r w:rsidRPr="00713AA8">
        <w:t>, Second Edition, Norwich : TSO.).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1650"/>
        </w:tabs>
        <w:ind w:left="1650" w:hanging="360"/>
      </w:pPr>
    </w:lvl>
    <w:lvl w:ilvl="1">
      <w:start w:val="1"/>
      <w:numFmt w:val="decimal"/>
      <w:lvlText w:val="%2."/>
      <w:lvlJc w:val="left"/>
      <w:pPr>
        <w:tabs>
          <w:tab w:val="num" w:pos="2010"/>
        </w:tabs>
        <w:ind w:left="2010" w:hanging="360"/>
      </w:pPr>
    </w:lvl>
    <w:lvl w:ilvl="2">
      <w:start w:val="1"/>
      <w:numFmt w:val="decimal"/>
      <w:lvlText w:val="%3."/>
      <w:lvlJc w:val="left"/>
      <w:pPr>
        <w:tabs>
          <w:tab w:val="num" w:pos="2370"/>
        </w:tabs>
        <w:ind w:left="2370" w:hanging="360"/>
      </w:pPr>
    </w:lvl>
    <w:lvl w:ilvl="3">
      <w:start w:val="1"/>
      <w:numFmt w:val="decimal"/>
      <w:lvlText w:val="%4."/>
      <w:lvlJc w:val="left"/>
      <w:pPr>
        <w:tabs>
          <w:tab w:val="num" w:pos="2730"/>
        </w:tabs>
        <w:ind w:left="2730" w:hanging="360"/>
      </w:pPr>
    </w:lvl>
    <w:lvl w:ilvl="4">
      <w:start w:val="1"/>
      <w:numFmt w:val="decimal"/>
      <w:lvlText w:val="%5."/>
      <w:lvlJc w:val="left"/>
      <w:pPr>
        <w:tabs>
          <w:tab w:val="num" w:pos="3090"/>
        </w:tabs>
        <w:ind w:left="3090" w:hanging="360"/>
      </w:pPr>
    </w:lvl>
    <w:lvl w:ilvl="5">
      <w:start w:val="1"/>
      <w:numFmt w:val="decimal"/>
      <w:lvlText w:val="%6."/>
      <w:lvlJc w:val="left"/>
      <w:pPr>
        <w:tabs>
          <w:tab w:val="num" w:pos="3450"/>
        </w:tabs>
        <w:ind w:left="3450" w:hanging="360"/>
      </w:pPr>
    </w:lvl>
    <w:lvl w:ilvl="6">
      <w:start w:val="1"/>
      <w:numFmt w:val="decimal"/>
      <w:lvlText w:val="%7."/>
      <w:lvlJc w:val="left"/>
      <w:pPr>
        <w:tabs>
          <w:tab w:val="num" w:pos="3810"/>
        </w:tabs>
        <w:ind w:left="3810" w:hanging="360"/>
      </w:pPr>
    </w:lvl>
    <w:lvl w:ilvl="7">
      <w:start w:val="1"/>
      <w:numFmt w:val="decimal"/>
      <w:lvlText w:val="%8."/>
      <w:lvlJc w:val="left"/>
      <w:pPr>
        <w:tabs>
          <w:tab w:val="num" w:pos="4170"/>
        </w:tabs>
        <w:ind w:left="4170" w:hanging="360"/>
      </w:pPr>
    </w:lvl>
    <w:lvl w:ilvl="8">
      <w:start w:val="1"/>
      <w:numFmt w:val="decimal"/>
      <w:lvlText w:val="%9."/>
      <w:lvlJc w:val="left"/>
      <w:pPr>
        <w:tabs>
          <w:tab w:val="num" w:pos="4530"/>
        </w:tabs>
        <w:ind w:left="4530" w:hanging="360"/>
      </w:pPr>
    </w:lvl>
  </w:abstractNum>
  <w:abstractNum w:abstractNumId="1">
    <w:nsid w:val="212E2395"/>
    <w:multiLevelType w:val="hybridMultilevel"/>
    <w:tmpl w:val="89B6A44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B269F0"/>
    <w:multiLevelType w:val="hybridMultilevel"/>
    <w:tmpl w:val="EE364C56"/>
    <w:lvl w:ilvl="0" w:tplc="1712932E">
      <w:start w:val="1"/>
      <w:numFmt w:val="decimal"/>
      <w:lvlText w:val="%1."/>
      <w:lvlJc w:val="left"/>
      <w:pPr>
        <w:ind w:left="1215" w:hanging="360"/>
      </w:pPr>
      <w:rPr>
        <w:rFonts w:hint="default"/>
      </w:rPr>
    </w:lvl>
    <w:lvl w:ilvl="1" w:tplc="0C090019">
      <w:start w:val="1"/>
      <w:numFmt w:val="lowerLetter"/>
      <w:lvlText w:val="%2."/>
      <w:lvlJc w:val="left"/>
      <w:pPr>
        <w:ind w:left="1935" w:hanging="360"/>
      </w:pPr>
    </w:lvl>
    <w:lvl w:ilvl="2" w:tplc="0C09001B">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3">
    <w:nsid w:val="6C7C30DA"/>
    <w:multiLevelType w:val="hybridMultilevel"/>
    <w:tmpl w:val="C418666A"/>
    <w:lvl w:ilvl="0" w:tplc="2AE62ABC">
      <w:start w:val="1"/>
      <w:numFmt w:val="decimal"/>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C2"/>
    <w:rsid w:val="00002365"/>
    <w:rsid w:val="000165F6"/>
    <w:rsid w:val="000537D6"/>
    <w:rsid w:val="00097813"/>
    <w:rsid w:val="000B69B2"/>
    <w:rsid w:val="0012539B"/>
    <w:rsid w:val="0013150E"/>
    <w:rsid w:val="00170ADE"/>
    <w:rsid w:val="00180160"/>
    <w:rsid w:val="002178D3"/>
    <w:rsid w:val="002235A6"/>
    <w:rsid w:val="002724CE"/>
    <w:rsid w:val="0028655D"/>
    <w:rsid w:val="002C7B6D"/>
    <w:rsid w:val="002D7352"/>
    <w:rsid w:val="002F7A98"/>
    <w:rsid w:val="00361E36"/>
    <w:rsid w:val="003639B3"/>
    <w:rsid w:val="00364D0B"/>
    <w:rsid w:val="003A22C0"/>
    <w:rsid w:val="003A5C61"/>
    <w:rsid w:val="003B12D2"/>
    <w:rsid w:val="00401E88"/>
    <w:rsid w:val="004074B9"/>
    <w:rsid w:val="0041413A"/>
    <w:rsid w:val="00414BC2"/>
    <w:rsid w:val="00460B24"/>
    <w:rsid w:val="00465FBA"/>
    <w:rsid w:val="00471037"/>
    <w:rsid w:val="0048330B"/>
    <w:rsid w:val="00494081"/>
    <w:rsid w:val="004B3D4E"/>
    <w:rsid w:val="004D2FE6"/>
    <w:rsid w:val="00500EBE"/>
    <w:rsid w:val="0051072C"/>
    <w:rsid w:val="00553426"/>
    <w:rsid w:val="00574168"/>
    <w:rsid w:val="0058486A"/>
    <w:rsid w:val="005A34B1"/>
    <w:rsid w:val="005A6937"/>
    <w:rsid w:val="005C21F8"/>
    <w:rsid w:val="005E5CD9"/>
    <w:rsid w:val="005E6F84"/>
    <w:rsid w:val="00600C70"/>
    <w:rsid w:val="00610828"/>
    <w:rsid w:val="00655E2E"/>
    <w:rsid w:val="00695D5C"/>
    <w:rsid w:val="006B5F61"/>
    <w:rsid w:val="006C66B3"/>
    <w:rsid w:val="00713AA8"/>
    <w:rsid w:val="00717789"/>
    <w:rsid w:val="00767047"/>
    <w:rsid w:val="007C2290"/>
    <w:rsid w:val="007D0B1A"/>
    <w:rsid w:val="008429EA"/>
    <w:rsid w:val="00850141"/>
    <w:rsid w:val="008D01AE"/>
    <w:rsid w:val="008D77F1"/>
    <w:rsid w:val="00920263"/>
    <w:rsid w:val="00920B24"/>
    <w:rsid w:val="009402C3"/>
    <w:rsid w:val="00942A3C"/>
    <w:rsid w:val="009658DE"/>
    <w:rsid w:val="00965F23"/>
    <w:rsid w:val="009718B9"/>
    <w:rsid w:val="009C49D3"/>
    <w:rsid w:val="009C719A"/>
    <w:rsid w:val="00A070AD"/>
    <w:rsid w:val="00A11636"/>
    <w:rsid w:val="00A143B3"/>
    <w:rsid w:val="00A17EA3"/>
    <w:rsid w:val="00A2295F"/>
    <w:rsid w:val="00AA05F8"/>
    <w:rsid w:val="00AD121C"/>
    <w:rsid w:val="00B65202"/>
    <w:rsid w:val="00B7097B"/>
    <w:rsid w:val="00B94443"/>
    <w:rsid w:val="00BC0E83"/>
    <w:rsid w:val="00C404B1"/>
    <w:rsid w:val="00C60302"/>
    <w:rsid w:val="00C656A3"/>
    <w:rsid w:val="00C80D43"/>
    <w:rsid w:val="00CB682C"/>
    <w:rsid w:val="00CC0C84"/>
    <w:rsid w:val="00CC22DE"/>
    <w:rsid w:val="00CE7002"/>
    <w:rsid w:val="00D55C18"/>
    <w:rsid w:val="00DB233C"/>
    <w:rsid w:val="00DD6074"/>
    <w:rsid w:val="00DE6413"/>
    <w:rsid w:val="00DE72C3"/>
    <w:rsid w:val="00E2514F"/>
    <w:rsid w:val="00E26B83"/>
    <w:rsid w:val="00E4577D"/>
    <w:rsid w:val="00E52C2D"/>
    <w:rsid w:val="00EC7CEA"/>
    <w:rsid w:val="00F73392"/>
    <w:rsid w:val="00F9424E"/>
    <w:rsid w:val="00FB09AA"/>
    <w:rsid w:val="00FE2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Berlin Sans FB" w:hAnsi="Berlin Sans FB"/>
      <w:spacing w:val="20"/>
      <w:sz w:val="36"/>
      <w:lang w:val="en-AU"/>
    </w:rPr>
  </w:style>
  <w:style w:type="paragraph" w:styleId="Heading2">
    <w:name w:val="heading 2"/>
    <w:basedOn w:val="Normal"/>
    <w:next w:val="Normal"/>
    <w:qFormat/>
    <w:pPr>
      <w:keepNext/>
      <w:outlineLvl w:val="1"/>
    </w:pPr>
    <w:rPr>
      <w:rFonts w:ascii="Calisto MT" w:hAnsi="Calisto MT"/>
      <w:i/>
      <w:iCs/>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lang w:val="en-AU"/>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B69B2"/>
    <w:rPr>
      <w:rFonts w:ascii="Tahoma" w:hAnsi="Tahoma" w:cs="Tahoma"/>
      <w:sz w:val="16"/>
      <w:szCs w:val="16"/>
    </w:rPr>
  </w:style>
  <w:style w:type="character" w:styleId="Hyperlink">
    <w:name w:val="Hyperlink"/>
    <w:rsid w:val="00767047"/>
    <w:rPr>
      <w:color w:val="0000FF"/>
      <w:u w:val="single"/>
    </w:rPr>
  </w:style>
  <w:style w:type="paragraph" w:styleId="ListParagraph">
    <w:name w:val="List Paragraph"/>
    <w:basedOn w:val="Normal"/>
    <w:uiPriority w:val="34"/>
    <w:qFormat/>
    <w:rsid w:val="00E4577D"/>
    <w:pPr>
      <w:ind w:left="720"/>
    </w:pPr>
  </w:style>
  <w:style w:type="character" w:customStyle="1" w:styleId="FooterChar">
    <w:name w:val="Footer Char"/>
    <w:basedOn w:val="DefaultParagraphFont"/>
    <w:link w:val="Footer"/>
    <w:uiPriority w:val="99"/>
    <w:rsid w:val="00002365"/>
    <w:rPr>
      <w:sz w:val="24"/>
      <w:szCs w:val="24"/>
      <w:lang w:val="en-US" w:eastAsia="en-US"/>
    </w:rPr>
  </w:style>
  <w:style w:type="paragraph" w:styleId="FootnoteText">
    <w:name w:val="footnote text"/>
    <w:basedOn w:val="Normal"/>
    <w:link w:val="FootnoteTextChar"/>
    <w:rsid w:val="00713AA8"/>
    <w:rPr>
      <w:sz w:val="20"/>
      <w:szCs w:val="20"/>
    </w:rPr>
  </w:style>
  <w:style w:type="character" w:customStyle="1" w:styleId="FootnoteTextChar">
    <w:name w:val="Footnote Text Char"/>
    <w:basedOn w:val="DefaultParagraphFont"/>
    <w:link w:val="FootnoteText"/>
    <w:rsid w:val="00713AA8"/>
    <w:rPr>
      <w:lang w:val="en-US" w:eastAsia="en-US"/>
    </w:rPr>
  </w:style>
  <w:style w:type="character" w:styleId="FootnoteReference">
    <w:name w:val="footnote reference"/>
    <w:basedOn w:val="DefaultParagraphFont"/>
    <w:rsid w:val="00713A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Berlin Sans FB" w:hAnsi="Berlin Sans FB"/>
      <w:spacing w:val="20"/>
      <w:sz w:val="36"/>
      <w:lang w:val="en-AU"/>
    </w:rPr>
  </w:style>
  <w:style w:type="paragraph" w:styleId="Heading2">
    <w:name w:val="heading 2"/>
    <w:basedOn w:val="Normal"/>
    <w:next w:val="Normal"/>
    <w:qFormat/>
    <w:pPr>
      <w:keepNext/>
      <w:outlineLvl w:val="1"/>
    </w:pPr>
    <w:rPr>
      <w:rFonts w:ascii="Calisto MT" w:hAnsi="Calisto MT"/>
      <w:i/>
      <w:iCs/>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lang w:val="en-AU"/>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B69B2"/>
    <w:rPr>
      <w:rFonts w:ascii="Tahoma" w:hAnsi="Tahoma" w:cs="Tahoma"/>
      <w:sz w:val="16"/>
      <w:szCs w:val="16"/>
    </w:rPr>
  </w:style>
  <w:style w:type="character" w:styleId="Hyperlink">
    <w:name w:val="Hyperlink"/>
    <w:rsid w:val="00767047"/>
    <w:rPr>
      <w:color w:val="0000FF"/>
      <w:u w:val="single"/>
    </w:rPr>
  </w:style>
  <w:style w:type="paragraph" w:styleId="ListParagraph">
    <w:name w:val="List Paragraph"/>
    <w:basedOn w:val="Normal"/>
    <w:uiPriority w:val="34"/>
    <w:qFormat/>
    <w:rsid w:val="00E4577D"/>
    <w:pPr>
      <w:ind w:left="720"/>
    </w:pPr>
  </w:style>
  <w:style w:type="character" w:customStyle="1" w:styleId="FooterChar">
    <w:name w:val="Footer Char"/>
    <w:basedOn w:val="DefaultParagraphFont"/>
    <w:link w:val="Footer"/>
    <w:uiPriority w:val="99"/>
    <w:rsid w:val="00002365"/>
    <w:rPr>
      <w:sz w:val="24"/>
      <w:szCs w:val="24"/>
      <w:lang w:val="en-US" w:eastAsia="en-US"/>
    </w:rPr>
  </w:style>
  <w:style w:type="paragraph" w:styleId="FootnoteText">
    <w:name w:val="footnote text"/>
    <w:basedOn w:val="Normal"/>
    <w:link w:val="FootnoteTextChar"/>
    <w:rsid w:val="00713AA8"/>
    <w:rPr>
      <w:sz w:val="20"/>
      <w:szCs w:val="20"/>
    </w:rPr>
  </w:style>
  <w:style w:type="character" w:customStyle="1" w:styleId="FootnoteTextChar">
    <w:name w:val="Footnote Text Char"/>
    <w:basedOn w:val="DefaultParagraphFont"/>
    <w:link w:val="FootnoteText"/>
    <w:rsid w:val="00713AA8"/>
    <w:rPr>
      <w:lang w:val="en-US" w:eastAsia="en-US"/>
    </w:rPr>
  </w:style>
  <w:style w:type="character" w:styleId="FootnoteReference">
    <w:name w:val="footnote reference"/>
    <w:basedOn w:val="DefaultParagraphFont"/>
    <w:rsid w:val="00713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E63F-07A6-466D-919E-9E5C27C4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3014</Words>
  <Characters>15988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Shoalcoast Legal</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Shoalcoast Community Legal Centre - Access to Justice Arrangements - Public inquiry</dc:title>
  <dc:creator>Productivity Commission</dc:creator>
  <cp:lastModifiedBy>Productivity Commission</cp:lastModifiedBy>
  <cp:revision>2</cp:revision>
  <cp:lastPrinted>2013-04-19T02:00:00Z</cp:lastPrinted>
  <dcterms:created xsi:type="dcterms:W3CDTF">2013-11-07T00:04:00Z</dcterms:created>
  <dcterms:modified xsi:type="dcterms:W3CDTF">2013-11-07T00:04:00Z</dcterms:modified>
</cp:coreProperties>
</file>