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17E" w:rsidRPr="00E32EAE" w:rsidRDefault="0073117E" w:rsidP="0073117E">
      <w:pPr>
        <w:autoSpaceDE w:val="0"/>
        <w:autoSpaceDN w:val="0"/>
        <w:adjustRightInd w:val="0"/>
        <w:jc w:val="both"/>
        <w:rPr>
          <w:rFonts w:asciiTheme="minorHAnsi" w:hAnsiTheme="minorHAnsi" w:cs="Helv"/>
          <w:sz w:val="22"/>
          <w:szCs w:val="22"/>
          <w:lang w:eastAsia="en-AU"/>
        </w:rPr>
      </w:pPr>
      <w:bookmarkStart w:id="0" w:name="_GoBack"/>
      <w:bookmarkEnd w:id="0"/>
      <w:r w:rsidRPr="00E32EAE">
        <w:rPr>
          <w:rFonts w:asciiTheme="minorHAnsi" w:hAnsiTheme="minorHAnsi" w:cs="Helv"/>
          <w:sz w:val="22"/>
          <w:szCs w:val="22"/>
          <w:lang w:eastAsia="en-AU"/>
        </w:rPr>
        <w:t>Dear Commissioners</w:t>
      </w:r>
    </w:p>
    <w:p w:rsidR="0073117E" w:rsidRPr="00E32EAE" w:rsidRDefault="0073117E" w:rsidP="0073117E">
      <w:pPr>
        <w:autoSpaceDE w:val="0"/>
        <w:autoSpaceDN w:val="0"/>
        <w:adjustRightInd w:val="0"/>
        <w:jc w:val="both"/>
        <w:rPr>
          <w:rFonts w:asciiTheme="minorHAnsi" w:hAnsiTheme="minorHAnsi" w:cs="Helv"/>
          <w:sz w:val="22"/>
          <w:szCs w:val="22"/>
          <w:lang w:eastAsia="en-AU"/>
        </w:rPr>
      </w:pPr>
    </w:p>
    <w:p w:rsidR="00EE7C58" w:rsidRDefault="00EE7C58" w:rsidP="0073117E">
      <w:pPr>
        <w:autoSpaceDE w:val="0"/>
        <w:autoSpaceDN w:val="0"/>
        <w:adjustRightInd w:val="0"/>
        <w:jc w:val="both"/>
        <w:rPr>
          <w:rFonts w:asciiTheme="minorHAnsi" w:hAnsiTheme="minorHAnsi" w:cs="Helv"/>
          <w:b/>
          <w:i/>
          <w:sz w:val="22"/>
          <w:szCs w:val="22"/>
          <w:lang w:eastAsia="en-AU"/>
        </w:rPr>
      </w:pPr>
    </w:p>
    <w:p w:rsidR="0073117E" w:rsidRPr="00E32EAE" w:rsidRDefault="0073117E" w:rsidP="0073117E">
      <w:pPr>
        <w:autoSpaceDE w:val="0"/>
        <w:autoSpaceDN w:val="0"/>
        <w:adjustRightInd w:val="0"/>
        <w:jc w:val="both"/>
        <w:rPr>
          <w:rFonts w:asciiTheme="minorHAnsi" w:hAnsiTheme="minorHAnsi" w:cs="Helv"/>
          <w:b/>
          <w:bCs/>
          <w:i/>
          <w:iCs/>
          <w:sz w:val="22"/>
          <w:szCs w:val="22"/>
          <w:lang w:eastAsia="en-AU"/>
        </w:rPr>
      </w:pPr>
      <w:r w:rsidRPr="00E32EAE">
        <w:rPr>
          <w:rFonts w:asciiTheme="minorHAnsi" w:hAnsiTheme="minorHAnsi" w:cs="Helv"/>
          <w:b/>
          <w:i/>
          <w:sz w:val="22"/>
          <w:szCs w:val="22"/>
          <w:lang w:eastAsia="en-AU"/>
        </w:rPr>
        <w:t>Re</w:t>
      </w:r>
      <w:r w:rsidRPr="00E32EAE">
        <w:rPr>
          <w:rFonts w:asciiTheme="minorHAnsi" w:hAnsiTheme="minorHAnsi" w:cs="Helv"/>
          <w:sz w:val="22"/>
          <w:szCs w:val="22"/>
          <w:lang w:eastAsia="en-AU"/>
        </w:rPr>
        <w:t xml:space="preserve"> </w:t>
      </w:r>
      <w:r w:rsidRPr="00E32EAE">
        <w:rPr>
          <w:rFonts w:asciiTheme="minorHAnsi" w:hAnsiTheme="minorHAnsi" w:cs="Helv"/>
          <w:b/>
          <w:bCs/>
          <w:i/>
          <w:iCs/>
          <w:sz w:val="22"/>
          <w:szCs w:val="22"/>
          <w:lang w:eastAsia="en-AU"/>
        </w:rPr>
        <w:t>Productivity Commission Draft Report - Access to Justice Arrangements (April 2014)</w:t>
      </w:r>
    </w:p>
    <w:p w:rsidR="0073117E" w:rsidRPr="00E32EAE" w:rsidRDefault="0073117E" w:rsidP="0073117E">
      <w:pPr>
        <w:autoSpaceDE w:val="0"/>
        <w:autoSpaceDN w:val="0"/>
        <w:adjustRightInd w:val="0"/>
        <w:jc w:val="both"/>
        <w:rPr>
          <w:rFonts w:asciiTheme="minorHAnsi" w:hAnsiTheme="minorHAnsi" w:cs="Helv"/>
          <w:b/>
          <w:bCs/>
          <w:i/>
          <w:iCs/>
          <w:sz w:val="22"/>
          <w:szCs w:val="22"/>
          <w:lang w:eastAsia="en-AU"/>
        </w:rPr>
      </w:pPr>
    </w:p>
    <w:p w:rsidR="0073117E" w:rsidRPr="00E32EAE" w:rsidRDefault="0073117E" w:rsidP="0073117E">
      <w:pPr>
        <w:autoSpaceDE w:val="0"/>
        <w:autoSpaceDN w:val="0"/>
        <w:adjustRightInd w:val="0"/>
        <w:jc w:val="both"/>
        <w:rPr>
          <w:rFonts w:asciiTheme="minorHAnsi" w:hAnsiTheme="minorHAnsi" w:cs="Helv"/>
          <w:sz w:val="22"/>
          <w:szCs w:val="22"/>
          <w:lang w:eastAsia="en-AU"/>
        </w:rPr>
      </w:pPr>
      <w:r w:rsidRPr="00E32EAE">
        <w:rPr>
          <w:rFonts w:asciiTheme="minorHAnsi" w:hAnsiTheme="minorHAnsi" w:cs="Helv"/>
          <w:sz w:val="22"/>
          <w:szCs w:val="22"/>
          <w:lang w:eastAsia="en-AU"/>
        </w:rPr>
        <w:t xml:space="preserve">You have invited comments on this draft inquiry report. </w:t>
      </w:r>
    </w:p>
    <w:p w:rsidR="0073117E" w:rsidRPr="00E32EAE" w:rsidRDefault="0073117E" w:rsidP="0073117E">
      <w:pPr>
        <w:autoSpaceDE w:val="0"/>
        <w:autoSpaceDN w:val="0"/>
        <w:adjustRightInd w:val="0"/>
        <w:jc w:val="both"/>
        <w:rPr>
          <w:rFonts w:asciiTheme="minorHAnsi" w:hAnsiTheme="minorHAnsi" w:cs="Helv"/>
          <w:sz w:val="22"/>
          <w:szCs w:val="22"/>
          <w:lang w:eastAsia="en-AU"/>
        </w:rPr>
      </w:pPr>
    </w:p>
    <w:p w:rsidR="0073117E" w:rsidRPr="00E32EAE" w:rsidRDefault="0073117E" w:rsidP="0073117E">
      <w:pPr>
        <w:autoSpaceDE w:val="0"/>
        <w:autoSpaceDN w:val="0"/>
        <w:adjustRightInd w:val="0"/>
        <w:jc w:val="both"/>
        <w:rPr>
          <w:rFonts w:asciiTheme="minorHAnsi" w:hAnsiTheme="minorHAnsi" w:cs="Helv"/>
          <w:i/>
          <w:iCs/>
          <w:sz w:val="22"/>
          <w:szCs w:val="22"/>
          <w:lang w:eastAsia="en-AU"/>
        </w:rPr>
      </w:pPr>
      <w:r w:rsidRPr="00E32EAE">
        <w:rPr>
          <w:rFonts w:asciiTheme="minorHAnsi" w:hAnsiTheme="minorHAnsi" w:cs="Helv"/>
          <w:sz w:val="22"/>
          <w:szCs w:val="22"/>
          <w:lang w:eastAsia="en-AU"/>
        </w:rPr>
        <w:t xml:space="preserve">As you point out in the overview to the draft report </w:t>
      </w:r>
      <w:r w:rsidRPr="00E32EAE">
        <w:rPr>
          <w:rFonts w:asciiTheme="minorHAnsi" w:hAnsiTheme="minorHAnsi" w:cs="Helv"/>
          <w:i/>
          <w:iCs/>
          <w:sz w:val="22"/>
          <w:szCs w:val="22"/>
          <w:lang w:eastAsia="en-AU"/>
        </w:rPr>
        <w:t>...This inquiry has been prompted in large part by concerns that the civil justice system is too slow, too expensive, too complicated and too adversarial - these concerns have been reflected in many of the submissions received</w:t>
      </w:r>
      <w:r w:rsidRPr="00E32EAE">
        <w:rPr>
          <w:rFonts w:asciiTheme="minorHAnsi" w:hAnsiTheme="minorHAnsi" w:cs="Helv"/>
          <w:sz w:val="22"/>
          <w:szCs w:val="22"/>
          <w:lang w:eastAsia="en-AU"/>
        </w:rPr>
        <w:t>.  It is however pleasing to note that you also indicate that…w</w:t>
      </w:r>
      <w:r w:rsidRPr="00E32EAE">
        <w:rPr>
          <w:rFonts w:asciiTheme="minorHAnsi" w:hAnsiTheme="minorHAnsi" w:cs="Helv"/>
          <w:i/>
          <w:iCs/>
          <w:sz w:val="22"/>
          <w:szCs w:val="22"/>
          <w:lang w:eastAsia="en-AU"/>
        </w:rPr>
        <w:t xml:space="preserve">hile this might describe some aspects of the </w:t>
      </w:r>
      <w:r w:rsidR="006F72A6" w:rsidRPr="00E32EAE">
        <w:rPr>
          <w:rFonts w:asciiTheme="minorHAnsi" w:hAnsiTheme="minorHAnsi" w:cs="Helv"/>
          <w:i/>
          <w:iCs/>
          <w:sz w:val="22"/>
          <w:szCs w:val="22"/>
          <w:lang w:eastAsia="en-AU"/>
        </w:rPr>
        <w:t>system;</w:t>
      </w:r>
      <w:r w:rsidRPr="00E32EAE">
        <w:rPr>
          <w:rFonts w:asciiTheme="minorHAnsi" w:hAnsiTheme="minorHAnsi" w:cs="Helv"/>
          <w:i/>
          <w:iCs/>
          <w:sz w:val="22"/>
          <w:szCs w:val="22"/>
          <w:lang w:eastAsia="en-AU"/>
        </w:rPr>
        <w:t xml:space="preserve"> such broad based characterisations fail to capture the diversity and indeed strengths of Australia's civil justice system.</w:t>
      </w:r>
    </w:p>
    <w:p w:rsidR="0073117E" w:rsidRPr="00E32EAE" w:rsidRDefault="0073117E" w:rsidP="0073117E">
      <w:pPr>
        <w:autoSpaceDE w:val="0"/>
        <w:autoSpaceDN w:val="0"/>
        <w:adjustRightInd w:val="0"/>
        <w:jc w:val="both"/>
        <w:rPr>
          <w:rFonts w:asciiTheme="minorHAnsi" w:hAnsiTheme="minorHAnsi" w:cs="Helv"/>
          <w:i/>
          <w:iCs/>
          <w:sz w:val="22"/>
          <w:szCs w:val="22"/>
          <w:lang w:eastAsia="en-AU"/>
        </w:rPr>
      </w:pPr>
    </w:p>
    <w:p w:rsidR="0073117E" w:rsidRPr="00E32EAE" w:rsidRDefault="0073117E" w:rsidP="0073117E">
      <w:pPr>
        <w:autoSpaceDE w:val="0"/>
        <w:autoSpaceDN w:val="0"/>
        <w:adjustRightInd w:val="0"/>
        <w:jc w:val="both"/>
        <w:rPr>
          <w:rFonts w:asciiTheme="minorHAnsi" w:hAnsiTheme="minorHAnsi" w:cs="Helv"/>
          <w:sz w:val="22"/>
          <w:szCs w:val="22"/>
          <w:lang w:eastAsia="en-AU"/>
        </w:rPr>
      </w:pPr>
      <w:r w:rsidRPr="00E32EAE">
        <w:rPr>
          <w:rFonts w:asciiTheme="minorHAnsi" w:hAnsiTheme="minorHAnsi" w:cs="Helv"/>
          <w:sz w:val="22"/>
          <w:szCs w:val="22"/>
          <w:lang w:eastAsia="en-AU"/>
        </w:rPr>
        <w:t xml:space="preserve">The Federal Circuit Court aims to dispose of matters in a timely manner. The clearance rate of the Court is one to be proud of. However, the Court, like all public institutions is feeling the impact of reduced public spending.  Imminent judicial retirements and budget constraints will make it more difficult for the Court to meet such performance targets. </w:t>
      </w:r>
    </w:p>
    <w:p w:rsidR="0073117E" w:rsidRPr="00E32EAE" w:rsidRDefault="0073117E" w:rsidP="0073117E">
      <w:pPr>
        <w:autoSpaceDE w:val="0"/>
        <w:autoSpaceDN w:val="0"/>
        <w:adjustRightInd w:val="0"/>
        <w:jc w:val="both"/>
        <w:rPr>
          <w:rFonts w:asciiTheme="minorHAnsi" w:hAnsiTheme="minorHAnsi" w:cs="Helv"/>
          <w:sz w:val="22"/>
          <w:szCs w:val="22"/>
          <w:lang w:eastAsia="en-AU"/>
        </w:rPr>
      </w:pPr>
    </w:p>
    <w:p w:rsidR="0073117E" w:rsidRPr="00E32EAE" w:rsidRDefault="0073117E" w:rsidP="0073117E">
      <w:pPr>
        <w:autoSpaceDE w:val="0"/>
        <w:autoSpaceDN w:val="0"/>
        <w:adjustRightInd w:val="0"/>
        <w:jc w:val="both"/>
        <w:rPr>
          <w:rFonts w:asciiTheme="minorHAnsi" w:hAnsiTheme="minorHAnsi" w:cs="Helv"/>
          <w:sz w:val="22"/>
          <w:szCs w:val="22"/>
          <w:lang w:eastAsia="en-AU"/>
        </w:rPr>
      </w:pPr>
      <w:r w:rsidRPr="00E32EAE">
        <w:rPr>
          <w:rFonts w:asciiTheme="minorHAnsi" w:hAnsiTheme="minorHAnsi" w:cs="Helv"/>
          <w:sz w:val="22"/>
          <w:szCs w:val="22"/>
          <w:lang w:eastAsia="en-AU"/>
        </w:rPr>
        <w:t>It is pleasing that the draft report highlights the importance of individual docket management as the FCC considers that overall a docket case management system provides for more efficient management of matters and promotes earlier settlement.</w:t>
      </w:r>
    </w:p>
    <w:p w:rsidR="0073117E" w:rsidRPr="00E32EAE" w:rsidRDefault="0073117E" w:rsidP="0073117E">
      <w:pPr>
        <w:autoSpaceDE w:val="0"/>
        <w:autoSpaceDN w:val="0"/>
        <w:adjustRightInd w:val="0"/>
        <w:jc w:val="both"/>
        <w:rPr>
          <w:rFonts w:asciiTheme="minorHAnsi" w:hAnsiTheme="minorHAnsi" w:cs="Helv"/>
          <w:sz w:val="22"/>
          <w:szCs w:val="22"/>
          <w:lang w:eastAsia="en-AU"/>
        </w:rPr>
      </w:pPr>
    </w:p>
    <w:p w:rsidR="0073117E" w:rsidRPr="00E32EAE" w:rsidRDefault="0073117E" w:rsidP="0073117E">
      <w:pPr>
        <w:autoSpaceDE w:val="0"/>
        <w:autoSpaceDN w:val="0"/>
        <w:adjustRightInd w:val="0"/>
        <w:jc w:val="both"/>
        <w:rPr>
          <w:rFonts w:asciiTheme="minorHAnsi" w:hAnsiTheme="minorHAnsi" w:cs="Helv"/>
          <w:sz w:val="22"/>
          <w:szCs w:val="22"/>
          <w:lang w:eastAsia="en-AU"/>
        </w:rPr>
      </w:pPr>
      <w:r w:rsidRPr="00E32EAE">
        <w:rPr>
          <w:rFonts w:asciiTheme="minorHAnsi" w:hAnsiTheme="minorHAnsi" w:cs="Helv"/>
          <w:sz w:val="22"/>
          <w:szCs w:val="22"/>
          <w:lang w:eastAsia="en-AU"/>
        </w:rPr>
        <w:t xml:space="preserve">The following comments </w:t>
      </w:r>
      <w:r w:rsidR="003D7696" w:rsidRPr="00E32EAE">
        <w:rPr>
          <w:rFonts w:asciiTheme="minorHAnsi" w:hAnsiTheme="minorHAnsi" w:cs="Helv"/>
          <w:sz w:val="22"/>
          <w:szCs w:val="22"/>
          <w:lang w:eastAsia="en-AU"/>
        </w:rPr>
        <w:t xml:space="preserve">in Attachment A </w:t>
      </w:r>
      <w:r w:rsidRPr="00E32EAE">
        <w:rPr>
          <w:rFonts w:asciiTheme="minorHAnsi" w:hAnsiTheme="minorHAnsi" w:cs="Helv"/>
          <w:sz w:val="22"/>
          <w:szCs w:val="22"/>
          <w:lang w:eastAsia="en-AU"/>
        </w:rPr>
        <w:t>are provided in respect of recommendations and information requests of relevance:</w:t>
      </w:r>
    </w:p>
    <w:p w:rsidR="00527020" w:rsidRPr="00E32EAE" w:rsidRDefault="00527020" w:rsidP="0073117E">
      <w:pPr>
        <w:jc w:val="both"/>
        <w:rPr>
          <w:rFonts w:asciiTheme="minorHAnsi" w:hAnsiTheme="minorHAnsi"/>
          <w:sz w:val="22"/>
          <w:szCs w:val="22"/>
        </w:rPr>
      </w:pPr>
    </w:p>
    <w:p w:rsidR="0073117E" w:rsidRPr="00E32EAE" w:rsidRDefault="0073117E" w:rsidP="0073117E">
      <w:pPr>
        <w:jc w:val="both"/>
        <w:rPr>
          <w:rFonts w:asciiTheme="minorHAnsi" w:hAnsiTheme="minorHAnsi"/>
          <w:sz w:val="22"/>
          <w:szCs w:val="22"/>
        </w:rPr>
      </w:pPr>
    </w:p>
    <w:p w:rsidR="006F72A6" w:rsidRDefault="006F72A6">
      <w:pPr>
        <w:rPr>
          <w:rFonts w:asciiTheme="minorHAnsi" w:hAnsiTheme="minorHAnsi"/>
          <w:sz w:val="22"/>
          <w:szCs w:val="22"/>
        </w:rPr>
      </w:pPr>
    </w:p>
    <w:p w:rsidR="006F72A6" w:rsidRDefault="006F72A6">
      <w:pPr>
        <w:rPr>
          <w:rFonts w:asciiTheme="minorHAnsi" w:hAnsiTheme="minorHAnsi"/>
          <w:sz w:val="22"/>
          <w:szCs w:val="22"/>
        </w:rPr>
      </w:pPr>
      <w:r>
        <w:rPr>
          <w:rFonts w:asciiTheme="minorHAnsi" w:hAnsiTheme="minorHAnsi"/>
          <w:sz w:val="22"/>
          <w:szCs w:val="22"/>
        </w:rPr>
        <w:t>Steve Agnew</w:t>
      </w:r>
    </w:p>
    <w:p w:rsidR="006F72A6" w:rsidRDefault="006F72A6">
      <w:pPr>
        <w:rPr>
          <w:rFonts w:asciiTheme="minorHAnsi" w:hAnsiTheme="minorHAnsi"/>
          <w:sz w:val="22"/>
          <w:szCs w:val="22"/>
        </w:rPr>
      </w:pPr>
      <w:r>
        <w:rPr>
          <w:rFonts w:asciiTheme="minorHAnsi" w:hAnsiTheme="minorHAnsi"/>
          <w:sz w:val="22"/>
          <w:szCs w:val="22"/>
        </w:rPr>
        <w:t>Executive Director Court Services</w:t>
      </w:r>
    </w:p>
    <w:p w:rsidR="006F72A6" w:rsidRDefault="006F72A6">
      <w:pPr>
        <w:rPr>
          <w:rFonts w:asciiTheme="minorHAnsi" w:hAnsiTheme="minorHAnsi"/>
          <w:sz w:val="22"/>
          <w:szCs w:val="22"/>
        </w:rPr>
      </w:pPr>
      <w:r>
        <w:rPr>
          <w:rFonts w:asciiTheme="minorHAnsi" w:hAnsiTheme="minorHAnsi"/>
          <w:sz w:val="22"/>
          <w:szCs w:val="22"/>
        </w:rPr>
        <w:t>Federal Circuit Court of Australia</w:t>
      </w:r>
    </w:p>
    <w:p w:rsidR="0073117E" w:rsidRPr="00E32EAE" w:rsidRDefault="006F72A6">
      <w:pPr>
        <w:rPr>
          <w:rFonts w:asciiTheme="minorHAnsi" w:hAnsiTheme="minorHAnsi"/>
          <w:sz w:val="22"/>
          <w:szCs w:val="22"/>
        </w:rPr>
      </w:pPr>
      <w:r>
        <w:rPr>
          <w:rFonts w:asciiTheme="minorHAnsi" w:hAnsiTheme="minorHAnsi"/>
          <w:sz w:val="22"/>
          <w:szCs w:val="22"/>
        </w:rPr>
        <w:t>26 May 2014</w:t>
      </w:r>
      <w:r w:rsidR="0073117E" w:rsidRPr="00E32EAE">
        <w:rPr>
          <w:rFonts w:asciiTheme="minorHAnsi" w:hAnsiTheme="minorHAnsi"/>
          <w:sz w:val="22"/>
          <w:szCs w:val="22"/>
        </w:rPr>
        <w:br w:type="page"/>
      </w:r>
    </w:p>
    <w:p w:rsidR="003D7696" w:rsidRPr="00E32EAE" w:rsidRDefault="003D7696" w:rsidP="003D7696">
      <w:pPr>
        <w:autoSpaceDE w:val="0"/>
        <w:autoSpaceDN w:val="0"/>
        <w:adjustRightInd w:val="0"/>
        <w:jc w:val="right"/>
        <w:rPr>
          <w:rFonts w:asciiTheme="minorHAnsi" w:hAnsiTheme="minorHAnsi" w:cs="Helv"/>
          <w:b/>
          <w:bCs/>
          <w:sz w:val="28"/>
          <w:szCs w:val="28"/>
          <w:lang w:eastAsia="en-AU"/>
        </w:rPr>
      </w:pPr>
      <w:r w:rsidRPr="00E32EAE">
        <w:rPr>
          <w:rFonts w:asciiTheme="minorHAnsi" w:hAnsiTheme="minorHAnsi" w:cs="Helv"/>
          <w:b/>
          <w:bCs/>
          <w:sz w:val="28"/>
          <w:szCs w:val="28"/>
          <w:lang w:eastAsia="en-AU"/>
        </w:rPr>
        <w:lastRenderedPageBreak/>
        <w:t>ATTACHMENT A</w:t>
      </w:r>
    </w:p>
    <w:p w:rsidR="003D7696" w:rsidRPr="00E32EAE" w:rsidRDefault="003D7696" w:rsidP="0073117E">
      <w:pPr>
        <w:autoSpaceDE w:val="0"/>
        <w:autoSpaceDN w:val="0"/>
        <w:adjustRightInd w:val="0"/>
        <w:rPr>
          <w:rFonts w:asciiTheme="minorHAnsi" w:hAnsiTheme="minorHAnsi" w:cs="Helv"/>
          <w:b/>
          <w:bCs/>
          <w:sz w:val="28"/>
          <w:szCs w:val="28"/>
          <w:lang w:eastAsia="en-AU"/>
        </w:rPr>
      </w:pPr>
    </w:p>
    <w:p w:rsidR="0073117E" w:rsidRPr="00E32EAE" w:rsidRDefault="0073117E" w:rsidP="0073117E">
      <w:pPr>
        <w:autoSpaceDE w:val="0"/>
        <w:autoSpaceDN w:val="0"/>
        <w:adjustRightInd w:val="0"/>
        <w:rPr>
          <w:rFonts w:asciiTheme="minorHAnsi" w:hAnsiTheme="minorHAnsi" w:cs="Helv"/>
          <w:b/>
          <w:bCs/>
          <w:sz w:val="28"/>
          <w:szCs w:val="28"/>
          <w:lang w:eastAsia="en-AU"/>
        </w:rPr>
      </w:pPr>
      <w:r w:rsidRPr="00E32EAE">
        <w:rPr>
          <w:rFonts w:asciiTheme="minorHAnsi" w:hAnsiTheme="minorHAnsi" w:cs="Helv"/>
          <w:b/>
          <w:bCs/>
          <w:sz w:val="28"/>
          <w:szCs w:val="28"/>
          <w:lang w:eastAsia="en-AU"/>
        </w:rPr>
        <w:t>Chapter 8: Alternative dispute resolution</w:t>
      </w:r>
    </w:p>
    <w:p w:rsidR="0073117E" w:rsidRPr="00E32EAE" w:rsidRDefault="0073117E" w:rsidP="0073117E">
      <w:pPr>
        <w:autoSpaceDE w:val="0"/>
        <w:autoSpaceDN w:val="0"/>
        <w:adjustRightInd w:val="0"/>
        <w:rPr>
          <w:rFonts w:asciiTheme="minorHAnsi" w:hAnsiTheme="minorHAnsi" w:cs="Helv"/>
          <w:b/>
          <w:bCs/>
          <w:sz w:val="22"/>
          <w:szCs w:val="22"/>
          <w:lang w:eastAsia="en-AU"/>
        </w:rPr>
      </w:pPr>
    </w:p>
    <w:p w:rsidR="0073117E" w:rsidRPr="00E32EAE" w:rsidRDefault="0073117E" w:rsidP="0073117E">
      <w:pPr>
        <w:autoSpaceDE w:val="0"/>
        <w:autoSpaceDN w:val="0"/>
        <w:adjustRightInd w:val="0"/>
        <w:rPr>
          <w:rFonts w:asciiTheme="minorHAnsi" w:hAnsiTheme="minorHAnsi" w:cs="Helv"/>
          <w:b/>
          <w:bCs/>
          <w:sz w:val="22"/>
          <w:szCs w:val="22"/>
          <w:lang w:eastAsia="en-AU"/>
        </w:rPr>
      </w:pPr>
      <w:r w:rsidRPr="00E32EAE">
        <w:rPr>
          <w:rFonts w:asciiTheme="minorHAnsi" w:hAnsiTheme="minorHAnsi" w:cs="Helv"/>
          <w:b/>
          <w:bCs/>
          <w:sz w:val="22"/>
          <w:szCs w:val="22"/>
          <w:lang w:eastAsia="en-AU"/>
        </w:rPr>
        <w:t>Information Request 8.1</w:t>
      </w:r>
    </w:p>
    <w:p w:rsidR="0073117E" w:rsidRPr="00E32EAE" w:rsidRDefault="0073117E" w:rsidP="0073117E">
      <w:pPr>
        <w:autoSpaceDE w:val="0"/>
        <w:autoSpaceDN w:val="0"/>
        <w:adjustRightInd w:val="0"/>
        <w:jc w:val="both"/>
        <w:rPr>
          <w:rFonts w:asciiTheme="minorHAnsi" w:hAnsiTheme="minorHAnsi" w:cs="Helv"/>
          <w:i/>
          <w:iCs/>
          <w:sz w:val="22"/>
          <w:szCs w:val="22"/>
          <w:lang w:eastAsia="en-AU"/>
        </w:rPr>
      </w:pPr>
      <w:r w:rsidRPr="00E32EAE">
        <w:rPr>
          <w:rFonts w:asciiTheme="minorHAnsi" w:hAnsiTheme="minorHAnsi" w:cs="Helv"/>
          <w:i/>
          <w:iCs/>
          <w:sz w:val="22"/>
          <w:szCs w:val="22"/>
          <w:lang w:eastAsia="en-AU"/>
        </w:rPr>
        <w:t>The Commission seeks feedback on whether there is merit in courts and tribunals making mediation compulsory for contested disputes of relatively low value (that is, up to $50,000)</w:t>
      </w:r>
    </w:p>
    <w:p w:rsidR="0073117E" w:rsidRPr="00E32EAE" w:rsidRDefault="0073117E" w:rsidP="0073117E">
      <w:pPr>
        <w:autoSpaceDE w:val="0"/>
        <w:autoSpaceDN w:val="0"/>
        <w:adjustRightInd w:val="0"/>
        <w:jc w:val="both"/>
        <w:rPr>
          <w:rFonts w:asciiTheme="minorHAnsi" w:hAnsiTheme="minorHAnsi" w:cs="Helv"/>
          <w:i/>
          <w:iCs/>
          <w:sz w:val="22"/>
          <w:szCs w:val="22"/>
          <w:lang w:eastAsia="en-AU"/>
        </w:rPr>
      </w:pPr>
    </w:p>
    <w:p w:rsidR="0073117E" w:rsidRPr="00E32EAE" w:rsidRDefault="0073117E" w:rsidP="0073117E">
      <w:pPr>
        <w:autoSpaceDE w:val="0"/>
        <w:autoSpaceDN w:val="0"/>
        <w:adjustRightInd w:val="0"/>
        <w:jc w:val="both"/>
        <w:rPr>
          <w:rFonts w:asciiTheme="minorHAnsi" w:hAnsiTheme="minorHAnsi" w:cs="Helv"/>
          <w:i/>
          <w:iCs/>
          <w:sz w:val="22"/>
          <w:szCs w:val="22"/>
          <w:lang w:eastAsia="en-AU"/>
        </w:rPr>
      </w:pPr>
      <w:r w:rsidRPr="00E32EAE">
        <w:rPr>
          <w:rFonts w:asciiTheme="minorHAnsi" w:hAnsiTheme="minorHAnsi" w:cs="Helv"/>
          <w:i/>
          <w:iCs/>
          <w:sz w:val="22"/>
          <w:szCs w:val="22"/>
          <w:lang w:eastAsia="en-AU"/>
        </w:rPr>
        <w:t>What are examples of successful models of targeted referral and alternative dispute resolution processes that could be extended to other types of civil matters or to similar types of matters in other jurisdictions?</w:t>
      </w:r>
    </w:p>
    <w:p w:rsidR="0073117E" w:rsidRPr="00E32EAE" w:rsidRDefault="0073117E" w:rsidP="0073117E">
      <w:pPr>
        <w:autoSpaceDE w:val="0"/>
        <w:autoSpaceDN w:val="0"/>
        <w:adjustRightInd w:val="0"/>
        <w:jc w:val="both"/>
        <w:rPr>
          <w:rFonts w:asciiTheme="minorHAnsi" w:hAnsiTheme="minorHAnsi" w:cs="Helv"/>
          <w:i/>
          <w:iCs/>
          <w:sz w:val="22"/>
          <w:szCs w:val="22"/>
          <w:lang w:eastAsia="en-AU"/>
        </w:rPr>
      </w:pPr>
    </w:p>
    <w:p w:rsidR="0073117E" w:rsidRPr="00E32EAE" w:rsidRDefault="0073117E" w:rsidP="0073117E">
      <w:pPr>
        <w:autoSpaceDE w:val="0"/>
        <w:autoSpaceDN w:val="0"/>
        <w:adjustRightInd w:val="0"/>
        <w:jc w:val="both"/>
        <w:rPr>
          <w:rFonts w:asciiTheme="minorHAnsi" w:hAnsiTheme="minorHAnsi" w:cs="Helv"/>
          <w:i/>
          <w:iCs/>
          <w:sz w:val="22"/>
          <w:szCs w:val="22"/>
          <w:lang w:eastAsia="en-AU"/>
        </w:rPr>
      </w:pPr>
      <w:r w:rsidRPr="00E32EAE">
        <w:rPr>
          <w:rFonts w:asciiTheme="minorHAnsi" w:hAnsiTheme="minorHAnsi" w:cs="Helv"/>
          <w:i/>
          <w:iCs/>
          <w:sz w:val="22"/>
          <w:szCs w:val="22"/>
          <w:lang w:eastAsia="en-AU"/>
        </w:rPr>
        <w:t>The Commission also seeks feedback on the value of extending requirements to undertake alternative dispute resolution in a wider variety of family law disputes</w:t>
      </w:r>
    </w:p>
    <w:p w:rsidR="0073117E" w:rsidRPr="00E32EAE" w:rsidRDefault="0073117E" w:rsidP="0073117E">
      <w:pPr>
        <w:autoSpaceDE w:val="0"/>
        <w:autoSpaceDN w:val="0"/>
        <w:adjustRightInd w:val="0"/>
        <w:jc w:val="both"/>
        <w:rPr>
          <w:rFonts w:asciiTheme="minorHAnsi" w:hAnsiTheme="minorHAnsi" w:cs="Helv"/>
          <w:i/>
          <w:iCs/>
          <w:sz w:val="22"/>
          <w:szCs w:val="22"/>
          <w:lang w:eastAsia="en-AU"/>
        </w:rPr>
      </w:pPr>
    </w:p>
    <w:p w:rsidR="0073117E" w:rsidRPr="00E32EAE" w:rsidRDefault="0073117E" w:rsidP="0073117E">
      <w:pPr>
        <w:autoSpaceDE w:val="0"/>
        <w:autoSpaceDN w:val="0"/>
        <w:adjustRightInd w:val="0"/>
        <w:jc w:val="both"/>
        <w:rPr>
          <w:rFonts w:asciiTheme="minorHAnsi" w:hAnsiTheme="minorHAnsi" w:cs="Helv"/>
          <w:b/>
          <w:bCs/>
          <w:sz w:val="22"/>
          <w:szCs w:val="22"/>
          <w:lang w:eastAsia="en-AU"/>
        </w:rPr>
      </w:pPr>
      <w:r w:rsidRPr="00E32EAE">
        <w:rPr>
          <w:rFonts w:asciiTheme="minorHAnsi" w:hAnsiTheme="minorHAnsi" w:cs="Helv"/>
          <w:b/>
          <w:bCs/>
          <w:sz w:val="22"/>
          <w:szCs w:val="22"/>
          <w:lang w:eastAsia="en-AU"/>
        </w:rPr>
        <w:t>Response</w:t>
      </w:r>
    </w:p>
    <w:p w:rsidR="0073117E" w:rsidRPr="00E32EAE" w:rsidRDefault="0073117E" w:rsidP="0073117E">
      <w:pPr>
        <w:autoSpaceDE w:val="0"/>
        <w:autoSpaceDN w:val="0"/>
        <w:adjustRightInd w:val="0"/>
        <w:jc w:val="both"/>
        <w:rPr>
          <w:rFonts w:asciiTheme="minorHAnsi" w:hAnsiTheme="minorHAnsi" w:cs="Helv"/>
          <w:sz w:val="22"/>
          <w:szCs w:val="22"/>
          <w:lang w:eastAsia="en-AU"/>
        </w:rPr>
      </w:pPr>
      <w:r w:rsidRPr="00E32EAE">
        <w:rPr>
          <w:rFonts w:asciiTheme="minorHAnsi" w:hAnsiTheme="minorHAnsi" w:cs="Helv"/>
          <w:sz w:val="22"/>
          <w:szCs w:val="22"/>
          <w:lang w:eastAsia="en-AU"/>
        </w:rPr>
        <w:t>Consistent with its statutory obligation, the FCC places significant emphasis on dispute resolution processes and recognises the benefits of ADR. At the first court event, the Judge will make an assessment as to whether the matter is a suitable one for a dispute resolution process, and make an early identification of the issues in dispute.</w:t>
      </w:r>
    </w:p>
    <w:p w:rsidR="0073117E" w:rsidRPr="00E32EAE" w:rsidRDefault="0073117E" w:rsidP="0073117E">
      <w:pPr>
        <w:autoSpaceDE w:val="0"/>
        <w:autoSpaceDN w:val="0"/>
        <w:adjustRightInd w:val="0"/>
        <w:jc w:val="both"/>
        <w:rPr>
          <w:rFonts w:asciiTheme="minorHAnsi" w:hAnsiTheme="minorHAnsi" w:cs="Helv"/>
          <w:sz w:val="22"/>
          <w:szCs w:val="22"/>
          <w:lang w:eastAsia="en-AU"/>
        </w:rPr>
      </w:pPr>
    </w:p>
    <w:p w:rsidR="0073117E" w:rsidRPr="00E32EAE" w:rsidRDefault="0073117E" w:rsidP="0073117E">
      <w:pPr>
        <w:autoSpaceDE w:val="0"/>
        <w:autoSpaceDN w:val="0"/>
        <w:adjustRightInd w:val="0"/>
        <w:jc w:val="both"/>
        <w:rPr>
          <w:rFonts w:asciiTheme="minorHAnsi" w:hAnsiTheme="minorHAnsi" w:cs="Helv"/>
          <w:sz w:val="22"/>
          <w:szCs w:val="22"/>
          <w:lang w:eastAsia="en-AU"/>
        </w:rPr>
      </w:pPr>
      <w:r w:rsidRPr="00E32EAE">
        <w:rPr>
          <w:rFonts w:asciiTheme="minorHAnsi" w:hAnsiTheme="minorHAnsi" w:cs="Helv"/>
          <w:sz w:val="22"/>
          <w:szCs w:val="22"/>
          <w:lang w:eastAsia="en-AU"/>
        </w:rPr>
        <w:t xml:space="preserve">Mediation is the dispute resolution process usually adopted to resolve disputes in general federal law proceedings. The Court is able to order mediation with or without the consent of the parties while an order for arbitration can only be made with the consent of the parties (see ss. 34, 35 </w:t>
      </w:r>
      <w:r w:rsidRPr="00E32EAE">
        <w:rPr>
          <w:rFonts w:asciiTheme="minorHAnsi" w:hAnsiTheme="minorHAnsi" w:cs="Helv"/>
          <w:i/>
          <w:iCs/>
          <w:sz w:val="22"/>
          <w:szCs w:val="22"/>
          <w:lang w:eastAsia="en-AU"/>
        </w:rPr>
        <w:t>Federal Circuit Court of Australia Act 1999</w:t>
      </w:r>
      <w:r w:rsidRPr="00E32EAE">
        <w:rPr>
          <w:rFonts w:asciiTheme="minorHAnsi" w:hAnsiTheme="minorHAnsi" w:cs="Helv"/>
          <w:sz w:val="22"/>
          <w:szCs w:val="22"/>
          <w:lang w:eastAsia="en-AU"/>
        </w:rPr>
        <w:t>. Most mediations are conducted by Registrars who have no advisory or determinative role.  Mediation is considered to fulfil a dual function of not only potentially settling and finalising the matter but also as a means by which the parties can be assisted to identify and reduce the issues in dispute, or to eliminate procedural arguments. Accordingly, early mediation is encouraged by the Court.</w:t>
      </w:r>
    </w:p>
    <w:p w:rsidR="0073117E" w:rsidRPr="00E32EAE" w:rsidRDefault="0073117E" w:rsidP="0073117E">
      <w:pPr>
        <w:autoSpaceDE w:val="0"/>
        <w:autoSpaceDN w:val="0"/>
        <w:adjustRightInd w:val="0"/>
        <w:jc w:val="both"/>
        <w:rPr>
          <w:rFonts w:asciiTheme="minorHAnsi" w:hAnsiTheme="minorHAnsi" w:cs="Helv"/>
          <w:sz w:val="22"/>
          <w:szCs w:val="22"/>
          <w:lang w:eastAsia="en-AU"/>
        </w:rPr>
      </w:pPr>
    </w:p>
    <w:p w:rsidR="0073117E" w:rsidRPr="00E32EAE" w:rsidRDefault="0073117E" w:rsidP="0073117E">
      <w:pPr>
        <w:autoSpaceDE w:val="0"/>
        <w:autoSpaceDN w:val="0"/>
        <w:adjustRightInd w:val="0"/>
        <w:jc w:val="both"/>
        <w:rPr>
          <w:rFonts w:asciiTheme="minorHAnsi" w:hAnsiTheme="minorHAnsi" w:cs="Helv"/>
          <w:sz w:val="22"/>
          <w:szCs w:val="22"/>
          <w:lang w:eastAsia="en-AU"/>
        </w:rPr>
      </w:pPr>
      <w:r w:rsidRPr="00E32EAE">
        <w:rPr>
          <w:rFonts w:asciiTheme="minorHAnsi" w:hAnsiTheme="minorHAnsi" w:cs="Helv"/>
          <w:sz w:val="22"/>
          <w:szCs w:val="22"/>
          <w:lang w:eastAsia="en-AU"/>
        </w:rPr>
        <w:t>In family law matters there is a greater range of dispute resolution processes including:</w:t>
      </w:r>
    </w:p>
    <w:p w:rsidR="0073117E" w:rsidRPr="00E32EAE" w:rsidRDefault="0073117E" w:rsidP="0073117E">
      <w:pPr>
        <w:pStyle w:val="ListParagraph"/>
        <w:numPr>
          <w:ilvl w:val="0"/>
          <w:numId w:val="2"/>
        </w:numPr>
        <w:autoSpaceDE w:val="0"/>
        <w:autoSpaceDN w:val="0"/>
        <w:adjustRightInd w:val="0"/>
        <w:jc w:val="both"/>
        <w:rPr>
          <w:rFonts w:asciiTheme="minorHAnsi" w:hAnsiTheme="minorHAnsi" w:cs="Helv"/>
          <w:sz w:val="22"/>
          <w:szCs w:val="22"/>
          <w:lang w:eastAsia="en-AU"/>
        </w:rPr>
      </w:pPr>
      <w:r w:rsidRPr="00E32EAE">
        <w:rPr>
          <w:rFonts w:asciiTheme="minorHAnsi" w:hAnsiTheme="minorHAnsi" w:cs="Helv"/>
          <w:sz w:val="22"/>
          <w:szCs w:val="22"/>
          <w:lang w:eastAsia="en-AU"/>
        </w:rPr>
        <w:t>family counselling</w:t>
      </w:r>
    </w:p>
    <w:p w:rsidR="0073117E" w:rsidRPr="00E32EAE" w:rsidRDefault="0073117E" w:rsidP="0073117E">
      <w:pPr>
        <w:pStyle w:val="ListParagraph"/>
        <w:numPr>
          <w:ilvl w:val="0"/>
          <w:numId w:val="2"/>
        </w:numPr>
        <w:autoSpaceDE w:val="0"/>
        <w:autoSpaceDN w:val="0"/>
        <w:adjustRightInd w:val="0"/>
        <w:jc w:val="both"/>
        <w:rPr>
          <w:rFonts w:asciiTheme="minorHAnsi" w:hAnsiTheme="minorHAnsi" w:cs="Helv"/>
          <w:sz w:val="22"/>
          <w:szCs w:val="22"/>
          <w:lang w:eastAsia="en-AU"/>
        </w:rPr>
      </w:pPr>
      <w:r w:rsidRPr="00E32EAE">
        <w:rPr>
          <w:rFonts w:asciiTheme="minorHAnsi" w:hAnsiTheme="minorHAnsi" w:cs="Helv"/>
          <w:sz w:val="22"/>
          <w:szCs w:val="22"/>
          <w:lang w:eastAsia="en-AU"/>
        </w:rPr>
        <w:t>family dispute resolution</w:t>
      </w:r>
    </w:p>
    <w:p w:rsidR="0073117E" w:rsidRPr="00E32EAE" w:rsidRDefault="0073117E" w:rsidP="0073117E">
      <w:pPr>
        <w:pStyle w:val="ListParagraph"/>
        <w:numPr>
          <w:ilvl w:val="0"/>
          <w:numId w:val="2"/>
        </w:numPr>
        <w:autoSpaceDE w:val="0"/>
        <w:autoSpaceDN w:val="0"/>
        <w:adjustRightInd w:val="0"/>
        <w:jc w:val="both"/>
        <w:rPr>
          <w:rFonts w:asciiTheme="minorHAnsi" w:hAnsiTheme="minorHAnsi" w:cs="Helv"/>
          <w:sz w:val="22"/>
          <w:szCs w:val="22"/>
          <w:lang w:eastAsia="en-AU"/>
        </w:rPr>
      </w:pPr>
      <w:r w:rsidRPr="00E32EAE">
        <w:rPr>
          <w:rFonts w:asciiTheme="minorHAnsi" w:hAnsiTheme="minorHAnsi" w:cs="Helv"/>
          <w:sz w:val="22"/>
          <w:szCs w:val="22"/>
          <w:lang w:eastAsia="en-AU"/>
        </w:rPr>
        <w:t>post separation programs</w:t>
      </w:r>
    </w:p>
    <w:p w:rsidR="0073117E" w:rsidRPr="00E32EAE" w:rsidRDefault="0073117E" w:rsidP="0073117E">
      <w:pPr>
        <w:pStyle w:val="ListParagraph"/>
        <w:numPr>
          <w:ilvl w:val="0"/>
          <w:numId w:val="2"/>
        </w:numPr>
        <w:autoSpaceDE w:val="0"/>
        <w:autoSpaceDN w:val="0"/>
        <w:adjustRightInd w:val="0"/>
        <w:jc w:val="both"/>
        <w:rPr>
          <w:rFonts w:asciiTheme="minorHAnsi" w:hAnsiTheme="minorHAnsi" w:cs="Helv"/>
          <w:sz w:val="22"/>
          <w:szCs w:val="22"/>
          <w:lang w:eastAsia="en-AU"/>
        </w:rPr>
      </w:pPr>
      <w:r w:rsidRPr="00E32EAE">
        <w:rPr>
          <w:rFonts w:asciiTheme="minorHAnsi" w:hAnsiTheme="minorHAnsi" w:cs="Helv"/>
          <w:sz w:val="22"/>
          <w:szCs w:val="22"/>
          <w:lang w:eastAsia="en-AU"/>
        </w:rPr>
        <w:t>conciliation and joint conferences</w:t>
      </w:r>
    </w:p>
    <w:p w:rsidR="0073117E" w:rsidRPr="00E32EAE" w:rsidRDefault="0073117E" w:rsidP="0073117E">
      <w:pPr>
        <w:pStyle w:val="ListParagraph"/>
        <w:numPr>
          <w:ilvl w:val="0"/>
          <w:numId w:val="2"/>
        </w:numPr>
        <w:autoSpaceDE w:val="0"/>
        <w:autoSpaceDN w:val="0"/>
        <w:adjustRightInd w:val="0"/>
        <w:jc w:val="both"/>
        <w:rPr>
          <w:rFonts w:asciiTheme="minorHAnsi" w:hAnsiTheme="minorHAnsi" w:cs="Helv"/>
          <w:sz w:val="22"/>
          <w:szCs w:val="22"/>
          <w:lang w:eastAsia="en-AU"/>
        </w:rPr>
      </w:pPr>
      <w:r w:rsidRPr="00E32EAE">
        <w:rPr>
          <w:rFonts w:asciiTheme="minorHAnsi" w:hAnsiTheme="minorHAnsi" w:cs="Helv"/>
          <w:sz w:val="22"/>
          <w:szCs w:val="22"/>
          <w:lang w:eastAsia="en-AU"/>
        </w:rPr>
        <w:t>non- privileged appointments with family consultants;</w:t>
      </w:r>
    </w:p>
    <w:p w:rsidR="0073117E" w:rsidRPr="00E32EAE" w:rsidRDefault="0073117E" w:rsidP="0073117E">
      <w:pPr>
        <w:pStyle w:val="ListParagraph"/>
        <w:numPr>
          <w:ilvl w:val="0"/>
          <w:numId w:val="2"/>
        </w:numPr>
        <w:autoSpaceDE w:val="0"/>
        <w:autoSpaceDN w:val="0"/>
        <w:adjustRightInd w:val="0"/>
        <w:jc w:val="both"/>
        <w:rPr>
          <w:rFonts w:asciiTheme="minorHAnsi" w:hAnsiTheme="minorHAnsi" w:cs="Helv"/>
          <w:sz w:val="22"/>
          <w:szCs w:val="22"/>
          <w:lang w:eastAsia="en-AU"/>
        </w:rPr>
      </w:pPr>
      <w:r w:rsidRPr="00E32EAE">
        <w:rPr>
          <w:rFonts w:asciiTheme="minorHAnsi" w:hAnsiTheme="minorHAnsi" w:cs="Helv"/>
          <w:sz w:val="22"/>
          <w:szCs w:val="22"/>
          <w:lang w:eastAsia="en-AU"/>
        </w:rPr>
        <w:t>family reports.</w:t>
      </w:r>
    </w:p>
    <w:p w:rsidR="0073117E" w:rsidRPr="00E32EAE" w:rsidRDefault="0073117E" w:rsidP="0073117E">
      <w:pPr>
        <w:autoSpaceDE w:val="0"/>
        <w:autoSpaceDN w:val="0"/>
        <w:adjustRightInd w:val="0"/>
        <w:jc w:val="both"/>
        <w:rPr>
          <w:rFonts w:asciiTheme="minorHAnsi" w:hAnsiTheme="minorHAnsi" w:cs="Helv"/>
          <w:sz w:val="22"/>
          <w:szCs w:val="22"/>
          <w:lang w:eastAsia="en-AU"/>
        </w:rPr>
      </w:pPr>
    </w:p>
    <w:p w:rsidR="0073117E" w:rsidRPr="00E32EAE" w:rsidRDefault="0073117E" w:rsidP="0073117E">
      <w:pPr>
        <w:autoSpaceDE w:val="0"/>
        <w:autoSpaceDN w:val="0"/>
        <w:adjustRightInd w:val="0"/>
        <w:jc w:val="both"/>
        <w:rPr>
          <w:rFonts w:asciiTheme="minorHAnsi" w:hAnsiTheme="minorHAnsi" w:cs="Helv"/>
          <w:sz w:val="22"/>
          <w:szCs w:val="22"/>
          <w:lang w:eastAsia="en-AU"/>
        </w:rPr>
      </w:pPr>
      <w:r w:rsidRPr="00E32EAE">
        <w:rPr>
          <w:rFonts w:asciiTheme="minorHAnsi" w:hAnsiTheme="minorHAnsi" w:cs="Helv"/>
          <w:sz w:val="22"/>
          <w:szCs w:val="22"/>
          <w:lang w:eastAsia="en-AU"/>
        </w:rPr>
        <w:t xml:space="preserve">Family law dispute resolution services are provided both internally and externally via family consultants employed by the court, private psychologists and social workers, and community based providers. Some services are confidential and others are non-privileged/ reportable. In addition, the </w:t>
      </w:r>
      <w:r w:rsidRPr="00E32EAE">
        <w:rPr>
          <w:rFonts w:asciiTheme="minorHAnsi" w:hAnsiTheme="minorHAnsi" w:cs="Helv"/>
          <w:i/>
          <w:iCs/>
          <w:sz w:val="22"/>
          <w:szCs w:val="22"/>
          <w:lang w:eastAsia="en-AU"/>
        </w:rPr>
        <w:t>Family Law Act 1975</w:t>
      </w:r>
      <w:r w:rsidRPr="00E32EAE">
        <w:rPr>
          <w:rFonts w:asciiTheme="minorHAnsi" w:hAnsiTheme="minorHAnsi" w:cs="Helv"/>
          <w:sz w:val="22"/>
          <w:szCs w:val="22"/>
          <w:lang w:eastAsia="en-AU"/>
        </w:rPr>
        <w:t xml:space="preserve"> now requires parents to attempt to resolve parenting issues through family dispute</w:t>
      </w:r>
      <w:r w:rsidR="006F72A6">
        <w:rPr>
          <w:rFonts w:asciiTheme="minorHAnsi" w:hAnsiTheme="minorHAnsi" w:cs="Helv"/>
          <w:sz w:val="22"/>
          <w:szCs w:val="22"/>
          <w:lang w:eastAsia="en-AU"/>
        </w:rPr>
        <w:t xml:space="preserve"> resolution before they file an</w:t>
      </w:r>
      <w:r w:rsidRPr="00E32EAE">
        <w:rPr>
          <w:rFonts w:asciiTheme="minorHAnsi" w:hAnsiTheme="minorHAnsi" w:cs="Helv"/>
          <w:sz w:val="22"/>
          <w:szCs w:val="22"/>
          <w:lang w:eastAsia="en-AU"/>
        </w:rPr>
        <w:t xml:space="preserve"> application for a parenting order.</w:t>
      </w:r>
    </w:p>
    <w:p w:rsidR="0064287D" w:rsidRPr="00E32EAE" w:rsidRDefault="0064287D" w:rsidP="0073117E">
      <w:pPr>
        <w:autoSpaceDE w:val="0"/>
        <w:autoSpaceDN w:val="0"/>
        <w:adjustRightInd w:val="0"/>
        <w:jc w:val="both"/>
        <w:rPr>
          <w:rFonts w:asciiTheme="minorHAnsi" w:hAnsiTheme="minorHAnsi" w:cs="Helv"/>
          <w:sz w:val="22"/>
          <w:szCs w:val="22"/>
          <w:lang w:eastAsia="en-AU"/>
        </w:rPr>
      </w:pPr>
    </w:p>
    <w:p w:rsidR="0064287D" w:rsidRPr="00E32EAE" w:rsidRDefault="0064287D" w:rsidP="0073117E">
      <w:pPr>
        <w:autoSpaceDE w:val="0"/>
        <w:autoSpaceDN w:val="0"/>
        <w:adjustRightInd w:val="0"/>
        <w:jc w:val="both"/>
        <w:rPr>
          <w:rFonts w:asciiTheme="minorHAnsi" w:hAnsiTheme="minorHAnsi" w:cs="Helv"/>
          <w:sz w:val="22"/>
          <w:szCs w:val="22"/>
          <w:lang w:eastAsia="en-AU"/>
        </w:rPr>
      </w:pPr>
    </w:p>
    <w:p w:rsidR="0064287D" w:rsidRPr="00E32EAE" w:rsidRDefault="0064287D" w:rsidP="0073117E">
      <w:pPr>
        <w:autoSpaceDE w:val="0"/>
        <w:autoSpaceDN w:val="0"/>
        <w:adjustRightInd w:val="0"/>
        <w:jc w:val="both"/>
        <w:rPr>
          <w:rFonts w:asciiTheme="minorHAnsi" w:hAnsiTheme="minorHAnsi" w:cs="Helv"/>
          <w:sz w:val="22"/>
          <w:szCs w:val="22"/>
          <w:lang w:eastAsia="en-AU"/>
        </w:rPr>
      </w:pPr>
    </w:p>
    <w:p w:rsidR="0064287D" w:rsidRPr="00E32EAE" w:rsidRDefault="0064287D" w:rsidP="0073117E">
      <w:pPr>
        <w:autoSpaceDE w:val="0"/>
        <w:autoSpaceDN w:val="0"/>
        <w:adjustRightInd w:val="0"/>
        <w:jc w:val="both"/>
        <w:rPr>
          <w:rFonts w:asciiTheme="minorHAnsi" w:hAnsiTheme="minorHAnsi" w:cs="Helv"/>
          <w:sz w:val="22"/>
          <w:szCs w:val="22"/>
          <w:lang w:eastAsia="en-AU"/>
        </w:rPr>
      </w:pPr>
    </w:p>
    <w:p w:rsidR="0073117E" w:rsidRPr="00E32EAE" w:rsidRDefault="0073117E" w:rsidP="0073117E">
      <w:pPr>
        <w:autoSpaceDE w:val="0"/>
        <w:autoSpaceDN w:val="0"/>
        <w:adjustRightInd w:val="0"/>
        <w:rPr>
          <w:rFonts w:asciiTheme="minorHAnsi" w:hAnsiTheme="minorHAnsi" w:cs="Helv"/>
          <w:sz w:val="22"/>
          <w:szCs w:val="22"/>
          <w:lang w:eastAsia="en-AU"/>
        </w:rPr>
      </w:pPr>
    </w:p>
    <w:p w:rsidR="0073117E" w:rsidRPr="00E32EAE" w:rsidRDefault="0073117E" w:rsidP="0073117E">
      <w:pPr>
        <w:autoSpaceDE w:val="0"/>
        <w:autoSpaceDN w:val="0"/>
        <w:adjustRightInd w:val="0"/>
        <w:rPr>
          <w:rFonts w:asciiTheme="minorHAnsi" w:hAnsiTheme="minorHAnsi" w:cs="Helv"/>
          <w:sz w:val="22"/>
          <w:szCs w:val="22"/>
          <w:lang w:eastAsia="en-AU"/>
        </w:rPr>
      </w:pPr>
      <w:r w:rsidRPr="00E32EAE">
        <w:rPr>
          <w:rFonts w:asciiTheme="minorHAnsi" w:hAnsiTheme="minorHAnsi" w:cs="Helv"/>
          <w:sz w:val="22"/>
          <w:szCs w:val="22"/>
          <w:lang w:eastAsia="en-AU"/>
        </w:rPr>
        <w:lastRenderedPageBreak/>
        <w:t>The Court adopts and individual docket system with the aim of:</w:t>
      </w:r>
    </w:p>
    <w:p w:rsidR="0073117E" w:rsidRPr="00E32EAE" w:rsidRDefault="0073117E" w:rsidP="0073117E">
      <w:pPr>
        <w:autoSpaceDE w:val="0"/>
        <w:autoSpaceDN w:val="0"/>
        <w:adjustRightInd w:val="0"/>
        <w:rPr>
          <w:rFonts w:asciiTheme="minorHAnsi" w:hAnsiTheme="minorHAnsi" w:cs="Helv"/>
          <w:sz w:val="22"/>
          <w:szCs w:val="22"/>
          <w:lang w:eastAsia="en-AU"/>
        </w:rPr>
      </w:pPr>
    </w:p>
    <w:p w:rsidR="0073117E" w:rsidRPr="00E32EAE" w:rsidRDefault="0073117E" w:rsidP="0073117E">
      <w:pPr>
        <w:pStyle w:val="ListParagraph"/>
        <w:numPr>
          <w:ilvl w:val="0"/>
          <w:numId w:val="4"/>
        </w:numPr>
        <w:autoSpaceDE w:val="0"/>
        <w:autoSpaceDN w:val="0"/>
        <w:adjustRightInd w:val="0"/>
        <w:rPr>
          <w:rFonts w:asciiTheme="minorHAnsi" w:hAnsiTheme="minorHAnsi" w:cs="Helv"/>
          <w:sz w:val="22"/>
          <w:szCs w:val="22"/>
          <w:lang w:eastAsia="en-AU"/>
        </w:rPr>
      </w:pPr>
      <w:r w:rsidRPr="00E32EAE">
        <w:rPr>
          <w:rFonts w:asciiTheme="minorHAnsi" w:hAnsiTheme="minorHAnsi" w:cs="Helv"/>
          <w:sz w:val="22"/>
          <w:szCs w:val="22"/>
          <w:lang w:eastAsia="en-AU"/>
        </w:rPr>
        <w:t>narrowing of issues;</w:t>
      </w:r>
    </w:p>
    <w:p w:rsidR="0073117E" w:rsidRPr="00E32EAE" w:rsidRDefault="0073117E" w:rsidP="0073117E">
      <w:pPr>
        <w:pStyle w:val="ListParagraph"/>
        <w:numPr>
          <w:ilvl w:val="0"/>
          <w:numId w:val="4"/>
        </w:numPr>
        <w:autoSpaceDE w:val="0"/>
        <w:autoSpaceDN w:val="0"/>
        <w:adjustRightInd w:val="0"/>
        <w:rPr>
          <w:rFonts w:asciiTheme="minorHAnsi" w:hAnsiTheme="minorHAnsi" w:cs="Helv"/>
          <w:sz w:val="22"/>
          <w:szCs w:val="22"/>
          <w:lang w:eastAsia="en-AU"/>
        </w:rPr>
      </w:pPr>
      <w:r w:rsidRPr="00E32EAE">
        <w:rPr>
          <w:rFonts w:asciiTheme="minorHAnsi" w:hAnsiTheme="minorHAnsi" w:cs="Helv"/>
          <w:sz w:val="22"/>
          <w:szCs w:val="22"/>
          <w:lang w:eastAsia="en-AU"/>
        </w:rPr>
        <w:t>fewer events;</w:t>
      </w:r>
    </w:p>
    <w:p w:rsidR="0073117E" w:rsidRPr="00E32EAE" w:rsidRDefault="0073117E" w:rsidP="0073117E">
      <w:pPr>
        <w:pStyle w:val="ListParagraph"/>
        <w:numPr>
          <w:ilvl w:val="0"/>
          <w:numId w:val="4"/>
        </w:numPr>
        <w:autoSpaceDE w:val="0"/>
        <w:autoSpaceDN w:val="0"/>
        <w:adjustRightInd w:val="0"/>
        <w:rPr>
          <w:rFonts w:asciiTheme="minorHAnsi" w:hAnsiTheme="minorHAnsi" w:cs="Helv"/>
          <w:sz w:val="22"/>
          <w:szCs w:val="22"/>
          <w:lang w:eastAsia="en-AU"/>
        </w:rPr>
      </w:pPr>
      <w:r w:rsidRPr="00E32EAE">
        <w:rPr>
          <w:rFonts w:asciiTheme="minorHAnsi" w:hAnsiTheme="minorHAnsi" w:cs="Helv"/>
          <w:sz w:val="22"/>
          <w:szCs w:val="22"/>
          <w:lang w:eastAsia="en-AU"/>
        </w:rPr>
        <w:t>better identifying cases suitable for ADR procedures; and</w:t>
      </w:r>
    </w:p>
    <w:p w:rsidR="0073117E" w:rsidRPr="00E32EAE" w:rsidRDefault="0073117E" w:rsidP="0073117E">
      <w:pPr>
        <w:pStyle w:val="ListParagraph"/>
        <w:numPr>
          <w:ilvl w:val="0"/>
          <w:numId w:val="4"/>
        </w:numPr>
        <w:autoSpaceDE w:val="0"/>
        <w:autoSpaceDN w:val="0"/>
        <w:adjustRightInd w:val="0"/>
        <w:rPr>
          <w:rFonts w:asciiTheme="minorHAnsi" w:hAnsiTheme="minorHAnsi" w:cs="Helv"/>
          <w:sz w:val="22"/>
          <w:szCs w:val="22"/>
          <w:lang w:eastAsia="en-AU"/>
        </w:rPr>
      </w:pPr>
      <w:r w:rsidRPr="00E32EAE">
        <w:rPr>
          <w:rFonts w:asciiTheme="minorHAnsi" w:hAnsiTheme="minorHAnsi" w:cs="Helv"/>
          <w:sz w:val="22"/>
          <w:szCs w:val="22"/>
          <w:lang w:eastAsia="en-AU"/>
        </w:rPr>
        <w:t>enabling the judicial officer to take an active role in the management of the case with the aim of promoting settlement as the preferred outcome.</w:t>
      </w:r>
    </w:p>
    <w:p w:rsidR="0073117E" w:rsidRPr="00E32EAE" w:rsidRDefault="0073117E" w:rsidP="0073117E">
      <w:pPr>
        <w:autoSpaceDE w:val="0"/>
        <w:autoSpaceDN w:val="0"/>
        <w:adjustRightInd w:val="0"/>
        <w:jc w:val="both"/>
        <w:rPr>
          <w:rFonts w:asciiTheme="minorHAnsi" w:hAnsiTheme="minorHAnsi" w:cs="Helv"/>
          <w:sz w:val="22"/>
          <w:szCs w:val="22"/>
          <w:lang w:eastAsia="en-AU"/>
        </w:rPr>
      </w:pPr>
    </w:p>
    <w:p w:rsidR="0073117E" w:rsidRPr="00E32EAE" w:rsidRDefault="0073117E" w:rsidP="0073117E">
      <w:pPr>
        <w:autoSpaceDE w:val="0"/>
        <w:autoSpaceDN w:val="0"/>
        <w:adjustRightInd w:val="0"/>
        <w:jc w:val="both"/>
        <w:rPr>
          <w:rFonts w:asciiTheme="minorHAnsi" w:hAnsiTheme="minorHAnsi" w:cs="Helv"/>
          <w:sz w:val="22"/>
          <w:szCs w:val="22"/>
          <w:lang w:eastAsia="en-AU"/>
        </w:rPr>
      </w:pPr>
      <w:r w:rsidRPr="00E32EAE">
        <w:rPr>
          <w:rFonts w:asciiTheme="minorHAnsi" w:hAnsiTheme="minorHAnsi" w:cs="Helv"/>
          <w:sz w:val="22"/>
          <w:szCs w:val="22"/>
          <w:lang w:eastAsia="en-AU"/>
        </w:rPr>
        <w:t>In addition the Court is utilising administered funds to provide a new range of family law dispute resolution services in an innovative way providing access to these services to litigants in rural and regional locations where services are limited. In addition there are referrals in appropriate financial matters to private mediation in addition to conciliation conferences conducted by Registrars of the Court.</w:t>
      </w:r>
    </w:p>
    <w:p w:rsidR="0073117E" w:rsidRPr="00E32EAE" w:rsidRDefault="0073117E" w:rsidP="0073117E">
      <w:pPr>
        <w:autoSpaceDE w:val="0"/>
        <w:autoSpaceDN w:val="0"/>
        <w:adjustRightInd w:val="0"/>
        <w:jc w:val="both"/>
        <w:rPr>
          <w:rFonts w:asciiTheme="minorHAnsi" w:hAnsiTheme="minorHAnsi" w:cs="Helv"/>
          <w:sz w:val="22"/>
          <w:szCs w:val="22"/>
          <w:lang w:eastAsia="en-AU"/>
        </w:rPr>
      </w:pPr>
    </w:p>
    <w:p w:rsidR="0073117E" w:rsidRPr="00E32EAE" w:rsidRDefault="0073117E" w:rsidP="0073117E">
      <w:pPr>
        <w:autoSpaceDE w:val="0"/>
        <w:autoSpaceDN w:val="0"/>
        <w:adjustRightInd w:val="0"/>
        <w:jc w:val="both"/>
        <w:rPr>
          <w:rFonts w:asciiTheme="minorHAnsi" w:hAnsiTheme="minorHAnsi" w:cs="Helv"/>
          <w:sz w:val="22"/>
          <w:szCs w:val="22"/>
          <w:lang w:eastAsia="en-AU"/>
        </w:rPr>
      </w:pPr>
      <w:r w:rsidRPr="00E32EAE">
        <w:rPr>
          <w:rFonts w:asciiTheme="minorHAnsi" w:hAnsiTheme="minorHAnsi" w:cs="Helv"/>
          <w:sz w:val="22"/>
          <w:szCs w:val="22"/>
          <w:lang w:eastAsia="en-AU"/>
        </w:rPr>
        <w:t>The docket system facilitates individual judicial case appraisal and is seen as an essential component of the case management process of the Court. It recognises the individual needs of the matter in dispute and allows the judicial officer the flexibility of adopting a dispute resolution process most appropriate for the case.</w:t>
      </w:r>
    </w:p>
    <w:p w:rsidR="0073117E" w:rsidRPr="00E32EAE" w:rsidRDefault="0073117E" w:rsidP="0073117E">
      <w:pPr>
        <w:autoSpaceDE w:val="0"/>
        <w:autoSpaceDN w:val="0"/>
        <w:adjustRightInd w:val="0"/>
        <w:jc w:val="both"/>
        <w:rPr>
          <w:rFonts w:asciiTheme="minorHAnsi" w:hAnsiTheme="minorHAnsi" w:cs="Helv"/>
          <w:sz w:val="22"/>
          <w:szCs w:val="22"/>
          <w:lang w:eastAsia="en-AU"/>
        </w:rPr>
      </w:pPr>
    </w:p>
    <w:p w:rsidR="0073117E" w:rsidRPr="00E32EAE" w:rsidRDefault="0073117E" w:rsidP="0073117E">
      <w:pPr>
        <w:autoSpaceDE w:val="0"/>
        <w:autoSpaceDN w:val="0"/>
        <w:adjustRightInd w:val="0"/>
        <w:jc w:val="both"/>
        <w:rPr>
          <w:rFonts w:asciiTheme="minorHAnsi" w:hAnsiTheme="minorHAnsi" w:cs="Helv"/>
          <w:sz w:val="22"/>
          <w:szCs w:val="22"/>
          <w:lang w:eastAsia="en-AU"/>
        </w:rPr>
      </w:pPr>
      <w:r w:rsidRPr="00E32EAE">
        <w:rPr>
          <w:rFonts w:asciiTheme="minorHAnsi" w:hAnsiTheme="minorHAnsi" w:cs="Helv"/>
          <w:sz w:val="22"/>
          <w:szCs w:val="22"/>
          <w:lang w:eastAsia="en-AU"/>
        </w:rPr>
        <w:t xml:space="preserve">As a Court with extensive jurisdiction spanning family and general federal law jurisdiction, we note the wider relationship focus that ADR must play in family law proceedings, and caution against seeking to emulate processes adopted in such proceedings as a template for civil litigation generally. </w:t>
      </w:r>
    </w:p>
    <w:p w:rsidR="0073117E" w:rsidRPr="00E32EAE" w:rsidRDefault="0073117E" w:rsidP="0073117E">
      <w:pPr>
        <w:autoSpaceDE w:val="0"/>
        <w:autoSpaceDN w:val="0"/>
        <w:adjustRightInd w:val="0"/>
        <w:jc w:val="both"/>
        <w:rPr>
          <w:rFonts w:asciiTheme="minorHAnsi" w:hAnsiTheme="minorHAnsi" w:cs="Helv"/>
          <w:sz w:val="22"/>
          <w:szCs w:val="22"/>
          <w:lang w:eastAsia="en-AU"/>
        </w:rPr>
      </w:pPr>
    </w:p>
    <w:p w:rsidR="003D7696" w:rsidRPr="00E32EAE" w:rsidRDefault="0073117E" w:rsidP="003D7696">
      <w:pPr>
        <w:autoSpaceDE w:val="0"/>
        <w:autoSpaceDN w:val="0"/>
        <w:adjustRightInd w:val="0"/>
        <w:jc w:val="both"/>
        <w:rPr>
          <w:rFonts w:asciiTheme="minorHAnsi" w:hAnsiTheme="minorHAnsi" w:cs="Helv"/>
          <w:sz w:val="22"/>
          <w:szCs w:val="22"/>
          <w:lang w:eastAsia="en-AU"/>
        </w:rPr>
      </w:pPr>
      <w:r w:rsidRPr="00E32EAE">
        <w:rPr>
          <w:rFonts w:asciiTheme="minorHAnsi" w:hAnsiTheme="minorHAnsi" w:cs="Helv"/>
          <w:sz w:val="22"/>
          <w:szCs w:val="22"/>
          <w:lang w:eastAsia="en-AU"/>
        </w:rPr>
        <w:t>Of real significance in all areas of the jurisdiction is the importance of early case evaluation by a judicial officer and a commitment to 'up-front' individual docket management. Draft recommendation 11.4 is welcomed as it endorses the utilisation of an individual docket system.</w:t>
      </w:r>
    </w:p>
    <w:p w:rsidR="003D7696" w:rsidRPr="00E32EAE" w:rsidRDefault="003D7696" w:rsidP="003D7696">
      <w:pPr>
        <w:autoSpaceDE w:val="0"/>
        <w:autoSpaceDN w:val="0"/>
        <w:adjustRightInd w:val="0"/>
        <w:jc w:val="both"/>
        <w:rPr>
          <w:rFonts w:asciiTheme="minorHAnsi" w:hAnsiTheme="minorHAnsi" w:cs="Helv"/>
          <w:sz w:val="22"/>
          <w:szCs w:val="22"/>
          <w:lang w:eastAsia="en-AU"/>
        </w:rPr>
      </w:pPr>
    </w:p>
    <w:p w:rsidR="003D7696" w:rsidRPr="00E32EAE" w:rsidRDefault="003D7696" w:rsidP="003D7696">
      <w:pPr>
        <w:autoSpaceDE w:val="0"/>
        <w:autoSpaceDN w:val="0"/>
        <w:adjustRightInd w:val="0"/>
        <w:jc w:val="both"/>
        <w:rPr>
          <w:rFonts w:asciiTheme="minorHAnsi" w:hAnsiTheme="minorHAnsi" w:cs="Verdana"/>
          <w:b/>
          <w:bCs/>
          <w:sz w:val="28"/>
          <w:szCs w:val="28"/>
          <w:lang w:eastAsia="en-AU"/>
        </w:rPr>
      </w:pPr>
      <w:r w:rsidRPr="00E32EAE">
        <w:rPr>
          <w:rFonts w:asciiTheme="minorHAnsi" w:hAnsiTheme="minorHAnsi" w:cs="Verdana"/>
          <w:b/>
          <w:bCs/>
          <w:sz w:val="28"/>
          <w:szCs w:val="28"/>
          <w:lang w:eastAsia="en-AU"/>
        </w:rPr>
        <w:t>Chapter 11 Court processes</w:t>
      </w:r>
    </w:p>
    <w:p w:rsidR="0064287D" w:rsidRPr="00E32EAE" w:rsidRDefault="0064287D" w:rsidP="003D7696">
      <w:pPr>
        <w:autoSpaceDE w:val="0"/>
        <w:autoSpaceDN w:val="0"/>
        <w:adjustRightInd w:val="0"/>
        <w:jc w:val="both"/>
        <w:rPr>
          <w:rFonts w:asciiTheme="minorHAnsi" w:hAnsiTheme="minorHAnsi" w:cs="Verdana"/>
          <w:b/>
          <w:bCs/>
          <w:sz w:val="28"/>
          <w:szCs w:val="28"/>
          <w:lang w:eastAsia="en-AU"/>
        </w:rPr>
      </w:pPr>
    </w:p>
    <w:p w:rsidR="0064287D" w:rsidRPr="00E32EAE" w:rsidRDefault="0064287D" w:rsidP="0064287D">
      <w:pPr>
        <w:rPr>
          <w:rFonts w:asciiTheme="minorHAnsi" w:hAnsiTheme="minorHAnsi"/>
          <w:b/>
          <w:sz w:val="22"/>
          <w:szCs w:val="22"/>
        </w:rPr>
      </w:pPr>
      <w:r w:rsidRPr="00E32EAE">
        <w:rPr>
          <w:rFonts w:asciiTheme="minorHAnsi" w:hAnsiTheme="minorHAnsi"/>
          <w:b/>
          <w:sz w:val="22"/>
          <w:szCs w:val="22"/>
        </w:rPr>
        <w:t>Draft Recommendation 11.1</w:t>
      </w:r>
    </w:p>
    <w:p w:rsidR="0064287D" w:rsidRPr="00E32EAE" w:rsidRDefault="0064287D" w:rsidP="0064287D">
      <w:pPr>
        <w:rPr>
          <w:rFonts w:asciiTheme="minorHAnsi" w:hAnsiTheme="minorHAnsi"/>
          <w:b/>
          <w:sz w:val="22"/>
          <w:szCs w:val="22"/>
        </w:rPr>
      </w:pPr>
    </w:p>
    <w:p w:rsidR="0064287D" w:rsidRPr="00E32EAE" w:rsidRDefault="0064287D" w:rsidP="0064287D">
      <w:pPr>
        <w:jc w:val="both"/>
        <w:rPr>
          <w:rFonts w:asciiTheme="minorHAnsi" w:hAnsiTheme="minorHAnsi"/>
          <w:sz w:val="22"/>
          <w:szCs w:val="22"/>
        </w:rPr>
      </w:pPr>
      <w:r w:rsidRPr="00E32EAE">
        <w:rPr>
          <w:rFonts w:asciiTheme="minorHAnsi" w:hAnsiTheme="minorHAnsi"/>
          <w:sz w:val="22"/>
          <w:szCs w:val="22"/>
        </w:rPr>
        <w:t xml:space="preserve">The Federal Circuit Court operates an individual case management docket that allows judges of the Court to manage matters from first court date to disposition. The first listing of each matter is before the judge to which the matter has been allocated. </w:t>
      </w:r>
    </w:p>
    <w:p w:rsidR="0064287D" w:rsidRPr="00E32EAE" w:rsidRDefault="0064287D" w:rsidP="0064287D">
      <w:pPr>
        <w:jc w:val="both"/>
        <w:rPr>
          <w:rFonts w:asciiTheme="minorHAnsi" w:hAnsiTheme="minorHAnsi"/>
          <w:sz w:val="22"/>
          <w:szCs w:val="22"/>
        </w:rPr>
      </w:pPr>
    </w:p>
    <w:p w:rsidR="0064287D" w:rsidRPr="00E32EAE" w:rsidRDefault="0064287D" w:rsidP="0064287D">
      <w:pPr>
        <w:jc w:val="both"/>
        <w:rPr>
          <w:rFonts w:asciiTheme="minorHAnsi" w:hAnsiTheme="minorHAnsi"/>
          <w:sz w:val="22"/>
          <w:szCs w:val="22"/>
        </w:rPr>
      </w:pPr>
      <w:r w:rsidRPr="00E32EAE">
        <w:rPr>
          <w:rFonts w:asciiTheme="minorHAnsi" w:hAnsiTheme="minorHAnsi"/>
          <w:sz w:val="22"/>
          <w:szCs w:val="22"/>
        </w:rPr>
        <w:t>At the first court date a judge may make orders or directions in relation to a matter in accordance with Federal Circuit Court Rule 10.01 (3) including orders in relation to:</w:t>
      </w:r>
    </w:p>
    <w:p w:rsidR="0064287D" w:rsidRPr="00E32EAE" w:rsidRDefault="0064287D" w:rsidP="0064287D">
      <w:pPr>
        <w:pStyle w:val="ListParagraph"/>
        <w:numPr>
          <w:ilvl w:val="0"/>
          <w:numId w:val="5"/>
        </w:numPr>
        <w:jc w:val="both"/>
        <w:rPr>
          <w:rFonts w:asciiTheme="minorHAnsi" w:hAnsiTheme="minorHAnsi"/>
          <w:sz w:val="22"/>
          <w:szCs w:val="22"/>
        </w:rPr>
      </w:pPr>
      <w:r w:rsidRPr="00E32EAE">
        <w:rPr>
          <w:rFonts w:asciiTheme="minorHAnsi" w:hAnsiTheme="minorHAnsi"/>
          <w:sz w:val="22"/>
          <w:szCs w:val="22"/>
        </w:rPr>
        <w:t>Defining of issues</w:t>
      </w:r>
    </w:p>
    <w:p w:rsidR="0064287D" w:rsidRPr="00E32EAE" w:rsidRDefault="0064287D" w:rsidP="0064287D">
      <w:pPr>
        <w:pStyle w:val="ListParagraph"/>
        <w:numPr>
          <w:ilvl w:val="0"/>
          <w:numId w:val="5"/>
        </w:numPr>
        <w:jc w:val="both"/>
        <w:rPr>
          <w:rFonts w:asciiTheme="minorHAnsi" w:hAnsiTheme="minorHAnsi"/>
          <w:sz w:val="22"/>
          <w:szCs w:val="22"/>
        </w:rPr>
      </w:pPr>
      <w:r w:rsidRPr="00E32EAE">
        <w:rPr>
          <w:rFonts w:asciiTheme="minorHAnsi" w:hAnsiTheme="minorHAnsi"/>
          <w:sz w:val="22"/>
          <w:szCs w:val="22"/>
        </w:rPr>
        <w:t>Discovery and inspection of documents</w:t>
      </w:r>
    </w:p>
    <w:p w:rsidR="0064287D" w:rsidRPr="00E32EAE" w:rsidRDefault="0064287D" w:rsidP="0064287D">
      <w:pPr>
        <w:pStyle w:val="ListParagraph"/>
        <w:numPr>
          <w:ilvl w:val="0"/>
          <w:numId w:val="5"/>
        </w:numPr>
        <w:jc w:val="both"/>
        <w:rPr>
          <w:rFonts w:asciiTheme="minorHAnsi" w:hAnsiTheme="minorHAnsi"/>
          <w:sz w:val="22"/>
          <w:szCs w:val="22"/>
        </w:rPr>
      </w:pPr>
      <w:r w:rsidRPr="00E32EAE">
        <w:rPr>
          <w:rFonts w:asciiTheme="minorHAnsi" w:hAnsiTheme="minorHAnsi"/>
          <w:sz w:val="22"/>
          <w:szCs w:val="22"/>
        </w:rPr>
        <w:t>The hearing of evidence at hearing (including the use of video or telephone links).</w:t>
      </w:r>
    </w:p>
    <w:p w:rsidR="0064287D" w:rsidRPr="00E32EAE" w:rsidRDefault="0064287D" w:rsidP="0064287D">
      <w:pPr>
        <w:pStyle w:val="ListParagraph"/>
        <w:numPr>
          <w:ilvl w:val="0"/>
          <w:numId w:val="5"/>
        </w:numPr>
        <w:jc w:val="both"/>
        <w:rPr>
          <w:rFonts w:asciiTheme="minorHAnsi" w:hAnsiTheme="minorHAnsi"/>
          <w:sz w:val="22"/>
          <w:szCs w:val="22"/>
        </w:rPr>
      </w:pPr>
    </w:p>
    <w:p w:rsidR="0064287D" w:rsidRPr="00E32EAE" w:rsidRDefault="0064287D" w:rsidP="0064287D">
      <w:pPr>
        <w:jc w:val="both"/>
        <w:rPr>
          <w:rFonts w:asciiTheme="minorHAnsi" w:hAnsiTheme="minorHAnsi"/>
          <w:sz w:val="22"/>
          <w:szCs w:val="22"/>
        </w:rPr>
      </w:pPr>
      <w:r w:rsidRPr="00E32EAE">
        <w:rPr>
          <w:rFonts w:asciiTheme="minorHAnsi" w:hAnsiTheme="minorHAnsi"/>
          <w:sz w:val="22"/>
          <w:szCs w:val="22"/>
        </w:rPr>
        <w:t>Although the Federal Circuit Court does not have a designated fast track</w:t>
      </w:r>
      <w:r w:rsidR="008B3DA1" w:rsidRPr="00E32EAE">
        <w:rPr>
          <w:rFonts w:asciiTheme="minorHAnsi" w:hAnsiTheme="minorHAnsi"/>
          <w:sz w:val="22"/>
          <w:szCs w:val="22"/>
        </w:rPr>
        <w:t>,</w:t>
      </w:r>
      <w:r w:rsidRPr="00E32EAE">
        <w:rPr>
          <w:rFonts w:asciiTheme="minorHAnsi" w:hAnsiTheme="minorHAnsi"/>
          <w:sz w:val="22"/>
          <w:szCs w:val="22"/>
        </w:rPr>
        <w:t xml:space="preserve"> accommodation is made for the early listing of </w:t>
      </w:r>
      <w:r w:rsidR="008B3DA1" w:rsidRPr="00E32EAE">
        <w:rPr>
          <w:rFonts w:asciiTheme="minorHAnsi" w:hAnsiTheme="minorHAnsi"/>
          <w:sz w:val="22"/>
          <w:szCs w:val="22"/>
        </w:rPr>
        <w:t>matters which are assessed as being urgent</w:t>
      </w:r>
      <w:r w:rsidRPr="00E32EAE">
        <w:rPr>
          <w:rFonts w:asciiTheme="minorHAnsi" w:hAnsiTheme="minorHAnsi"/>
          <w:sz w:val="22"/>
          <w:szCs w:val="22"/>
        </w:rPr>
        <w:t xml:space="preserve">. These matters are managed on an individual basis by the docket judge in accordance with their particular needs. </w:t>
      </w:r>
    </w:p>
    <w:p w:rsidR="0064287D" w:rsidRPr="00E32EAE" w:rsidRDefault="0064287D" w:rsidP="0064287D">
      <w:pPr>
        <w:jc w:val="both"/>
        <w:rPr>
          <w:rFonts w:asciiTheme="minorHAnsi" w:hAnsiTheme="minorHAnsi"/>
          <w:sz w:val="22"/>
          <w:szCs w:val="22"/>
        </w:rPr>
      </w:pPr>
    </w:p>
    <w:p w:rsidR="0064287D" w:rsidRPr="00E32EAE" w:rsidRDefault="0064287D" w:rsidP="0064287D">
      <w:pPr>
        <w:jc w:val="both"/>
        <w:rPr>
          <w:rFonts w:asciiTheme="minorHAnsi" w:hAnsiTheme="minorHAnsi"/>
          <w:sz w:val="22"/>
          <w:szCs w:val="22"/>
        </w:rPr>
      </w:pPr>
      <w:r w:rsidRPr="00E32EAE">
        <w:rPr>
          <w:rFonts w:asciiTheme="minorHAnsi" w:hAnsiTheme="minorHAnsi"/>
          <w:sz w:val="22"/>
          <w:szCs w:val="22"/>
        </w:rPr>
        <w:t xml:space="preserve">Judges have full control over the progress of matters from first court date to disposition. This allows them to ensure that </w:t>
      </w:r>
      <w:r w:rsidR="002E4BB3" w:rsidRPr="00E32EAE">
        <w:rPr>
          <w:rFonts w:asciiTheme="minorHAnsi" w:hAnsiTheme="minorHAnsi"/>
          <w:sz w:val="22"/>
          <w:szCs w:val="22"/>
        </w:rPr>
        <w:t>parties</w:t>
      </w:r>
      <w:r w:rsidRPr="00E32EAE">
        <w:rPr>
          <w:rFonts w:asciiTheme="minorHAnsi" w:hAnsiTheme="minorHAnsi"/>
          <w:sz w:val="22"/>
          <w:szCs w:val="22"/>
        </w:rPr>
        <w:t xml:space="preserve"> are only required to attend events that will progress matters towards </w:t>
      </w:r>
      <w:r w:rsidRPr="00E32EAE">
        <w:rPr>
          <w:rFonts w:asciiTheme="minorHAnsi" w:hAnsiTheme="minorHAnsi"/>
          <w:sz w:val="22"/>
          <w:szCs w:val="22"/>
        </w:rPr>
        <w:lastRenderedPageBreak/>
        <w:t xml:space="preserve">resolution. Case management in the Federal Circuit Court is not process driven so litigants are not required to attend unnecessary events. </w:t>
      </w:r>
    </w:p>
    <w:p w:rsidR="002E4BB3" w:rsidRPr="00E32EAE" w:rsidRDefault="002E4BB3" w:rsidP="0064287D">
      <w:pPr>
        <w:jc w:val="both"/>
        <w:rPr>
          <w:rFonts w:asciiTheme="minorHAnsi" w:hAnsiTheme="minorHAnsi"/>
          <w:sz w:val="22"/>
          <w:szCs w:val="22"/>
        </w:rPr>
      </w:pPr>
    </w:p>
    <w:p w:rsidR="002E4BB3" w:rsidRPr="00E32EAE" w:rsidRDefault="002E4BB3" w:rsidP="0064287D">
      <w:pPr>
        <w:jc w:val="both"/>
        <w:rPr>
          <w:rFonts w:asciiTheme="minorHAnsi" w:hAnsiTheme="minorHAnsi"/>
          <w:sz w:val="22"/>
          <w:szCs w:val="22"/>
        </w:rPr>
      </w:pPr>
      <w:r w:rsidRPr="00E32EAE">
        <w:rPr>
          <w:rFonts w:asciiTheme="minorHAnsi" w:hAnsiTheme="minorHAnsi"/>
          <w:sz w:val="22"/>
          <w:szCs w:val="22"/>
        </w:rPr>
        <w:t>It should be noted the FCC is not a court of pleadings however in general Federal Law matters pleadings can be useful as not every case is suitable to proceed on affidavits alone.</w:t>
      </w:r>
    </w:p>
    <w:p w:rsidR="0064287D" w:rsidRPr="00E32EAE" w:rsidRDefault="0064287D" w:rsidP="0064287D">
      <w:pPr>
        <w:jc w:val="both"/>
        <w:rPr>
          <w:rFonts w:asciiTheme="minorHAnsi" w:hAnsiTheme="minorHAnsi"/>
          <w:sz w:val="22"/>
          <w:szCs w:val="22"/>
        </w:rPr>
      </w:pPr>
    </w:p>
    <w:p w:rsidR="0064287D" w:rsidRPr="00E32EAE" w:rsidRDefault="0064287D" w:rsidP="0064287D">
      <w:pPr>
        <w:rPr>
          <w:rFonts w:asciiTheme="minorHAnsi" w:hAnsiTheme="minorHAnsi"/>
          <w:b/>
          <w:sz w:val="22"/>
          <w:szCs w:val="22"/>
        </w:rPr>
      </w:pPr>
      <w:r w:rsidRPr="00E32EAE">
        <w:rPr>
          <w:rFonts w:asciiTheme="minorHAnsi" w:hAnsiTheme="minorHAnsi"/>
          <w:b/>
          <w:sz w:val="22"/>
          <w:szCs w:val="22"/>
        </w:rPr>
        <w:t>Draft recommendation 11.4</w:t>
      </w:r>
    </w:p>
    <w:p w:rsidR="0064287D" w:rsidRPr="00E32EAE" w:rsidRDefault="0064287D" w:rsidP="0064287D">
      <w:pPr>
        <w:rPr>
          <w:rFonts w:asciiTheme="minorHAnsi" w:hAnsiTheme="minorHAnsi"/>
          <w:b/>
          <w:sz w:val="22"/>
          <w:szCs w:val="22"/>
        </w:rPr>
      </w:pPr>
    </w:p>
    <w:p w:rsidR="0064287D" w:rsidRPr="00E32EAE" w:rsidRDefault="0064287D" w:rsidP="0064287D">
      <w:pPr>
        <w:jc w:val="both"/>
        <w:rPr>
          <w:rFonts w:asciiTheme="minorHAnsi" w:hAnsiTheme="minorHAnsi"/>
          <w:sz w:val="22"/>
          <w:szCs w:val="22"/>
        </w:rPr>
      </w:pPr>
      <w:r w:rsidRPr="00E32EAE">
        <w:rPr>
          <w:rFonts w:asciiTheme="minorHAnsi" w:hAnsiTheme="minorHAnsi"/>
          <w:sz w:val="22"/>
          <w:szCs w:val="22"/>
        </w:rPr>
        <w:t xml:space="preserve">The Federal Circuit Court supports recommendation 11.4 and notes that the Court has operated an individual docket system of case management since its inception in 2000. </w:t>
      </w:r>
    </w:p>
    <w:p w:rsidR="0064287D" w:rsidRPr="00E32EAE" w:rsidRDefault="0064287D" w:rsidP="0064287D">
      <w:pPr>
        <w:jc w:val="both"/>
        <w:rPr>
          <w:rFonts w:asciiTheme="minorHAnsi" w:hAnsiTheme="minorHAnsi"/>
          <w:sz w:val="22"/>
          <w:szCs w:val="22"/>
        </w:rPr>
      </w:pPr>
    </w:p>
    <w:p w:rsidR="0064287D" w:rsidRPr="00E32EAE" w:rsidRDefault="0064287D" w:rsidP="0064287D">
      <w:pPr>
        <w:jc w:val="both"/>
        <w:rPr>
          <w:rFonts w:asciiTheme="minorHAnsi" w:hAnsiTheme="minorHAnsi"/>
          <w:sz w:val="22"/>
          <w:szCs w:val="22"/>
        </w:rPr>
      </w:pPr>
      <w:r w:rsidRPr="00E32EAE">
        <w:rPr>
          <w:rFonts w:asciiTheme="minorHAnsi" w:hAnsiTheme="minorHAnsi"/>
          <w:sz w:val="22"/>
          <w:szCs w:val="22"/>
        </w:rPr>
        <w:t xml:space="preserve">The Court recognises the value of judicial led case management that ensures each matter only participates in events that will assist in its resolution. Judges practice differential case management having regard to the particular needs of each matter ensuring that litigants are not required to attend unnecessary events thus reducing costs. </w:t>
      </w:r>
    </w:p>
    <w:p w:rsidR="0064287D" w:rsidRPr="00E32EAE" w:rsidRDefault="0064287D" w:rsidP="0064287D">
      <w:pPr>
        <w:jc w:val="both"/>
        <w:rPr>
          <w:rFonts w:asciiTheme="minorHAnsi" w:hAnsiTheme="minorHAnsi"/>
          <w:sz w:val="22"/>
          <w:szCs w:val="22"/>
        </w:rPr>
      </w:pPr>
    </w:p>
    <w:p w:rsidR="0064287D" w:rsidRPr="00E32EAE" w:rsidRDefault="0064287D" w:rsidP="0064287D">
      <w:pPr>
        <w:jc w:val="both"/>
        <w:rPr>
          <w:rFonts w:asciiTheme="minorHAnsi" w:hAnsiTheme="minorHAnsi"/>
          <w:sz w:val="22"/>
          <w:szCs w:val="22"/>
        </w:rPr>
      </w:pPr>
      <w:r w:rsidRPr="00E32EAE">
        <w:rPr>
          <w:rFonts w:asciiTheme="minorHAnsi" w:hAnsiTheme="minorHAnsi"/>
          <w:sz w:val="22"/>
          <w:szCs w:val="22"/>
        </w:rPr>
        <w:t>Applications filed in the Federal Circuit Court are in most instances allocated directly to a judge’s docket where the judge manages the matter from first court date to disposition. Urgent matters are filed regularly and are accommodated with an early listing before a judge. The urgent matters do not form a discrete list but are managed individually in accordance with their needs.</w:t>
      </w:r>
    </w:p>
    <w:p w:rsidR="0064287D" w:rsidRPr="00E32EAE" w:rsidRDefault="0064287D" w:rsidP="0064287D">
      <w:pPr>
        <w:jc w:val="both"/>
        <w:rPr>
          <w:rFonts w:asciiTheme="minorHAnsi" w:hAnsiTheme="minorHAnsi"/>
          <w:sz w:val="22"/>
          <w:szCs w:val="22"/>
        </w:rPr>
      </w:pPr>
    </w:p>
    <w:p w:rsidR="0064287D" w:rsidRPr="00E32EAE" w:rsidRDefault="0064287D" w:rsidP="0064287D">
      <w:pPr>
        <w:jc w:val="both"/>
        <w:rPr>
          <w:rFonts w:asciiTheme="minorHAnsi" w:hAnsiTheme="minorHAnsi"/>
          <w:b/>
          <w:sz w:val="22"/>
          <w:szCs w:val="22"/>
        </w:rPr>
      </w:pPr>
      <w:r w:rsidRPr="00E32EAE">
        <w:rPr>
          <w:rFonts w:asciiTheme="minorHAnsi" w:hAnsiTheme="minorHAnsi"/>
          <w:sz w:val="22"/>
          <w:szCs w:val="22"/>
        </w:rPr>
        <w:t xml:space="preserve"> </w:t>
      </w:r>
      <w:r w:rsidRPr="00E32EAE">
        <w:rPr>
          <w:rFonts w:asciiTheme="minorHAnsi" w:hAnsiTheme="minorHAnsi"/>
          <w:b/>
          <w:sz w:val="22"/>
          <w:szCs w:val="22"/>
        </w:rPr>
        <w:t>Draft recommendation 11.7</w:t>
      </w:r>
    </w:p>
    <w:p w:rsidR="0064287D" w:rsidRPr="00E32EAE" w:rsidRDefault="0064287D" w:rsidP="0064287D">
      <w:pPr>
        <w:jc w:val="both"/>
        <w:rPr>
          <w:rFonts w:asciiTheme="minorHAnsi" w:hAnsiTheme="minorHAnsi"/>
          <w:b/>
          <w:sz w:val="22"/>
          <w:szCs w:val="22"/>
        </w:rPr>
      </w:pPr>
    </w:p>
    <w:p w:rsidR="0064287D" w:rsidRPr="00E32EAE" w:rsidRDefault="0064287D" w:rsidP="0064287D">
      <w:pPr>
        <w:jc w:val="both"/>
        <w:rPr>
          <w:rFonts w:asciiTheme="minorHAnsi" w:hAnsiTheme="minorHAnsi"/>
          <w:sz w:val="22"/>
          <w:szCs w:val="22"/>
        </w:rPr>
      </w:pPr>
      <w:r w:rsidRPr="00E32EAE">
        <w:rPr>
          <w:rFonts w:asciiTheme="minorHAnsi" w:hAnsiTheme="minorHAnsi"/>
          <w:sz w:val="22"/>
          <w:szCs w:val="22"/>
        </w:rPr>
        <w:t xml:space="preserve">Federal Circuit Court Rule 10.01 (3) allows for the docket judge to make orders in respect to the early discovery and inspection of documents, inspections of real property admissibility of documents. The capacity for these orders to be made on the first court date ensures the early exchange of critical and relevant documents. </w:t>
      </w:r>
    </w:p>
    <w:p w:rsidR="00132827" w:rsidRPr="00E32EAE" w:rsidRDefault="00132827" w:rsidP="0064287D">
      <w:pPr>
        <w:jc w:val="both"/>
        <w:rPr>
          <w:rFonts w:asciiTheme="minorHAnsi" w:hAnsiTheme="minorHAnsi"/>
          <w:sz w:val="22"/>
          <w:szCs w:val="22"/>
        </w:rPr>
      </w:pPr>
    </w:p>
    <w:p w:rsidR="00132827" w:rsidRDefault="00132827" w:rsidP="0064287D">
      <w:pPr>
        <w:jc w:val="both"/>
        <w:rPr>
          <w:rFonts w:asciiTheme="minorHAnsi" w:hAnsiTheme="minorHAnsi"/>
          <w:sz w:val="22"/>
          <w:szCs w:val="22"/>
        </w:rPr>
      </w:pPr>
      <w:r w:rsidRPr="00E32EAE">
        <w:rPr>
          <w:rFonts w:asciiTheme="minorHAnsi" w:hAnsiTheme="minorHAnsi"/>
          <w:sz w:val="22"/>
          <w:szCs w:val="22"/>
        </w:rPr>
        <w:t xml:space="preserve">The docketed judge is able to tailor the orders made on the first occasion to </w:t>
      </w:r>
      <w:r w:rsidR="00B25DC9" w:rsidRPr="00E32EAE">
        <w:rPr>
          <w:rFonts w:asciiTheme="minorHAnsi" w:hAnsiTheme="minorHAnsi"/>
          <w:sz w:val="22"/>
          <w:szCs w:val="22"/>
        </w:rPr>
        <w:t>accommodate</w:t>
      </w:r>
      <w:r w:rsidRPr="00E32EAE">
        <w:rPr>
          <w:rFonts w:asciiTheme="minorHAnsi" w:hAnsiTheme="minorHAnsi"/>
          <w:sz w:val="22"/>
          <w:szCs w:val="22"/>
        </w:rPr>
        <w:t xml:space="preserve"> the specific requirements of each individual case</w:t>
      </w:r>
      <w:r w:rsidR="00B25DC9" w:rsidRPr="00E32EAE">
        <w:rPr>
          <w:rFonts w:asciiTheme="minorHAnsi" w:hAnsiTheme="minorHAnsi"/>
          <w:sz w:val="22"/>
          <w:szCs w:val="22"/>
        </w:rPr>
        <w:t>,</w:t>
      </w:r>
      <w:r w:rsidRPr="00E32EAE">
        <w:rPr>
          <w:rFonts w:asciiTheme="minorHAnsi" w:hAnsiTheme="minorHAnsi"/>
          <w:sz w:val="22"/>
          <w:szCs w:val="22"/>
        </w:rPr>
        <w:t xml:space="preserve"> as standard directions may not be appropriate</w:t>
      </w:r>
      <w:r w:rsidR="00B25DC9" w:rsidRPr="00E32EAE">
        <w:rPr>
          <w:rFonts w:asciiTheme="minorHAnsi" w:hAnsiTheme="minorHAnsi"/>
          <w:sz w:val="22"/>
          <w:szCs w:val="22"/>
        </w:rPr>
        <w:t xml:space="preserve"> in every matter</w:t>
      </w:r>
      <w:r w:rsidRPr="00E32EAE">
        <w:rPr>
          <w:rFonts w:asciiTheme="minorHAnsi" w:hAnsiTheme="minorHAnsi"/>
          <w:sz w:val="22"/>
          <w:szCs w:val="22"/>
        </w:rPr>
        <w:t xml:space="preserve">.   </w:t>
      </w:r>
    </w:p>
    <w:p w:rsidR="00E32EAE" w:rsidRDefault="00E32EAE" w:rsidP="0064287D">
      <w:pPr>
        <w:jc w:val="both"/>
        <w:rPr>
          <w:rFonts w:asciiTheme="minorHAnsi" w:hAnsiTheme="minorHAnsi"/>
          <w:sz w:val="22"/>
          <w:szCs w:val="22"/>
        </w:rPr>
      </w:pPr>
    </w:p>
    <w:p w:rsidR="00E32EAE" w:rsidRDefault="00864F48" w:rsidP="00E32EAE">
      <w:pPr>
        <w:autoSpaceDE w:val="0"/>
        <w:autoSpaceDN w:val="0"/>
        <w:adjustRightInd w:val="0"/>
        <w:rPr>
          <w:rFonts w:asciiTheme="minorHAnsi" w:hAnsiTheme="minorHAnsi" w:cs="Verdana"/>
          <w:b/>
          <w:iCs/>
          <w:color w:val="000000"/>
          <w:sz w:val="22"/>
          <w:szCs w:val="22"/>
          <w:lang w:eastAsia="en-AU"/>
        </w:rPr>
      </w:pPr>
      <w:r w:rsidRPr="00864F48">
        <w:rPr>
          <w:rFonts w:asciiTheme="minorHAnsi" w:hAnsiTheme="minorHAnsi" w:cs="Verdana"/>
          <w:b/>
          <w:iCs/>
          <w:color w:val="000000"/>
          <w:sz w:val="22"/>
          <w:szCs w:val="22"/>
          <w:lang w:eastAsia="en-AU"/>
        </w:rPr>
        <w:t>Draft recommendation 11.7</w:t>
      </w:r>
    </w:p>
    <w:p w:rsidR="00864F48" w:rsidRPr="00864F48" w:rsidRDefault="00864F48" w:rsidP="00E32EAE">
      <w:pPr>
        <w:autoSpaceDE w:val="0"/>
        <w:autoSpaceDN w:val="0"/>
        <w:adjustRightInd w:val="0"/>
        <w:rPr>
          <w:rFonts w:asciiTheme="minorHAnsi" w:hAnsiTheme="minorHAnsi" w:cs="Verdana"/>
          <w:iCs/>
          <w:color w:val="000000"/>
          <w:sz w:val="22"/>
          <w:szCs w:val="22"/>
          <w:lang w:eastAsia="en-AU"/>
        </w:rPr>
      </w:pPr>
      <w:r w:rsidRPr="00864F48">
        <w:rPr>
          <w:rFonts w:asciiTheme="minorHAnsi" w:hAnsiTheme="minorHAnsi"/>
          <w:bCs/>
          <w:i/>
          <w:iCs/>
          <w:color w:val="000000"/>
          <w:sz w:val="22"/>
          <w:szCs w:val="22"/>
          <w:lang w:eastAsia="en-AU"/>
        </w:rPr>
        <w:t>Court rules and practice notes should facilitate and promote the consideration by courts and parties of the option of the early exchange of critical documents, drawing on the practice direction used in the Supreme Court of Queensland’s Supervised Case List.</w:t>
      </w:r>
    </w:p>
    <w:p w:rsidR="00E32EAE" w:rsidRDefault="00E32EAE" w:rsidP="00E32EAE">
      <w:pPr>
        <w:autoSpaceDE w:val="0"/>
        <w:autoSpaceDN w:val="0"/>
        <w:adjustRightInd w:val="0"/>
        <w:rPr>
          <w:rFonts w:ascii="Verdana" w:hAnsi="Verdana" w:cs="Verdana"/>
          <w:i/>
          <w:iCs/>
          <w:color w:val="000000"/>
          <w:sz w:val="20"/>
          <w:szCs w:val="20"/>
          <w:lang w:eastAsia="en-AU"/>
        </w:rPr>
      </w:pPr>
    </w:p>
    <w:p w:rsidR="0064287D" w:rsidRPr="00205581" w:rsidRDefault="00E32EAE" w:rsidP="00E32EAE">
      <w:pPr>
        <w:rPr>
          <w:rFonts w:asciiTheme="minorHAnsi" w:hAnsiTheme="minorHAnsi" w:cs="Helv"/>
          <w:color w:val="000000"/>
          <w:sz w:val="22"/>
          <w:szCs w:val="22"/>
          <w:lang w:eastAsia="en-AU"/>
        </w:rPr>
      </w:pPr>
      <w:r w:rsidRPr="00205581">
        <w:rPr>
          <w:rFonts w:asciiTheme="minorHAnsi" w:hAnsiTheme="minorHAnsi" w:cs="Helv"/>
          <w:color w:val="000000"/>
          <w:sz w:val="22"/>
          <w:szCs w:val="22"/>
          <w:lang w:eastAsia="en-AU"/>
        </w:rPr>
        <w:t>The sort of docum</w:t>
      </w:r>
      <w:r w:rsidR="00155F85">
        <w:rPr>
          <w:rFonts w:asciiTheme="minorHAnsi" w:hAnsiTheme="minorHAnsi" w:cs="Helv"/>
          <w:color w:val="000000"/>
          <w:sz w:val="22"/>
          <w:szCs w:val="22"/>
          <w:lang w:eastAsia="en-AU"/>
        </w:rPr>
        <w:t>ent exchange provided for by Practice Dire</w:t>
      </w:r>
      <w:r w:rsidR="006F72A6">
        <w:rPr>
          <w:rFonts w:asciiTheme="minorHAnsi" w:hAnsiTheme="minorHAnsi" w:cs="Helv"/>
          <w:color w:val="000000"/>
          <w:sz w:val="22"/>
          <w:szCs w:val="22"/>
          <w:lang w:eastAsia="en-AU"/>
        </w:rPr>
        <w:t>c</w:t>
      </w:r>
      <w:r w:rsidR="00155F85">
        <w:rPr>
          <w:rFonts w:asciiTheme="minorHAnsi" w:hAnsiTheme="minorHAnsi" w:cs="Helv"/>
          <w:color w:val="000000"/>
          <w:sz w:val="22"/>
          <w:szCs w:val="22"/>
          <w:lang w:eastAsia="en-AU"/>
        </w:rPr>
        <w:t>tions</w:t>
      </w:r>
      <w:r w:rsidRPr="00205581">
        <w:rPr>
          <w:rFonts w:asciiTheme="minorHAnsi" w:hAnsiTheme="minorHAnsi" w:cs="Helv"/>
          <w:color w:val="000000"/>
          <w:sz w:val="22"/>
          <w:szCs w:val="22"/>
          <w:lang w:eastAsia="en-AU"/>
        </w:rPr>
        <w:t xml:space="preserve"> 10 </w:t>
      </w:r>
      <w:r w:rsidR="00155F85">
        <w:rPr>
          <w:rFonts w:asciiTheme="minorHAnsi" w:hAnsiTheme="minorHAnsi" w:cs="Helv"/>
          <w:color w:val="000000"/>
          <w:sz w:val="22"/>
          <w:szCs w:val="22"/>
          <w:lang w:eastAsia="en-AU"/>
        </w:rPr>
        <w:t>(</w:t>
      </w:r>
      <w:hyperlink r:id="rId9" w:history="1">
        <w:r w:rsidR="00205581" w:rsidRPr="00205581">
          <w:rPr>
            <w:rStyle w:val="Hyperlink"/>
            <w:rFonts w:asciiTheme="minorHAnsi" w:hAnsiTheme="minorHAnsi"/>
            <w:sz w:val="22"/>
            <w:szCs w:val="22"/>
          </w:rPr>
          <w:t>http://www.courts.qld.gov.au/__data/assets/pdf_file/0016/130507/sc-pd10of2011.pdf</w:t>
        </w:r>
      </w:hyperlink>
      <w:r w:rsidR="00155F85">
        <w:rPr>
          <w:rStyle w:val="Hyperlink"/>
          <w:rFonts w:asciiTheme="minorHAnsi" w:hAnsiTheme="minorHAnsi"/>
          <w:sz w:val="22"/>
          <w:szCs w:val="22"/>
        </w:rPr>
        <w:t>)</w:t>
      </w:r>
      <w:r w:rsidR="00205581" w:rsidRPr="00205581">
        <w:rPr>
          <w:rFonts w:asciiTheme="minorHAnsi" w:hAnsiTheme="minorHAnsi" w:cs="Helv"/>
          <w:color w:val="000000"/>
          <w:sz w:val="22"/>
          <w:szCs w:val="22"/>
          <w:lang w:eastAsia="en-AU"/>
        </w:rPr>
        <w:t xml:space="preserve"> </w:t>
      </w:r>
      <w:r w:rsidRPr="00205581">
        <w:rPr>
          <w:rFonts w:asciiTheme="minorHAnsi" w:hAnsiTheme="minorHAnsi" w:cs="Helv"/>
          <w:color w:val="000000"/>
          <w:sz w:val="22"/>
          <w:szCs w:val="22"/>
          <w:lang w:eastAsia="en-AU"/>
        </w:rPr>
        <w:t>and 11</w:t>
      </w:r>
      <w:r w:rsidR="00205581" w:rsidRPr="00205581">
        <w:rPr>
          <w:rFonts w:asciiTheme="minorHAnsi" w:hAnsiTheme="minorHAnsi" w:cs="Helv"/>
          <w:color w:val="000000"/>
          <w:sz w:val="22"/>
          <w:szCs w:val="22"/>
          <w:lang w:eastAsia="en-AU"/>
        </w:rPr>
        <w:t xml:space="preserve"> </w:t>
      </w:r>
      <w:r w:rsidR="00155F85">
        <w:rPr>
          <w:rFonts w:asciiTheme="minorHAnsi" w:hAnsiTheme="minorHAnsi" w:cs="Helv"/>
          <w:color w:val="000000"/>
          <w:sz w:val="22"/>
          <w:szCs w:val="22"/>
          <w:lang w:eastAsia="en-AU"/>
        </w:rPr>
        <w:t>(</w:t>
      </w:r>
      <w:hyperlink r:id="rId10" w:history="1">
        <w:r w:rsidR="00205581" w:rsidRPr="00205581">
          <w:rPr>
            <w:rStyle w:val="Hyperlink"/>
            <w:rFonts w:asciiTheme="minorHAnsi" w:hAnsiTheme="minorHAnsi"/>
            <w:sz w:val="22"/>
            <w:szCs w:val="22"/>
          </w:rPr>
          <w:t>http://www.courts.qld.gov.au/__data/assets/pdf_file/0020/150266/sc-pd11of2012.pdf</w:t>
        </w:r>
      </w:hyperlink>
      <w:r w:rsidRPr="00205581">
        <w:rPr>
          <w:rFonts w:asciiTheme="minorHAnsi" w:hAnsiTheme="minorHAnsi" w:cs="Helv"/>
          <w:color w:val="000000"/>
          <w:sz w:val="22"/>
          <w:szCs w:val="22"/>
          <w:lang w:eastAsia="en-AU"/>
        </w:rPr>
        <w:t xml:space="preserve"> </w:t>
      </w:r>
      <w:r w:rsidR="00155F85">
        <w:rPr>
          <w:rFonts w:asciiTheme="minorHAnsi" w:hAnsiTheme="minorHAnsi" w:cs="Helv"/>
          <w:color w:val="000000"/>
          <w:sz w:val="22"/>
          <w:szCs w:val="22"/>
          <w:lang w:eastAsia="en-AU"/>
        </w:rPr>
        <w:t>)</w:t>
      </w:r>
      <w:r w:rsidRPr="00205581">
        <w:rPr>
          <w:rFonts w:asciiTheme="minorHAnsi" w:hAnsiTheme="minorHAnsi" w:cs="Helv"/>
          <w:color w:val="000000"/>
          <w:sz w:val="22"/>
          <w:szCs w:val="22"/>
          <w:lang w:eastAsia="en-AU"/>
        </w:rPr>
        <w:t>of the QSC is not necessarily appropriate for smaller matters and it would be inappropriate to make it a standard direction in our court.</w:t>
      </w:r>
    </w:p>
    <w:p w:rsidR="00E32EAE" w:rsidRPr="00E32EAE" w:rsidRDefault="00205581" w:rsidP="00205581">
      <w:pPr>
        <w:tabs>
          <w:tab w:val="left" w:pos="1470"/>
        </w:tabs>
        <w:jc w:val="both"/>
        <w:rPr>
          <w:rFonts w:asciiTheme="minorHAnsi" w:hAnsiTheme="minorHAnsi"/>
          <w:sz w:val="22"/>
          <w:szCs w:val="22"/>
        </w:rPr>
      </w:pPr>
      <w:r>
        <w:rPr>
          <w:rFonts w:asciiTheme="minorHAnsi" w:hAnsiTheme="minorHAnsi"/>
          <w:sz w:val="22"/>
          <w:szCs w:val="22"/>
        </w:rPr>
        <w:tab/>
      </w:r>
    </w:p>
    <w:p w:rsidR="0064287D" w:rsidRPr="00E32EAE" w:rsidRDefault="0064287D" w:rsidP="0064287D">
      <w:pPr>
        <w:jc w:val="both"/>
        <w:rPr>
          <w:rFonts w:asciiTheme="minorHAnsi" w:hAnsiTheme="minorHAnsi"/>
          <w:b/>
          <w:sz w:val="22"/>
          <w:szCs w:val="22"/>
        </w:rPr>
      </w:pPr>
      <w:r w:rsidRPr="00E32EAE">
        <w:rPr>
          <w:rFonts w:asciiTheme="minorHAnsi" w:hAnsiTheme="minorHAnsi"/>
          <w:b/>
          <w:sz w:val="22"/>
          <w:szCs w:val="22"/>
        </w:rPr>
        <w:t>Draft recommendation 17.1</w:t>
      </w:r>
    </w:p>
    <w:p w:rsidR="0064287D" w:rsidRPr="00E32EAE" w:rsidRDefault="0064287D" w:rsidP="0064287D">
      <w:pPr>
        <w:jc w:val="both"/>
        <w:rPr>
          <w:rFonts w:asciiTheme="minorHAnsi" w:hAnsiTheme="minorHAnsi"/>
          <w:sz w:val="22"/>
          <w:szCs w:val="22"/>
        </w:rPr>
      </w:pPr>
      <w:r w:rsidRPr="00E32EAE">
        <w:rPr>
          <w:rFonts w:asciiTheme="minorHAnsi" w:hAnsiTheme="minorHAnsi"/>
          <w:sz w:val="22"/>
          <w:szCs w:val="22"/>
        </w:rPr>
        <w:t xml:space="preserve">The Federal Circuit Court circuits to 33 locations across Australia in addition to sitting in 14 city locations. The Court makes good use of telephone and video technologies providing a greater level of access to justice particularly to those litigants in rural and regional Australia. As noted in this recommendation the Court conducts procedural hearings when it is appropriate by telephone or video. This assists in having matters prepared for circuits and for the Court to better utilise the time spent at circuit locations. This </w:t>
      </w:r>
      <w:r w:rsidRPr="00E32EAE">
        <w:rPr>
          <w:rFonts w:asciiTheme="minorHAnsi" w:hAnsiTheme="minorHAnsi"/>
          <w:sz w:val="22"/>
          <w:szCs w:val="22"/>
        </w:rPr>
        <w:lastRenderedPageBreak/>
        <w:t xml:space="preserve">also reduces the number of </w:t>
      </w:r>
      <w:r w:rsidR="002E4BB3" w:rsidRPr="00E32EAE">
        <w:rPr>
          <w:rFonts w:asciiTheme="minorHAnsi" w:hAnsiTheme="minorHAnsi"/>
          <w:sz w:val="22"/>
          <w:szCs w:val="22"/>
        </w:rPr>
        <w:t>times</w:t>
      </w:r>
      <w:r w:rsidRPr="00E32EAE">
        <w:rPr>
          <w:rFonts w:asciiTheme="minorHAnsi" w:hAnsiTheme="minorHAnsi"/>
          <w:sz w:val="22"/>
          <w:szCs w:val="22"/>
        </w:rPr>
        <w:t xml:space="preserve"> litigants need to personally attend at a court location thus reducing their costs.</w:t>
      </w:r>
    </w:p>
    <w:p w:rsidR="0064287D" w:rsidRPr="00E32EAE" w:rsidRDefault="0064287D" w:rsidP="0064287D">
      <w:pPr>
        <w:jc w:val="both"/>
        <w:rPr>
          <w:rFonts w:asciiTheme="minorHAnsi" w:hAnsiTheme="minorHAnsi"/>
          <w:sz w:val="22"/>
          <w:szCs w:val="22"/>
        </w:rPr>
      </w:pPr>
    </w:p>
    <w:p w:rsidR="0064287D" w:rsidRPr="00E32EAE" w:rsidRDefault="0064287D" w:rsidP="0064287D">
      <w:pPr>
        <w:jc w:val="both"/>
        <w:rPr>
          <w:rFonts w:asciiTheme="minorHAnsi" w:hAnsiTheme="minorHAnsi"/>
          <w:sz w:val="22"/>
          <w:szCs w:val="22"/>
        </w:rPr>
      </w:pPr>
      <w:r w:rsidRPr="00E32EAE">
        <w:rPr>
          <w:rFonts w:asciiTheme="minorHAnsi" w:hAnsiTheme="minorHAnsi"/>
          <w:sz w:val="22"/>
          <w:szCs w:val="22"/>
        </w:rPr>
        <w:t xml:space="preserve">The Court is currently preparing processes to standardise the manner in which litigants or legal practitioners apply to attend by telephone or video. This work is being undertaken following consultation with rural and regional legal practitioners. The court expects that this process will provide clarity particularly to </w:t>
      </w:r>
      <w:r w:rsidR="002E4BB3" w:rsidRPr="00E32EAE">
        <w:rPr>
          <w:rFonts w:asciiTheme="minorHAnsi" w:hAnsiTheme="minorHAnsi"/>
          <w:sz w:val="22"/>
          <w:szCs w:val="22"/>
        </w:rPr>
        <w:t>unrepresented</w:t>
      </w:r>
      <w:r w:rsidRPr="00E32EAE">
        <w:rPr>
          <w:rFonts w:asciiTheme="minorHAnsi" w:hAnsiTheme="minorHAnsi"/>
          <w:sz w:val="22"/>
          <w:szCs w:val="22"/>
        </w:rPr>
        <w:t xml:space="preserve"> litigants.</w:t>
      </w:r>
    </w:p>
    <w:p w:rsidR="0064287D" w:rsidRPr="00E32EAE" w:rsidRDefault="0064287D" w:rsidP="0064287D">
      <w:pPr>
        <w:jc w:val="both"/>
        <w:rPr>
          <w:rFonts w:asciiTheme="minorHAnsi" w:hAnsiTheme="minorHAnsi"/>
          <w:sz w:val="22"/>
          <w:szCs w:val="22"/>
        </w:rPr>
      </w:pPr>
    </w:p>
    <w:p w:rsidR="0064287D" w:rsidRPr="00E32EAE" w:rsidRDefault="0064287D" w:rsidP="0064287D">
      <w:pPr>
        <w:jc w:val="both"/>
        <w:rPr>
          <w:rFonts w:asciiTheme="minorHAnsi" w:hAnsiTheme="minorHAnsi"/>
          <w:sz w:val="22"/>
          <w:szCs w:val="22"/>
        </w:rPr>
      </w:pPr>
      <w:r w:rsidRPr="00E32EAE">
        <w:rPr>
          <w:rFonts w:asciiTheme="minorHAnsi" w:hAnsiTheme="minorHAnsi"/>
          <w:sz w:val="22"/>
          <w:szCs w:val="22"/>
        </w:rPr>
        <w:t>An issue that requires further consideration is the lack of suitable telephone or video equipment on occasions. In some rural and regional locations there are no suitable video facilities and telephone reception for people relying on mobiles can be poor. The poor facilities can on occasions limit the Courts capacity to extend these services.</w:t>
      </w:r>
    </w:p>
    <w:p w:rsidR="00B25DC9" w:rsidRPr="00E32EAE" w:rsidRDefault="00B25DC9" w:rsidP="003D7696">
      <w:pPr>
        <w:keepNext/>
        <w:keepLines/>
        <w:autoSpaceDE w:val="0"/>
        <w:autoSpaceDN w:val="0"/>
        <w:adjustRightInd w:val="0"/>
        <w:jc w:val="both"/>
        <w:rPr>
          <w:rFonts w:asciiTheme="minorHAnsi" w:hAnsiTheme="minorHAnsi" w:cs="Verdana"/>
          <w:i/>
          <w:iCs/>
          <w:sz w:val="22"/>
          <w:szCs w:val="22"/>
          <w:lang w:eastAsia="en-AU"/>
        </w:rPr>
      </w:pPr>
    </w:p>
    <w:p w:rsidR="003D7696" w:rsidRPr="00E32EAE" w:rsidRDefault="003D7696" w:rsidP="003D7696">
      <w:pPr>
        <w:keepNext/>
        <w:keepLines/>
        <w:autoSpaceDE w:val="0"/>
        <w:autoSpaceDN w:val="0"/>
        <w:adjustRightInd w:val="0"/>
        <w:jc w:val="both"/>
        <w:rPr>
          <w:rFonts w:asciiTheme="minorHAnsi" w:hAnsiTheme="minorHAnsi" w:cs="Verdana"/>
          <w:b/>
          <w:bCs/>
          <w:sz w:val="22"/>
          <w:szCs w:val="22"/>
          <w:lang w:eastAsia="en-AU"/>
        </w:rPr>
      </w:pPr>
      <w:r w:rsidRPr="00E32EAE">
        <w:rPr>
          <w:rFonts w:asciiTheme="minorHAnsi" w:hAnsiTheme="minorHAnsi" w:cs="Verdana"/>
          <w:b/>
          <w:bCs/>
          <w:sz w:val="22"/>
          <w:szCs w:val="22"/>
          <w:lang w:eastAsia="en-AU"/>
        </w:rPr>
        <w:t>Information Request 11.2</w:t>
      </w:r>
    </w:p>
    <w:p w:rsidR="003D7696" w:rsidRPr="00E32EAE" w:rsidRDefault="003D7696" w:rsidP="003D7696">
      <w:pPr>
        <w:keepNext/>
        <w:keepLines/>
        <w:autoSpaceDE w:val="0"/>
        <w:autoSpaceDN w:val="0"/>
        <w:adjustRightInd w:val="0"/>
        <w:jc w:val="both"/>
        <w:rPr>
          <w:rFonts w:asciiTheme="minorHAnsi" w:hAnsiTheme="minorHAnsi" w:cs="Verdana"/>
          <w:i/>
          <w:iCs/>
          <w:sz w:val="22"/>
          <w:szCs w:val="22"/>
          <w:lang w:eastAsia="en-AU"/>
        </w:rPr>
      </w:pPr>
      <w:r w:rsidRPr="00E32EAE">
        <w:rPr>
          <w:rFonts w:asciiTheme="minorHAnsi" w:hAnsiTheme="minorHAnsi" w:cs="Verdana"/>
          <w:i/>
          <w:iCs/>
          <w:sz w:val="22"/>
          <w:szCs w:val="22"/>
          <w:lang w:eastAsia="en-AU"/>
        </w:rPr>
        <w:t>The Commission seeks information on whether discovery has different access to justice implications for different types of litigation which require particular consideration</w:t>
      </w:r>
    </w:p>
    <w:p w:rsidR="003D7696" w:rsidRPr="00E32EAE" w:rsidRDefault="003D7696" w:rsidP="003D7696">
      <w:pPr>
        <w:keepNext/>
        <w:keepLines/>
        <w:autoSpaceDE w:val="0"/>
        <w:autoSpaceDN w:val="0"/>
        <w:adjustRightInd w:val="0"/>
        <w:jc w:val="both"/>
        <w:rPr>
          <w:rFonts w:asciiTheme="minorHAnsi" w:hAnsiTheme="minorHAnsi" w:cs="Verdana"/>
          <w:i/>
          <w:iCs/>
          <w:sz w:val="22"/>
          <w:szCs w:val="22"/>
          <w:lang w:eastAsia="en-AU"/>
        </w:rPr>
      </w:pPr>
    </w:p>
    <w:p w:rsidR="003D7696" w:rsidRPr="00E32EAE" w:rsidRDefault="003D7696" w:rsidP="003D7696">
      <w:pPr>
        <w:keepNext/>
        <w:keepLines/>
        <w:autoSpaceDE w:val="0"/>
        <w:autoSpaceDN w:val="0"/>
        <w:adjustRightInd w:val="0"/>
        <w:jc w:val="both"/>
        <w:rPr>
          <w:rFonts w:asciiTheme="minorHAnsi" w:hAnsiTheme="minorHAnsi" w:cs="Verdana"/>
          <w:sz w:val="22"/>
          <w:szCs w:val="22"/>
          <w:lang w:eastAsia="en-AU"/>
        </w:rPr>
      </w:pPr>
      <w:r w:rsidRPr="00E32EAE">
        <w:rPr>
          <w:rFonts w:asciiTheme="minorHAnsi" w:hAnsiTheme="minorHAnsi" w:cs="Verdana"/>
          <w:sz w:val="22"/>
          <w:szCs w:val="22"/>
          <w:lang w:eastAsia="en-AU"/>
        </w:rPr>
        <w:t xml:space="preserve">In the FCC interrogatories and discovery are not allowed unless a Judge declares that it is appropriate in the interests of the administration of justice (see section 45 </w:t>
      </w:r>
      <w:r w:rsidRPr="00E32EAE">
        <w:rPr>
          <w:rFonts w:asciiTheme="minorHAnsi" w:hAnsiTheme="minorHAnsi" w:cs="Verdana"/>
          <w:i/>
          <w:iCs/>
          <w:sz w:val="22"/>
          <w:szCs w:val="22"/>
          <w:lang w:eastAsia="en-AU"/>
        </w:rPr>
        <w:t>Federal Circuit Court of Australia Act 1999</w:t>
      </w:r>
      <w:r w:rsidRPr="00E32EAE">
        <w:rPr>
          <w:rFonts w:asciiTheme="minorHAnsi" w:hAnsiTheme="minorHAnsi" w:cs="Verdana"/>
          <w:sz w:val="22"/>
          <w:szCs w:val="22"/>
          <w:lang w:eastAsia="en-AU"/>
        </w:rPr>
        <w:t>).</w:t>
      </w:r>
    </w:p>
    <w:p w:rsidR="003D7696" w:rsidRPr="00E32EAE" w:rsidRDefault="003D7696" w:rsidP="003D7696">
      <w:pPr>
        <w:keepNext/>
        <w:keepLines/>
        <w:autoSpaceDE w:val="0"/>
        <w:autoSpaceDN w:val="0"/>
        <w:adjustRightInd w:val="0"/>
        <w:jc w:val="both"/>
        <w:rPr>
          <w:rFonts w:asciiTheme="minorHAnsi" w:hAnsiTheme="minorHAnsi" w:cs="Verdana"/>
          <w:sz w:val="22"/>
          <w:szCs w:val="22"/>
          <w:lang w:eastAsia="en-AU"/>
        </w:rPr>
      </w:pPr>
    </w:p>
    <w:p w:rsidR="003D7696" w:rsidRPr="00E32EAE" w:rsidRDefault="003D7696" w:rsidP="003D7696">
      <w:pPr>
        <w:keepNext/>
        <w:keepLines/>
        <w:autoSpaceDE w:val="0"/>
        <w:autoSpaceDN w:val="0"/>
        <w:adjustRightInd w:val="0"/>
        <w:jc w:val="both"/>
        <w:rPr>
          <w:rFonts w:asciiTheme="minorHAnsi" w:hAnsiTheme="minorHAnsi" w:cs="Verdana"/>
          <w:sz w:val="22"/>
          <w:szCs w:val="22"/>
          <w:lang w:eastAsia="en-AU"/>
        </w:rPr>
      </w:pPr>
      <w:r w:rsidRPr="00E32EAE">
        <w:rPr>
          <w:rFonts w:asciiTheme="minorHAnsi" w:hAnsiTheme="minorHAnsi" w:cs="Verdana"/>
          <w:sz w:val="22"/>
          <w:szCs w:val="22"/>
          <w:lang w:eastAsia="en-AU"/>
        </w:rPr>
        <w:t>There was some concern expressed about disclosure obligations in FCC family law property matters. The issues around discovery differ in general federal law and family law. In general federal law parties generally discover informally or use subpoenas or orders to produce and rarely are issues raised in relation to the section 45 restriction. Rarely is a formal declaration for discovery in family law property matters made. Formal discovery is cumbersome, time consuming and therefore an expensive process and there is utility in a provision such as section 45. It is our belief that section 45 does not prevent the court making rules providing for a general duty of disclosure. However section 45 prevents the Court from making a rule that provides for any form or disclosure or informal discovery if such disclosure is compelled by the instigation of another party (as opposed to the court compelling disclosure as is the case with the duty to provide full and frank disclosure in property matters pursuant to rule 24.03.</w:t>
      </w:r>
    </w:p>
    <w:p w:rsidR="003D7696" w:rsidRPr="00E32EAE" w:rsidRDefault="003D7696" w:rsidP="003D7696">
      <w:pPr>
        <w:autoSpaceDE w:val="0"/>
        <w:autoSpaceDN w:val="0"/>
        <w:adjustRightInd w:val="0"/>
        <w:jc w:val="both"/>
        <w:rPr>
          <w:rFonts w:asciiTheme="minorHAnsi" w:hAnsiTheme="minorHAnsi" w:cs="Helv"/>
          <w:sz w:val="22"/>
          <w:szCs w:val="22"/>
          <w:lang w:eastAsia="en-AU"/>
        </w:rPr>
      </w:pPr>
    </w:p>
    <w:p w:rsidR="003D7696" w:rsidRPr="00E32EAE" w:rsidRDefault="003D7696">
      <w:pPr>
        <w:keepNext/>
        <w:keepLines/>
        <w:autoSpaceDE w:val="0"/>
        <w:autoSpaceDN w:val="0"/>
        <w:adjustRightInd w:val="0"/>
        <w:rPr>
          <w:rFonts w:asciiTheme="minorHAnsi" w:hAnsiTheme="minorHAnsi" w:cs="Verdana"/>
          <w:sz w:val="22"/>
          <w:szCs w:val="22"/>
          <w:lang w:eastAsia="en-AU"/>
        </w:rPr>
      </w:pPr>
    </w:p>
    <w:p w:rsidR="003D7696" w:rsidRPr="00E32EAE" w:rsidRDefault="003D7696" w:rsidP="003D7696">
      <w:pPr>
        <w:keepNext/>
        <w:keepLines/>
        <w:autoSpaceDE w:val="0"/>
        <w:autoSpaceDN w:val="0"/>
        <w:adjustRightInd w:val="0"/>
        <w:jc w:val="both"/>
        <w:rPr>
          <w:rFonts w:asciiTheme="minorHAnsi" w:hAnsiTheme="minorHAnsi" w:cs="Verdana"/>
          <w:sz w:val="22"/>
          <w:szCs w:val="22"/>
          <w:lang w:eastAsia="en-AU"/>
        </w:rPr>
      </w:pPr>
      <w:r w:rsidRPr="00E32EAE">
        <w:rPr>
          <w:rFonts w:asciiTheme="minorHAnsi" w:hAnsiTheme="minorHAnsi" w:cs="Verdana"/>
          <w:b/>
          <w:bCs/>
          <w:sz w:val="28"/>
          <w:szCs w:val="28"/>
          <w:lang w:eastAsia="en-AU"/>
        </w:rPr>
        <w:t>Chapter 12 Duties on Parties</w:t>
      </w:r>
    </w:p>
    <w:p w:rsidR="003D7696" w:rsidRPr="00E32EAE" w:rsidRDefault="003D7696" w:rsidP="003D7696">
      <w:pPr>
        <w:keepNext/>
        <w:keepLines/>
        <w:autoSpaceDE w:val="0"/>
        <w:autoSpaceDN w:val="0"/>
        <w:adjustRightInd w:val="0"/>
        <w:jc w:val="both"/>
        <w:rPr>
          <w:rFonts w:asciiTheme="minorHAnsi" w:hAnsiTheme="minorHAnsi" w:cs="Verdana"/>
          <w:sz w:val="22"/>
          <w:szCs w:val="22"/>
          <w:lang w:eastAsia="en-AU"/>
        </w:rPr>
      </w:pPr>
    </w:p>
    <w:p w:rsidR="003D7696" w:rsidRPr="00E32EAE" w:rsidRDefault="003D7696" w:rsidP="003D7696">
      <w:pPr>
        <w:keepNext/>
        <w:keepLines/>
        <w:autoSpaceDE w:val="0"/>
        <w:autoSpaceDN w:val="0"/>
        <w:adjustRightInd w:val="0"/>
        <w:jc w:val="both"/>
        <w:rPr>
          <w:rFonts w:asciiTheme="minorHAnsi" w:hAnsiTheme="minorHAnsi" w:cs="Verdana"/>
          <w:b/>
          <w:bCs/>
          <w:sz w:val="22"/>
          <w:szCs w:val="22"/>
          <w:lang w:eastAsia="en-AU"/>
        </w:rPr>
      </w:pPr>
      <w:r w:rsidRPr="00E32EAE">
        <w:rPr>
          <w:rFonts w:asciiTheme="minorHAnsi" w:hAnsiTheme="minorHAnsi" w:cs="Verdana"/>
          <w:b/>
          <w:bCs/>
          <w:sz w:val="22"/>
          <w:szCs w:val="22"/>
          <w:lang w:eastAsia="en-AU"/>
        </w:rPr>
        <w:t>Information Request 12.6</w:t>
      </w:r>
    </w:p>
    <w:p w:rsidR="003D7696" w:rsidRPr="00E32EAE" w:rsidRDefault="003D7696" w:rsidP="003D7696">
      <w:pPr>
        <w:keepNext/>
        <w:keepLines/>
        <w:autoSpaceDE w:val="0"/>
        <w:autoSpaceDN w:val="0"/>
        <w:adjustRightInd w:val="0"/>
        <w:jc w:val="both"/>
        <w:rPr>
          <w:rFonts w:asciiTheme="minorHAnsi" w:hAnsiTheme="minorHAnsi" w:cs="Verdana"/>
          <w:i/>
          <w:iCs/>
          <w:sz w:val="22"/>
          <w:szCs w:val="22"/>
          <w:lang w:eastAsia="en-AU"/>
        </w:rPr>
      </w:pPr>
      <w:r w:rsidRPr="00E32EAE">
        <w:rPr>
          <w:rFonts w:asciiTheme="minorHAnsi" w:hAnsiTheme="minorHAnsi" w:cs="Verdana"/>
          <w:i/>
          <w:iCs/>
          <w:sz w:val="22"/>
          <w:szCs w:val="22"/>
          <w:lang w:eastAsia="en-AU"/>
        </w:rPr>
        <w:t>The Commission seeks feedback on the best way to respond to vexatious litigants and litigation. Could reform that focuses on early intervention with more graduated responses to manage vexatious litigants reduce negative impacts? Should the bar be lowered in terms of the type of behaviour that attracts a response from the justice system? Do jurisdictions need to make available a publicly searchable register of orders against vexatious litigants.</w:t>
      </w:r>
    </w:p>
    <w:p w:rsidR="003D7696" w:rsidRPr="00E32EAE" w:rsidRDefault="003D7696" w:rsidP="003D7696">
      <w:pPr>
        <w:keepNext/>
        <w:keepLines/>
        <w:autoSpaceDE w:val="0"/>
        <w:autoSpaceDN w:val="0"/>
        <w:adjustRightInd w:val="0"/>
        <w:jc w:val="both"/>
        <w:rPr>
          <w:rFonts w:asciiTheme="minorHAnsi" w:hAnsiTheme="minorHAnsi" w:cs="Verdana"/>
          <w:i/>
          <w:iCs/>
          <w:sz w:val="22"/>
          <w:szCs w:val="22"/>
          <w:lang w:eastAsia="en-AU"/>
        </w:rPr>
      </w:pPr>
    </w:p>
    <w:p w:rsidR="003D7696" w:rsidRPr="00E32EAE" w:rsidRDefault="003D7696" w:rsidP="003D7696">
      <w:pPr>
        <w:keepNext/>
        <w:keepLines/>
        <w:autoSpaceDE w:val="0"/>
        <w:autoSpaceDN w:val="0"/>
        <w:adjustRightInd w:val="0"/>
        <w:jc w:val="both"/>
        <w:rPr>
          <w:rFonts w:asciiTheme="minorHAnsi" w:hAnsiTheme="minorHAnsi" w:cs="Verdana"/>
          <w:sz w:val="22"/>
          <w:szCs w:val="22"/>
          <w:lang w:eastAsia="en-AU"/>
        </w:rPr>
      </w:pPr>
      <w:r w:rsidRPr="00E32EAE">
        <w:rPr>
          <w:rFonts w:asciiTheme="minorHAnsi" w:hAnsiTheme="minorHAnsi" w:cs="Verdana"/>
          <w:sz w:val="22"/>
          <w:szCs w:val="22"/>
          <w:lang w:eastAsia="en-AU"/>
        </w:rPr>
        <w:t>The federal courts have existing general statutory and other powers to deal with vexatious litigants. Recent statutory amendments implement model statutory provisions which do not detract from the wide general powers of the courts to prevent the commencement of proceedings.  There is a new provision whereby a person may apply for a certificate advising whether or not an individual has been the subject of a vexatious proceedings order. It is envisaged that such certificates will be sought be persons who may wish to seek a vexatious proceedings order against that person in another court. The FCC rarely declares a litigant vexatious but does, not infrequently need to rely on general or injunctive powers in order to inhibit parties who have already sought relief from filing further applications. Similarly the Court has extensive summary dismissal powers and will exercise these in appropriate cases.</w:t>
      </w:r>
    </w:p>
    <w:p w:rsidR="003D7696" w:rsidRPr="00E32EAE" w:rsidRDefault="003D7696" w:rsidP="003D7696">
      <w:pPr>
        <w:keepNext/>
        <w:keepLines/>
        <w:autoSpaceDE w:val="0"/>
        <w:autoSpaceDN w:val="0"/>
        <w:adjustRightInd w:val="0"/>
        <w:jc w:val="both"/>
        <w:rPr>
          <w:rFonts w:asciiTheme="minorHAnsi" w:hAnsiTheme="minorHAnsi" w:cs="Verdana"/>
          <w:sz w:val="22"/>
          <w:szCs w:val="22"/>
          <w:lang w:eastAsia="en-AU"/>
        </w:rPr>
      </w:pPr>
    </w:p>
    <w:p w:rsidR="003D7696" w:rsidRPr="00E32EAE" w:rsidRDefault="003D7696" w:rsidP="003D7696">
      <w:pPr>
        <w:keepNext/>
        <w:keepLines/>
        <w:autoSpaceDE w:val="0"/>
        <w:autoSpaceDN w:val="0"/>
        <w:adjustRightInd w:val="0"/>
        <w:jc w:val="both"/>
        <w:rPr>
          <w:rFonts w:asciiTheme="minorHAnsi" w:hAnsiTheme="minorHAnsi" w:cs="Verdana"/>
          <w:sz w:val="22"/>
          <w:szCs w:val="22"/>
          <w:lang w:eastAsia="en-AU"/>
        </w:rPr>
      </w:pPr>
      <w:r w:rsidRPr="00E32EAE">
        <w:rPr>
          <w:rFonts w:asciiTheme="minorHAnsi" w:hAnsiTheme="minorHAnsi" w:cs="Verdana"/>
          <w:sz w:val="22"/>
          <w:szCs w:val="22"/>
          <w:lang w:eastAsia="en-AU"/>
        </w:rPr>
        <w:t xml:space="preserve">The FCC does not have a register of the names of people declared to be vexatious litigants. One difficulty with the recording of such orders in the context of the migration jurisdiction is that section 91X of the </w:t>
      </w:r>
      <w:r w:rsidRPr="00E32EAE">
        <w:rPr>
          <w:rFonts w:asciiTheme="minorHAnsi" w:hAnsiTheme="minorHAnsi" w:cs="Verdana"/>
          <w:i/>
          <w:iCs/>
          <w:sz w:val="22"/>
          <w:szCs w:val="22"/>
          <w:lang w:eastAsia="en-AU"/>
        </w:rPr>
        <w:t xml:space="preserve">Migration Act 1958 </w:t>
      </w:r>
      <w:r w:rsidRPr="00E32EAE">
        <w:rPr>
          <w:rFonts w:asciiTheme="minorHAnsi" w:hAnsiTheme="minorHAnsi" w:cs="Verdana"/>
          <w:sz w:val="22"/>
          <w:szCs w:val="22"/>
          <w:lang w:eastAsia="en-AU"/>
        </w:rPr>
        <w:t>prohibits the publication of the name of applicants seeking review of protection visa determinations. Such orders are difficulty to identify on the case management system as it also records not only vexatious litigants but also orders made restraining litigants from filing without leave or decisions made refusing to accept documents which appear on their face to be an abuse of process or frivolous, scandalous or vexatious. The Court has been consulted about the possibility of a national register and has identified these concerns. As noted, there is provision for a person to apply for a certificate advising whether or not an individual has been the subject of a vexatious proceedings order.</w:t>
      </w:r>
    </w:p>
    <w:p w:rsidR="003D7696" w:rsidRPr="00E32EAE" w:rsidRDefault="003D7696" w:rsidP="003D7696">
      <w:pPr>
        <w:keepNext/>
        <w:keepLines/>
        <w:autoSpaceDE w:val="0"/>
        <w:autoSpaceDN w:val="0"/>
        <w:adjustRightInd w:val="0"/>
        <w:jc w:val="both"/>
        <w:rPr>
          <w:rFonts w:asciiTheme="minorHAnsi" w:hAnsiTheme="minorHAnsi" w:cs="Verdana"/>
          <w:sz w:val="22"/>
          <w:szCs w:val="22"/>
          <w:lang w:eastAsia="en-AU"/>
        </w:rPr>
      </w:pPr>
    </w:p>
    <w:p w:rsidR="003D7696" w:rsidRPr="00E32EAE" w:rsidRDefault="003D7696" w:rsidP="003D7696">
      <w:pPr>
        <w:keepNext/>
        <w:keepLines/>
        <w:autoSpaceDE w:val="0"/>
        <w:autoSpaceDN w:val="0"/>
        <w:adjustRightInd w:val="0"/>
        <w:jc w:val="both"/>
        <w:rPr>
          <w:rFonts w:asciiTheme="minorHAnsi" w:hAnsiTheme="minorHAnsi" w:cs="Verdana"/>
          <w:b/>
          <w:bCs/>
          <w:sz w:val="28"/>
          <w:szCs w:val="28"/>
          <w:lang w:eastAsia="en-AU"/>
        </w:rPr>
      </w:pPr>
      <w:r w:rsidRPr="00E32EAE">
        <w:rPr>
          <w:rFonts w:asciiTheme="minorHAnsi" w:hAnsiTheme="minorHAnsi" w:cs="Verdana"/>
          <w:b/>
          <w:bCs/>
          <w:sz w:val="28"/>
          <w:szCs w:val="28"/>
          <w:lang w:eastAsia="en-AU"/>
        </w:rPr>
        <w:t>Chapter 13: Costs awards</w:t>
      </w:r>
    </w:p>
    <w:p w:rsidR="003D7696" w:rsidRPr="00E32EAE" w:rsidRDefault="003D7696" w:rsidP="003D7696">
      <w:pPr>
        <w:keepNext/>
        <w:keepLines/>
        <w:autoSpaceDE w:val="0"/>
        <w:autoSpaceDN w:val="0"/>
        <w:adjustRightInd w:val="0"/>
        <w:jc w:val="both"/>
        <w:rPr>
          <w:rFonts w:asciiTheme="minorHAnsi" w:hAnsiTheme="minorHAnsi" w:cs="Verdana"/>
          <w:b/>
          <w:bCs/>
          <w:sz w:val="28"/>
          <w:szCs w:val="28"/>
          <w:lang w:eastAsia="en-AU"/>
        </w:rPr>
      </w:pPr>
    </w:p>
    <w:p w:rsidR="003D7696" w:rsidRPr="00E32EAE" w:rsidRDefault="003D7696" w:rsidP="003D7696">
      <w:pPr>
        <w:keepNext/>
        <w:keepLines/>
        <w:autoSpaceDE w:val="0"/>
        <w:autoSpaceDN w:val="0"/>
        <w:adjustRightInd w:val="0"/>
        <w:jc w:val="both"/>
        <w:rPr>
          <w:rFonts w:asciiTheme="minorHAnsi" w:hAnsiTheme="minorHAnsi" w:cs="Verdana"/>
          <w:b/>
          <w:bCs/>
          <w:sz w:val="22"/>
          <w:szCs w:val="22"/>
          <w:lang w:eastAsia="en-AU"/>
        </w:rPr>
      </w:pPr>
      <w:r w:rsidRPr="00E32EAE">
        <w:rPr>
          <w:rFonts w:asciiTheme="minorHAnsi" w:hAnsiTheme="minorHAnsi" w:cs="Verdana"/>
          <w:b/>
          <w:bCs/>
          <w:sz w:val="22"/>
          <w:szCs w:val="22"/>
          <w:lang w:eastAsia="en-AU"/>
        </w:rPr>
        <w:t>Draft Recommendation 13.2</w:t>
      </w:r>
    </w:p>
    <w:p w:rsidR="003D7696" w:rsidRPr="00E32EAE" w:rsidRDefault="003D7696" w:rsidP="003D7696">
      <w:pPr>
        <w:keepNext/>
        <w:keepLines/>
        <w:autoSpaceDE w:val="0"/>
        <w:autoSpaceDN w:val="0"/>
        <w:adjustRightInd w:val="0"/>
        <w:jc w:val="both"/>
        <w:rPr>
          <w:rFonts w:asciiTheme="minorHAnsi" w:hAnsiTheme="minorHAnsi" w:cs="Verdana"/>
          <w:i/>
          <w:iCs/>
          <w:sz w:val="22"/>
          <w:szCs w:val="22"/>
          <w:lang w:eastAsia="en-AU"/>
        </w:rPr>
      </w:pPr>
      <w:r w:rsidRPr="00E32EAE">
        <w:rPr>
          <w:rFonts w:asciiTheme="minorHAnsi" w:hAnsiTheme="minorHAnsi" w:cs="Verdana"/>
          <w:i/>
          <w:iCs/>
          <w:sz w:val="22"/>
          <w:szCs w:val="22"/>
          <w:lang w:eastAsia="en-AU"/>
        </w:rPr>
        <w:t>In the Federal Circuit, Magistrates, District and County courts, costs awarded between parties on a standard basis should be set according to fixed amounts contained within court scales. Scale amounts should vary according to:</w:t>
      </w:r>
    </w:p>
    <w:p w:rsidR="003D7696" w:rsidRPr="00E32EAE" w:rsidRDefault="003D7696" w:rsidP="003D7696">
      <w:pPr>
        <w:keepNext/>
        <w:keepLines/>
        <w:numPr>
          <w:ilvl w:val="0"/>
          <w:numId w:val="1"/>
        </w:numPr>
        <w:autoSpaceDE w:val="0"/>
        <w:autoSpaceDN w:val="0"/>
        <w:adjustRightInd w:val="0"/>
        <w:ind w:left="360" w:hanging="360"/>
        <w:rPr>
          <w:rFonts w:asciiTheme="minorHAnsi" w:hAnsiTheme="minorHAnsi" w:cs="Verdana"/>
          <w:i/>
          <w:iCs/>
          <w:sz w:val="22"/>
          <w:szCs w:val="22"/>
          <w:lang w:eastAsia="en-AU"/>
        </w:rPr>
      </w:pPr>
      <w:r w:rsidRPr="00E32EAE">
        <w:rPr>
          <w:rFonts w:asciiTheme="minorHAnsi" w:hAnsiTheme="minorHAnsi" w:cs="Verdana"/>
          <w:i/>
          <w:iCs/>
          <w:sz w:val="22"/>
          <w:szCs w:val="22"/>
          <w:lang w:eastAsia="en-AU"/>
        </w:rPr>
        <w:t>the stage reached in the trial process</w:t>
      </w:r>
    </w:p>
    <w:p w:rsidR="003D7696" w:rsidRPr="00E32EAE" w:rsidRDefault="003D7696" w:rsidP="003D7696">
      <w:pPr>
        <w:keepNext/>
        <w:keepLines/>
        <w:numPr>
          <w:ilvl w:val="0"/>
          <w:numId w:val="1"/>
        </w:numPr>
        <w:autoSpaceDE w:val="0"/>
        <w:autoSpaceDN w:val="0"/>
        <w:adjustRightInd w:val="0"/>
        <w:ind w:left="360" w:hanging="360"/>
        <w:rPr>
          <w:rFonts w:asciiTheme="minorHAnsi" w:hAnsiTheme="minorHAnsi" w:cs="Verdana"/>
          <w:i/>
          <w:iCs/>
          <w:sz w:val="22"/>
          <w:szCs w:val="22"/>
          <w:lang w:eastAsia="en-AU"/>
        </w:rPr>
      </w:pPr>
      <w:r w:rsidRPr="00E32EAE">
        <w:rPr>
          <w:rFonts w:asciiTheme="minorHAnsi" w:hAnsiTheme="minorHAnsi" w:cs="Verdana"/>
          <w:i/>
          <w:iCs/>
          <w:sz w:val="22"/>
          <w:szCs w:val="22"/>
          <w:lang w:eastAsia="en-AU"/>
        </w:rPr>
        <w:t>the amount that is in dispute</w:t>
      </w:r>
    </w:p>
    <w:p w:rsidR="003D7696" w:rsidRPr="00E32EAE" w:rsidRDefault="003D7696" w:rsidP="003D7696">
      <w:pPr>
        <w:keepNext/>
        <w:keepLines/>
        <w:autoSpaceDE w:val="0"/>
        <w:autoSpaceDN w:val="0"/>
        <w:adjustRightInd w:val="0"/>
        <w:rPr>
          <w:rFonts w:asciiTheme="minorHAnsi" w:hAnsiTheme="minorHAnsi" w:cs="Verdana"/>
          <w:i/>
          <w:iCs/>
          <w:sz w:val="22"/>
          <w:szCs w:val="22"/>
          <w:lang w:eastAsia="en-AU"/>
        </w:rPr>
      </w:pPr>
      <w:r w:rsidRPr="00E32EAE">
        <w:rPr>
          <w:rFonts w:asciiTheme="minorHAnsi" w:hAnsiTheme="minorHAnsi" w:cs="Verdana"/>
          <w:i/>
          <w:iCs/>
          <w:sz w:val="22"/>
          <w:szCs w:val="22"/>
          <w:lang w:eastAsia="en-AU"/>
        </w:rPr>
        <w:t>…</w:t>
      </w:r>
    </w:p>
    <w:p w:rsidR="003D7696" w:rsidRPr="00E32EAE" w:rsidRDefault="003D7696" w:rsidP="003D7696">
      <w:pPr>
        <w:keepNext/>
        <w:keepLines/>
        <w:autoSpaceDE w:val="0"/>
        <w:autoSpaceDN w:val="0"/>
        <w:adjustRightInd w:val="0"/>
        <w:jc w:val="both"/>
        <w:rPr>
          <w:rFonts w:asciiTheme="minorHAnsi" w:hAnsiTheme="minorHAnsi" w:cs="Verdana"/>
          <w:i/>
          <w:iCs/>
          <w:sz w:val="22"/>
          <w:szCs w:val="22"/>
          <w:lang w:eastAsia="en-AU"/>
        </w:rPr>
      </w:pPr>
      <w:r w:rsidRPr="00E32EAE">
        <w:rPr>
          <w:rFonts w:asciiTheme="minorHAnsi" w:hAnsiTheme="minorHAnsi" w:cs="Verdana"/>
          <w:i/>
          <w:iCs/>
          <w:sz w:val="22"/>
          <w:szCs w:val="22"/>
          <w:lang w:eastAsia="en-AU"/>
        </w:rPr>
        <w:t>Fixed scales of costs should reflect the typical market costs of resolving a dispute of a given value and length. Data collection and analysis should be undertaken to periodically update these amounts and categories</w:t>
      </w:r>
    </w:p>
    <w:p w:rsidR="003D7696" w:rsidRPr="00E32EAE" w:rsidRDefault="003D7696" w:rsidP="003D7696">
      <w:pPr>
        <w:keepNext/>
        <w:keepLines/>
        <w:autoSpaceDE w:val="0"/>
        <w:autoSpaceDN w:val="0"/>
        <w:adjustRightInd w:val="0"/>
        <w:spacing w:after="240"/>
        <w:jc w:val="both"/>
        <w:rPr>
          <w:rFonts w:asciiTheme="minorHAnsi" w:hAnsiTheme="minorHAnsi" w:cs="Verdana"/>
          <w:i/>
          <w:iCs/>
          <w:sz w:val="22"/>
          <w:szCs w:val="22"/>
          <w:lang w:eastAsia="en-AU"/>
        </w:rPr>
      </w:pPr>
    </w:p>
    <w:p w:rsidR="003D7696" w:rsidRPr="00E32EAE" w:rsidRDefault="003D7696" w:rsidP="003D7696">
      <w:pPr>
        <w:keepNext/>
        <w:keepLines/>
        <w:autoSpaceDE w:val="0"/>
        <w:autoSpaceDN w:val="0"/>
        <w:adjustRightInd w:val="0"/>
        <w:spacing w:after="240"/>
        <w:jc w:val="both"/>
        <w:rPr>
          <w:rFonts w:asciiTheme="minorHAnsi" w:hAnsiTheme="minorHAnsi" w:cs="Helv"/>
          <w:b/>
          <w:bCs/>
          <w:sz w:val="22"/>
          <w:szCs w:val="22"/>
          <w:lang w:eastAsia="en-AU"/>
        </w:rPr>
      </w:pPr>
      <w:r w:rsidRPr="00E32EAE">
        <w:rPr>
          <w:rFonts w:asciiTheme="minorHAnsi" w:hAnsiTheme="minorHAnsi" w:cs="Helv"/>
          <w:b/>
          <w:bCs/>
          <w:sz w:val="22"/>
          <w:szCs w:val="22"/>
          <w:lang w:eastAsia="en-AU"/>
        </w:rPr>
        <w:t>Response</w:t>
      </w:r>
    </w:p>
    <w:p w:rsidR="003D7696" w:rsidRPr="00E32EAE" w:rsidRDefault="003D7696" w:rsidP="003D7696">
      <w:pPr>
        <w:keepNext/>
        <w:keepLines/>
        <w:autoSpaceDE w:val="0"/>
        <w:autoSpaceDN w:val="0"/>
        <w:adjustRightInd w:val="0"/>
        <w:spacing w:after="240"/>
        <w:jc w:val="both"/>
        <w:rPr>
          <w:rFonts w:asciiTheme="minorHAnsi" w:hAnsiTheme="minorHAnsi" w:cs="Helv"/>
          <w:sz w:val="22"/>
          <w:szCs w:val="22"/>
          <w:lang w:eastAsia="en-AU"/>
        </w:rPr>
      </w:pPr>
      <w:r w:rsidRPr="00E32EAE">
        <w:rPr>
          <w:rFonts w:asciiTheme="minorHAnsi" w:hAnsiTheme="minorHAnsi" w:cs="Helv"/>
          <w:sz w:val="22"/>
          <w:szCs w:val="22"/>
          <w:lang w:eastAsia="en-AU"/>
        </w:rPr>
        <w:t>This recommendation is one that the Federal Circuit Court (FCC) has already adopted</w:t>
      </w:r>
    </w:p>
    <w:p w:rsidR="003D7696" w:rsidRPr="00E32EAE" w:rsidRDefault="003D7696">
      <w:pPr>
        <w:keepNext/>
        <w:keepLines/>
        <w:autoSpaceDE w:val="0"/>
        <w:autoSpaceDN w:val="0"/>
        <w:adjustRightInd w:val="0"/>
        <w:jc w:val="both"/>
        <w:rPr>
          <w:rFonts w:asciiTheme="minorHAnsi" w:hAnsiTheme="minorHAnsi" w:cs="Calibri"/>
          <w:sz w:val="22"/>
          <w:szCs w:val="22"/>
          <w:lang w:eastAsia="en-AU"/>
        </w:rPr>
      </w:pPr>
      <w:r w:rsidRPr="00E32EAE">
        <w:rPr>
          <w:rFonts w:asciiTheme="minorHAnsi" w:hAnsiTheme="minorHAnsi" w:cs="Calibri"/>
          <w:sz w:val="22"/>
          <w:szCs w:val="22"/>
          <w:lang w:eastAsia="en-AU"/>
        </w:rPr>
        <w:lastRenderedPageBreak/>
        <w:t>The following are features of the FCC cost regime:</w:t>
      </w:r>
    </w:p>
    <w:p w:rsidR="003D7696" w:rsidRPr="00E32EAE" w:rsidRDefault="003D7696">
      <w:pPr>
        <w:keepNext/>
        <w:keepLines/>
        <w:autoSpaceDE w:val="0"/>
        <w:autoSpaceDN w:val="0"/>
        <w:adjustRightInd w:val="0"/>
        <w:jc w:val="both"/>
        <w:rPr>
          <w:rFonts w:asciiTheme="minorHAnsi" w:hAnsiTheme="minorHAnsi" w:cs="Calibri"/>
          <w:sz w:val="22"/>
          <w:szCs w:val="22"/>
          <w:lang w:eastAsia="en-AU"/>
        </w:rPr>
      </w:pPr>
    </w:p>
    <w:p w:rsidR="003D7696" w:rsidRPr="00E32EAE" w:rsidRDefault="003D7696" w:rsidP="0073117E">
      <w:pPr>
        <w:pStyle w:val="ListParagraph"/>
        <w:keepNext/>
        <w:keepLines/>
        <w:numPr>
          <w:ilvl w:val="0"/>
          <w:numId w:val="3"/>
        </w:numPr>
        <w:autoSpaceDE w:val="0"/>
        <w:autoSpaceDN w:val="0"/>
        <w:adjustRightInd w:val="0"/>
        <w:rPr>
          <w:rFonts w:asciiTheme="minorHAnsi" w:hAnsiTheme="minorHAnsi" w:cs="Calibri"/>
          <w:sz w:val="22"/>
          <w:szCs w:val="22"/>
          <w:lang w:eastAsia="en-AU"/>
        </w:rPr>
      </w:pPr>
      <w:r w:rsidRPr="00E32EAE">
        <w:rPr>
          <w:rFonts w:asciiTheme="minorHAnsi" w:hAnsiTheme="minorHAnsi" w:cs="Calibri"/>
          <w:sz w:val="22"/>
          <w:szCs w:val="22"/>
          <w:lang w:eastAsia="en-AU"/>
        </w:rPr>
        <w:t>Unless the court otherwise orders, the appropriate scale for a party-party costs order (other than bankruptcy proceedings) is the event based model as set out in Schedule 1 (see Rule 21.10);</w:t>
      </w:r>
      <w:r w:rsidRPr="00E32EAE">
        <w:rPr>
          <w:rFonts w:asciiTheme="minorHAnsi" w:hAnsiTheme="minorHAnsi" w:cs="Calibri"/>
          <w:sz w:val="22"/>
          <w:szCs w:val="22"/>
          <w:lang w:eastAsia="en-AU"/>
        </w:rPr>
        <w:br/>
        <w:t>However, the court has a general discretion in relation to costs and can depart from the event-based scale. It can award costs according to the scale set by the Family Court (family law) or the Federal Court (general federal law) or otherwise set an amount it considers appropriate in the circumstances;</w:t>
      </w:r>
    </w:p>
    <w:p w:rsidR="003D7696" w:rsidRPr="00E32EAE" w:rsidRDefault="003D7696" w:rsidP="0073117E">
      <w:pPr>
        <w:pStyle w:val="ListParagraph"/>
        <w:keepNext/>
        <w:keepLines/>
        <w:numPr>
          <w:ilvl w:val="0"/>
          <w:numId w:val="3"/>
        </w:numPr>
        <w:autoSpaceDE w:val="0"/>
        <w:autoSpaceDN w:val="0"/>
        <w:adjustRightInd w:val="0"/>
        <w:rPr>
          <w:rFonts w:asciiTheme="minorHAnsi" w:hAnsiTheme="minorHAnsi" w:cs="Calibri"/>
          <w:sz w:val="22"/>
          <w:szCs w:val="22"/>
          <w:lang w:eastAsia="en-AU"/>
        </w:rPr>
      </w:pPr>
      <w:r w:rsidRPr="00E32EAE">
        <w:rPr>
          <w:rFonts w:asciiTheme="minorHAnsi" w:hAnsiTheme="minorHAnsi" w:cs="Calibri"/>
          <w:sz w:val="22"/>
          <w:szCs w:val="22"/>
          <w:lang w:eastAsia="en-AU"/>
        </w:rPr>
        <w:t>There is no provision for taxation of costs if an order is made in accordance with Schedule 1. Taxation of costs is only possible when costs are fixed in accordance with the Family Court or Federal Court scales;</w:t>
      </w:r>
    </w:p>
    <w:p w:rsidR="003D7696" w:rsidRPr="00E32EAE" w:rsidRDefault="003D7696" w:rsidP="0073117E">
      <w:pPr>
        <w:pStyle w:val="ListParagraph"/>
        <w:keepNext/>
        <w:keepLines/>
        <w:numPr>
          <w:ilvl w:val="0"/>
          <w:numId w:val="3"/>
        </w:numPr>
        <w:autoSpaceDE w:val="0"/>
        <w:autoSpaceDN w:val="0"/>
        <w:adjustRightInd w:val="0"/>
        <w:rPr>
          <w:rFonts w:asciiTheme="minorHAnsi" w:hAnsiTheme="minorHAnsi" w:cs="Calibri"/>
          <w:sz w:val="22"/>
          <w:szCs w:val="22"/>
          <w:lang w:eastAsia="en-AU"/>
        </w:rPr>
      </w:pPr>
      <w:r w:rsidRPr="00E32EAE">
        <w:rPr>
          <w:rFonts w:asciiTheme="minorHAnsi" w:hAnsiTheme="minorHAnsi" w:cs="Calibri"/>
          <w:sz w:val="22"/>
          <w:szCs w:val="22"/>
          <w:lang w:eastAsia="en-AU"/>
        </w:rPr>
        <w:t>There are no rules regulating the fees to be charged between lawyers and clients;</w:t>
      </w:r>
      <w:r w:rsidRPr="00E32EAE">
        <w:rPr>
          <w:rFonts w:asciiTheme="minorHAnsi" w:hAnsiTheme="minorHAnsi" w:cs="Calibri"/>
          <w:sz w:val="22"/>
          <w:szCs w:val="22"/>
          <w:lang w:eastAsia="en-AU"/>
        </w:rPr>
        <w:br/>
        <w:t>Note there is provision for an advocacy loading if the employment of an advocate is certified as reasonable (Rule 21.16).</w:t>
      </w:r>
    </w:p>
    <w:p w:rsidR="003D7696" w:rsidRPr="00E32EAE" w:rsidRDefault="003D7696">
      <w:pPr>
        <w:keepNext/>
        <w:keepLines/>
        <w:autoSpaceDE w:val="0"/>
        <w:autoSpaceDN w:val="0"/>
        <w:adjustRightInd w:val="0"/>
        <w:jc w:val="both"/>
        <w:rPr>
          <w:rFonts w:asciiTheme="minorHAnsi" w:hAnsiTheme="minorHAnsi" w:cs="Calibri"/>
          <w:sz w:val="22"/>
          <w:szCs w:val="22"/>
          <w:lang w:eastAsia="en-AU"/>
        </w:rPr>
      </w:pPr>
    </w:p>
    <w:p w:rsidR="003D7696" w:rsidRPr="00E32EAE" w:rsidRDefault="003D7696">
      <w:pPr>
        <w:keepNext/>
        <w:keepLines/>
        <w:autoSpaceDE w:val="0"/>
        <w:autoSpaceDN w:val="0"/>
        <w:adjustRightInd w:val="0"/>
        <w:jc w:val="both"/>
        <w:rPr>
          <w:rFonts w:asciiTheme="minorHAnsi" w:hAnsiTheme="minorHAnsi" w:cs="Calibri"/>
          <w:b/>
          <w:bCs/>
          <w:sz w:val="22"/>
          <w:szCs w:val="22"/>
          <w:lang w:eastAsia="en-AU"/>
        </w:rPr>
      </w:pPr>
      <w:r w:rsidRPr="00E32EAE">
        <w:rPr>
          <w:rFonts w:asciiTheme="minorHAnsi" w:hAnsiTheme="minorHAnsi" w:cs="Calibri"/>
          <w:b/>
          <w:bCs/>
          <w:sz w:val="22"/>
          <w:szCs w:val="22"/>
          <w:lang w:eastAsia="en-AU"/>
        </w:rPr>
        <w:t>Information for litigants is available on the Court's website as follows:</w:t>
      </w:r>
    </w:p>
    <w:p w:rsidR="003D7696" w:rsidRPr="00E32EAE" w:rsidRDefault="003D7696">
      <w:pPr>
        <w:keepNext/>
        <w:keepLines/>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Theme="minorHAnsi" w:hAnsiTheme="minorHAnsi" w:cs="Calibri"/>
          <w:sz w:val="22"/>
          <w:szCs w:val="22"/>
          <w:u w:val="single"/>
          <w:lang w:eastAsia="en-AU"/>
        </w:rPr>
      </w:pPr>
      <w:r w:rsidRPr="00E32EAE">
        <w:rPr>
          <w:rFonts w:asciiTheme="minorHAnsi" w:hAnsiTheme="minorHAnsi" w:cs="Calibri"/>
          <w:sz w:val="22"/>
          <w:szCs w:val="22"/>
          <w:u w:val="single"/>
          <w:lang w:eastAsia="en-AU"/>
        </w:rPr>
        <w:t>http://www.federalcircuitcourt.gov.au/pubs/html/costs_fl.html</w:t>
      </w:r>
    </w:p>
    <w:p w:rsidR="003D7696" w:rsidRPr="00E32EAE" w:rsidRDefault="003D7696">
      <w:pPr>
        <w:keepNext/>
        <w:keepLines/>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Theme="minorHAnsi" w:hAnsiTheme="minorHAnsi" w:cs="Calibri"/>
          <w:sz w:val="22"/>
          <w:szCs w:val="22"/>
          <w:u w:val="single"/>
          <w:lang w:eastAsia="en-AU"/>
        </w:rPr>
      </w:pPr>
      <w:r w:rsidRPr="00E32EAE">
        <w:rPr>
          <w:rFonts w:asciiTheme="minorHAnsi" w:hAnsiTheme="minorHAnsi" w:cs="Calibri"/>
          <w:sz w:val="22"/>
          <w:szCs w:val="22"/>
          <w:u w:val="single"/>
          <w:lang w:eastAsia="en-AU"/>
        </w:rPr>
        <w:t>http://www.federalcircuitcourt.gov.au/pubs/html/costs_gfl.html</w:t>
      </w:r>
    </w:p>
    <w:p w:rsidR="003D7696" w:rsidRPr="00E32EAE" w:rsidRDefault="003D7696">
      <w:pPr>
        <w:keepNext/>
        <w:keepLines/>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Theme="minorHAnsi" w:hAnsiTheme="minorHAnsi" w:cs="Calibri"/>
          <w:sz w:val="22"/>
          <w:szCs w:val="22"/>
          <w:u w:val="single"/>
          <w:lang w:eastAsia="en-AU"/>
        </w:rPr>
      </w:pPr>
    </w:p>
    <w:p w:rsidR="003D7696" w:rsidRPr="00E32EAE" w:rsidRDefault="003D7696">
      <w:pPr>
        <w:keepNext/>
        <w:keepLines/>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Theme="minorHAnsi" w:hAnsiTheme="minorHAnsi" w:cs="Calibri"/>
          <w:b/>
          <w:bCs/>
          <w:i/>
          <w:iCs/>
          <w:sz w:val="22"/>
          <w:szCs w:val="22"/>
          <w:lang w:eastAsia="en-AU"/>
        </w:rPr>
      </w:pPr>
      <w:r w:rsidRPr="00E32EAE">
        <w:rPr>
          <w:rFonts w:asciiTheme="minorHAnsi" w:hAnsiTheme="minorHAnsi" w:cs="Calibri"/>
          <w:b/>
          <w:bCs/>
          <w:i/>
          <w:iCs/>
          <w:sz w:val="22"/>
          <w:szCs w:val="22"/>
          <w:lang w:eastAsia="en-AU"/>
        </w:rPr>
        <w:t xml:space="preserve">Some earlier cases on the operation of the cost regime </w:t>
      </w:r>
    </w:p>
    <w:p w:rsidR="003D7696" w:rsidRPr="00E32EAE" w:rsidRDefault="003D7696">
      <w:pPr>
        <w:keepNext/>
        <w:keepLines/>
        <w:tabs>
          <w:tab w:val="left" w:pos="4200"/>
        </w:tabs>
        <w:autoSpaceDE w:val="0"/>
        <w:autoSpaceDN w:val="0"/>
        <w:adjustRightInd w:val="0"/>
        <w:jc w:val="both"/>
        <w:rPr>
          <w:rFonts w:asciiTheme="minorHAnsi" w:hAnsiTheme="minorHAnsi" w:cs="Calibri"/>
          <w:b/>
          <w:bCs/>
          <w:sz w:val="22"/>
          <w:szCs w:val="22"/>
          <w:lang w:eastAsia="en-AU"/>
        </w:rPr>
      </w:pPr>
      <w:r w:rsidRPr="00E32EAE">
        <w:rPr>
          <w:rFonts w:asciiTheme="minorHAnsi" w:hAnsiTheme="minorHAnsi" w:cs="Calibri"/>
          <w:b/>
          <w:bCs/>
          <w:sz w:val="22"/>
          <w:szCs w:val="22"/>
          <w:lang w:eastAsia="en-AU"/>
        </w:rPr>
        <w:t xml:space="preserve">PRATT &amp; ORS v LATTA &amp; ANOR (No. 2) </w:t>
      </w:r>
      <w:hyperlink r:id="rId11" w:history="1">
        <w:r w:rsidRPr="00E32EAE">
          <w:rPr>
            <w:rFonts w:asciiTheme="minorHAnsi" w:hAnsiTheme="minorHAnsi" w:cs="Calibri"/>
            <w:b/>
            <w:bCs/>
            <w:sz w:val="22"/>
            <w:szCs w:val="22"/>
            <w:u w:val="single"/>
            <w:lang w:eastAsia="en-AU"/>
          </w:rPr>
          <w:t>[2002] FMCA 43</w:t>
        </w:r>
      </w:hyperlink>
      <w:r w:rsidRPr="00E32EAE">
        <w:rPr>
          <w:rFonts w:asciiTheme="minorHAnsi" w:hAnsiTheme="minorHAnsi" w:cs="Calibri"/>
          <w:b/>
          <w:bCs/>
          <w:sz w:val="22"/>
          <w:szCs w:val="22"/>
          <w:lang w:eastAsia="en-AU"/>
        </w:rPr>
        <w:t xml:space="preserve"> </w:t>
      </w:r>
    </w:p>
    <w:p w:rsidR="003D7696" w:rsidRPr="00E32EAE" w:rsidRDefault="003D7696">
      <w:pPr>
        <w:keepNext/>
        <w:keepLines/>
        <w:autoSpaceDE w:val="0"/>
        <w:autoSpaceDN w:val="0"/>
        <w:adjustRightInd w:val="0"/>
        <w:jc w:val="both"/>
        <w:rPr>
          <w:rFonts w:asciiTheme="minorHAnsi" w:hAnsiTheme="minorHAnsi" w:cs="Calibri"/>
          <w:sz w:val="22"/>
          <w:szCs w:val="22"/>
          <w:lang w:eastAsia="en-AU"/>
        </w:rPr>
      </w:pPr>
      <w:r w:rsidRPr="00E32EAE">
        <w:rPr>
          <w:rFonts w:asciiTheme="minorHAnsi" w:hAnsiTheme="minorHAnsi" w:cs="Calibri"/>
          <w:sz w:val="22"/>
          <w:szCs w:val="22"/>
          <w:lang w:eastAsia="en-AU"/>
        </w:rPr>
        <w:t>COSTS - consideration of the operation of the Federal Magistrates Court scale of costs –</w:t>
      </w:r>
    </w:p>
    <w:p w:rsidR="003D7696" w:rsidRPr="00E32EAE" w:rsidRDefault="003D7696">
      <w:pPr>
        <w:keepNext/>
        <w:keepLines/>
        <w:autoSpaceDE w:val="0"/>
        <w:autoSpaceDN w:val="0"/>
        <w:adjustRightInd w:val="0"/>
        <w:jc w:val="both"/>
        <w:rPr>
          <w:rFonts w:asciiTheme="minorHAnsi" w:hAnsiTheme="minorHAnsi" w:cs="Calibri"/>
          <w:sz w:val="22"/>
          <w:szCs w:val="22"/>
          <w:lang w:eastAsia="en-AU"/>
        </w:rPr>
      </w:pPr>
      <w:r w:rsidRPr="00E32EAE">
        <w:rPr>
          <w:rFonts w:asciiTheme="minorHAnsi" w:hAnsiTheme="minorHAnsi" w:cs="Calibri"/>
          <w:sz w:val="22"/>
          <w:szCs w:val="22"/>
          <w:lang w:eastAsia="en-AU"/>
        </w:rPr>
        <w:t xml:space="preserve"> enforcement and taxation of costs under the Federal Magistrates Court Rules considered. </w:t>
      </w:r>
    </w:p>
    <w:p w:rsidR="003D7696" w:rsidRPr="00E32EAE" w:rsidRDefault="003D7696">
      <w:pPr>
        <w:keepNext/>
        <w:keepLines/>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Theme="minorHAnsi" w:hAnsiTheme="minorHAnsi" w:cs="Calibri"/>
          <w:b/>
          <w:bCs/>
          <w:sz w:val="22"/>
          <w:szCs w:val="22"/>
          <w:lang w:eastAsia="en-AU"/>
        </w:rPr>
      </w:pPr>
      <w:r w:rsidRPr="00E32EAE">
        <w:rPr>
          <w:rFonts w:asciiTheme="minorHAnsi" w:hAnsiTheme="minorHAnsi" w:cs="Calibri"/>
          <w:b/>
          <w:bCs/>
          <w:sz w:val="22"/>
          <w:szCs w:val="22"/>
          <w:lang w:eastAsia="en-AU"/>
        </w:rPr>
        <w:t>http://www.austlii.edu.au/au/cases/cth/FMCA/2002/43.html</w:t>
      </w:r>
    </w:p>
    <w:p w:rsidR="003D7696" w:rsidRPr="00E32EAE" w:rsidRDefault="003D7696">
      <w:pPr>
        <w:keepNext/>
        <w:keepLines/>
        <w:autoSpaceDE w:val="0"/>
        <w:autoSpaceDN w:val="0"/>
        <w:adjustRightInd w:val="0"/>
        <w:jc w:val="both"/>
        <w:rPr>
          <w:rFonts w:asciiTheme="minorHAnsi" w:hAnsiTheme="minorHAnsi" w:cs="Calibri"/>
          <w:b/>
          <w:bCs/>
          <w:sz w:val="22"/>
          <w:szCs w:val="22"/>
          <w:lang w:eastAsia="en-AU"/>
        </w:rPr>
      </w:pPr>
    </w:p>
    <w:p w:rsidR="003D7696" w:rsidRPr="00E32EAE" w:rsidRDefault="003D7696">
      <w:pPr>
        <w:keepNext/>
        <w:keepLines/>
        <w:tabs>
          <w:tab w:val="left" w:pos="3630"/>
        </w:tabs>
        <w:autoSpaceDE w:val="0"/>
        <w:autoSpaceDN w:val="0"/>
        <w:adjustRightInd w:val="0"/>
        <w:jc w:val="both"/>
        <w:rPr>
          <w:rFonts w:asciiTheme="minorHAnsi" w:hAnsiTheme="minorHAnsi" w:cs="Calibri"/>
          <w:sz w:val="22"/>
          <w:szCs w:val="22"/>
          <w:lang w:eastAsia="en-AU"/>
        </w:rPr>
      </w:pPr>
      <w:r w:rsidRPr="00E32EAE">
        <w:rPr>
          <w:rFonts w:asciiTheme="minorHAnsi" w:hAnsiTheme="minorHAnsi" w:cs="Calibri"/>
          <w:b/>
          <w:bCs/>
          <w:sz w:val="22"/>
          <w:szCs w:val="22"/>
          <w:lang w:eastAsia="en-AU"/>
        </w:rPr>
        <w:t xml:space="preserve">COLAN v LUXON &amp; ANOR (NO 2) </w:t>
      </w:r>
      <w:hyperlink r:id="rId12" w:history="1">
        <w:r w:rsidRPr="00E32EAE">
          <w:rPr>
            <w:rFonts w:asciiTheme="minorHAnsi" w:hAnsiTheme="minorHAnsi" w:cs="Calibri"/>
            <w:b/>
            <w:bCs/>
            <w:sz w:val="22"/>
            <w:szCs w:val="22"/>
            <w:u w:val="single"/>
            <w:lang w:eastAsia="en-AU"/>
          </w:rPr>
          <w:t>[2002] FMCA 90</w:t>
        </w:r>
      </w:hyperlink>
      <w:r w:rsidRPr="00E32EAE">
        <w:rPr>
          <w:rFonts w:asciiTheme="minorHAnsi" w:hAnsiTheme="minorHAnsi" w:cs="Calibri"/>
          <w:sz w:val="22"/>
          <w:szCs w:val="22"/>
          <w:lang w:eastAsia="en-AU"/>
        </w:rPr>
        <w:t xml:space="preserve"> </w:t>
      </w:r>
    </w:p>
    <w:p w:rsidR="003D7696" w:rsidRPr="00E32EAE" w:rsidRDefault="003D7696">
      <w:pPr>
        <w:keepNext/>
        <w:keepLines/>
        <w:tabs>
          <w:tab w:val="left" w:pos="3630"/>
        </w:tabs>
        <w:autoSpaceDE w:val="0"/>
        <w:autoSpaceDN w:val="0"/>
        <w:adjustRightInd w:val="0"/>
        <w:jc w:val="both"/>
        <w:rPr>
          <w:rFonts w:asciiTheme="minorHAnsi" w:hAnsiTheme="minorHAnsi" w:cs="Calibri"/>
          <w:sz w:val="22"/>
          <w:szCs w:val="22"/>
          <w:lang w:eastAsia="en-AU"/>
        </w:rPr>
      </w:pPr>
      <w:r w:rsidRPr="00E32EAE">
        <w:rPr>
          <w:rFonts w:asciiTheme="minorHAnsi" w:hAnsiTheme="minorHAnsi" w:cs="Calibri"/>
          <w:sz w:val="22"/>
          <w:szCs w:val="22"/>
          <w:lang w:eastAsia="en-AU"/>
        </w:rPr>
        <w:t xml:space="preserve">COSTS - consideration of the operation of the Federal Magistrates Court scale of costs </w:t>
      </w:r>
    </w:p>
    <w:p w:rsidR="003D7696" w:rsidRPr="00E32EAE" w:rsidRDefault="003D7696">
      <w:pPr>
        <w:keepNext/>
        <w:keepLines/>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Theme="minorHAnsi" w:hAnsiTheme="minorHAnsi" w:cs="Calibri"/>
          <w:sz w:val="22"/>
          <w:szCs w:val="22"/>
          <w:lang w:eastAsia="en-AU"/>
        </w:rPr>
      </w:pPr>
      <w:r w:rsidRPr="00E32EAE">
        <w:rPr>
          <w:rFonts w:asciiTheme="minorHAnsi" w:hAnsiTheme="minorHAnsi" w:cs="Calibri"/>
          <w:sz w:val="22"/>
          <w:szCs w:val="22"/>
          <w:lang w:eastAsia="en-AU"/>
        </w:rPr>
        <w:t>http://www.austlii.edu.au/au/cases/cth/FMCA/2002/90.html</w:t>
      </w:r>
    </w:p>
    <w:p w:rsidR="003D7696" w:rsidRPr="00E32EAE" w:rsidRDefault="003D7696">
      <w:pPr>
        <w:keepNext/>
        <w:keepLines/>
        <w:autoSpaceDE w:val="0"/>
        <w:autoSpaceDN w:val="0"/>
        <w:adjustRightInd w:val="0"/>
        <w:jc w:val="both"/>
        <w:rPr>
          <w:rFonts w:asciiTheme="minorHAnsi" w:hAnsiTheme="minorHAnsi" w:cs="Calibri"/>
          <w:sz w:val="22"/>
          <w:szCs w:val="22"/>
          <w:lang w:eastAsia="en-AU"/>
        </w:rPr>
      </w:pPr>
    </w:p>
    <w:p w:rsidR="003D7696" w:rsidRPr="00E32EAE" w:rsidRDefault="003D7696">
      <w:pPr>
        <w:keepNext/>
        <w:keepLines/>
        <w:autoSpaceDE w:val="0"/>
        <w:autoSpaceDN w:val="0"/>
        <w:adjustRightInd w:val="0"/>
        <w:jc w:val="both"/>
        <w:rPr>
          <w:rFonts w:asciiTheme="minorHAnsi" w:hAnsiTheme="minorHAnsi" w:cs="Calibri"/>
          <w:b/>
          <w:bCs/>
          <w:sz w:val="22"/>
          <w:szCs w:val="22"/>
          <w:lang w:eastAsia="en-AU"/>
        </w:rPr>
      </w:pPr>
      <w:r w:rsidRPr="00E32EAE">
        <w:rPr>
          <w:rFonts w:asciiTheme="minorHAnsi" w:hAnsiTheme="minorHAnsi" w:cs="Calibri"/>
          <w:b/>
          <w:bCs/>
          <w:sz w:val="22"/>
          <w:szCs w:val="22"/>
          <w:lang w:eastAsia="en-AU"/>
        </w:rPr>
        <w:t>Overall conclusions</w:t>
      </w:r>
    </w:p>
    <w:p w:rsidR="003D7696" w:rsidRPr="00E32EAE" w:rsidRDefault="003D7696">
      <w:pPr>
        <w:keepNext/>
        <w:keepLines/>
        <w:autoSpaceDE w:val="0"/>
        <w:autoSpaceDN w:val="0"/>
        <w:adjustRightInd w:val="0"/>
        <w:jc w:val="both"/>
        <w:rPr>
          <w:rFonts w:asciiTheme="minorHAnsi" w:hAnsiTheme="minorHAnsi" w:cs="Calibri"/>
          <w:sz w:val="22"/>
          <w:szCs w:val="22"/>
          <w:lang w:eastAsia="en-AU"/>
        </w:rPr>
      </w:pPr>
      <w:r w:rsidRPr="00E32EAE">
        <w:rPr>
          <w:rFonts w:asciiTheme="minorHAnsi" w:hAnsiTheme="minorHAnsi" w:cs="Calibri"/>
          <w:sz w:val="22"/>
          <w:szCs w:val="22"/>
          <w:lang w:eastAsia="en-AU"/>
        </w:rPr>
        <w:t>Event based costs are a means by which lump sum fees are applied for stages of a matter. From the early 1990’s a number of reports, including the access to Justice Statement, Williams Report, and the Australian Law Reform Commission Report on Managing Justice all recommended the introduction to the event based scales.   Legal Aid already has event based scales.</w:t>
      </w:r>
    </w:p>
    <w:p w:rsidR="003D7696" w:rsidRPr="00E32EAE" w:rsidRDefault="003D7696">
      <w:pPr>
        <w:keepNext/>
        <w:keepLines/>
        <w:autoSpaceDE w:val="0"/>
        <w:autoSpaceDN w:val="0"/>
        <w:adjustRightInd w:val="0"/>
        <w:jc w:val="both"/>
        <w:rPr>
          <w:rFonts w:asciiTheme="minorHAnsi" w:hAnsiTheme="minorHAnsi" w:cs="Calibri"/>
          <w:sz w:val="22"/>
          <w:szCs w:val="22"/>
          <w:lang w:eastAsia="en-AU"/>
        </w:rPr>
      </w:pPr>
    </w:p>
    <w:p w:rsidR="003D7696" w:rsidRPr="00E32EAE" w:rsidRDefault="003D7696">
      <w:pPr>
        <w:keepNext/>
        <w:keepLines/>
        <w:autoSpaceDE w:val="0"/>
        <w:autoSpaceDN w:val="0"/>
        <w:adjustRightInd w:val="0"/>
        <w:jc w:val="both"/>
        <w:rPr>
          <w:rFonts w:asciiTheme="minorHAnsi" w:hAnsiTheme="minorHAnsi" w:cs="Calibri"/>
          <w:sz w:val="22"/>
          <w:szCs w:val="22"/>
          <w:lang w:eastAsia="en-AU"/>
        </w:rPr>
      </w:pPr>
      <w:r w:rsidRPr="00E32EAE">
        <w:rPr>
          <w:rFonts w:asciiTheme="minorHAnsi" w:hAnsiTheme="minorHAnsi" w:cs="Calibri"/>
          <w:sz w:val="22"/>
          <w:szCs w:val="22"/>
          <w:lang w:eastAsia="en-AU"/>
        </w:rPr>
        <w:t>It was anticipated that the event based cost regime adopted by the Federal Circuit Court (which was originally the Federal Magistrates Court) would attract some criticism. This was due to the fact that the regime introduces an event based scale for party -party costs (other than for bankruptcy and divorce). Being the first federal court to introduce such a regime there was an understandable degree of apprehension as to whether the level of fees set for each event (or stage) would be adequate and whether the regime would detract from applications being filed in the Court. Establishing a mechanism for setting the events and the appropriate amounts posed difficulties. This was particularly so in view of the shared jurisdiction of the Court (with both the Family Court and the Federal Court) and the desirability for some degree of parity with the scales set by those other courts.</w:t>
      </w:r>
    </w:p>
    <w:p w:rsidR="003D7696" w:rsidRPr="00E32EAE" w:rsidRDefault="003D7696">
      <w:pPr>
        <w:keepNext/>
        <w:keepLines/>
        <w:autoSpaceDE w:val="0"/>
        <w:autoSpaceDN w:val="0"/>
        <w:adjustRightInd w:val="0"/>
        <w:jc w:val="both"/>
        <w:rPr>
          <w:rFonts w:asciiTheme="minorHAnsi" w:hAnsiTheme="minorHAnsi" w:cs="Calibri"/>
          <w:sz w:val="22"/>
          <w:szCs w:val="22"/>
          <w:lang w:eastAsia="en-AU"/>
        </w:rPr>
      </w:pPr>
    </w:p>
    <w:p w:rsidR="003D7696" w:rsidRPr="00E32EAE" w:rsidRDefault="003D7696">
      <w:pPr>
        <w:keepNext/>
        <w:keepLines/>
        <w:autoSpaceDE w:val="0"/>
        <w:autoSpaceDN w:val="0"/>
        <w:adjustRightInd w:val="0"/>
        <w:jc w:val="both"/>
        <w:rPr>
          <w:rFonts w:asciiTheme="minorHAnsi" w:hAnsiTheme="minorHAnsi" w:cs="Calibri"/>
          <w:sz w:val="22"/>
          <w:szCs w:val="22"/>
          <w:lang w:eastAsia="en-AU"/>
        </w:rPr>
      </w:pPr>
      <w:r w:rsidRPr="00E32EAE">
        <w:rPr>
          <w:rFonts w:asciiTheme="minorHAnsi" w:hAnsiTheme="minorHAnsi" w:cs="Calibri"/>
          <w:sz w:val="22"/>
          <w:szCs w:val="22"/>
          <w:lang w:eastAsia="en-AU"/>
        </w:rPr>
        <w:lastRenderedPageBreak/>
        <w:t xml:space="preserve">While acknowledging the desirability for some degree of consistency with the other courts, it was nevertheless decided that an event based scale was more appropriate for a court such as the FCC and was seen to provide a greater degree of transparency for litigants. </w:t>
      </w:r>
    </w:p>
    <w:p w:rsidR="003D7696" w:rsidRPr="00E32EAE" w:rsidRDefault="003D7696">
      <w:pPr>
        <w:keepNext/>
        <w:keepLines/>
        <w:autoSpaceDE w:val="0"/>
        <w:autoSpaceDN w:val="0"/>
        <w:adjustRightInd w:val="0"/>
        <w:jc w:val="both"/>
        <w:rPr>
          <w:rFonts w:asciiTheme="minorHAnsi" w:hAnsiTheme="minorHAnsi" w:cs="Calibri"/>
          <w:sz w:val="22"/>
          <w:szCs w:val="22"/>
          <w:lang w:eastAsia="en-AU"/>
        </w:rPr>
      </w:pPr>
    </w:p>
    <w:p w:rsidR="003D7696" w:rsidRPr="00E32EAE" w:rsidRDefault="003D7696">
      <w:pPr>
        <w:keepNext/>
        <w:keepLines/>
        <w:autoSpaceDE w:val="0"/>
        <w:autoSpaceDN w:val="0"/>
        <w:adjustRightInd w:val="0"/>
        <w:jc w:val="both"/>
        <w:rPr>
          <w:rFonts w:asciiTheme="minorHAnsi" w:hAnsiTheme="minorHAnsi" w:cs="Calibri"/>
          <w:sz w:val="22"/>
          <w:szCs w:val="22"/>
          <w:lang w:eastAsia="en-AU"/>
        </w:rPr>
      </w:pPr>
      <w:r w:rsidRPr="00E32EAE">
        <w:rPr>
          <w:rFonts w:asciiTheme="minorHAnsi" w:hAnsiTheme="minorHAnsi" w:cs="Calibri"/>
          <w:sz w:val="22"/>
          <w:szCs w:val="22"/>
          <w:lang w:eastAsia="en-AU"/>
        </w:rPr>
        <w:t xml:space="preserve">In reality there have been few criticisms of the event based scale. Early in 2001, the Attorney-General's Department established a Working Group to examine the feasibility of event based scales more generally The profession have, in the past, raised concerns about the introduction of an event based model and the fear that it may operate as a default solicitor/client cost scale if there is no costs agreement or evidence of what a reasonable charge should be. The profession generally considers such regimes too arbitrary, and not being able to keep pace with market charges, and are not reflective of the costs actually incurred. </w:t>
      </w:r>
    </w:p>
    <w:p w:rsidR="003D7696" w:rsidRPr="00E32EAE" w:rsidRDefault="003D7696">
      <w:pPr>
        <w:keepNext/>
        <w:keepLines/>
        <w:autoSpaceDE w:val="0"/>
        <w:autoSpaceDN w:val="0"/>
        <w:adjustRightInd w:val="0"/>
        <w:jc w:val="both"/>
        <w:rPr>
          <w:rFonts w:asciiTheme="minorHAnsi" w:hAnsiTheme="minorHAnsi" w:cs="Calibri"/>
          <w:sz w:val="22"/>
          <w:szCs w:val="22"/>
          <w:lang w:eastAsia="en-AU"/>
        </w:rPr>
      </w:pPr>
    </w:p>
    <w:p w:rsidR="003D7696" w:rsidRPr="00E32EAE" w:rsidRDefault="003D7696">
      <w:pPr>
        <w:keepNext/>
        <w:keepLines/>
        <w:autoSpaceDE w:val="0"/>
        <w:autoSpaceDN w:val="0"/>
        <w:adjustRightInd w:val="0"/>
        <w:jc w:val="both"/>
        <w:rPr>
          <w:rFonts w:asciiTheme="minorHAnsi" w:hAnsiTheme="minorHAnsi" w:cs="Calibri"/>
          <w:sz w:val="22"/>
          <w:szCs w:val="22"/>
          <w:lang w:eastAsia="en-AU"/>
        </w:rPr>
      </w:pPr>
      <w:r w:rsidRPr="00E32EAE">
        <w:rPr>
          <w:rFonts w:asciiTheme="minorHAnsi" w:hAnsiTheme="minorHAnsi" w:cs="Calibri"/>
          <w:sz w:val="22"/>
          <w:szCs w:val="22"/>
          <w:lang w:eastAsia="en-AU"/>
        </w:rPr>
        <w:t>The FCC cost rules do not seek to regulate solicitor and client costs. Judges take the view that solicitor client costs are commercial transactions and should not be subject to regulation by the Court. They are more appropriately the subject of the legal professional conduct rules and/or legislation that applies in the state or territory where the lawyer practices. Note however that the FCC Rules do make provision for costs orders to be made against a lawyer for ‘undue delay, negligence, improper conduct or other misconduct or default'.</w:t>
      </w:r>
    </w:p>
    <w:p w:rsidR="003D7696" w:rsidRPr="00E32EAE" w:rsidRDefault="003D7696">
      <w:pPr>
        <w:keepNext/>
        <w:keepLines/>
        <w:autoSpaceDE w:val="0"/>
        <w:autoSpaceDN w:val="0"/>
        <w:adjustRightInd w:val="0"/>
        <w:jc w:val="both"/>
        <w:rPr>
          <w:rFonts w:asciiTheme="minorHAnsi" w:hAnsiTheme="minorHAnsi" w:cs="Calibri"/>
          <w:sz w:val="22"/>
          <w:szCs w:val="22"/>
          <w:lang w:eastAsia="en-AU"/>
        </w:rPr>
      </w:pPr>
    </w:p>
    <w:p w:rsidR="003D7696" w:rsidRPr="00E32EAE" w:rsidRDefault="003D7696">
      <w:pPr>
        <w:keepNext/>
        <w:keepLines/>
        <w:autoSpaceDE w:val="0"/>
        <w:autoSpaceDN w:val="0"/>
        <w:adjustRightInd w:val="0"/>
        <w:jc w:val="both"/>
        <w:rPr>
          <w:rFonts w:asciiTheme="minorHAnsi" w:hAnsiTheme="minorHAnsi" w:cs="Calibri"/>
          <w:sz w:val="22"/>
          <w:szCs w:val="22"/>
          <w:lang w:eastAsia="en-AU"/>
        </w:rPr>
      </w:pPr>
      <w:r w:rsidRPr="00E32EAE">
        <w:rPr>
          <w:rFonts w:asciiTheme="minorHAnsi" w:hAnsiTheme="minorHAnsi" w:cs="Calibri"/>
          <w:sz w:val="22"/>
          <w:szCs w:val="22"/>
          <w:lang w:eastAsia="en-AU"/>
        </w:rPr>
        <w:t>It can be difficult to set an appropriate level of cost for each stage and the amount to be included in the scale for each event. Accordingly the FCC cost rules include a general discretion to depart from the event based scale in any individual case. If a higher scale is considered appropriate in the particular matter the Court can apply the scale set down by the Family Court (family law matter) or the Federal Court (general federal law matter), or otherwise fix an amount it considers appropriate in the circumstances. In relation to bankruptcy matters, the Federal Court scale applies as a matter of consistency.</w:t>
      </w:r>
    </w:p>
    <w:p w:rsidR="003D7696" w:rsidRPr="00E32EAE" w:rsidRDefault="003D7696">
      <w:pPr>
        <w:keepNext/>
        <w:keepLines/>
        <w:autoSpaceDE w:val="0"/>
        <w:autoSpaceDN w:val="0"/>
        <w:adjustRightInd w:val="0"/>
        <w:jc w:val="both"/>
        <w:rPr>
          <w:rFonts w:asciiTheme="minorHAnsi" w:hAnsiTheme="minorHAnsi" w:cs="Calibri"/>
          <w:sz w:val="22"/>
          <w:szCs w:val="22"/>
          <w:lang w:eastAsia="en-AU"/>
        </w:rPr>
      </w:pPr>
    </w:p>
    <w:p w:rsidR="003D7696" w:rsidRPr="00E32EAE" w:rsidRDefault="003D7696">
      <w:pPr>
        <w:keepNext/>
        <w:keepLines/>
        <w:autoSpaceDE w:val="0"/>
        <w:autoSpaceDN w:val="0"/>
        <w:adjustRightInd w:val="0"/>
        <w:jc w:val="both"/>
        <w:rPr>
          <w:rFonts w:asciiTheme="minorHAnsi" w:hAnsiTheme="minorHAnsi" w:cs="Calibri"/>
          <w:sz w:val="22"/>
          <w:szCs w:val="22"/>
          <w:lang w:eastAsia="en-AU"/>
        </w:rPr>
      </w:pPr>
      <w:r w:rsidRPr="00E32EAE">
        <w:rPr>
          <w:rFonts w:asciiTheme="minorHAnsi" w:hAnsiTheme="minorHAnsi" w:cs="Calibri"/>
          <w:sz w:val="22"/>
          <w:szCs w:val="22"/>
          <w:lang w:eastAsia="en-AU"/>
        </w:rPr>
        <w:t>If costs are fixed in accordance with the event based scale there is no role for taxation or assessment. In the event of uncertainty or disagreement about the application of the Scheduled fee to a particular case, then the matter can be brought back before the Judge for clarification. Taxation is only appropriate when the event based model is not applied in a particular case but costs are fixed in accordance with the Family Court or Federal Court scales and no agreement can be reached. In those instances the matter can then be referred to a Registrar for taxation according to those rules (see Rule 21.11)</w:t>
      </w:r>
    </w:p>
    <w:p w:rsidR="003D7696" w:rsidRPr="00E32EAE" w:rsidRDefault="003D7696">
      <w:pPr>
        <w:keepNext/>
        <w:keepLines/>
        <w:autoSpaceDE w:val="0"/>
        <w:autoSpaceDN w:val="0"/>
        <w:adjustRightInd w:val="0"/>
        <w:jc w:val="both"/>
        <w:rPr>
          <w:rFonts w:asciiTheme="minorHAnsi" w:hAnsiTheme="minorHAnsi" w:cs="Calibri"/>
          <w:sz w:val="22"/>
          <w:szCs w:val="22"/>
          <w:lang w:eastAsia="en-AU"/>
        </w:rPr>
      </w:pPr>
    </w:p>
    <w:p w:rsidR="003D7696" w:rsidRPr="00E32EAE" w:rsidRDefault="003D7696">
      <w:pPr>
        <w:keepNext/>
        <w:keepLines/>
        <w:autoSpaceDE w:val="0"/>
        <w:autoSpaceDN w:val="0"/>
        <w:adjustRightInd w:val="0"/>
        <w:jc w:val="both"/>
        <w:rPr>
          <w:rFonts w:asciiTheme="minorHAnsi" w:hAnsiTheme="minorHAnsi" w:cs="Calibri"/>
          <w:sz w:val="22"/>
          <w:szCs w:val="22"/>
          <w:lang w:eastAsia="en-AU"/>
        </w:rPr>
      </w:pPr>
      <w:r w:rsidRPr="00E32EAE">
        <w:rPr>
          <w:rFonts w:asciiTheme="minorHAnsi" w:hAnsiTheme="minorHAnsi" w:cs="Calibri"/>
          <w:sz w:val="22"/>
          <w:szCs w:val="22"/>
          <w:lang w:eastAsia="en-AU"/>
        </w:rPr>
        <w:t>It is expected that the FCC may review both</w:t>
      </w:r>
    </w:p>
    <w:p w:rsidR="003D7696" w:rsidRPr="00E32EAE" w:rsidRDefault="003D7696" w:rsidP="0073117E">
      <w:pPr>
        <w:keepNext/>
        <w:keepLines/>
        <w:numPr>
          <w:ilvl w:val="0"/>
          <w:numId w:val="1"/>
        </w:numPr>
        <w:autoSpaceDE w:val="0"/>
        <w:autoSpaceDN w:val="0"/>
        <w:adjustRightInd w:val="0"/>
        <w:ind w:left="360" w:hanging="360"/>
        <w:jc w:val="both"/>
        <w:rPr>
          <w:rFonts w:asciiTheme="minorHAnsi" w:hAnsiTheme="minorHAnsi" w:cs="Calibri"/>
          <w:sz w:val="22"/>
          <w:szCs w:val="22"/>
          <w:lang w:eastAsia="en-AU"/>
        </w:rPr>
      </w:pPr>
      <w:r w:rsidRPr="00E32EAE">
        <w:rPr>
          <w:rFonts w:asciiTheme="minorHAnsi" w:hAnsiTheme="minorHAnsi" w:cs="Calibri"/>
          <w:sz w:val="22"/>
          <w:szCs w:val="22"/>
          <w:lang w:eastAsia="en-AU"/>
        </w:rPr>
        <w:t>the items or events specified in the schedule; and</w:t>
      </w:r>
    </w:p>
    <w:p w:rsidR="003D7696" w:rsidRPr="00E32EAE" w:rsidRDefault="003D7696" w:rsidP="0073117E">
      <w:pPr>
        <w:keepNext/>
        <w:keepLines/>
        <w:numPr>
          <w:ilvl w:val="0"/>
          <w:numId w:val="1"/>
        </w:numPr>
        <w:autoSpaceDE w:val="0"/>
        <w:autoSpaceDN w:val="0"/>
        <w:adjustRightInd w:val="0"/>
        <w:ind w:left="360" w:hanging="360"/>
        <w:jc w:val="both"/>
        <w:rPr>
          <w:rFonts w:asciiTheme="minorHAnsi" w:hAnsiTheme="minorHAnsi" w:cs="Calibri"/>
          <w:sz w:val="22"/>
          <w:szCs w:val="22"/>
          <w:lang w:eastAsia="en-AU"/>
        </w:rPr>
      </w:pPr>
      <w:r w:rsidRPr="00E32EAE">
        <w:rPr>
          <w:rFonts w:asciiTheme="minorHAnsi" w:hAnsiTheme="minorHAnsi" w:cs="Calibri"/>
          <w:sz w:val="22"/>
          <w:szCs w:val="22"/>
          <w:lang w:eastAsia="en-AU"/>
        </w:rPr>
        <w:t>the amounts prescribed for those items/ events</w:t>
      </w:r>
    </w:p>
    <w:p w:rsidR="003D7696" w:rsidRPr="00E32EAE" w:rsidRDefault="003D7696">
      <w:pPr>
        <w:keepNext/>
        <w:keepLines/>
        <w:autoSpaceDE w:val="0"/>
        <w:autoSpaceDN w:val="0"/>
        <w:adjustRightInd w:val="0"/>
        <w:spacing w:after="240"/>
        <w:rPr>
          <w:rFonts w:asciiTheme="minorHAnsi" w:hAnsiTheme="minorHAnsi" w:cs="Verdana"/>
          <w:sz w:val="22"/>
          <w:szCs w:val="22"/>
          <w:lang w:eastAsia="en-AU"/>
        </w:rPr>
      </w:pPr>
      <w:r w:rsidRPr="00E32EAE">
        <w:rPr>
          <w:rFonts w:asciiTheme="minorHAnsi" w:hAnsiTheme="minorHAnsi" w:cs="Verdana"/>
          <w:sz w:val="22"/>
          <w:szCs w:val="22"/>
          <w:lang w:eastAsia="en-AU"/>
        </w:rPr>
        <w:t>The issue of counsel's fees may need to be considered as in all other courts, counsel's fees are dealt with as disbursements.</w:t>
      </w:r>
    </w:p>
    <w:p w:rsidR="003D7696" w:rsidRPr="00E32EAE" w:rsidRDefault="003D7696">
      <w:pPr>
        <w:keepNext/>
        <w:keepLines/>
        <w:autoSpaceDE w:val="0"/>
        <w:autoSpaceDN w:val="0"/>
        <w:adjustRightInd w:val="0"/>
        <w:spacing w:after="240"/>
        <w:rPr>
          <w:rFonts w:asciiTheme="minorHAnsi" w:hAnsiTheme="minorHAnsi" w:cs="Verdana"/>
          <w:sz w:val="22"/>
          <w:szCs w:val="22"/>
          <w:lang w:eastAsia="en-AU"/>
        </w:rPr>
      </w:pPr>
      <w:r w:rsidRPr="00E32EAE">
        <w:rPr>
          <w:rFonts w:asciiTheme="minorHAnsi" w:hAnsiTheme="minorHAnsi" w:cs="Verdana"/>
          <w:sz w:val="22"/>
          <w:szCs w:val="22"/>
          <w:lang w:eastAsia="en-AU"/>
        </w:rPr>
        <w:t>However there is a general view that the cost regime adopted by the event based model is a useful one.</w:t>
      </w:r>
    </w:p>
    <w:p w:rsidR="003D7696" w:rsidRPr="00E32EAE" w:rsidRDefault="003D7696">
      <w:pPr>
        <w:keepNext/>
        <w:keepLines/>
        <w:autoSpaceDE w:val="0"/>
        <w:autoSpaceDN w:val="0"/>
        <w:adjustRightInd w:val="0"/>
        <w:rPr>
          <w:rFonts w:asciiTheme="minorHAnsi" w:hAnsiTheme="minorHAnsi" w:cs="Verdana"/>
          <w:sz w:val="22"/>
          <w:szCs w:val="22"/>
          <w:lang w:eastAsia="en-AU"/>
        </w:rPr>
      </w:pPr>
    </w:p>
    <w:p w:rsidR="003D7696" w:rsidRPr="00E32EAE" w:rsidRDefault="003D7696">
      <w:pPr>
        <w:keepNext/>
        <w:keepLines/>
        <w:autoSpaceDE w:val="0"/>
        <w:autoSpaceDN w:val="0"/>
        <w:adjustRightInd w:val="0"/>
        <w:rPr>
          <w:rFonts w:asciiTheme="minorHAnsi" w:hAnsiTheme="minorHAnsi" w:cs="Verdana"/>
          <w:sz w:val="22"/>
          <w:szCs w:val="22"/>
          <w:lang w:eastAsia="en-AU"/>
        </w:rPr>
      </w:pPr>
    </w:p>
    <w:sectPr w:rsidR="003D7696" w:rsidRPr="00E32EAE" w:rsidSect="000878F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33A" w:rsidRDefault="00A1633A" w:rsidP="003D7696">
      <w:r>
        <w:separator/>
      </w:r>
    </w:p>
  </w:endnote>
  <w:endnote w:type="continuationSeparator" w:id="0">
    <w:p w:rsidR="00A1633A" w:rsidRDefault="00A1633A" w:rsidP="003D7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Palatino-Roman">
    <w:panose1 w:val="00000000000000000000"/>
    <w:charset w:val="00"/>
    <w:family w:val="roman"/>
    <w:notTrueType/>
    <w:pitch w:val="default"/>
    <w:sig w:usb0="00000003" w:usb1="00000000" w:usb2="00000000" w:usb3="00000000" w:csb0="00000001"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696" w:rsidRDefault="003D76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860760"/>
      <w:docPartObj>
        <w:docPartGallery w:val="Page Numbers (Bottom of Page)"/>
        <w:docPartUnique/>
      </w:docPartObj>
    </w:sdtPr>
    <w:sdtEndPr>
      <w:rPr>
        <w:noProof/>
      </w:rPr>
    </w:sdtEndPr>
    <w:sdtContent>
      <w:p w:rsidR="00B57AF0" w:rsidRDefault="00B57AF0">
        <w:pPr>
          <w:pStyle w:val="Footer"/>
        </w:pPr>
        <w:r>
          <w:fldChar w:fldCharType="begin"/>
        </w:r>
        <w:r>
          <w:instrText xml:space="preserve"> PAGE   \* MERGEFORMAT </w:instrText>
        </w:r>
        <w:r>
          <w:fldChar w:fldCharType="separate"/>
        </w:r>
        <w:r w:rsidR="009F72D9">
          <w:rPr>
            <w:noProof/>
          </w:rPr>
          <w:t>1</w:t>
        </w:r>
        <w:r>
          <w:rPr>
            <w:noProof/>
          </w:rPr>
          <w:fldChar w:fldCharType="end"/>
        </w:r>
      </w:p>
    </w:sdtContent>
  </w:sdt>
  <w:p w:rsidR="003D7696" w:rsidRDefault="003D76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696" w:rsidRDefault="003D76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33A" w:rsidRDefault="00A1633A" w:rsidP="003D7696">
      <w:r>
        <w:separator/>
      </w:r>
    </w:p>
  </w:footnote>
  <w:footnote w:type="continuationSeparator" w:id="0">
    <w:p w:rsidR="00A1633A" w:rsidRDefault="00A1633A" w:rsidP="003D76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696" w:rsidRDefault="003D76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696" w:rsidRDefault="003D76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696" w:rsidRDefault="003D76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3B61474"/>
    <w:lvl w:ilvl="0">
      <w:numFmt w:val="bullet"/>
      <w:lvlText w:val="*"/>
      <w:lvlJc w:val="left"/>
    </w:lvl>
  </w:abstractNum>
  <w:abstractNum w:abstractNumId="1">
    <w:nsid w:val="17803CF8"/>
    <w:multiLevelType w:val="hybridMultilevel"/>
    <w:tmpl w:val="70841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FF95553"/>
    <w:multiLevelType w:val="hybridMultilevel"/>
    <w:tmpl w:val="361E693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nsid w:val="3C7D3CBD"/>
    <w:multiLevelType w:val="hybridMultilevel"/>
    <w:tmpl w:val="A9C22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6F218CC"/>
    <w:multiLevelType w:val="hybridMultilevel"/>
    <w:tmpl w:val="236E8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sz w:val="22"/>
        </w:rPr>
      </w:lvl>
    </w:lvlOverride>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020"/>
    <w:rsid w:val="00002413"/>
    <w:rsid w:val="00003205"/>
    <w:rsid w:val="000079DB"/>
    <w:rsid w:val="00010CFB"/>
    <w:rsid w:val="00015C92"/>
    <w:rsid w:val="000231EA"/>
    <w:rsid w:val="00023DEE"/>
    <w:rsid w:val="00024911"/>
    <w:rsid w:val="00026EE8"/>
    <w:rsid w:val="00032587"/>
    <w:rsid w:val="00033798"/>
    <w:rsid w:val="000343BA"/>
    <w:rsid w:val="00034CFC"/>
    <w:rsid w:val="000370FA"/>
    <w:rsid w:val="000406B4"/>
    <w:rsid w:val="00045BCD"/>
    <w:rsid w:val="00045DAC"/>
    <w:rsid w:val="00051A3A"/>
    <w:rsid w:val="00053F99"/>
    <w:rsid w:val="00055B36"/>
    <w:rsid w:val="00060AD2"/>
    <w:rsid w:val="000616BF"/>
    <w:rsid w:val="00061F56"/>
    <w:rsid w:val="00064CBF"/>
    <w:rsid w:val="0006692A"/>
    <w:rsid w:val="00066EA7"/>
    <w:rsid w:val="00070204"/>
    <w:rsid w:val="00076ACA"/>
    <w:rsid w:val="00076FEB"/>
    <w:rsid w:val="00081D70"/>
    <w:rsid w:val="00081E52"/>
    <w:rsid w:val="000836FB"/>
    <w:rsid w:val="000846DB"/>
    <w:rsid w:val="00090FAA"/>
    <w:rsid w:val="00093E0C"/>
    <w:rsid w:val="0009406E"/>
    <w:rsid w:val="0009577B"/>
    <w:rsid w:val="000A42CE"/>
    <w:rsid w:val="000B3AA6"/>
    <w:rsid w:val="000B3EDE"/>
    <w:rsid w:val="000B4111"/>
    <w:rsid w:val="000B4A06"/>
    <w:rsid w:val="000B5D84"/>
    <w:rsid w:val="000B721C"/>
    <w:rsid w:val="000C0CEE"/>
    <w:rsid w:val="000C1B79"/>
    <w:rsid w:val="000C2304"/>
    <w:rsid w:val="000C3870"/>
    <w:rsid w:val="000C4F7B"/>
    <w:rsid w:val="000C530F"/>
    <w:rsid w:val="000D0336"/>
    <w:rsid w:val="000D32B0"/>
    <w:rsid w:val="000D57AA"/>
    <w:rsid w:val="000D609D"/>
    <w:rsid w:val="000E0721"/>
    <w:rsid w:val="000E3B35"/>
    <w:rsid w:val="000E66B9"/>
    <w:rsid w:val="000E7209"/>
    <w:rsid w:val="000F1949"/>
    <w:rsid w:val="000F371E"/>
    <w:rsid w:val="000F463A"/>
    <w:rsid w:val="000F7808"/>
    <w:rsid w:val="00105ED8"/>
    <w:rsid w:val="00106B92"/>
    <w:rsid w:val="00106D18"/>
    <w:rsid w:val="00107612"/>
    <w:rsid w:val="0011090D"/>
    <w:rsid w:val="00110B2E"/>
    <w:rsid w:val="00111AD5"/>
    <w:rsid w:val="001125B5"/>
    <w:rsid w:val="0011362E"/>
    <w:rsid w:val="00120B9F"/>
    <w:rsid w:val="00121880"/>
    <w:rsid w:val="00122661"/>
    <w:rsid w:val="001268C2"/>
    <w:rsid w:val="00130E2F"/>
    <w:rsid w:val="00132827"/>
    <w:rsid w:val="00136042"/>
    <w:rsid w:val="0013658D"/>
    <w:rsid w:val="00140B51"/>
    <w:rsid w:val="00142BDF"/>
    <w:rsid w:val="00144F2B"/>
    <w:rsid w:val="0015203F"/>
    <w:rsid w:val="00153F84"/>
    <w:rsid w:val="0015400A"/>
    <w:rsid w:val="001540D3"/>
    <w:rsid w:val="00155F85"/>
    <w:rsid w:val="0015715A"/>
    <w:rsid w:val="00161D4B"/>
    <w:rsid w:val="00162C6A"/>
    <w:rsid w:val="001638DD"/>
    <w:rsid w:val="001645E5"/>
    <w:rsid w:val="00170260"/>
    <w:rsid w:val="001750B3"/>
    <w:rsid w:val="001763E6"/>
    <w:rsid w:val="00182B30"/>
    <w:rsid w:val="00184EBE"/>
    <w:rsid w:val="0018591C"/>
    <w:rsid w:val="00185A7C"/>
    <w:rsid w:val="00186713"/>
    <w:rsid w:val="00186E6F"/>
    <w:rsid w:val="001872D5"/>
    <w:rsid w:val="00195FA4"/>
    <w:rsid w:val="001963EC"/>
    <w:rsid w:val="001A00A5"/>
    <w:rsid w:val="001A154C"/>
    <w:rsid w:val="001A5C1B"/>
    <w:rsid w:val="001A77D1"/>
    <w:rsid w:val="001A7AC2"/>
    <w:rsid w:val="001B11FC"/>
    <w:rsid w:val="001B18C4"/>
    <w:rsid w:val="001B5947"/>
    <w:rsid w:val="001D3DFC"/>
    <w:rsid w:val="001D66FD"/>
    <w:rsid w:val="001E1B33"/>
    <w:rsid w:val="001E21E2"/>
    <w:rsid w:val="001E2360"/>
    <w:rsid w:val="001E2C0F"/>
    <w:rsid w:val="001E2E3A"/>
    <w:rsid w:val="001E4AC6"/>
    <w:rsid w:val="001F0E11"/>
    <w:rsid w:val="001F0F99"/>
    <w:rsid w:val="001F2D1D"/>
    <w:rsid w:val="001F34CB"/>
    <w:rsid w:val="001F5529"/>
    <w:rsid w:val="00200E9E"/>
    <w:rsid w:val="0020409C"/>
    <w:rsid w:val="00204A33"/>
    <w:rsid w:val="00205063"/>
    <w:rsid w:val="00205581"/>
    <w:rsid w:val="00207A47"/>
    <w:rsid w:val="00207FD6"/>
    <w:rsid w:val="00212583"/>
    <w:rsid w:val="00213634"/>
    <w:rsid w:val="00214698"/>
    <w:rsid w:val="002154FF"/>
    <w:rsid w:val="00216997"/>
    <w:rsid w:val="00217ADD"/>
    <w:rsid w:val="00217D29"/>
    <w:rsid w:val="00220B08"/>
    <w:rsid w:val="0022211A"/>
    <w:rsid w:val="00222370"/>
    <w:rsid w:val="00222440"/>
    <w:rsid w:val="00225037"/>
    <w:rsid w:val="00236EA1"/>
    <w:rsid w:val="00237CE5"/>
    <w:rsid w:val="00240A76"/>
    <w:rsid w:val="0024195C"/>
    <w:rsid w:val="00242380"/>
    <w:rsid w:val="00244324"/>
    <w:rsid w:val="0024772B"/>
    <w:rsid w:val="00254564"/>
    <w:rsid w:val="002571FD"/>
    <w:rsid w:val="00257FFD"/>
    <w:rsid w:val="002620D3"/>
    <w:rsid w:val="002665C5"/>
    <w:rsid w:val="002715BF"/>
    <w:rsid w:val="00271768"/>
    <w:rsid w:val="00274D3B"/>
    <w:rsid w:val="00276FBF"/>
    <w:rsid w:val="002804AA"/>
    <w:rsid w:val="002818F0"/>
    <w:rsid w:val="002828D2"/>
    <w:rsid w:val="00284C11"/>
    <w:rsid w:val="00291A36"/>
    <w:rsid w:val="00293F13"/>
    <w:rsid w:val="00297C2B"/>
    <w:rsid w:val="002A0731"/>
    <w:rsid w:val="002A24CA"/>
    <w:rsid w:val="002A372F"/>
    <w:rsid w:val="002A538B"/>
    <w:rsid w:val="002A5557"/>
    <w:rsid w:val="002B06EE"/>
    <w:rsid w:val="002B092F"/>
    <w:rsid w:val="002B2EF9"/>
    <w:rsid w:val="002B597D"/>
    <w:rsid w:val="002B7107"/>
    <w:rsid w:val="002B7BB7"/>
    <w:rsid w:val="002C1021"/>
    <w:rsid w:val="002C306F"/>
    <w:rsid w:val="002C4FE1"/>
    <w:rsid w:val="002C5A7C"/>
    <w:rsid w:val="002C67D2"/>
    <w:rsid w:val="002D0D3E"/>
    <w:rsid w:val="002D2E98"/>
    <w:rsid w:val="002E2840"/>
    <w:rsid w:val="002E4323"/>
    <w:rsid w:val="002E4BB3"/>
    <w:rsid w:val="002E4C3B"/>
    <w:rsid w:val="002E6637"/>
    <w:rsid w:val="002F507B"/>
    <w:rsid w:val="002F52B8"/>
    <w:rsid w:val="003033CF"/>
    <w:rsid w:val="003039EA"/>
    <w:rsid w:val="00307DC8"/>
    <w:rsid w:val="00312B9B"/>
    <w:rsid w:val="00312EC4"/>
    <w:rsid w:val="00314027"/>
    <w:rsid w:val="00314BF7"/>
    <w:rsid w:val="0031615D"/>
    <w:rsid w:val="00317265"/>
    <w:rsid w:val="00324953"/>
    <w:rsid w:val="00326AE6"/>
    <w:rsid w:val="0032776B"/>
    <w:rsid w:val="00327CF7"/>
    <w:rsid w:val="00330E17"/>
    <w:rsid w:val="00331D38"/>
    <w:rsid w:val="003322D8"/>
    <w:rsid w:val="00332CEB"/>
    <w:rsid w:val="003437DD"/>
    <w:rsid w:val="003455FA"/>
    <w:rsid w:val="00350FEF"/>
    <w:rsid w:val="00357867"/>
    <w:rsid w:val="00357E62"/>
    <w:rsid w:val="0036079C"/>
    <w:rsid w:val="003624C6"/>
    <w:rsid w:val="003651C4"/>
    <w:rsid w:val="003658A6"/>
    <w:rsid w:val="00373807"/>
    <w:rsid w:val="003740DF"/>
    <w:rsid w:val="00375217"/>
    <w:rsid w:val="003814B8"/>
    <w:rsid w:val="0038278E"/>
    <w:rsid w:val="0038319E"/>
    <w:rsid w:val="00390A83"/>
    <w:rsid w:val="003910FE"/>
    <w:rsid w:val="00392B76"/>
    <w:rsid w:val="00394318"/>
    <w:rsid w:val="00394E5B"/>
    <w:rsid w:val="003977FD"/>
    <w:rsid w:val="003A2023"/>
    <w:rsid w:val="003A2158"/>
    <w:rsid w:val="003A2CAC"/>
    <w:rsid w:val="003A3960"/>
    <w:rsid w:val="003A4494"/>
    <w:rsid w:val="003A6B6F"/>
    <w:rsid w:val="003A738B"/>
    <w:rsid w:val="003B281A"/>
    <w:rsid w:val="003B302E"/>
    <w:rsid w:val="003B6CC3"/>
    <w:rsid w:val="003B6D32"/>
    <w:rsid w:val="003B6D89"/>
    <w:rsid w:val="003C202D"/>
    <w:rsid w:val="003C22F5"/>
    <w:rsid w:val="003C7A4A"/>
    <w:rsid w:val="003D0519"/>
    <w:rsid w:val="003D05D8"/>
    <w:rsid w:val="003D26A4"/>
    <w:rsid w:val="003D2A25"/>
    <w:rsid w:val="003D2C63"/>
    <w:rsid w:val="003D554C"/>
    <w:rsid w:val="003D7696"/>
    <w:rsid w:val="003E6588"/>
    <w:rsid w:val="003E6953"/>
    <w:rsid w:val="004001C8"/>
    <w:rsid w:val="00402551"/>
    <w:rsid w:val="00402B11"/>
    <w:rsid w:val="00403AB2"/>
    <w:rsid w:val="0040479B"/>
    <w:rsid w:val="0040668A"/>
    <w:rsid w:val="004106C4"/>
    <w:rsid w:val="004123AC"/>
    <w:rsid w:val="00413901"/>
    <w:rsid w:val="00415244"/>
    <w:rsid w:val="00420E99"/>
    <w:rsid w:val="00422132"/>
    <w:rsid w:val="0042738C"/>
    <w:rsid w:val="00427791"/>
    <w:rsid w:val="00432308"/>
    <w:rsid w:val="00434F4A"/>
    <w:rsid w:val="00436164"/>
    <w:rsid w:val="004420DC"/>
    <w:rsid w:val="004435DC"/>
    <w:rsid w:val="00443606"/>
    <w:rsid w:val="00443975"/>
    <w:rsid w:val="004448FA"/>
    <w:rsid w:val="00447354"/>
    <w:rsid w:val="00447C12"/>
    <w:rsid w:val="00452D69"/>
    <w:rsid w:val="004541CF"/>
    <w:rsid w:val="00455A45"/>
    <w:rsid w:val="00456AAD"/>
    <w:rsid w:val="00460CD8"/>
    <w:rsid w:val="00463DC4"/>
    <w:rsid w:val="0046518C"/>
    <w:rsid w:val="004715A7"/>
    <w:rsid w:val="004728B8"/>
    <w:rsid w:val="00472ADD"/>
    <w:rsid w:val="00477B18"/>
    <w:rsid w:val="004828CB"/>
    <w:rsid w:val="00486F7E"/>
    <w:rsid w:val="004901B0"/>
    <w:rsid w:val="00491A7F"/>
    <w:rsid w:val="0049212D"/>
    <w:rsid w:val="004925EB"/>
    <w:rsid w:val="004932F3"/>
    <w:rsid w:val="00497DB1"/>
    <w:rsid w:val="004A2A0B"/>
    <w:rsid w:val="004A2CB7"/>
    <w:rsid w:val="004A59E9"/>
    <w:rsid w:val="004A636F"/>
    <w:rsid w:val="004B1B1E"/>
    <w:rsid w:val="004B6BB2"/>
    <w:rsid w:val="004C03B9"/>
    <w:rsid w:val="004C2529"/>
    <w:rsid w:val="004C3DA2"/>
    <w:rsid w:val="004C55A5"/>
    <w:rsid w:val="004C71A1"/>
    <w:rsid w:val="004D325C"/>
    <w:rsid w:val="004D592E"/>
    <w:rsid w:val="004E18AC"/>
    <w:rsid w:val="004E3575"/>
    <w:rsid w:val="004E5A8C"/>
    <w:rsid w:val="004F1388"/>
    <w:rsid w:val="004F15E8"/>
    <w:rsid w:val="004F3B1B"/>
    <w:rsid w:val="004F5D95"/>
    <w:rsid w:val="004F5DEA"/>
    <w:rsid w:val="0050062B"/>
    <w:rsid w:val="00502F54"/>
    <w:rsid w:val="005058DB"/>
    <w:rsid w:val="005059EC"/>
    <w:rsid w:val="00510FE5"/>
    <w:rsid w:val="00511619"/>
    <w:rsid w:val="00513951"/>
    <w:rsid w:val="005147CE"/>
    <w:rsid w:val="005221E9"/>
    <w:rsid w:val="0052250B"/>
    <w:rsid w:val="00523089"/>
    <w:rsid w:val="00527020"/>
    <w:rsid w:val="0053292E"/>
    <w:rsid w:val="00532F63"/>
    <w:rsid w:val="0053316F"/>
    <w:rsid w:val="0053409F"/>
    <w:rsid w:val="00534875"/>
    <w:rsid w:val="00534D34"/>
    <w:rsid w:val="00535B64"/>
    <w:rsid w:val="00540AAC"/>
    <w:rsid w:val="0054417B"/>
    <w:rsid w:val="00545230"/>
    <w:rsid w:val="00556CEF"/>
    <w:rsid w:val="00557F90"/>
    <w:rsid w:val="0056060B"/>
    <w:rsid w:val="00560B7C"/>
    <w:rsid w:val="00562CB5"/>
    <w:rsid w:val="00563676"/>
    <w:rsid w:val="0056483D"/>
    <w:rsid w:val="00567FE7"/>
    <w:rsid w:val="00571245"/>
    <w:rsid w:val="00571757"/>
    <w:rsid w:val="00573CA7"/>
    <w:rsid w:val="00574A9A"/>
    <w:rsid w:val="00576A73"/>
    <w:rsid w:val="00580A21"/>
    <w:rsid w:val="00581AB8"/>
    <w:rsid w:val="00582443"/>
    <w:rsid w:val="00584D40"/>
    <w:rsid w:val="00585982"/>
    <w:rsid w:val="00593F46"/>
    <w:rsid w:val="0059576F"/>
    <w:rsid w:val="005961AC"/>
    <w:rsid w:val="005A2C10"/>
    <w:rsid w:val="005A4BA7"/>
    <w:rsid w:val="005A59C6"/>
    <w:rsid w:val="005A6B47"/>
    <w:rsid w:val="005B3A4D"/>
    <w:rsid w:val="005C1CC6"/>
    <w:rsid w:val="005C3EA4"/>
    <w:rsid w:val="005C4556"/>
    <w:rsid w:val="005C4F16"/>
    <w:rsid w:val="005C54FD"/>
    <w:rsid w:val="005C6AE7"/>
    <w:rsid w:val="005C6F94"/>
    <w:rsid w:val="005C7F05"/>
    <w:rsid w:val="005D02A8"/>
    <w:rsid w:val="005D4C6D"/>
    <w:rsid w:val="005D73B8"/>
    <w:rsid w:val="005D7A23"/>
    <w:rsid w:val="005E128A"/>
    <w:rsid w:val="005E3981"/>
    <w:rsid w:val="005E62DC"/>
    <w:rsid w:val="005F0F8E"/>
    <w:rsid w:val="005F1CB9"/>
    <w:rsid w:val="005F2057"/>
    <w:rsid w:val="005F2350"/>
    <w:rsid w:val="005F2A5B"/>
    <w:rsid w:val="005F2C5D"/>
    <w:rsid w:val="006013C7"/>
    <w:rsid w:val="00602D9E"/>
    <w:rsid w:val="00607605"/>
    <w:rsid w:val="006112A0"/>
    <w:rsid w:val="00611391"/>
    <w:rsid w:val="00614433"/>
    <w:rsid w:val="00620222"/>
    <w:rsid w:val="00622A04"/>
    <w:rsid w:val="00624950"/>
    <w:rsid w:val="0062510F"/>
    <w:rsid w:val="00625B22"/>
    <w:rsid w:val="00626153"/>
    <w:rsid w:val="00630144"/>
    <w:rsid w:val="00630810"/>
    <w:rsid w:val="00634DF8"/>
    <w:rsid w:val="0064243B"/>
    <w:rsid w:val="0064287D"/>
    <w:rsid w:val="0064351D"/>
    <w:rsid w:val="00643DE0"/>
    <w:rsid w:val="00646683"/>
    <w:rsid w:val="006516C3"/>
    <w:rsid w:val="00651AE6"/>
    <w:rsid w:val="006538F5"/>
    <w:rsid w:val="00655EEA"/>
    <w:rsid w:val="0065721F"/>
    <w:rsid w:val="00661393"/>
    <w:rsid w:val="006625CD"/>
    <w:rsid w:val="00662CDC"/>
    <w:rsid w:val="00663E66"/>
    <w:rsid w:val="0066438A"/>
    <w:rsid w:val="00664C00"/>
    <w:rsid w:val="00671547"/>
    <w:rsid w:val="0067209B"/>
    <w:rsid w:val="00673DAE"/>
    <w:rsid w:val="00674A54"/>
    <w:rsid w:val="00674C1F"/>
    <w:rsid w:val="006774B3"/>
    <w:rsid w:val="00681F4B"/>
    <w:rsid w:val="00684660"/>
    <w:rsid w:val="00686E3B"/>
    <w:rsid w:val="00686F07"/>
    <w:rsid w:val="00690D71"/>
    <w:rsid w:val="00691494"/>
    <w:rsid w:val="00691959"/>
    <w:rsid w:val="00691D61"/>
    <w:rsid w:val="006927D3"/>
    <w:rsid w:val="006940E9"/>
    <w:rsid w:val="0069419B"/>
    <w:rsid w:val="0069424E"/>
    <w:rsid w:val="006A1169"/>
    <w:rsid w:val="006A17FA"/>
    <w:rsid w:val="006A227C"/>
    <w:rsid w:val="006A2E68"/>
    <w:rsid w:val="006A353A"/>
    <w:rsid w:val="006A3A07"/>
    <w:rsid w:val="006A48A1"/>
    <w:rsid w:val="006A4F48"/>
    <w:rsid w:val="006A526A"/>
    <w:rsid w:val="006A52AD"/>
    <w:rsid w:val="006A61F8"/>
    <w:rsid w:val="006A6359"/>
    <w:rsid w:val="006A6E89"/>
    <w:rsid w:val="006B198F"/>
    <w:rsid w:val="006B4B68"/>
    <w:rsid w:val="006B6E1B"/>
    <w:rsid w:val="006B771A"/>
    <w:rsid w:val="006C0E09"/>
    <w:rsid w:val="006C679D"/>
    <w:rsid w:val="006C6CF6"/>
    <w:rsid w:val="006D04BC"/>
    <w:rsid w:val="006D05C8"/>
    <w:rsid w:val="006D1E34"/>
    <w:rsid w:val="006D4CEE"/>
    <w:rsid w:val="006D6798"/>
    <w:rsid w:val="006E1102"/>
    <w:rsid w:val="006F1A7B"/>
    <w:rsid w:val="006F2447"/>
    <w:rsid w:val="006F62C5"/>
    <w:rsid w:val="006F717D"/>
    <w:rsid w:val="006F72A6"/>
    <w:rsid w:val="006F731E"/>
    <w:rsid w:val="006F78ED"/>
    <w:rsid w:val="00705745"/>
    <w:rsid w:val="00706118"/>
    <w:rsid w:val="00707958"/>
    <w:rsid w:val="00710483"/>
    <w:rsid w:val="00710730"/>
    <w:rsid w:val="00710844"/>
    <w:rsid w:val="00711440"/>
    <w:rsid w:val="00712619"/>
    <w:rsid w:val="0071635C"/>
    <w:rsid w:val="007176A1"/>
    <w:rsid w:val="00731132"/>
    <w:rsid w:val="0073117E"/>
    <w:rsid w:val="00735B1F"/>
    <w:rsid w:val="00735F17"/>
    <w:rsid w:val="00736152"/>
    <w:rsid w:val="007374ED"/>
    <w:rsid w:val="00737CF8"/>
    <w:rsid w:val="00741EB2"/>
    <w:rsid w:val="00743D4B"/>
    <w:rsid w:val="00746A0E"/>
    <w:rsid w:val="00747C11"/>
    <w:rsid w:val="00747E66"/>
    <w:rsid w:val="0075244E"/>
    <w:rsid w:val="00755779"/>
    <w:rsid w:val="007563F8"/>
    <w:rsid w:val="00765CB0"/>
    <w:rsid w:val="007672A0"/>
    <w:rsid w:val="007712E2"/>
    <w:rsid w:val="00771621"/>
    <w:rsid w:val="007743AB"/>
    <w:rsid w:val="0078067B"/>
    <w:rsid w:val="00783807"/>
    <w:rsid w:val="00787FE1"/>
    <w:rsid w:val="00790681"/>
    <w:rsid w:val="0079365A"/>
    <w:rsid w:val="00797865"/>
    <w:rsid w:val="007A041C"/>
    <w:rsid w:val="007A32E6"/>
    <w:rsid w:val="007A3617"/>
    <w:rsid w:val="007A5956"/>
    <w:rsid w:val="007A676B"/>
    <w:rsid w:val="007A6EFB"/>
    <w:rsid w:val="007A7A9D"/>
    <w:rsid w:val="007A7ECA"/>
    <w:rsid w:val="007B005F"/>
    <w:rsid w:val="007B7568"/>
    <w:rsid w:val="007B7E00"/>
    <w:rsid w:val="007C1363"/>
    <w:rsid w:val="007C44D1"/>
    <w:rsid w:val="007C67E2"/>
    <w:rsid w:val="007D07ED"/>
    <w:rsid w:val="007D1178"/>
    <w:rsid w:val="007D536B"/>
    <w:rsid w:val="007E1C06"/>
    <w:rsid w:val="007E246C"/>
    <w:rsid w:val="007E4C5B"/>
    <w:rsid w:val="007E7B22"/>
    <w:rsid w:val="007F0188"/>
    <w:rsid w:val="007F0643"/>
    <w:rsid w:val="007F1097"/>
    <w:rsid w:val="007F17D0"/>
    <w:rsid w:val="007F2331"/>
    <w:rsid w:val="007F56D2"/>
    <w:rsid w:val="007F58D7"/>
    <w:rsid w:val="007F640D"/>
    <w:rsid w:val="007F6C2F"/>
    <w:rsid w:val="007F7075"/>
    <w:rsid w:val="007F784E"/>
    <w:rsid w:val="00800664"/>
    <w:rsid w:val="00800A94"/>
    <w:rsid w:val="00802C61"/>
    <w:rsid w:val="00803581"/>
    <w:rsid w:val="008038A4"/>
    <w:rsid w:val="00803A95"/>
    <w:rsid w:val="00804C57"/>
    <w:rsid w:val="00805370"/>
    <w:rsid w:val="00806B60"/>
    <w:rsid w:val="00810F85"/>
    <w:rsid w:val="00811044"/>
    <w:rsid w:val="00811950"/>
    <w:rsid w:val="00813D27"/>
    <w:rsid w:val="00814DF3"/>
    <w:rsid w:val="00815E2B"/>
    <w:rsid w:val="00816364"/>
    <w:rsid w:val="00821738"/>
    <w:rsid w:val="0082466C"/>
    <w:rsid w:val="0082679C"/>
    <w:rsid w:val="00827B21"/>
    <w:rsid w:val="008316A6"/>
    <w:rsid w:val="008358E4"/>
    <w:rsid w:val="00840162"/>
    <w:rsid w:val="008419A0"/>
    <w:rsid w:val="00841FAA"/>
    <w:rsid w:val="008454CE"/>
    <w:rsid w:val="00850D6D"/>
    <w:rsid w:val="00851F8D"/>
    <w:rsid w:val="00851FA7"/>
    <w:rsid w:val="00852AEC"/>
    <w:rsid w:val="00853F42"/>
    <w:rsid w:val="008568D9"/>
    <w:rsid w:val="00856D05"/>
    <w:rsid w:val="008607E8"/>
    <w:rsid w:val="008612AB"/>
    <w:rsid w:val="00864F48"/>
    <w:rsid w:val="0087263A"/>
    <w:rsid w:val="00881EDA"/>
    <w:rsid w:val="008825AD"/>
    <w:rsid w:val="00882758"/>
    <w:rsid w:val="0088356C"/>
    <w:rsid w:val="008860AA"/>
    <w:rsid w:val="008868A8"/>
    <w:rsid w:val="00887317"/>
    <w:rsid w:val="008876C5"/>
    <w:rsid w:val="00890CA1"/>
    <w:rsid w:val="008913EC"/>
    <w:rsid w:val="00891B21"/>
    <w:rsid w:val="008922F1"/>
    <w:rsid w:val="00892631"/>
    <w:rsid w:val="008926DF"/>
    <w:rsid w:val="0089520C"/>
    <w:rsid w:val="008A0935"/>
    <w:rsid w:val="008A309A"/>
    <w:rsid w:val="008A5B94"/>
    <w:rsid w:val="008A5F6C"/>
    <w:rsid w:val="008B1E1E"/>
    <w:rsid w:val="008B3DA1"/>
    <w:rsid w:val="008B56F8"/>
    <w:rsid w:val="008C0F13"/>
    <w:rsid w:val="008C3E6D"/>
    <w:rsid w:val="008C6B5C"/>
    <w:rsid w:val="008D22EC"/>
    <w:rsid w:val="008D2505"/>
    <w:rsid w:val="008D3B7E"/>
    <w:rsid w:val="008D56B9"/>
    <w:rsid w:val="008D6293"/>
    <w:rsid w:val="008E075B"/>
    <w:rsid w:val="008E07BA"/>
    <w:rsid w:val="008E4443"/>
    <w:rsid w:val="008E5A51"/>
    <w:rsid w:val="008E7C90"/>
    <w:rsid w:val="008F2DFF"/>
    <w:rsid w:val="008F52AB"/>
    <w:rsid w:val="00900DF9"/>
    <w:rsid w:val="009041E6"/>
    <w:rsid w:val="009051A6"/>
    <w:rsid w:val="00906A36"/>
    <w:rsid w:val="00906C2F"/>
    <w:rsid w:val="009076FA"/>
    <w:rsid w:val="00910CA5"/>
    <w:rsid w:val="00910F20"/>
    <w:rsid w:val="00913AEF"/>
    <w:rsid w:val="00915E28"/>
    <w:rsid w:val="00916618"/>
    <w:rsid w:val="00916D36"/>
    <w:rsid w:val="00916EB9"/>
    <w:rsid w:val="00921035"/>
    <w:rsid w:val="00922695"/>
    <w:rsid w:val="00923E0A"/>
    <w:rsid w:val="009240E2"/>
    <w:rsid w:val="00925137"/>
    <w:rsid w:val="00925694"/>
    <w:rsid w:val="00925C77"/>
    <w:rsid w:val="00927FA1"/>
    <w:rsid w:val="0093089A"/>
    <w:rsid w:val="00930F1B"/>
    <w:rsid w:val="0093205D"/>
    <w:rsid w:val="00932930"/>
    <w:rsid w:val="00932A40"/>
    <w:rsid w:val="00942675"/>
    <w:rsid w:val="00942F5D"/>
    <w:rsid w:val="00944139"/>
    <w:rsid w:val="009457FB"/>
    <w:rsid w:val="00946D5C"/>
    <w:rsid w:val="00951BC1"/>
    <w:rsid w:val="00961CE6"/>
    <w:rsid w:val="00964AFC"/>
    <w:rsid w:val="00964DF0"/>
    <w:rsid w:val="00965522"/>
    <w:rsid w:val="00967B56"/>
    <w:rsid w:val="00970F5B"/>
    <w:rsid w:val="009710BA"/>
    <w:rsid w:val="0097113E"/>
    <w:rsid w:val="009715DA"/>
    <w:rsid w:val="0097576B"/>
    <w:rsid w:val="009804EE"/>
    <w:rsid w:val="00985D69"/>
    <w:rsid w:val="0099024E"/>
    <w:rsid w:val="00993C20"/>
    <w:rsid w:val="00993E73"/>
    <w:rsid w:val="0099617B"/>
    <w:rsid w:val="009A03F9"/>
    <w:rsid w:val="009A3046"/>
    <w:rsid w:val="009A3A5F"/>
    <w:rsid w:val="009B2115"/>
    <w:rsid w:val="009B27A7"/>
    <w:rsid w:val="009B2EDF"/>
    <w:rsid w:val="009B42D5"/>
    <w:rsid w:val="009C2A2B"/>
    <w:rsid w:val="009C2CF3"/>
    <w:rsid w:val="009C2F69"/>
    <w:rsid w:val="009C7329"/>
    <w:rsid w:val="009D14A8"/>
    <w:rsid w:val="009D25A3"/>
    <w:rsid w:val="009D3307"/>
    <w:rsid w:val="009D78FA"/>
    <w:rsid w:val="009D7F86"/>
    <w:rsid w:val="009E1346"/>
    <w:rsid w:val="009F39AA"/>
    <w:rsid w:val="009F46C0"/>
    <w:rsid w:val="009F72D9"/>
    <w:rsid w:val="009F7560"/>
    <w:rsid w:val="00A043EE"/>
    <w:rsid w:val="00A06F9E"/>
    <w:rsid w:val="00A10649"/>
    <w:rsid w:val="00A11910"/>
    <w:rsid w:val="00A11A1D"/>
    <w:rsid w:val="00A13212"/>
    <w:rsid w:val="00A15D2A"/>
    <w:rsid w:val="00A15D74"/>
    <w:rsid w:val="00A16018"/>
    <w:rsid w:val="00A1633A"/>
    <w:rsid w:val="00A17E71"/>
    <w:rsid w:val="00A21319"/>
    <w:rsid w:val="00A24E97"/>
    <w:rsid w:val="00A25135"/>
    <w:rsid w:val="00A255B7"/>
    <w:rsid w:val="00A3129E"/>
    <w:rsid w:val="00A3227B"/>
    <w:rsid w:val="00A329E3"/>
    <w:rsid w:val="00A33FF5"/>
    <w:rsid w:val="00A3608D"/>
    <w:rsid w:val="00A36E71"/>
    <w:rsid w:val="00A440EE"/>
    <w:rsid w:val="00A46C18"/>
    <w:rsid w:val="00A47362"/>
    <w:rsid w:val="00A5161D"/>
    <w:rsid w:val="00A53448"/>
    <w:rsid w:val="00A543CD"/>
    <w:rsid w:val="00A56A0E"/>
    <w:rsid w:val="00A60249"/>
    <w:rsid w:val="00A638C5"/>
    <w:rsid w:val="00A64382"/>
    <w:rsid w:val="00A651B7"/>
    <w:rsid w:val="00A66F81"/>
    <w:rsid w:val="00A67476"/>
    <w:rsid w:val="00A748A0"/>
    <w:rsid w:val="00A76FA6"/>
    <w:rsid w:val="00A779DA"/>
    <w:rsid w:val="00A77EA5"/>
    <w:rsid w:val="00A80BED"/>
    <w:rsid w:val="00A826DE"/>
    <w:rsid w:val="00A835B2"/>
    <w:rsid w:val="00A84370"/>
    <w:rsid w:val="00A845B9"/>
    <w:rsid w:val="00A85156"/>
    <w:rsid w:val="00A855D5"/>
    <w:rsid w:val="00A85C35"/>
    <w:rsid w:val="00A85E65"/>
    <w:rsid w:val="00A87641"/>
    <w:rsid w:val="00A9042B"/>
    <w:rsid w:val="00A904AA"/>
    <w:rsid w:val="00A90E57"/>
    <w:rsid w:val="00A93EB6"/>
    <w:rsid w:val="00A947E7"/>
    <w:rsid w:val="00AA2555"/>
    <w:rsid w:val="00AB6213"/>
    <w:rsid w:val="00AB6B5B"/>
    <w:rsid w:val="00AC17A6"/>
    <w:rsid w:val="00AC2A43"/>
    <w:rsid w:val="00AC3DB4"/>
    <w:rsid w:val="00AC6352"/>
    <w:rsid w:val="00AD0744"/>
    <w:rsid w:val="00AD121C"/>
    <w:rsid w:val="00AD1510"/>
    <w:rsid w:val="00AD3275"/>
    <w:rsid w:val="00AD347B"/>
    <w:rsid w:val="00AD4D6A"/>
    <w:rsid w:val="00AD5A0C"/>
    <w:rsid w:val="00AD7DF3"/>
    <w:rsid w:val="00AE1DA5"/>
    <w:rsid w:val="00AE42A1"/>
    <w:rsid w:val="00AF09C0"/>
    <w:rsid w:val="00AF160B"/>
    <w:rsid w:val="00AF1AB6"/>
    <w:rsid w:val="00B03E9E"/>
    <w:rsid w:val="00B049E7"/>
    <w:rsid w:val="00B05BC4"/>
    <w:rsid w:val="00B07FB8"/>
    <w:rsid w:val="00B127DC"/>
    <w:rsid w:val="00B1428B"/>
    <w:rsid w:val="00B1470B"/>
    <w:rsid w:val="00B15AC9"/>
    <w:rsid w:val="00B21056"/>
    <w:rsid w:val="00B21DC2"/>
    <w:rsid w:val="00B238AE"/>
    <w:rsid w:val="00B256D0"/>
    <w:rsid w:val="00B25DC9"/>
    <w:rsid w:val="00B27729"/>
    <w:rsid w:val="00B308F9"/>
    <w:rsid w:val="00B30E02"/>
    <w:rsid w:val="00B34187"/>
    <w:rsid w:val="00B35792"/>
    <w:rsid w:val="00B358B5"/>
    <w:rsid w:val="00B35F22"/>
    <w:rsid w:val="00B360B5"/>
    <w:rsid w:val="00B370C5"/>
    <w:rsid w:val="00B3745C"/>
    <w:rsid w:val="00B4701C"/>
    <w:rsid w:val="00B47ECE"/>
    <w:rsid w:val="00B51EF4"/>
    <w:rsid w:val="00B525BA"/>
    <w:rsid w:val="00B56EDF"/>
    <w:rsid w:val="00B57AF0"/>
    <w:rsid w:val="00B61D32"/>
    <w:rsid w:val="00B6416F"/>
    <w:rsid w:val="00B65848"/>
    <w:rsid w:val="00B660F1"/>
    <w:rsid w:val="00B66268"/>
    <w:rsid w:val="00B70D59"/>
    <w:rsid w:val="00B741A7"/>
    <w:rsid w:val="00B7511A"/>
    <w:rsid w:val="00B841BD"/>
    <w:rsid w:val="00B851C4"/>
    <w:rsid w:val="00B85AB6"/>
    <w:rsid w:val="00B86D13"/>
    <w:rsid w:val="00B9091C"/>
    <w:rsid w:val="00B94386"/>
    <w:rsid w:val="00B965A9"/>
    <w:rsid w:val="00B96879"/>
    <w:rsid w:val="00B97CB0"/>
    <w:rsid w:val="00BA2AD7"/>
    <w:rsid w:val="00BA50C3"/>
    <w:rsid w:val="00BA53BB"/>
    <w:rsid w:val="00BA6DCC"/>
    <w:rsid w:val="00BB1F86"/>
    <w:rsid w:val="00BB2A62"/>
    <w:rsid w:val="00BB53E2"/>
    <w:rsid w:val="00BB5436"/>
    <w:rsid w:val="00BB7601"/>
    <w:rsid w:val="00BC1018"/>
    <w:rsid w:val="00BC5578"/>
    <w:rsid w:val="00BC571D"/>
    <w:rsid w:val="00BC6043"/>
    <w:rsid w:val="00BC7979"/>
    <w:rsid w:val="00BD2B40"/>
    <w:rsid w:val="00BD6978"/>
    <w:rsid w:val="00BD7B15"/>
    <w:rsid w:val="00BE085D"/>
    <w:rsid w:val="00BE08B1"/>
    <w:rsid w:val="00BF2239"/>
    <w:rsid w:val="00BF60F1"/>
    <w:rsid w:val="00C03302"/>
    <w:rsid w:val="00C106C7"/>
    <w:rsid w:val="00C10A08"/>
    <w:rsid w:val="00C12AEF"/>
    <w:rsid w:val="00C13695"/>
    <w:rsid w:val="00C143C3"/>
    <w:rsid w:val="00C14AF9"/>
    <w:rsid w:val="00C153FC"/>
    <w:rsid w:val="00C21106"/>
    <w:rsid w:val="00C2406A"/>
    <w:rsid w:val="00C258BB"/>
    <w:rsid w:val="00C27C33"/>
    <w:rsid w:val="00C30B82"/>
    <w:rsid w:val="00C30FBC"/>
    <w:rsid w:val="00C34831"/>
    <w:rsid w:val="00C364FB"/>
    <w:rsid w:val="00C37A4B"/>
    <w:rsid w:val="00C4041C"/>
    <w:rsid w:val="00C41EA3"/>
    <w:rsid w:val="00C444E4"/>
    <w:rsid w:val="00C521E3"/>
    <w:rsid w:val="00C521FD"/>
    <w:rsid w:val="00C5351B"/>
    <w:rsid w:val="00C55D47"/>
    <w:rsid w:val="00C6216E"/>
    <w:rsid w:val="00C62A19"/>
    <w:rsid w:val="00C62D56"/>
    <w:rsid w:val="00C64712"/>
    <w:rsid w:val="00C6706D"/>
    <w:rsid w:val="00C708FB"/>
    <w:rsid w:val="00C72B01"/>
    <w:rsid w:val="00C7359B"/>
    <w:rsid w:val="00C74C5F"/>
    <w:rsid w:val="00C75095"/>
    <w:rsid w:val="00C7759F"/>
    <w:rsid w:val="00C81427"/>
    <w:rsid w:val="00C8213A"/>
    <w:rsid w:val="00C83441"/>
    <w:rsid w:val="00C8468B"/>
    <w:rsid w:val="00C870C5"/>
    <w:rsid w:val="00C91B90"/>
    <w:rsid w:val="00C9458E"/>
    <w:rsid w:val="00C96C51"/>
    <w:rsid w:val="00CA0C9E"/>
    <w:rsid w:val="00CA0ED3"/>
    <w:rsid w:val="00CA16A7"/>
    <w:rsid w:val="00CA2BE1"/>
    <w:rsid w:val="00CA301C"/>
    <w:rsid w:val="00CA5431"/>
    <w:rsid w:val="00CA6077"/>
    <w:rsid w:val="00CA7F4F"/>
    <w:rsid w:val="00CB4C7D"/>
    <w:rsid w:val="00CB56A8"/>
    <w:rsid w:val="00CB60DD"/>
    <w:rsid w:val="00CB6C23"/>
    <w:rsid w:val="00CB7D3C"/>
    <w:rsid w:val="00CC066F"/>
    <w:rsid w:val="00CD094C"/>
    <w:rsid w:val="00CD14BD"/>
    <w:rsid w:val="00CD1725"/>
    <w:rsid w:val="00CD196C"/>
    <w:rsid w:val="00CD2FDA"/>
    <w:rsid w:val="00CD5BA7"/>
    <w:rsid w:val="00CE11D0"/>
    <w:rsid w:val="00CE3457"/>
    <w:rsid w:val="00CE620A"/>
    <w:rsid w:val="00CE694C"/>
    <w:rsid w:val="00CE6C27"/>
    <w:rsid w:val="00CF14A1"/>
    <w:rsid w:val="00CF1BCF"/>
    <w:rsid w:val="00CF2C97"/>
    <w:rsid w:val="00CF3421"/>
    <w:rsid w:val="00CF3B12"/>
    <w:rsid w:val="00CF4C28"/>
    <w:rsid w:val="00CF56E6"/>
    <w:rsid w:val="00CF6888"/>
    <w:rsid w:val="00CF79D8"/>
    <w:rsid w:val="00D0150C"/>
    <w:rsid w:val="00D05025"/>
    <w:rsid w:val="00D0761E"/>
    <w:rsid w:val="00D1149A"/>
    <w:rsid w:val="00D12EDE"/>
    <w:rsid w:val="00D15D57"/>
    <w:rsid w:val="00D2007E"/>
    <w:rsid w:val="00D2042C"/>
    <w:rsid w:val="00D20CE1"/>
    <w:rsid w:val="00D2168C"/>
    <w:rsid w:val="00D22B6C"/>
    <w:rsid w:val="00D267EF"/>
    <w:rsid w:val="00D32100"/>
    <w:rsid w:val="00D34EEF"/>
    <w:rsid w:val="00D4245A"/>
    <w:rsid w:val="00D42BB5"/>
    <w:rsid w:val="00D4452A"/>
    <w:rsid w:val="00D44588"/>
    <w:rsid w:val="00D4587A"/>
    <w:rsid w:val="00D46D76"/>
    <w:rsid w:val="00D47AF9"/>
    <w:rsid w:val="00D52A75"/>
    <w:rsid w:val="00D541B5"/>
    <w:rsid w:val="00D551D4"/>
    <w:rsid w:val="00D563C0"/>
    <w:rsid w:val="00D5750E"/>
    <w:rsid w:val="00D64410"/>
    <w:rsid w:val="00D67EB9"/>
    <w:rsid w:val="00D7159B"/>
    <w:rsid w:val="00D719AD"/>
    <w:rsid w:val="00D71C35"/>
    <w:rsid w:val="00D72859"/>
    <w:rsid w:val="00D75133"/>
    <w:rsid w:val="00D75A31"/>
    <w:rsid w:val="00D835E8"/>
    <w:rsid w:val="00D83DEE"/>
    <w:rsid w:val="00D851BB"/>
    <w:rsid w:val="00D86412"/>
    <w:rsid w:val="00D86F50"/>
    <w:rsid w:val="00D9053E"/>
    <w:rsid w:val="00D92A12"/>
    <w:rsid w:val="00D97330"/>
    <w:rsid w:val="00D9798D"/>
    <w:rsid w:val="00D97E18"/>
    <w:rsid w:val="00DA4AA0"/>
    <w:rsid w:val="00DB46E8"/>
    <w:rsid w:val="00DB496C"/>
    <w:rsid w:val="00DB53FA"/>
    <w:rsid w:val="00DB7D34"/>
    <w:rsid w:val="00DC1D98"/>
    <w:rsid w:val="00DC1FB2"/>
    <w:rsid w:val="00DC63FA"/>
    <w:rsid w:val="00DC79AF"/>
    <w:rsid w:val="00DD1848"/>
    <w:rsid w:val="00DD1BE5"/>
    <w:rsid w:val="00DD324F"/>
    <w:rsid w:val="00DD65F0"/>
    <w:rsid w:val="00DE0E95"/>
    <w:rsid w:val="00DE1245"/>
    <w:rsid w:val="00DF45B8"/>
    <w:rsid w:val="00DF45D4"/>
    <w:rsid w:val="00DF48F9"/>
    <w:rsid w:val="00DF4AAA"/>
    <w:rsid w:val="00E003A0"/>
    <w:rsid w:val="00E02540"/>
    <w:rsid w:val="00E03FA2"/>
    <w:rsid w:val="00E1014D"/>
    <w:rsid w:val="00E11C64"/>
    <w:rsid w:val="00E122ED"/>
    <w:rsid w:val="00E131F2"/>
    <w:rsid w:val="00E14496"/>
    <w:rsid w:val="00E164AB"/>
    <w:rsid w:val="00E200AD"/>
    <w:rsid w:val="00E20214"/>
    <w:rsid w:val="00E216B6"/>
    <w:rsid w:val="00E23722"/>
    <w:rsid w:val="00E23754"/>
    <w:rsid w:val="00E23CE1"/>
    <w:rsid w:val="00E2408B"/>
    <w:rsid w:val="00E279D2"/>
    <w:rsid w:val="00E319EB"/>
    <w:rsid w:val="00E32EAE"/>
    <w:rsid w:val="00E33CD9"/>
    <w:rsid w:val="00E36D76"/>
    <w:rsid w:val="00E40E6A"/>
    <w:rsid w:val="00E44D28"/>
    <w:rsid w:val="00E46051"/>
    <w:rsid w:val="00E47FAC"/>
    <w:rsid w:val="00E55948"/>
    <w:rsid w:val="00E56DAD"/>
    <w:rsid w:val="00E5790B"/>
    <w:rsid w:val="00E62180"/>
    <w:rsid w:val="00E65195"/>
    <w:rsid w:val="00E65AEF"/>
    <w:rsid w:val="00E716E7"/>
    <w:rsid w:val="00E71BB5"/>
    <w:rsid w:val="00E723F7"/>
    <w:rsid w:val="00E762D3"/>
    <w:rsid w:val="00E86762"/>
    <w:rsid w:val="00E871D9"/>
    <w:rsid w:val="00EA56C6"/>
    <w:rsid w:val="00EB1EC9"/>
    <w:rsid w:val="00EB2BC7"/>
    <w:rsid w:val="00EB4B35"/>
    <w:rsid w:val="00EB4BE3"/>
    <w:rsid w:val="00EB65C6"/>
    <w:rsid w:val="00EB6D53"/>
    <w:rsid w:val="00EC01E4"/>
    <w:rsid w:val="00EC040E"/>
    <w:rsid w:val="00EC189D"/>
    <w:rsid w:val="00EC3E97"/>
    <w:rsid w:val="00EC77E2"/>
    <w:rsid w:val="00ED4222"/>
    <w:rsid w:val="00ED6905"/>
    <w:rsid w:val="00EE2019"/>
    <w:rsid w:val="00EE3092"/>
    <w:rsid w:val="00EE4285"/>
    <w:rsid w:val="00EE7C58"/>
    <w:rsid w:val="00EF5360"/>
    <w:rsid w:val="00EF611E"/>
    <w:rsid w:val="00EF66AE"/>
    <w:rsid w:val="00F01147"/>
    <w:rsid w:val="00F01955"/>
    <w:rsid w:val="00F04939"/>
    <w:rsid w:val="00F05B78"/>
    <w:rsid w:val="00F05FB7"/>
    <w:rsid w:val="00F07CF7"/>
    <w:rsid w:val="00F13DD0"/>
    <w:rsid w:val="00F211AC"/>
    <w:rsid w:val="00F21EA8"/>
    <w:rsid w:val="00F2209A"/>
    <w:rsid w:val="00F247C5"/>
    <w:rsid w:val="00F27023"/>
    <w:rsid w:val="00F30464"/>
    <w:rsid w:val="00F3090A"/>
    <w:rsid w:val="00F352CA"/>
    <w:rsid w:val="00F3533D"/>
    <w:rsid w:val="00F35389"/>
    <w:rsid w:val="00F359E0"/>
    <w:rsid w:val="00F35F33"/>
    <w:rsid w:val="00F37FFA"/>
    <w:rsid w:val="00F425BB"/>
    <w:rsid w:val="00F42FA8"/>
    <w:rsid w:val="00F50094"/>
    <w:rsid w:val="00F51E5F"/>
    <w:rsid w:val="00F52E9C"/>
    <w:rsid w:val="00F62AC8"/>
    <w:rsid w:val="00F65684"/>
    <w:rsid w:val="00F67360"/>
    <w:rsid w:val="00F67E3F"/>
    <w:rsid w:val="00F72259"/>
    <w:rsid w:val="00F72ABC"/>
    <w:rsid w:val="00F73A04"/>
    <w:rsid w:val="00F746B1"/>
    <w:rsid w:val="00F74EB2"/>
    <w:rsid w:val="00F754E5"/>
    <w:rsid w:val="00F76979"/>
    <w:rsid w:val="00F77B91"/>
    <w:rsid w:val="00F80810"/>
    <w:rsid w:val="00F81580"/>
    <w:rsid w:val="00F83114"/>
    <w:rsid w:val="00F832CB"/>
    <w:rsid w:val="00F83D28"/>
    <w:rsid w:val="00F8480B"/>
    <w:rsid w:val="00F84C45"/>
    <w:rsid w:val="00F84DED"/>
    <w:rsid w:val="00F914D4"/>
    <w:rsid w:val="00F9749F"/>
    <w:rsid w:val="00FA017E"/>
    <w:rsid w:val="00FA1C38"/>
    <w:rsid w:val="00FA3BE5"/>
    <w:rsid w:val="00FA604D"/>
    <w:rsid w:val="00FB5BD3"/>
    <w:rsid w:val="00FB5FD4"/>
    <w:rsid w:val="00FB61FD"/>
    <w:rsid w:val="00FB7F5C"/>
    <w:rsid w:val="00FC2A90"/>
    <w:rsid w:val="00FC2CE0"/>
    <w:rsid w:val="00FC2DB0"/>
    <w:rsid w:val="00FD1559"/>
    <w:rsid w:val="00FD1950"/>
    <w:rsid w:val="00FD35CE"/>
    <w:rsid w:val="00FD3B55"/>
    <w:rsid w:val="00FD3E37"/>
    <w:rsid w:val="00FD5082"/>
    <w:rsid w:val="00FD65E5"/>
    <w:rsid w:val="00FE3ED4"/>
    <w:rsid w:val="00FF3DA2"/>
    <w:rsid w:val="00FF4BDF"/>
    <w:rsid w:val="00FF6A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text">
    <w:name w:val="Main text"/>
    <w:basedOn w:val="DefaultParagraphFont"/>
    <w:rsid w:val="00254564"/>
    <w:rPr>
      <w:rFonts w:ascii="Trebuchet MS" w:hAnsi="Trebuchet MS" w:cs="Palatino-Roman"/>
      <w:color w:val="000000"/>
      <w:sz w:val="20"/>
      <w:szCs w:val="20"/>
    </w:rPr>
  </w:style>
  <w:style w:type="paragraph" w:styleId="ListParagraph">
    <w:name w:val="List Paragraph"/>
    <w:basedOn w:val="Normal"/>
    <w:uiPriority w:val="34"/>
    <w:qFormat/>
    <w:rsid w:val="0073117E"/>
    <w:pPr>
      <w:ind w:left="720"/>
      <w:contextualSpacing/>
    </w:pPr>
  </w:style>
  <w:style w:type="paragraph" w:styleId="Header">
    <w:name w:val="header"/>
    <w:basedOn w:val="Normal"/>
    <w:link w:val="HeaderChar"/>
    <w:rsid w:val="003D7696"/>
    <w:pPr>
      <w:tabs>
        <w:tab w:val="center" w:pos="4513"/>
        <w:tab w:val="right" w:pos="9026"/>
      </w:tabs>
    </w:pPr>
  </w:style>
  <w:style w:type="character" w:customStyle="1" w:styleId="HeaderChar">
    <w:name w:val="Header Char"/>
    <w:basedOn w:val="DefaultParagraphFont"/>
    <w:link w:val="Header"/>
    <w:rsid w:val="003D7696"/>
    <w:rPr>
      <w:sz w:val="24"/>
      <w:szCs w:val="24"/>
      <w:lang w:eastAsia="en-US"/>
    </w:rPr>
  </w:style>
  <w:style w:type="paragraph" w:styleId="Footer">
    <w:name w:val="footer"/>
    <w:basedOn w:val="Normal"/>
    <w:link w:val="FooterChar"/>
    <w:uiPriority w:val="99"/>
    <w:rsid w:val="003D7696"/>
    <w:pPr>
      <w:tabs>
        <w:tab w:val="center" w:pos="4513"/>
        <w:tab w:val="right" w:pos="9026"/>
      </w:tabs>
    </w:pPr>
  </w:style>
  <w:style w:type="character" w:customStyle="1" w:styleId="FooterChar">
    <w:name w:val="Footer Char"/>
    <w:basedOn w:val="DefaultParagraphFont"/>
    <w:link w:val="Footer"/>
    <w:uiPriority w:val="99"/>
    <w:rsid w:val="003D7696"/>
    <w:rPr>
      <w:sz w:val="24"/>
      <w:szCs w:val="24"/>
      <w:lang w:eastAsia="en-US"/>
    </w:rPr>
  </w:style>
  <w:style w:type="character" w:styleId="Hyperlink">
    <w:name w:val="Hyperlink"/>
    <w:basedOn w:val="DefaultParagraphFont"/>
    <w:uiPriority w:val="99"/>
    <w:unhideWhenUsed/>
    <w:rsid w:val="00E32EAE"/>
    <w:rPr>
      <w:color w:val="0000FF" w:themeColor="hyperlink"/>
      <w:u w:val="single"/>
    </w:rPr>
  </w:style>
  <w:style w:type="paragraph" w:customStyle="1" w:styleId="Bulletform">
    <w:name w:val="Bullet form"/>
    <w:basedOn w:val="Normal"/>
    <w:rsid w:val="00EE7C58"/>
    <w:pPr>
      <w:numPr>
        <w:numId w:val="6"/>
      </w:numPr>
      <w:spacing w:before="120"/>
      <w:ind w:left="714" w:hanging="357"/>
      <w:jc w:val="both"/>
    </w:pPr>
    <w:rPr>
      <w:rFonts w:ascii="GoudyOlSt BT" w:hAnsi="GoudyOlSt BT"/>
      <w:szCs w:val="20"/>
      <w:lang w:eastAsia="en-AU"/>
    </w:rPr>
  </w:style>
  <w:style w:type="paragraph" w:styleId="BalloonText">
    <w:name w:val="Balloon Text"/>
    <w:basedOn w:val="Normal"/>
    <w:link w:val="BalloonTextChar"/>
    <w:rsid w:val="00EE7C58"/>
    <w:rPr>
      <w:rFonts w:ascii="Tahoma" w:hAnsi="Tahoma" w:cs="Tahoma"/>
      <w:sz w:val="16"/>
      <w:szCs w:val="16"/>
    </w:rPr>
  </w:style>
  <w:style w:type="character" w:customStyle="1" w:styleId="BalloonTextChar">
    <w:name w:val="Balloon Text Char"/>
    <w:basedOn w:val="DefaultParagraphFont"/>
    <w:link w:val="BalloonText"/>
    <w:rsid w:val="00EE7C5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text">
    <w:name w:val="Main text"/>
    <w:basedOn w:val="DefaultParagraphFont"/>
    <w:rsid w:val="00254564"/>
    <w:rPr>
      <w:rFonts w:ascii="Trebuchet MS" w:hAnsi="Trebuchet MS" w:cs="Palatino-Roman"/>
      <w:color w:val="000000"/>
      <w:sz w:val="20"/>
      <w:szCs w:val="20"/>
    </w:rPr>
  </w:style>
  <w:style w:type="paragraph" w:styleId="ListParagraph">
    <w:name w:val="List Paragraph"/>
    <w:basedOn w:val="Normal"/>
    <w:uiPriority w:val="34"/>
    <w:qFormat/>
    <w:rsid w:val="0073117E"/>
    <w:pPr>
      <w:ind w:left="720"/>
      <w:contextualSpacing/>
    </w:pPr>
  </w:style>
  <w:style w:type="paragraph" w:styleId="Header">
    <w:name w:val="header"/>
    <w:basedOn w:val="Normal"/>
    <w:link w:val="HeaderChar"/>
    <w:rsid w:val="003D7696"/>
    <w:pPr>
      <w:tabs>
        <w:tab w:val="center" w:pos="4513"/>
        <w:tab w:val="right" w:pos="9026"/>
      </w:tabs>
    </w:pPr>
  </w:style>
  <w:style w:type="character" w:customStyle="1" w:styleId="HeaderChar">
    <w:name w:val="Header Char"/>
    <w:basedOn w:val="DefaultParagraphFont"/>
    <w:link w:val="Header"/>
    <w:rsid w:val="003D7696"/>
    <w:rPr>
      <w:sz w:val="24"/>
      <w:szCs w:val="24"/>
      <w:lang w:eastAsia="en-US"/>
    </w:rPr>
  </w:style>
  <w:style w:type="paragraph" w:styleId="Footer">
    <w:name w:val="footer"/>
    <w:basedOn w:val="Normal"/>
    <w:link w:val="FooterChar"/>
    <w:uiPriority w:val="99"/>
    <w:rsid w:val="003D7696"/>
    <w:pPr>
      <w:tabs>
        <w:tab w:val="center" w:pos="4513"/>
        <w:tab w:val="right" w:pos="9026"/>
      </w:tabs>
    </w:pPr>
  </w:style>
  <w:style w:type="character" w:customStyle="1" w:styleId="FooterChar">
    <w:name w:val="Footer Char"/>
    <w:basedOn w:val="DefaultParagraphFont"/>
    <w:link w:val="Footer"/>
    <w:uiPriority w:val="99"/>
    <w:rsid w:val="003D7696"/>
    <w:rPr>
      <w:sz w:val="24"/>
      <w:szCs w:val="24"/>
      <w:lang w:eastAsia="en-US"/>
    </w:rPr>
  </w:style>
  <w:style w:type="character" w:styleId="Hyperlink">
    <w:name w:val="Hyperlink"/>
    <w:basedOn w:val="DefaultParagraphFont"/>
    <w:uiPriority w:val="99"/>
    <w:unhideWhenUsed/>
    <w:rsid w:val="00E32EAE"/>
    <w:rPr>
      <w:color w:val="0000FF" w:themeColor="hyperlink"/>
      <w:u w:val="single"/>
    </w:rPr>
  </w:style>
  <w:style w:type="paragraph" w:customStyle="1" w:styleId="Bulletform">
    <w:name w:val="Bullet form"/>
    <w:basedOn w:val="Normal"/>
    <w:rsid w:val="00EE7C58"/>
    <w:pPr>
      <w:numPr>
        <w:numId w:val="6"/>
      </w:numPr>
      <w:spacing w:before="120"/>
      <w:ind w:left="714" w:hanging="357"/>
      <w:jc w:val="both"/>
    </w:pPr>
    <w:rPr>
      <w:rFonts w:ascii="GoudyOlSt BT" w:hAnsi="GoudyOlSt BT"/>
      <w:szCs w:val="20"/>
      <w:lang w:eastAsia="en-AU"/>
    </w:rPr>
  </w:style>
  <w:style w:type="paragraph" w:styleId="BalloonText">
    <w:name w:val="Balloon Text"/>
    <w:basedOn w:val="Normal"/>
    <w:link w:val="BalloonTextChar"/>
    <w:rsid w:val="00EE7C58"/>
    <w:rPr>
      <w:rFonts w:ascii="Tahoma" w:hAnsi="Tahoma" w:cs="Tahoma"/>
      <w:sz w:val="16"/>
      <w:szCs w:val="16"/>
    </w:rPr>
  </w:style>
  <w:style w:type="character" w:customStyle="1" w:styleId="BalloonTextChar">
    <w:name w:val="Balloon Text Char"/>
    <w:basedOn w:val="DefaultParagraphFont"/>
    <w:link w:val="BalloonText"/>
    <w:rsid w:val="00EE7C5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5736">
      <w:bodyDiv w:val="1"/>
      <w:marLeft w:val="0"/>
      <w:marRight w:val="0"/>
      <w:marTop w:val="0"/>
      <w:marBottom w:val="0"/>
      <w:divBdr>
        <w:top w:val="none" w:sz="0" w:space="0" w:color="auto"/>
        <w:left w:val="none" w:sz="0" w:space="0" w:color="auto"/>
        <w:bottom w:val="none" w:sz="0" w:space="0" w:color="auto"/>
        <w:right w:val="none" w:sz="0" w:space="0" w:color="auto"/>
      </w:divBdr>
    </w:div>
    <w:div w:id="12250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ustlii.edu.au/au/cases/cth/FMCA/2002/90.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stlii.edu.au/au/cases/cth/FMCA/2002/43.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ourts.qld.gov.au/__data/assets/pdf_file/0020/150266/sc-pd11of2012.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urts.qld.gov.au/__data/assets/pdf_file/0016/130507/sc-pd10of2011.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1044F-6CB8-43D5-A475-2DFD002B1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3283</Words>
  <Characters>18085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Submission DR258 - Federal Circuit Court of Australia - Access to Justice Arrangements - Public inquiry</vt:lpstr>
    </vt:vector>
  </TitlesOfParts>
  <Company>Federal Circuit Court of Australia</Company>
  <LinksUpToDate>false</LinksUpToDate>
  <CharactersWithSpaces>21326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DR258 - Federal Circuit Court of Australia - Access to Justice Arrangements - Public inquiry</dc:title>
  <dc:creator>Federal Circuit Court of Australia</dc:creator>
  <cp:lastModifiedBy>Productivity Commission</cp:lastModifiedBy>
  <cp:revision>2</cp:revision>
  <dcterms:created xsi:type="dcterms:W3CDTF">2014-06-11T23:45:00Z</dcterms:created>
  <dcterms:modified xsi:type="dcterms:W3CDTF">2014-06-11T23:45:00Z</dcterms:modified>
</cp:coreProperties>
</file>