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B64D" w14:textId="429C5BBB" w:rsidR="004A4E27" w:rsidRPr="00B63529" w:rsidRDefault="00524597" w:rsidP="00FE7EB6">
      <w:pPr>
        <w:jc w:val="both"/>
        <w:rPr>
          <w:rFonts w:ascii="Times New Roman" w:hAnsi="Times New Roman" w:cs="Times New Roman"/>
        </w:rPr>
      </w:pPr>
      <w:r w:rsidRPr="00B63529">
        <w:rPr>
          <w:rFonts w:ascii="Times New Roman" w:hAnsi="Times New Roman" w:cs="Times New Roman"/>
        </w:rPr>
        <w:t>Our Ref: UNSWLAWSOCGS2</w:t>
      </w:r>
      <w:r w:rsidR="004A4E27" w:rsidRPr="00B63529">
        <w:rPr>
          <w:rFonts w:ascii="Times New Roman" w:hAnsi="Times New Roman" w:cs="Times New Roman"/>
        </w:rPr>
        <w:t>/2014</w:t>
      </w:r>
    </w:p>
    <w:p w14:paraId="50117B84"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Box/Vol No:</w:t>
      </w:r>
    </w:p>
    <w:p w14:paraId="49BC6519"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Your Ref:</w:t>
      </w:r>
    </w:p>
    <w:p w14:paraId="5B7F4A5F"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 xml:space="preserve">Enquiries: </w:t>
      </w:r>
      <w:proofErr w:type="spellStart"/>
      <w:r w:rsidRPr="00B63529">
        <w:rPr>
          <w:rFonts w:ascii="Times New Roman" w:hAnsi="Times New Roman" w:cs="Times New Roman"/>
        </w:rPr>
        <w:t>Giridhar</w:t>
      </w:r>
      <w:proofErr w:type="spellEnd"/>
      <w:r w:rsidRPr="00B63529">
        <w:rPr>
          <w:rFonts w:ascii="Times New Roman" w:hAnsi="Times New Roman" w:cs="Times New Roman"/>
        </w:rPr>
        <w:t xml:space="preserve"> </w:t>
      </w:r>
      <w:proofErr w:type="spellStart"/>
      <w:r w:rsidRPr="00B63529">
        <w:rPr>
          <w:rFonts w:ascii="Times New Roman" w:hAnsi="Times New Roman" w:cs="Times New Roman"/>
        </w:rPr>
        <w:t>Kowtal</w:t>
      </w:r>
      <w:proofErr w:type="spellEnd"/>
      <w:r w:rsidRPr="00B63529">
        <w:rPr>
          <w:rFonts w:ascii="Times New Roman" w:hAnsi="Times New Roman" w:cs="Times New Roman"/>
        </w:rPr>
        <w:t xml:space="preserve"> – </w:t>
      </w:r>
      <w:proofErr w:type="spellStart"/>
      <w:r w:rsidRPr="00B63529">
        <w:rPr>
          <w:rFonts w:ascii="Times New Roman" w:hAnsi="Times New Roman" w:cs="Times New Roman"/>
        </w:rPr>
        <w:t>socialjustice.publications@unswlawsoc.org</w:t>
      </w:r>
      <w:proofErr w:type="spellEnd"/>
      <w:r w:rsidRPr="00B63529">
        <w:rPr>
          <w:rFonts w:ascii="Times New Roman" w:hAnsi="Times New Roman" w:cs="Times New Roman"/>
        </w:rPr>
        <w:t xml:space="preserve"> </w:t>
      </w:r>
    </w:p>
    <w:p w14:paraId="3D54F3A1" w14:textId="77777777" w:rsidR="004A4E27" w:rsidRPr="00B63529" w:rsidRDefault="004A4E27" w:rsidP="00FE7EB6">
      <w:pPr>
        <w:jc w:val="both"/>
        <w:rPr>
          <w:rFonts w:ascii="Times New Roman" w:hAnsi="Times New Roman" w:cs="Times New Roman"/>
        </w:rPr>
      </w:pPr>
    </w:p>
    <w:p w14:paraId="7F134E83" w14:textId="287231BC" w:rsidR="004A4E27" w:rsidRPr="00B63529" w:rsidRDefault="00524597" w:rsidP="00FE7EB6">
      <w:pPr>
        <w:jc w:val="both"/>
        <w:rPr>
          <w:rFonts w:ascii="Times New Roman" w:hAnsi="Times New Roman" w:cs="Times New Roman"/>
        </w:rPr>
      </w:pPr>
      <w:r w:rsidRPr="00B63529">
        <w:rPr>
          <w:rFonts w:ascii="Times New Roman" w:hAnsi="Times New Roman" w:cs="Times New Roman"/>
        </w:rPr>
        <w:t>4 June 2014</w:t>
      </w:r>
    </w:p>
    <w:p w14:paraId="22B7EE6E" w14:textId="77777777" w:rsidR="004A4E27" w:rsidRPr="00B63529" w:rsidRDefault="004A4E27" w:rsidP="00FE7EB6">
      <w:pPr>
        <w:jc w:val="both"/>
        <w:rPr>
          <w:rFonts w:ascii="Times New Roman" w:hAnsi="Times New Roman" w:cs="Times New Roman"/>
        </w:rPr>
      </w:pPr>
    </w:p>
    <w:p w14:paraId="2C7EAD90" w14:textId="63DF8233" w:rsidR="007B572F" w:rsidRPr="00B63529" w:rsidRDefault="007B572F" w:rsidP="00FE7EB6">
      <w:pPr>
        <w:jc w:val="both"/>
        <w:rPr>
          <w:rFonts w:ascii="Times New Roman" w:hAnsi="Times New Roman" w:cs="Times New Roman"/>
        </w:rPr>
      </w:pPr>
      <w:r w:rsidRPr="00B63529">
        <w:rPr>
          <w:rFonts w:ascii="Times New Roman" w:hAnsi="Times New Roman" w:cs="Times New Roman"/>
        </w:rPr>
        <w:t>Access to Justice</w:t>
      </w:r>
      <w:r w:rsidRPr="00B63529">
        <w:rPr>
          <w:rFonts w:ascii="Times New Roman" w:hAnsi="Times New Roman" w:cs="Times New Roman"/>
        </w:rPr>
        <w:tab/>
      </w:r>
      <w:bookmarkStart w:id="0" w:name="_GoBack"/>
      <w:bookmarkEnd w:id="0"/>
    </w:p>
    <w:p w14:paraId="12D527AF" w14:textId="1092BF91" w:rsidR="007B572F" w:rsidRPr="00B63529" w:rsidRDefault="007B572F" w:rsidP="00FE7EB6">
      <w:pPr>
        <w:jc w:val="both"/>
        <w:rPr>
          <w:rFonts w:ascii="Times New Roman" w:hAnsi="Times New Roman" w:cs="Times New Roman"/>
        </w:rPr>
      </w:pPr>
      <w:r w:rsidRPr="00B63529">
        <w:rPr>
          <w:rFonts w:ascii="Times New Roman" w:hAnsi="Times New Roman" w:cs="Times New Roman"/>
        </w:rPr>
        <w:t>Productivity Commission</w:t>
      </w:r>
      <w:r w:rsidRPr="00B63529">
        <w:rPr>
          <w:rFonts w:ascii="Times New Roman" w:hAnsi="Times New Roman" w:cs="Times New Roman"/>
        </w:rPr>
        <w:tab/>
        <w:t xml:space="preserve"> </w:t>
      </w:r>
    </w:p>
    <w:p w14:paraId="16602B29" w14:textId="68CBCA68" w:rsidR="007B572F" w:rsidRPr="00B63529" w:rsidRDefault="007B572F" w:rsidP="00FE7EB6">
      <w:pPr>
        <w:jc w:val="both"/>
        <w:rPr>
          <w:rFonts w:ascii="Times New Roman" w:hAnsi="Times New Roman" w:cs="Times New Roman"/>
        </w:rPr>
      </w:pPr>
      <w:r w:rsidRPr="00B63529">
        <w:rPr>
          <w:rFonts w:ascii="Times New Roman" w:hAnsi="Times New Roman" w:cs="Times New Roman"/>
        </w:rPr>
        <w:t>GPO Box 1428</w:t>
      </w:r>
      <w:r w:rsidRPr="00B63529">
        <w:rPr>
          <w:rFonts w:ascii="Times New Roman" w:hAnsi="Times New Roman" w:cs="Times New Roman"/>
        </w:rPr>
        <w:tab/>
      </w:r>
    </w:p>
    <w:p w14:paraId="02647B6C" w14:textId="3BB7E933" w:rsidR="007B572F" w:rsidRPr="00B63529" w:rsidRDefault="007B572F" w:rsidP="00FE7EB6">
      <w:pPr>
        <w:jc w:val="both"/>
        <w:rPr>
          <w:rFonts w:ascii="Times New Roman" w:hAnsi="Times New Roman" w:cs="Times New Roman"/>
        </w:rPr>
      </w:pPr>
      <w:r w:rsidRPr="00B63529">
        <w:rPr>
          <w:rFonts w:ascii="Times New Roman" w:hAnsi="Times New Roman" w:cs="Times New Roman"/>
        </w:rPr>
        <w:t>Canberra City ACT 2601</w:t>
      </w:r>
    </w:p>
    <w:p w14:paraId="2E27BFB6" w14:textId="77777777" w:rsidR="004A4E27" w:rsidRPr="00B63529" w:rsidRDefault="004A4E27" w:rsidP="00FE7EB6">
      <w:pPr>
        <w:jc w:val="both"/>
        <w:rPr>
          <w:rFonts w:ascii="Times New Roman" w:hAnsi="Times New Roman" w:cs="Times New Roman"/>
        </w:rPr>
      </w:pPr>
    </w:p>
    <w:p w14:paraId="45F2735F" w14:textId="7CEDE75A" w:rsidR="004A4E27" w:rsidRPr="00B63529" w:rsidRDefault="004A4E27" w:rsidP="00FE7EB6">
      <w:pPr>
        <w:jc w:val="center"/>
        <w:rPr>
          <w:rFonts w:ascii="Times New Roman" w:hAnsi="Times New Roman" w:cs="Times New Roman"/>
          <w:b/>
        </w:rPr>
      </w:pPr>
      <w:r w:rsidRPr="00B63529">
        <w:rPr>
          <w:rFonts w:ascii="Times New Roman" w:hAnsi="Times New Roman" w:cs="Times New Roman"/>
          <w:b/>
        </w:rPr>
        <w:t xml:space="preserve">Re: </w:t>
      </w:r>
      <w:r w:rsidR="007B572F" w:rsidRPr="00B63529">
        <w:rPr>
          <w:rFonts w:ascii="Times New Roman" w:hAnsi="Times New Roman" w:cs="Times New Roman"/>
          <w:b/>
        </w:rPr>
        <w:t>Access to Justice Arrangements</w:t>
      </w:r>
    </w:p>
    <w:p w14:paraId="0140DD94" w14:textId="77777777" w:rsidR="004A4E27" w:rsidRPr="00B63529" w:rsidRDefault="004A4E27" w:rsidP="00FE7EB6">
      <w:pPr>
        <w:jc w:val="both"/>
        <w:rPr>
          <w:rFonts w:ascii="Times New Roman" w:hAnsi="Times New Roman" w:cs="Times New Roman"/>
          <w:b/>
        </w:rPr>
      </w:pPr>
    </w:p>
    <w:p w14:paraId="308136FB"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 xml:space="preserve">The UNSW Law Society is the peak representative body for all students in the UNSW Faculty of Law. Nationally, we are one of the most respected student-run law organisations, attracting sponsorship from prominent national and international firms. We seek to develop UNSW Law students </w:t>
      </w:r>
      <w:r w:rsidR="00FC7BAE" w:rsidRPr="00B63529">
        <w:rPr>
          <w:rFonts w:ascii="Times New Roman" w:hAnsi="Times New Roman" w:cs="Times New Roman"/>
        </w:rPr>
        <w:t xml:space="preserve">academically, </w:t>
      </w:r>
      <w:r w:rsidRPr="00B63529">
        <w:rPr>
          <w:rFonts w:ascii="Times New Roman" w:hAnsi="Times New Roman" w:cs="Times New Roman"/>
        </w:rPr>
        <w:t>professionally, personally</w:t>
      </w:r>
      <w:r w:rsidR="00FC7BAE" w:rsidRPr="00B63529">
        <w:rPr>
          <w:rFonts w:ascii="Times New Roman" w:hAnsi="Times New Roman" w:cs="Times New Roman"/>
        </w:rPr>
        <w:t xml:space="preserve"> </w:t>
      </w:r>
      <w:r w:rsidRPr="00B63529">
        <w:rPr>
          <w:rFonts w:ascii="Times New Roman" w:hAnsi="Times New Roman" w:cs="Times New Roman"/>
        </w:rPr>
        <w:t>and socially</w:t>
      </w:r>
      <w:r w:rsidR="00FC7BAE" w:rsidRPr="00B63529">
        <w:rPr>
          <w:rFonts w:ascii="Times New Roman" w:hAnsi="Times New Roman" w:cs="Times New Roman"/>
        </w:rPr>
        <w:t>,</w:t>
      </w:r>
      <w:r w:rsidRPr="00B63529">
        <w:rPr>
          <w:rFonts w:ascii="Times New Roman" w:hAnsi="Times New Roman" w:cs="Times New Roman"/>
        </w:rPr>
        <w:t xml:space="preserve"> and </w:t>
      </w:r>
      <w:r w:rsidR="00FC7BAE" w:rsidRPr="00B63529">
        <w:rPr>
          <w:rFonts w:ascii="Times New Roman" w:hAnsi="Times New Roman" w:cs="Times New Roman"/>
        </w:rPr>
        <w:t xml:space="preserve">seek to assist UNSW Law </w:t>
      </w:r>
      <w:r w:rsidRPr="00B63529">
        <w:rPr>
          <w:rFonts w:ascii="Times New Roman" w:hAnsi="Times New Roman" w:cs="Times New Roman"/>
        </w:rPr>
        <w:t xml:space="preserve">students to aspire towards their professional and personal paths. The </w:t>
      </w:r>
      <w:r w:rsidR="00FC7BAE" w:rsidRPr="00B63529">
        <w:rPr>
          <w:rFonts w:ascii="Times New Roman" w:hAnsi="Times New Roman" w:cs="Times New Roman"/>
        </w:rPr>
        <w:t xml:space="preserve">UNSW Law </w:t>
      </w:r>
      <w:r w:rsidRPr="00B63529">
        <w:rPr>
          <w:rFonts w:ascii="Times New Roman" w:hAnsi="Times New Roman" w:cs="Times New Roman"/>
        </w:rPr>
        <w:t xml:space="preserve">Society is proud to celebrate a rich diversity of students with a multiplicity of aims, backgrounds and passions. </w:t>
      </w:r>
    </w:p>
    <w:p w14:paraId="68270835" w14:textId="77777777" w:rsidR="004A4E27" w:rsidRPr="00B63529" w:rsidRDefault="004A4E27" w:rsidP="00FE7EB6">
      <w:pPr>
        <w:jc w:val="both"/>
        <w:rPr>
          <w:rFonts w:ascii="Times New Roman" w:hAnsi="Times New Roman" w:cs="Times New Roman"/>
        </w:rPr>
      </w:pPr>
    </w:p>
    <w:p w14:paraId="3C72DA78" w14:textId="2CFD5A14" w:rsidR="004A4E27" w:rsidRPr="00B63529" w:rsidRDefault="004A4E27" w:rsidP="00FE7EB6">
      <w:pPr>
        <w:jc w:val="both"/>
        <w:rPr>
          <w:rFonts w:ascii="Times New Roman" w:hAnsi="Times New Roman" w:cs="Times New Roman"/>
        </w:rPr>
      </w:pPr>
      <w:r w:rsidRPr="00B63529">
        <w:rPr>
          <w:rFonts w:ascii="Times New Roman" w:hAnsi="Times New Roman" w:cs="Times New Roman"/>
        </w:rPr>
        <w:t xml:space="preserve">We welcome the opportunity to make a submission </w:t>
      </w:r>
      <w:r w:rsidR="00AD0531" w:rsidRPr="00B63529">
        <w:rPr>
          <w:rFonts w:ascii="Times New Roman" w:hAnsi="Times New Roman" w:cs="Times New Roman"/>
        </w:rPr>
        <w:t>in response to</w:t>
      </w:r>
      <w:r w:rsidRPr="00B63529">
        <w:rPr>
          <w:rFonts w:ascii="Times New Roman" w:hAnsi="Times New Roman" w:cs="Times New Roman"/>
        </w:rPr>
        <w:t xml:space="preserve"> the </w:t>
      </w:r>
      <w:r w:rsidR="007B572F" w:rsidRPr="00B63529">
        <w:rPr>
          <w:rFonts w:ascii="Times New Roman" w:hAnsi="Times New Roman" w:cs="Times New Roman"/>
        </w:rPr>
        <w:t xml:space="preserve">Access to Justice Arrangements Draft Report, released in April 2014. </w:t>
      </w:r>
      <w:r w:rsidR="00363592" w:rsidRPr="00B63529">
        <w:rPr>
          <w:rFonts w:ascii="Times New Roman" w:hAnsi="Times New Roman" w:cs="Times New Roman"/>
        </w:rPr>
        <w:t>The submissions below reflect the varied personal, collective, and academic interests of the students of the UNSW Law Society. Rather than seek to address every aspect of the Draft Report, the submission covers the following areas:</w:t>
      </w:r>
    </w:p>
    <w:p w14:paraId="14EAB9C2" w14:textId="77777777" w:rsidR="00363592" w:rsidRPr="00B63529" w:rsidRDefault="00363592" w:rsidP="00FE7EB6">
      <w:pPr>
        <w:jc w:val="both"/>
        <w:rPr>
          <w:rFonts w:ascii="Times New Roman" w:hAnsi="Times New Roman" w:cs="Times New Roman"/>
        </w:rPr>
      </w:pPr>
    </w:p>
    <w:p w14:paraId="25C3772E" w14:textId="76AF71C3"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Chapter 7 (‘A Responsive Legal Profession’)</w:t>
      </w:r>
    </w:p>
    <w:p w14:paraId="4019C945" w14:textId="019705A4" w:rsidR="00363592" w:rsidRPr="00B63529" w:rsidRDefault="00363592"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7.2 (‘Becoming a Lawyer – Education and Training’)</w:t>
      </w:r>
    </w:p>
    <w:p w14:paraId="7EDE6EA9" w14:textId="4561B552"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Chapter 8 (‘Alternative Dispute Resolution')</w:t>
      </w:r>
    </w:p>
    <w:p w14:paraId="19C014FC" w14:textId="04FE4656" w:rsidR="00363592" w:rsidRPr="00B63529" w:rsidRDefault="004D4E0A"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8.4</w:t>
      </w:r>
      <w:r w:rsidR="00363592" w:rsidRPr="00B63529">
        <w:rPr>
          <w:rFonts w:ascii="Times New Roman" w:hAnsi="Times New Roman" w:cs="Times New Roman"/>
        </w:rPr>
        <w:t xml:space="preserve"> (‘</w:t>
      </w:r>
      <w:r w:rsidRPr="00B63529">
        <w:rPr>
          <w:rFonts w:ascii="Times New Roman" w:hAnsi="Times New Roman" w:cs="Times New Roman"/>
        </w:rPr>
        <w:t>Facilitating Greater ADR’</w:t>
      </w:r>
      <w:r w:rsidR="00363592" w:rsidRPr="00B63529">
        <w:rPr>
          <w:rFonts w:ascii="Times New Roman" w:hAnsi="Times New Roman" w:cs="Times New Roman"/>
        </w:rPr>
        <w:t>)</w:t>
      </w:r>
    </w:p>
    <w:p w14:paraId="7B90BBD2" w14:textId="2E2C71D8"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Chapter 9 (‘Ombudsmen and Other Complaint Mechanisms’)</w:t>
      </w:r>
    </w:p>
    <w:p w14:paraId="7A1848F7" w14:textId="18E8B82C" w:rsidR="00363592" w:rsidRPr="00B63529" w:rsidRDefault="00363592"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9.1 (‘What do Ombudsmen Do?’)</w:t>
      </w:r>
    </w:p>
    <w:p w14:paraId="26A1F2D4" w14:textId="77777777"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 xml:space="preserve">Chapter 11 (‘Court Processes’) </w:t>
      </w:r>
    </w:p>
    <w:p w14:paraId="167C677F" w14:textId="3AC983D1" w:rsidR="00363592" w:rsidRPr="00B63529" w:rsidRDefault="00B16495"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11.3</w:t>
      </w:r>
      <w:r w:rsidR="00363592" w:rsidRPr="00B63529">
        <w:rPr>
          <w:rFonts w:ascii="Times New Roman" w:hAnsi="Times New Roman" w:cs="Times New Roman"/>
        </w:rPr>
        <w:t xml:space="preserve"> (‘</w:t>
      </w:r>
      <w:r w:rsidRPr="00B63529">
        <w:rPr>
          <w:rFonts w:ascii="Times New Roman" w:hAnsi="Times New Roman" w:cs="Times New Roman"/>
        </w:rPr>
        <w:t>Case Management’</w:t>
      </w:r>
      <w:r w:rsidR="00363592" w:rsidRPr="00B63529">
        <w:rPr>
          <w:rFonts w:ascii="Times New Roman" w:hAnsi="Times New Roman" w:cs="Times New Roman"/>
        </w:rPr>
        <w:t>)</w:t>
      </w:r>
    </w:p>
    <w:p w14:paraId="3D9B4123" w14:textId="6F77C669" w:rsidR="00363592" w:rsidRPr="00B63529" w:rsidRDefault="00363592"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11.5 (‘Discovery’)</w:t>
      </w:r>
    </w:p>
    <w:p w14:paraId="0F78854F" w14:textId="1F98953B"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Chapter 18 (‘Private Funding for Litigation’)</w:t>
      </w:r>
    </w:p>
    <w:p w14:paraId="5907E993" w14:textId="702E7007" w:rsidR="00363592" w:rsidRPr="00B63529" w:rsidRDefault="00363592" w:rsidP="00FE7EB6">
      <w:pPr>
        <w:pStyle w:val="ListParagraph"/>
        <w:numPr>
          <w:ilvl w:val="0"/>
          <w:numId w:val="2"/>
        </w:numPr>
        <w:jc w:val="both"/>
        <w:rPr>
          <w:rFonts w:ascii="Times New Roman" w:hAnsi="Times New Roman" w:cs="Times New Roman"/>
          <w:b/>
        </w:rPr>
      </w:pPr>
      <w:r w:rsidRPr="00B63529">
        <w:rPr>
          <w:rFonts w:ascii="Times New Roman" w:hAnsi="Times New Roman" w:cs="Times New Roman"/>
          <w:b/>
        </w:rPr>
        <w:t>Chapter 19 (‘Bridging the Gap’)</w:t>
      </w:r>
    </w:p>
    <w:p w14:paraId="345D08FC" w14:textId="0FE040ED" w:rsidR="00363592" w:rsidRPr="00B63529" w:rsidRDefault="00363592"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19.2 (‘Unbundling Legal Services’)</w:t>
      </w:r>
    </w:p>
    <w:p w14:paraId="10006745" w14:textId="07685CCD" w:rsidR="00363592" w:rsidRPr="00B63529" w:rsidRDefault="00363592" w:rsidP="00FE7EB6">
      <w:pPr>
        <w:pStyle w:val="ListParagraph"/>
        <w:numPr>
          <w:ilvl w:val="1"/>
          <w:numId w:val="2"/>
        </w:numPr>
        <w:jc w:val="both"/>
        <w:rPr>
          <w:rFonts w:ascii="Times New Roman" w:hAnsi="Times New Roman" w:cs="Times New Roman"/>
        </w:rPr>
      </w:pPr>
      <w:r w:rsidRPr="00B63529">
        <w:rPr>
          <w:rFonts w:ascii="Times New Roman" w:hAnsi="Times New Roman" w:cs="Times New Roman"/>
        </w:rPr>
        <w:t>Part 19.4 (‘Legal Expenses Contribution Scheme’)</w:t>
      </w:r>
    </w:p>
    <w:p w14:paraId="3A0606BA" w14:textId="77777777" w:rsidR="00F900B2" w:rsidRPr="00B63529" w:rsidRDefault="00F900B2" w:rsidP="00FE7EB6">
      <w:pPr>
        <w:jc w:val="both"/>
        <w:rPr>
          <w:rFonts w:ascii="Times New Roman" w:hAnsi="Times New Roman" w:cs="Times New Roman"/>
          <w:b/>
        </w:rPr>
      </w:pPr>
    </w:p>
    <w:p w14:paraId="163149FA" w14:textId="1D949086" w:rsidR="00363592" w:rsidRPr="00B63529" w:rsidRDefault="00363592" w:rsidP="00FE7EB6">
      <w:pPr>
        <w:jc w:val="both"/>
        <w:rPr>
          <w:rFonts w:ascii="Times New Roman" w:hAnsi="Times New Roman" w:cs="Times New Roman"/>
        </w:rPr>
      </w:pPr>
      <w:r w:rsidRPr="00B63529">
        <w:rPr>
          <w:rFonts w:ascii="Times New Roman" w:hAnsi="Times New Roman" w:cs="Times New Roman"/>
        </w:rPr>
        <w:t>The submission also addresses the UNSW Law Society’s concern about the lack of attention to student volunteers in Chapters 20 and 21 of the Draft Report.</w:t>
      </w:r>
    </w:p>
    <w:p w14:paraId="143CD55B" w14:textId="77777777" w:rsidR="00F900B2" w:rsidRPr="00B63529" w:rsidRDefault="00F900B2" w:rsidP="00FE7EB6">
      <w:pPr>
        <w:jc w:val="both"/>
        <w:rPr>
          <w:rFonts w:ascii="Times New Roman" w:hAnsi="Times New Roman" w:cs="Times New Roman"/>
          <w:b/>
        </w:rPr>
      </w:pPr>
    </w:p>
    <w:p w14:paraId="7CD1B7FB" w14:textId="77777777" w:rsidR="00F900B2" w:rsidRPr="00B63529" w:rsidRDefault="00F900B2" w:rsidP="00FE7EB6">
      <w:pPr>
        <w:jc w:val="both"/>
        <w:rPr>
          <w:rFonts w:ascii="Times New Roman" w:hAnsi="Times New Roman" w:cs="Times New Roman"/>
          <w:b/>
        </w:rPr>
      </w:pPr>
    </w:p>
    <w:p w14:paraId="148C13AB" w14:textId="77777777" w:rsidR="00F900B2" w:rsidRPr="00B63529" w:rsidRDefault="00F900B2" w:rsidP="00FE7EB6">
      <w:pPr>
        <w:jc w:val="both"/>
        <w:rPr>
          <w:rFonts w:ascii="Times New Roman" w:hAnsi="Times New Roman" w:cs="Times New Roman"/>
          <w:b/>
        </w:rPr>
      </w:pPr>
    </w:p>
    <w:p w14:paraId="72DF0161" w14:textId="77777777" w:rsidR="00D33B26" w:rsidRDefault="00D33B26" w:rsidP="00FE7EB6">
      <w:pPr>
        <w:jc w:val="both"/>
        <w:rPr>
          <w:rFonts w:ascii="Times New Roman" w:hAnsi="Times New Roman" w:cs="Times New Roman"/>
          <w:b/>
        </w:rPr>
      </w:pPr>
    </w:p>
    <w:p w14:paraId="6E8FB032" w14:textId="77777777" w:rsidR="004A4E27" w:rsidRPr="00B63529" w:rsidRDefault="004A4E27" w:rsidP="00FE7EB6">
      <w:pPr>
        <w:jc w:val="both"/>
        <w:rPr>
          <w:rFonts w:ascii="Times New Roman" w:hAnsi="Times New Roman" w:cs="Times New Roman"/>
          <w:b/>
        </w:rPr>
      </w:pPr>
      <w:r w:rsidRPr="00B63529">
        <w:rPr>
          <w:rFonts w:ascii="Times New Roman" w:hAnsi="Times New Roman" w:cs="Times New Roman"/>
          <w:b/>
        </w:rPr>
        <w:lastRenderedPageBreak/>
        <w:t>UNSW Law Society Co-Presidents</w:t>
      </w:r>
    </w:p>
    <w:p w14:paraId="19675292"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Marie Iskander</w:t>
      </w:r>
    </w:p>
    <w:p w14:paraId="2BD76DCD"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 xml:space="preserve">Benjamin </w:t>
      </w:r>
      <w:proofErr w:type="spellStart"/>
      <w:r w:rsidRPr="00B63529">
        <w:rPr>
          <w:rFonts w:ascii="Times New Roman" w:hAnsi="Times New Roman" w:cs="Times New Roman"/>
        </w:rPr>
        <w:t>Heenan</w:t>
      </w:r>
      <w:proofErr w:type="spellEnd"/>
    </w:p>
    <w:p w14:paraId="029C253F" w14:textId="77777777" w:rsidR="004A4E27" w:rsidRPr="00B63529" w:rsidRDefault="004A4E27" w:rsidP="00FE7EB6">
      <w:pPr>
        <w:jc w:val="both"/>
        <w:rPr>
          <w:rFonts w:ascii="Times New Roman" w:hAnsi="Times New Roman" w:cs="Times New Roman"/>
          <w:b/>
        </w:rPr>
      </w:pPr>
    </w:p>
    <w:p w14:paraId="3B4D9836" w14:textId="77777777" w:rsidR="004A4E27" w:rsidRPr="00B63529" w:rsidRDefault="004A4E27" w:rsidP="00FE7EB6">
      <w:pPr>
        <w:jc w:val="both"/>
        <w:rPr>
          <w:rFonts w:ascii="Times New Roman" w:hAnsi="Times New Roman" w:cs="Times New Roman"/>
          <w:b/>
        </w:rPr>
      </w:pPr>
      <w:r w:rsidRPr="00B63529">
        <w:rPr>
          <w:rFonts w:ascii="Times New Roman" w:hAnsi="Times New Roman" w:cs="Times New Roman"/>
          <w:b/>
        </w:rPr>
        <w:t>Social Justice Vice-President</w:t>
      </w:r>
    </w:p>
    <w:p w14:paraId="2AD51D8C"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rPr>
        <w:t>Katerina Jovanovska</w:t>
      </w:r>
    </w:p>
    <w:p w14:paraId="4CDB4ABE" w14:textId="77777777" w:rsidR="004A4E27" w:rsidRPr="00B63529" w:rsidRDefault="004A4E27" w:rsidP="00FE7EB6">
      <w:pPr>
        <w:jc w:val="both"/>
        <w:rPr>
          <w:rFonts w:ascii="Times New Roman" w:hAnsi="Times New Roman" w:cs="Times New Roman"/>
          <w:b/>
        </w:rPr>
      </w:pPr>
    </w:p>
    <w:p w14:paraId="13CF2E6C" w14:textId="77777777" w:rsidR="004C36A8" w:rsidRPr="00B63529" w:rsidRDefault="004A4E27" w:rsidP="00FE7EB6">
      <w:pPr>
        <w:jc w:val="both"/>
        <w:rPr>
          <w:rFonts w:ascii="Times New Roman" w:hAnsi="Times New Roman" w:cs="Times New Roman"/>
          <w:b/>
        </w:rPr>
      </w:pPr>
      <w:r w:rsidRPr="00B63529">
        <w:rPr>
          <w:rFonts w:ascii="Times New Roman" w:hAnsi="Times New Roman" w:cs="Times New Roman"/>
          <w:b/>
        </w:rPr>
        <w:t>Social Justice Publications Director</w:t>
      </w:r>
      <w:r w:rsidR="004C36A8" w:rsidRPr="00B63529">
        <w:rPr>
          <w:rFonts w:ascii="Times New Roman" w:hAnsi="Times New Roman" w:cs="Times New Roman"/>
          <w:b/>
        </w:rPr>
        <w:t xml:space="preserve"> </w:t>
      </w:r>
    </w:p>
    <w:p w14:paraId="0E349F15" w14:textId="77777777" w:rsidR="004A4E27" w:rsidRPr="00B63529" w:rsidRDefault="004C36A8" w:rsidP="00FE7EB6">
      <w:pPr>
        <w:jc w:val="both"/>
        <w:rPr>
          <w:rFonts w:ascii="Times New Roman" w:hAnsi="Times New Roman" w:cs="Times New Roman"/>
        </w:rPr>
      </w:pPr>
      <w:proofErr w:type="spellStart"/>
      <w:r w:rsidRPr="00B63529">
        <w:rPr>
          <w:rFonts w:ascii="Times New Roman" w:hAnsi="Times New Roman" w:cs="Times New Roman"/>
        </w:rPr>
        <w:t>Giridhar</w:t>
      </w:r>
      <w:proofErr w:type="spellEnd"/>
      <w:r w:rsidRPr="00B63529">
        <w:rPr>
          <w:rFonts w:ascii="Times New Roman" w:hAnsi="Times New Roman" w:cs="Times New Roman"/>
        </w:rPr>
        <w:t xml:space="preserve"> </w:t>
      </w:r>
      <w:proofErr w:type="spellStart"/>
      <w:r w:rsidRPr="00B63529">
        <w:rPr>
          <w:rFonts w:ascii="Times New Roman" w:hAnsi="Times New Roman" w:cs="Times New Roman"/>
        </w:rPr>
        <w:t>Kowtal</w:t>
      </w:r>
      <w:proofErr w:type="spellEnd"/>
    </w:p>
    <w:p w14:paraId="13C7A4CD" w14:textId="77777777" w:rsidR="004A4E27" w:rsidRPr="00B63529" w:rsidRDefault="004A4E27" w:rsidP="00FE7EB6">
      <w:pPr>
        <w:jc w:val="both"/>
        <w:rPr>
          <w:rFonts w:ascii="Times New Roman" w:hAnsi="Times New Roman" w:cs="Times New Roman"/>
        </w:rPr>
      </w:pPr>
    </w:p>
    <w:p w14:paraId="6D09FA7A" w14:textId="77777777" w:rsidR="004A4E27" w:rsidRPr="00B63529" w:rsidRDefault="004A4E27" w:rsidP="00FE7EB6">
      <w:pPr>
        <w:jc w:val="both"/>
        <w:rPr>
          <w:rFonts w:ascii="Times New Roman" w:hAnsi="Times New Roman" w:cs="Times New Roman"/>
        </w:rPr>
      </w:pPr>
      <w:r w:rsidRPr="00B63529">
        <w:rPr>
          <w:rFonts w:ascii="Times New Roman" w:hAnsi="Times New Roman" w:cs="Times New Roman"/>
          <w:b/>
        </w:rPr>
        <w:t>Government Submissions Team</w:t>
      </w:r>
    </w:p>
    <w:p w14:paraId="469159F5" w14:textId="754B622C" w:rsidR="007B572F" w:rsidRPr="00B63529" w:rsidRDefault="007B572F" w:rsidP="00FE7EB6">
      <w:pPr>
        <w:jc w:val="both"/>
        <w:rPr>
          <w:rFonts w:ascii="Times New Roman" w:hAnsi="Times New Roman" w:cs="Times New Roman"/>
        </w:rPr>
      </w:pPr>
      <w:r w:rsidRPr="00B63529">
        <w:rPr>
          <w:rFonts w:ascii="Times New Roman" w:hAnsi="Times New Roman" w:cs="Times New Roman"/>
        </w:rPr>
        <w:t xml:space="preserve">Sherif </w:t>
      </w:r>
      <w:proofErr w:type="spellStart"/>
      <w:r w:rsidRPr="00B63529">
        <w:rPr>
          <w:rFonts w:ascii="Times New Roman" w:hAnsi="Times New Roman" w:cs="Times New Roman"/>
        </w:rPr>
        <w:t>Alam</w:t>
      </w:r>
      <w:proofErr w:type="spellEnd"/>
    </w:p>
    <w:p w14:paraId="588ECC4A" w14:textId="79401962" w:rsidR="00F900B2" w:rsidRPr="00B63529" w:rsidRDefault="00F900B2" w:rsidP="00FE7EB6">
      <w:pPr>
        <w:jc w:val="both"/>
        <w:rPr>
          <w:rFonts w:ascii="Times New Roman" w:hAnsi="Times New Roman" w:cs="Times New Roman"/>
        </w:rPr>
      </w:pPr>
      <w:r w:rsidRPr="00B63529">
        <w:rPr>
          <w:rFonts w:ascii="Times New Roman" w:hAnsi="Times New Roman" w:cs="Times New Roman"/>
        </w:rPr>
        <w:t>Jack Coles</w:t>
      </w:r>
    </w:p>
    <w:p w14:paraId="66FA00F5" w14:textId="489B494E" w:rsidR="007B572F" w:rsidRPr="00B63529" w:rsidRDefault="007B572F" w:rsidP="00FE7EB6">
      <w:pPr>
        <w:jc w:val="both"/>
        <w:rPr>
          <w:rFonts w:ascii="Times New Roman" w:hAnsi="Times New Roman" w:cs="Times New Roman"/>
        </w:rPr>
      </w:pPr>
      <w:r w:rsidRPr="00B63529">
        <w:rPr>
          <w:rFonts w:ascii="Times New Roman" w:hAnsi="Times New Roman" w:cs="Times New Roman"/>
        </w:rPr>
        <w:t xml:space="preserve">George </w:t>
      </w:r>
      <w:proofErr w:type="spellStart"/>
      <w:r w:rsidRPr="00B63529">
        <w:rPr>
          <w:rFonts w:ascii="Times New Roman" w:hAnsi="Times New Roman" w:cs="Times New Roman"/>
        </w:rPr>
        <w:t>Fermanis</w:t>
      </w:r>
      <w:proofErr w:type="spellEnd"/>
    </w:p>
    <w:p w14:paraId="0858201D" w14:textId="53367D4E" w:rsidR="007B572F" w:rsidRPr="00B63529" w:rsidRDefault="007B572F" w:rsidP="00FE7EB6">
      <w:pPr>
        <w:jc w:val="both"/>
        <w:rPr>
          <w:rFonts w:ascii="Times New Roman" w:hAnsi="Times New Roman" w:cs="Times New Roman"/>
        </w:rPr>
      </w:pPr>
      <w:r w:rsidRPr="00B63529">
        <w:rPr>
          <w:rFonts w:ascii="Times New Roman" w:hAnsi="Times New Roman" w:cs="Times New Roman"/>
        </w:rPr>
        <w:t>Katherine Lau</w:t>
      </w:r>
    </w:p>
    <w:p w14:paraId="73E92B7E" w14:textId="69E9DE42" w:rsidR="007B572F" w:rsidRPr="00B63529" w:rsidRDefault="007B572F" w:rsidP="00FE7EB6">
      <w:pPr>
        <w:jc w:val="both"/>
        <w:rPr>
          <w:rFonts w:ascii="Times New Roman" w:hAnsi="Times New Roman" w:cs="Times New Roman"/>
        </w:rPr>
      </w:pPr>
      <w:r w:rsidRPr="00B63529">
        <w:rPr>
          <w:rFonts w:ascii="Times New Roman" w:hAnsi="Times New Roman" w:cs="Times New Roman"/>
        </w:rPr>
        <w:t xml:space="preserve">Tess </w:t>
      </w:r>
      <w:proofErr w:type="spellStart"/>
      <w:r w:rsidRPr="00B63529">
        <w:rPr>
          <w:rFonts w:ascii="Times New Roman" w:hAnsi="Times New Roman" w:cs="Times New Roman"/>
        </w:rPr>
        <w:t>Mulock</w:t>
      </w:r>
      <w:proofErr w:type="spellEnd"/>
    </w:p>
    <w:p w14:paraId="7C564F09" w14:textId="77777777" w:rsidR="007B572F" w:rsidRPr="00B63529" w:rsidRDefault="007B572F" w:rsidP="00FE7EB6">
      <w:pPr>
        <w:jc w:val="both"/>
        <w:rPr>
          <w:rFonts w:ascii="Times New Roman" w:hAnsi="Times New Roman" w:cs="Times New Roman"/>
        </w:rPr>
      </w:pPr>
      <w:proofErr w:type="spellStart"/>
      <w:r w:rsidRPr="00B63529">
        <w:rPr>
          <w:rFonts w:ascii="Times New Roman" w:hAnsi="Times New Roman" w:cs="Times New Roman"/>
        </w:rPr>
        <w:t>Amila</w:t>
      </w:r>
      <w:proofErr w:type="spellEnd"/>
      <w:r w:rsidRPr="00B63529">
        <w:rPr>
          <w:rFonts w:ascii="Times New Roman" w:hAnsi="Times New Roman" w:cs="Times New Roman"/>
        </w:rPr>
        <w:t xml:space="preserve"> </w:t>
      </w:r>
      <w:proofErr w:type="spellStart"/>
      <w:r w:rsidRPr="00B63529">
        <w:rPr>
          <w:rFonts w:ascii="Times New Roman" w:hAnsi="Times New Roman" w:cs="Times New Roman"/>
        </w:rPr>
        <w:t>Perera</w:t>
      </w:r>
      <w:proofErr w:type="spellEnd"/>
    </w:p>
    <w:p w14:paraId="589F9B58" w14:textId="77777777" w:rsidR="007B572F" w:rsidRPr="00B63529" w:rsidRDefault="007B572F" w:rsidP="00FE7EB6">
      <w:pPr>
        <w:jc w:val="both"/>
        <w:rPr>
          <w:rFonts w:ascii="Times New Roman" w:hAnsi="Times New Roman" w:cs="Times New Roman"/>
        </w:rPr>
      </w:pPr>
      <w:proofErr w:type="spellStart"/>
      <w:r w:rsidRPr="00B63529">
        <w:rPr>
          <w:rFonts w:ascii="Times New Roman" w:hAnsi="Times New Roman" w:cs="Times New Roman"/>
        </w:rPr>
        <w:t>Chiraag</w:t>
      </w:r>
      <w:proofErr w:type="spellEnd"/>
      <w:r w:rsidRPr="00B63529">
        <w:rPr>
          <w:rFonts w:ascii="Times New Roman" w:hAnsi="Times New Roman" w:cs="Times New Roman"/>
        </w:rPr>
        <w:t xml:space="preserve"> Shah</w:t>
      </w:r>
    </w:p>
    <w:p w14:paraId="2BA0FDBB" w14:textId="77777777" w:rsidR="007B572F" w:rsidRPr="00B63529" w:rsidRDefault="007B572F" w:rsidP="00FE7EB6">
      <w:pPr>
        <w:jc w:val="both"/>
        <w:rPr>
          <w:rFonts w:ascii="Times New Roman" w:hAnsi="Times New Roman" w:cs="Times New Roman"/>
        </w:rPr>
      </w:pPr>
      <w:proofErr w:type="spellStart"/>
      <w:r w:rsidRPr="00B63529">
        <w:rPr>
          <w:rFonts w:ascii="Times New Roman" w:hAnsi="Times New Roman" w:cs="Times New Roman"/>
        </w:rPr>
        <w:t>Divya</w:t>
      </w:r>
      <w:proofErr w:type="spellEnd"/>
      <w:r w:rsidRPr="00B63529">
        <w:rPr>
          <w:rFonts w:ascii="Times New Roman" w:hAnsi="Times New Roman" w:cs="Times New Roman"/>
        </w:rPr>
        <w:t xml:space="preserve"> Venkataraman</w:t>
      </w:r>
    </w:p>
    <w:p w14:paraId="6C71EEFA" w14:textId="4C008A7A" w:rsidR="007B572F" w:rsidRPr="00B63529" w:rsidRDefault="007B572F" w:rsidP="00FE7EB6">
      <w:pPr>
        <w:jc w:val="both"/>
        <w:rPr>
          <w:rFonts w:ascii="Times New Roman" w:hAnsi="Times New Roman" w:cs="Times New Roman"/>
        </w:rPr>
      </w:pPr>
      <w:r w:rsidRPr="00B63529">
        <w:rPr>
          <w:rFonts w:ascii="Times New Roman" w:hAnsi="Times New Roman" w:cs="Times New Roman"/>
        </w:rPr>
        <w:t xml:space="preserve">Genevieve </w:t>
      </w:r>
      <w:proofErr w:type="spellStart"/>
      <w:r w:rsidRPr="00B63529">
        <w:rPr>
          <w:rFonts w:ascii="Times New Roman" w:hAnsi="Times New Roman" w:cs="Times New Roman"/>
        </w:rPr>
        <w:t>Wilks</w:t>
      </w:r>
      <w:proofErr w:type="spellEnd"/>
    </w:p>
    <w:p w14:paraId="7E175296" w14:textId="77777777" w:rsidR="007B572F" w:rsidRPr="00B63529" w:rsidRDefault="007B572F" w:rsidP="00FE7EB6">
      <w:pPr>
        <w:jc w:val="both"/>
        <w:rPr>
          <w:rFonts w:ascii="Times New Roman" w:hAnsi="Times New Roman" w:cs="Times New Roman"/>
        </w:rPr>
      </w:pPr>
    </w:p>
    <w:p w14:paraId="45C5C0EB" w14:textId="27EF2FC4" w:rsidR="00F900B2" w:rsidRPr="00B63529" w:rsidRDefault="00F900B2" w:rsidP="00FE7EB6">
      <w:pPr>
        <w:jc w:val="both"/>
        <w:rPr>
          <w:rFonts w:ascii="Times New Roman" w:hAnsi="Times New Roman" w:cs="Times New Roman"/>
          <w:b/>
        </w:rPr>
      </w:pPr>
      <w:r w:rsidRPr="00B63529">
        <w:rPr>
          <w:rFonts w:ascii="Times New Roman" w:hAnsi="Times New Roman" w:cs="Times New Roman"/>
          <w:b/>
        </w:rPr>
        <w:t xml:space="preserve">Dean of UNSW Law </w:t>
      </w:r>
    </w:p>
    <w:p w14:paraId="4E86DC60" w14:textId="152E2FDF" w:rsidR="00F900B2" w:rsidRPr="00B63529" w:rsidRDefault="00F900B2" w:rsidP="00FE7EB6">
      <w:pPr>
        <w:jc w:val="both"/>
        <w:rPr>
          <w:rFonts w:ascii="Times New Roman" w:hAnsi="Times New Roman" w:cs="Times New Roman"/>
        </w:rPr>
      </w:pPr>
      <w:r w:rsidRPr="00B63529">
        <w:rPr>
          <w:rFonts w:ascii="Times New Roman" w:hAnsi="Times New Roman" w:cs="Times New Roman"/>
        </w:rPr>
        <w:t>Professor David Dixon</w:t>
      </w:r>
    </w:p>
    <w:p w14:paraId="26C12305" w14:textId="77777777" w:rsidR="00F900B2" w:rsidRPr="00B63529" w:rsidRDefault="00F900B2" w:rsidP="00FE7EB6">
      <w:pPr>
        <w:jc w:val="both"/>
        <w:rPr>
          <w:rFonts w:ascii="Times New Roman" w:hAnsi="Times New Roman" w:cs="Times New Roman"/>
          <w:b/>
        </w:rPr>
      </w:pPr>
    </w:p>
    <w:p w14:paraId="5FC8399A" w14:textId="074A3AFD" w:rsidR="007B572F" w:rsidRPr="00B63529" w:rsidRDefault="007B572F" w:rsidP="00FE7EB6">
      <w:pPr>
        <w:jc w:val="both"/>
        <w:rPr>
          <w:rFonts w:ascii="Times New Roman" w:hAnsi="Times New Roman" w:cs="Times New Roman"/>
          <w:b/>
        </w:rPr>
      </w:pPr>
      <w:r w:rsidRPr="00B63529">
        <w:rPr>
          <w:rFonts w:ascii="Times New Roman" w:hAnsi="Times New Roman" w:cs="Times New Roman"/>
          <w:b/>
        </w:rPr>
        <w:t>UNSW Law Faculty Advisors</w:t>
      </w:r>
    </w:p>
    <w:p w14:paraId="2AB46F03" w14:textId="77777777" w:rsidR="007B572F" w:rsidRPr="00B63529" w:rsidRDefault="007B572F" w:rsidP="00FE7EB6">
      <w:pPr>
        <w:jc w:val="both"/>
        <w:rPr>
          <w:rFonts w:ascii="Times New Roman" w:hAnsi="Times New Roman" w:cs="Times New Roman"/>
        </w:rPr>
      </w:pPr>
      <w:r w:rsidRPr="00B63529">
        <w:rPr>
          <w:rFonts w:ascii="Times New Roman" w:hAnsi="Times New Roman" w:cs="Times New Roman"/>
        </w:rPr>
        <w:t xml:space="preserve">Professor Andrea </w:t>
      </w:r>
      <w:proofErr w:type="spellStart"/>
      <w:r w:rsidRPr="00B63529">
        <w:rPr>
          <w:rFonts w:ascii="Times New Roman" w:hAnsi="Times New Roman" w:cs="Times New Roman"/>
        </w:rPr>
        <w:t>Durbach</w:t>
      </w:r>
      <w:proofErr w:type="spellEnd"/>
    </w:p>
    <w:p w14:paraId="6468F1A9" w14:textId="290BD489" w:rsidR="007B572F" w:rsidRPr="00B63529" w:rsidRDefault="007B572F" w:rsidP="00FE7EB6">
      <w:pPr>
        <w:jc w:val="both"/>
        <w:rPr>
          <w:rFonts w:ascii="Times New Roman" w:hAnsi="Times New Roman" w:cs="Times New Roman"/>
        </w:rPr>
      </w:pPr>
      <w:r w:rsidRPr="00B63529">
        <w:rPr>
          <w:rFonts w:ascii="Times New Roman" w:hAnsi="Times New Roman" w:cs="Times New Roman"/>
        </w:rPr>
        <w:t>Dr Rosemary Howell</w:t>
      </w:r>
    </w:p>
    <w:p w14:paraId="279FAEF6" w14:textId="7ADFF034" w:rsidR="007B572F" w:rsidRPr="00B63529" w:rsidRDefault="007B572F" w:rsidP="00FE7EB6">
      <w:pPr>
        <w:jc w:val="both"/>
        <w:rPr>
          <w:rFonts w:ascii="Times New Roman" w:hAnsi="Times New Roman" w:cs="Times New Roman"/>
        </w:rPr>
      </w:pPr>
      <w:r w:rsidRPr="00B63529">
        <w:rPr>
          <w:rFonts w:ascii="Times New Roman" w:hAnsi="Times New Roman" w:cs="Times New Roman"/>
        </w:rPr>
        <w:t>Professor Michael Legg</w:t>
      </w:r>
    </w:p>
    <w:p w14:paraId="2FDE146B" w14:textId="2242189E" w:rsidR="004A4E27" w:rsidRPr="00B63529" w:rsidRDefault="007B572F" w:rsidP="00FE7EB6">
      <w:pPr>
        <w:jc w:val="both"/>
        <w:rPr>
          <w:rFonts w:ascii="Times New Roman" w:hAnsi="Times New Roman" w:cs="Times New Roman"/>
        </w:rPr>
      </w:pPr>
      <w:r w:rsidRPr="00B63529">
        <w:rPr>
          <w:rFonts w:ascii="Times New Roman" w:hAnsi="Times New Roman" w:cs="Times New Roman"/>
        </w:rPr>
        <w:t>Professor Alex Steel</w:t>
      </w:r>
    </w:p>
    <w:p w14:paraId="571A2D20" w14:textId="77777777" w:rsidR="007B572F" w:rsidRPr="00B63529" w:rsidRDefault="007B572F" w:rsidP="00FE7EB6">
      <w:pPr>
        <w:jc w:val="both"/>
        <w:rPr>
          <w:rFonts w:ascii="Times New Roman" w:hAnsi="Times New Roman" w:cs="Times New Roman"/>
        </w:rPr>
      </w:pPr>
    </w:p>
    <w:p w14:paraId="75C20909" w14:textId="77777777" w:rsidR="00FC7BAE" w:rsidRPr="00B63529" w:rsidRDefault="00FC7BAE" w:rsidP="00FE7EB6">
      <w:pPr>
        <w:jc w:val="both"/>
        <w:rPr>
          <w:rFonts w:ascii="Times New Roman" w:hAnsi="Times New Roman" w:cs="Times New Roman"/>
          <w:b/>
        </w:rPr>
      </w:pPr>
      <w:r w:rsidRPr="00B63529">
        <w:rPr>
          <w:rFonts w:ascii="Times New Roman" w:hAnsi="Times New Roman" w:cs="Times New Roman"/>
          <w:b/>
        </w:rPr>
        <w:br w:type="page"/>
      </w:r>
    </w:p>
    <w:p w14:paraId="35E31FE4" w14:textId="1DAC284C" w:rsidR="00D6142A" w:rsidRPr="00B63529" w:rsidRDefault="00D6142A" w:rsidP="00FE7EB6">
      <w:pPr>
        <w:jc w:val="both"/>
        <w:rPr>
          <w:b/>
        </w:rPr>
      </w:pPr>
      <w:r w:rsidRPr="00B63529">
        <w:rPr>
          <w:b/>
        </w:rPr>
        <w:lastRenderedPageBreak/>
        <w:t xml:space="preserve">The UNSW Law Society welcomes the Productivity Commission’s attention to the importance of legal education in improving access to justice. </w:t>
      </w:r>
      <w:r w:rsidR="004D4E0A" w:rsidRPr="00B63529">
        <w:rPr>
          <w:b/>
        </w:rPr>
        <w:t>In response to C</w:t>
      </w:r>
      <w:r w:rsidRPr="00B63529">
        <w:rPr>
          <w:b/>
        </w:rPr>
        <w:t>hapter 7.2 of the Commission’s draft report, we make the following submissions:</w:t>
      </w:r>
    </w:p>
    <w:p w14:paraId="654B4BDC" w14:textId="77777777" w:rsidR="00D6142A" w:rsidRPr="00B63529" w:rsidRDefault="00D6142A" w:rsidP="00FE7EB6">
      <w:pPr>
        <w:jc w:val="both"/>
      </w:pPr>
    </w:p>
    <w:p w14:paraId="14AA358E" w14:textId="3151B117" w:rsidR="00D6142A" w:rsidRPr="00B63529" w:rsidRDefault="00FE7EB6" w:rsidP="00FE7EB6">
      <w:pPr>
        <w:pStyle w:val="ListParagraph"/>
        <w:numPr>
          <w:ilvl w:val="0"/>
          <w:numId w:val="3"/>
        </w:numPr>
        <w:tabs>
          <w:tab w:val="left" w:pos="0"/>
          <w:tab w:val="left" w:pos="270"/>
          <w:tab w:val="center" w:pos="4332"/>
        </w:tabs>
        <w:suppressAutoHyphens/>
      </w:pPr>
      <w:r w:rsidRPr="00B63529">
        <w:rPr>
          <w:b/>
        </w:rPr>
        <w:t>Oversupply of law graduates</w:t>
      </w:r>
      <w:r w:rsidR="00D6142A" w:rsidRPr="00B63529">
        <w:rPr>
          <w:b/>
        </w:rPr>
        <w:br/>
      </w:r>
    </w:p>
    <w:p w14:paraId="0A48C797" w14:textId="77777777" w:rsidR="00FE7EB6" w:rsidRPr="00B63529" w:rsidRDefault="00D6142A" w:rsidP="00FE7EB6">
      <w:pPr>
        <w:jc w:val="both"/>
      </w:pPr>
      <w:r w:rsidRPr="00B63529">
        <w:t>As students experiencing an educational environment steadily increasing in volume, the UNSW Law Society appreciates the concern abo</w:t>
      </w:r>
      <w:r w:rsidR="00FE7EB6" w:rsidRPr="00B63529">
        <w:t>ut oversupply of law graduates.</w:t>
      </w:r>
    </w:p>
    <w:p w14:paraId="60D53B03" w14:textId="7B84E7EA" w:rsidR="00D6142A" w:rsidRPr="00B63529" w:rsidRDefault="00D6142A" w:rsidP="00FE7EB6">
      <w:pPr>
        <w:jc w:val="both"/>
      </w:pPr>
    </w:p>
    <w:p w14:paraId="22E22347"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However, our concern does not stem from oversupply of graduates to the profession, because we agree that many students will pursue non-legal careers upon completion of their degree. Rather, our concern stems from the burden on teachers and students having to operate with increased class sizes.</w:t>
      </w:r>
    </w:p>
    <w:p w14:paraId="34C1E4F2" w14:textId="46867109" w:rsidR="00FE7EB6" w:rsidRPr="00B63529" w:rsidRDefault="00FE7EB6" w:rsidP="00FE7EB6">
      <w:pPr>
        <w:tabs>
          <w:tab w:val="left" w:pos="0"/>
          <w:tab w:val="left" w:pos="270"/>
          <w:tab w:val="center" w:pos="4332"/>
        </w:tabs>
        <w:suppressAutoHyphens/>
        <w:ind w:left="360"/>
        <w:jc w:val="both"/>
      </w:pPr>
    </w:p>
    <w:p w14:paraId="2EAB4727" w14:textId="264D9C44"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The UNSW Law Society is of the view that smaller, interactive, seminar-style classes improve the quality of education to the individual student. The merits of class participation are many: it develops oral communication skills, allows students to critically engage with materials on an ongoing basis</w:t>
      </w:r>
      <w:r w:rsidRPr="00B63529">
        <w:rPr>
          <w:rStyle w:val="FootnoteReference"/>
        </w:rPr>
        <w:footnoteReference w:id="1"/>
      </w:r>
      <w:r w:rsidRPr="00B63529">
        <w:t xml:space="preserve"> </w:t>
      </w:r>
      <w:r w:rsidR="002D20C7">
        <w:t xml:space="preserve">and </w:t>
      </w:r>
      <w:r w:rsidRPr="00B63529">
        <w:t>exposes students to social and situational learning.</w:t>
      </w:r>
      <w:r w:rsidRPr="00B63529">
        <w:rPr>
          <w:rStyle w:val="FootnoteReference"/>
        </w:rPr>
        <w:footnoteReference w:id="2"/>
      </w:r>
      <w:r w:rsidRPr="00B63529">
        <w:t xml:space="preserve"> It also allows for broader theoretical and contextual perspectives to be discussed, even in heavily doctrinal subject areas. A broader contextual approach ‘allows students to see the impact of law on various sections of society, and this can enhance their growth as professionals and their sense of justice’.</w:t>
      </w:r>
      <w:r w:rsidRPr="00B63529">
        <w:rPr>
          <w:rStyle w:val="FootnoteReference"/>
        </w:rPr>
        <w:footnoteReference w:id="3"/>
      </w:r>
      <w:r w:rsidRPr="00B63529">
        <w:t xml:space="preserve"> The graduation of well-rounded students with a deep, </w:t>
      </w:r>
      <w:proofErr w:type="spellStart"/>
      <w:r w:rsidRPr="00B63529">
        <w:t>contextualised</w:t>
      </w:r>
      <w:proofErr w:type="spellEnd"/>
      <w:r w:rsidRPr="00B63529">
        <w:t xml:space="preserve"> understanding of the law improves the quality of the legal profession.</w:t>
      </w:r>
    </w:p>
    <w:p w14:paraId="62AEBAF7" w14:textId="1E59C0F3" w:rsidR="00D6142A" w:rsidRPr="00B63529" w:rsidRDefault="00D6142A" w:rsidP="00FE7EB6">
      <w:pPr>
        <w:tabs>
          <w:tab w:val="left" w:pos="0"/>
          <w:tab w:val="left" w:pos="270"/>
          <w:tab w:val="center" w:pos="4332"/>
        </w:tabs>
        <w:suppressAutoHyphens/>
        <w:jc w:val="both"/>
      </w:pPr>
    </w:p>
    <w:p w14:paraId="744BF906" w14:textId="527F964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As class size</w:t>
      </w:r>
      <w:r w:rsidR="002D20C7">
        <w:t>s</w:t>
      </w:r>
      <w:r w:rsidRPr="00B63529">
        <w:t xml:space="preserve"> increase, the scope for this depth of involvement decreases. Again, the concern</w:t>
      </w:r>
      <w:r w:rsidR="002D20C7">
        <w:t xml:space="preserve"> of the UNSW Law Society</w:t>
      </w:r>
      <w:r w:rsidRPr="00B63529">
        <w:t xml:space="preserve"> is the net reduced teaching quality to all students, with a particular disadvantage to those who wish to enter the legal profession if they lack a strong foundation.</w:t>
      </w:r>
    </w:p>
    <w:p w14:paraId="64478526" w14:textId="5B1FAE26" w:rsidR="00D6142A" w:rsidRPr="00B63529" w:rsidRDefault="00D6142A" w:rsidP="00FE7EB6">
      <w:pPr>
        <w:tabs>
          <w:tab w:val="left" w:pos="0"/>
          <w:tab w:val="left" w:pos="270"/>
          <w:tab w:val="center" w:pos="4332"/>
        </w:tabs>
        <w:suppressAutoHyphens/>
        <w:jc w:val="both"/>
      </w:pPr>
    </w:p>
    <w:p w14:paraId="6968BFEB"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rPr>
          <w:b/>
        </w:rPr>
        <w:t xml:space="preserve">The UNSW Law Society submits that any review of legal education in Australia must include an investigation into appropriate class size, </w:t>
      </w:r>
      <w:r w:rsidRPr="00B63529">
        <w:rPr>
          <w:b/>
          <w:u w:val="single"/>
        </w:rPr>
        <w:t>from a pedagogical perspective</w:t>
      </w:r>
      <w:r w:rsidRPr="00B63529">
        <w:rPr>
          <w:b/>
        </w:rPr>
        <w:t>, to ensure law school is an equitable, high-quality learning experience for all students. This is necessary to foster the future of the profession.</w:t>
      </w:r>
    </w:p>
    <w:p w14:paraId="26CBE078" w14:textId="55527535" w:rsidR="00D6142A" w:rsidRPr="00B63529" w:rsidRDefault="00D6142A" w:rsidP="00FE7EB6">
      <w:pPr>
        <w:tabs>
          <w:tab w:val="left" w:pos="0"/>
          <w:tab w:val="left" w:pos="270"/>
          <w:tab w:val="center" w:pos="4332"/>
        </w:tabs>
        <w:suppressAutoHyphens/>
        <w:jc w:val="both"/>
      </w:pPr>
    </w:p>
    <w:p w14:paraId="576743C6" w14:textId="77777777" w:rsidR="00FE7EB6" w:rsidRPr="00B63529" w:rsidRDefault="00D6142A" w:rsidP="00FE7EB6">
      <w:pPr>
        <w:pStyle w:val="ListParagraph"/>
        <w:numPr>
          <w:ilvl w:val="0"/>
          <w:numId w:val="3"/>
        </w:numPr>
        <w:tabs>
          <w:tab w:val="left" w:pos="0"/>
          <w:tab w:val="left" w:pos="270"/>
          <w:tab w:val="center" w:pos="4332"/>
        </w:tabs>
        <w:suppressAutoHyphens/>
        <w:jc w:val="both"/>
      </w:pPr>
      <w:r w:rsidRPr="00B63529">
        <w:rPr>
          <w:b/>
        </w:rPr>
        <w:t>Clinical Legal Education</w:t>
      </w:r>
    </w:p>
    <w:p w14:paraId="766F1104" w14:textId="267D19DB" w:rsidR="00D6142A" w:rsidRPr="00B63529" w:rsidRDefault="00D6142A" w:rsidP="00FE7EB6">
      <w:pPr>
        <w:pStyle w:val="ListParagraph"/>
        <w:tabs>
          <w:tab w:val="left" w:pos="0"/>
          <w:tab w:val="left" w:pos="270"/>
          <w:tab w:val="center" w:pos="4332"/>
        </w:tabs>
        <w:suppressAutoHyphens/>
        <w:ind w:left="360"/>
        <w:jc w:val="both"/>
      </w:pPr>
      <w:r w:rsidRPr="00B63529">
        <w:rPr>
          <w:b/>
        </w:rPr>
        <w:br/>
      </w:r>
      <w:r w:rsidRPr="00B63529">
        <w:t xml:space="preserve">Exposure to pro bono work and ethical legal practice via clinical legal education is a valuable experience to students. With clinical legal education (CLE) being linked — since its earliest days — to the legal aid objectives of community legal </w:t>
      </w:r>
      <w:proofErr w:type="spellStart"/>
      <w:r w:rsidRPr="00B63529">
        <w:t>centres</w:t>
      </w:r>
      <w:proofErr w:type="spellEnd"/>
      <w:r w:rsidRPr="00B63529">
        <w:t xml:space="preserve">, there has long been a connection with </w:t>
      </w:r>
      <w:r w:rsidRPr="00B63529">
        <w:lastRenderedPageBreak/>
        <w:t>CLE and improving access to justice through professional cultural change.</w:t>
      </w:r>
      <w:r w:rsidRPr="00B63529">
        <w:rPr>
          <w:rStyle w:val="FootnoteReference"/>
        </w:rPr>
        <w:footnoteReference w:id="4"/>
      </w:r>
      <w:r w:rsidRPr="00B63529">
        <w:t xml:space="preserve">  Clinical legal education provides a good grounding for the student to be an ethical lawyer, with an appreciation for social justice issues and accessing the legal system on a ‘grass roots’ level.</w:t>
      </w:r>
      <w:r w:rsidRPr="00B63529">
        <w:br/>
      </w:r>
    </w:p>
    <w:p w14:paraId="21A938D2" w14:textId="67E6100A"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Legal Professional Conduct forms one of the Priestley 11 core courses to be included in Australian legal education. The corresponding course at UNSW is called Law</w:t>
      </w:r>
      <w:r w:rsidR="002D20C7">
        <w:t>yers</w:t>
      </w:r>
      <w:r w:rsidRPr="00B63529">
        <w:t xml:space="preserve">, Ethics and Justice and contains a component run in conjunction with the Kingsford Legal Centre (KLC). This part of the course provides students with an opportunity to take a case brief from clients attending the KLC evening clinics. Students are then assessed on a report, which requires them to critically reflect on both their experience at the clinic, and the role of community legal </w:t>
      </w:r>
      <w:proofErr w:type="spellStart"/>
      <w:r w:rsidRPr="00B63529">
        <w:t>centres</w:t>
      </w:r>
      <w:proofErr w:type="spellEnd"/>
      <w:r w:rsidRPr="00B63529">
        <w:t xml:space="preserve"> in the Australian legal landscape. This compulsory component is often a very rewarding practical experience for students who are able to gain an appreciation for the operation of the law as a client service profession.</w:t>
      </w:r>
    </w:p>
    <w:p w14:paraId="1DECB3DA" w14:textId="2C8AAADA" w:rsidR="00D6142A" w:rsidRPr="00B63529" w:rsidRDefault="00D6142A" w:rsidP="00FE7EB6">
      <w:pPr>
        <w:pStyle w:val="ListParagraph"/>
        <w:tabs>
          <w:tab w:val="left" w:pos="0"/>
          <w:tab w:val="left" w:pos="270"/>
          <w:tab w:val="center" w:pos="4332"/>
        </w:tabs>
        <w:suppressAutoHyphens/>
        <w:ind w:left="792"/>
        <w:jc w:val="both"/>
      </w:pPr>
    </w:p>
    <w:p w14:paraId="5EC9325A"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UNSW provides students with a range of clinical legal education options. These are available as electives, generally after most core courses have been completed, and encompass a broad range of opportunities for students to appreciate the intersection of real world problems and the black letter law. The UNSW Law Society is of the view that such programs, when structured with clear learning outcomes and assessment methods,</w:t>
      </w:r>
      <w:r w:rsidRPr="00B63529">
        <w:rPr>
          <w:rStyle w:val="FootnoteReference"/>
        </w:rPr>
        <w:footnoteReference w:id="5"/>
      </w:r>
      <w:r w:rsidRPr="00B63529">
        <w:t xml:space="preserve"> can serve students’ legal training and facilitate broader access to justice.</w:t>
      </w:r>
    </w:p>
    <w:p w14:paraId="1CBC6D2B" w14:textId="546E19E0" w:rsidR="00D6142A" w:rsidRPr="00B63529" w:rsidRDefault="00D6142A" w:rsidP="00FE7EB6">
      <w:pPr>
        <w:tabs>
          <w:tab w:val="left" w:pos="0"/>
          <w:tab w:val="left" w:pos="270"/>
          <w:tab w:val="center" w:pos="4332"/>
        </w:tabs>
        <w:suppressAutoHyphens/>
        <w:jc w:val="both"/>
      </w:pPr>
    </w:p>
    <w:p w14:paraId="1EE376DA" w14:textId="77777777" w:rsidR="00FE7EB6" w:rsidRPr="00B63529" w:rsidRDefault="00D6142A" w:rsidP="00FE7EB6">
      <w:pPr>
        <w:pStyle w:val="ListParagraph"/>
        <w:numPr>
          <w:ilvl w:val="2"/>
          <w:numId w:val="3"/>
        </w:numPr>
        <w:tabs>
          <w:tab w:val="left" w:pos="0"/>
          <w:tab w:val="left" w:pos="270"/>
          <w:tab w:val="center" w:pos="4332"/>
        </w:tabs>
        <w:suppressAutoHyphens/>
        <w:ind w:left="1276" w:hanging="556"/>
        <w:jc w:val="both"/>
      </w:pPr>
      <w:r w:rsidRPr="00B63529">
        <w:t>One such opportunity at UNSW is again through the KLC, where students are able to undertake an internship as part of the KLC’s general, employment or family law clinics. This program sees students engaging with clients, managing casework under supervision, being involved in the Centre’s law reform endeavours, and experiencing the workings of a high-volume legal practice.</w:t>
      </w:r>
      <w:r w:rsidRPr="00B63529">
        <w:rPr>
          <w:rStyle w:val="FootnoteReference"/>
        </w:rPr>
        <w:footnoteReference w:id="6"/>
      </w:r>
    </w:p>
    <w:p w14:paraId="03B4BC3A" w14:textId="6FC41EB9" w:rsidR="00D6142A" w:rsidRPr="00B63529" w:rsidRDefault="00D6142A" w:rsidP="00FE7EB6">
      <w:pPr>
        <w:pStyle w:val="ListParagraph"/>
        <w:tabs>
          <w:tab w:val="left" w:pos="0"/>
          <w:tab w:val="left" w:pos="270"/>
          <w:tab w:val="center" w:pos="4332"/>
        </w:tabs>
        <w:suppressAutoHyphens/>
        <w:ind w:left="1276"/>
        <w:jc w:val="both"/>
      </w:pPr>
    </w:p>
    <w:p w14:paraId="51DB8B54" w14:textId="77777777" w:rsidR="00FE7EB6" w:rsidRPr="00B63529" w:rsidRDefault="00D6142A" w:rsidP="00FE7EB6">
      <w:pPr>
        <w:pStyle w:val="ListParagraph"/>
        <w:numPr>
          <w:ilvl w:val="2"/>
          <w:numId w:val="3"/>
        </w:numPr>
        <w:tabs>
          <w:tab w:val="left" w:pos="0"/>
          <w:tab w:val="left" w:pos="270"/>
          <w:tab w:val="center" w:pos="4332"/>
        </w:tabs>
        <w:suppressAutoHyphens/>
        <w:ind w:left="1276" w:hanging="556"/>
        <w:jc w:val="both"/>
      </w:pPr>
      <w:r w:rsidRPr="00B63529">
        <w:t xml:space="preserve">Students are also able to take on various other internships that cover an array of </w:t>
      </w:r>
      <w:proofErr w:type="spellStart"/>
      <w:r w:rsidRPr="00B63529">
        <w:t>specialities</w:t>
      </w:r>
      <w:proofErr w:type="spellEnd"/>
      <w:r w:rsidRPr="00B63529">
        <w:t xml:space="preserve"> including refugee law, international financial regulation, children’s and youth law and online legal resources.</w:t>
      </w:r>
    </w:p>
    <w:p w14:paraId="47A5B9FD" w14:textId="2727DCF3" w:rsidR="00D6142A" w:rsidRPr="00B63529" w:rsidRDefault="00D6142A" w:rsidP="00FE7EB6">
      <w:pPr>
        <w:tabs>
          <w:tab w:val="left" w:pos="0"/>
          <w:tab w:val="left" w:pos="270"/>
          <w:tab w:val="center" w:pos="4332"/>
        </w:tabs>
        <w:suppressAutoHyphens/>
        <w:jc w:val="both"/>
      </w:pPr>
    </w:p>
    <w:p w14:paraId="3F540FBF"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Additionally, UNSW Law Society aims to foster an interest in social justice among its member students. It has a dedicated social justice portfolio whose aim is to involve students in events and publications with a social justice focus. This is an important element of developing a culture of awareness within the legal profession; new graduates attuned to gaps in the legal system are in a better position to effect positive change in the future and actively develop ways of improving access to justice.</w:t>
      </w:r>
    </w:p>
    <w:p w14:paraId="3BDCEC3D" w14:textId="1C03C9AA" w:rsidR="00D6142A" w:rsidRPr="00B63529" w:rsidRDefault="00D6142A" w:rsidP="00FE7EB6">
      <w:pPr>
        <w:pStyle w:val="ListParagraph"/>
        <w:tabs>
          <w:tab w:val="left" w:pos="0"/>
          <w:tab w:val="left" w:pos="270"/>
          <w:tab w:val="center" w:pos="4332"/>
        </w:tabs>
        <w:suppressAutoHyphens/>
        <w:ind w:left="792"/>
        <w:jc w:val="both"/>
      </w:pPr>
    </w:p>
    <w:p w14:paraId="585C4497"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The UNSW Law Society is of the view that early exposure to social justice issues is fundamental to law students’ development as ethical legal professionals. To this end, clinical legal education plays a vital role in helping students appreciate lawyers’ responsibilities as well as understanding client relationships, advocacy and law reform issues. Experiential learning produces students who are more confident as new lawyers, because they understand both the legal and social issues of practice. This has a positive impact on the quality of the profession.</w:t>
      </w:r>
    </w:p>
    <w:p w14:paraId="255FA505" w14:textId="601A1032" w:rsidR="00D6142A" w:rsidRPr="00B63529" w:rsidRDefault="00D6142A" w:rsidP="00FE7EB6">
      <w:pPr>
        <w:tabs>
          <w:tab w:val="left" w:pos="0"/>
          <w:tab w:val="left" w:pos="270"/>
          <w:tab w:val="center" w:pos="4332"/>
        </w:tabs>
        <w:suppressAutoHyphens/>
        <w:jc w:val="both"/>
      </w:pPr>
    </w:p>
    <w:p w14:paraId="44D2E192"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Furthermore, clinical legal education can help broaden access to justice by putting more legal advice services at the disposal of the community. Particularly where law clinics employ a community empowerment model, whereby clients are encouraged to take the maximum responsibility for their own legal issues after receiving advice,</w:t>
      </w:r>
      <w:r w:rsidRPr="00B63529">
        <w:rPr>
          <w:rStyle w:val="FootnoteReference"/>
        </w:rPr>
        <w:footnoteReference w:id="7"/>
      </w:r>
      <w:r w:rsidRPr="00B63529">
        <w:t xml:space="preserve"> both students and client community members are empowered by their contact with the clinic. </w:t>
      </w:r>
    </w:p>
    <w:p w14:paraId="614A87E2" w14:textId="69C4F112" w:rsidR="00D6142A" w:rsidRPr="00B63529" w:rsidRDefault="00D6142A" w:rsidP="00FE7EB6">
      <w:pPr>
        <w:tabs>
          <w:tab w:val="left" w:pos="0"/>
          <w:tab w:val="left" w:pos="270"/>
          <w:tab w:val="center" w:pos="4332"/>
        </w:tabs>
        <w:suppressAutoHyphens/>
        <w:jc w:val="both"/>
      </w:pPr>
    </w:p>
    <w:p w14:paraId="43613A46" w14:textId="77777777" w:rsidR="00FE7EB6" w:rsidRPr="00B63529" w:rsidRDefault="00D6142A" w:rsidP="00FE7EB6">
      <w:pPr>
        <w:pStyle w:val="ListParagraph"/>
        <w:numPr>
          <w:ilvl w:val="0"/>
          <w:numId w:val="3"/>
        </w:numPr>
        <w:tabs>
          <w:tab w:val="left" w:pos="0"/>
          <w:tab w:val="left" w:pos="270"/>
          <w:tab w:val="center" w:pos="4332"/>
        </w:tabs>
        <w:suppressAutoHyphens/>
        <w:jc w:val="both"/>
      </w:pPr>
      <w:r w:rsidRPr="00B63529">
        <w:rPr>
          <w:b/>
        </w:rPr>
        <w:t>Amending the Priestley 11 to include Alternative Dispute Resolution (ADR)</w:t>
      </w:r>
    </w:p>
    <w:p w14:paraId="21B70B83" w14:textId="77777777" w:rsidR="00FE7EB6" w:rsidRPr="00B63529" w:rsidRDefault="00D6142A" w:rsidP="00FE7EB6">
      <w:pPr>
        <w:pStyle w:val="ListParagraph"/>
        <w:tabs>
          <w:tab w:val="left" w:pos="0"/>
          <w:tab w:val="left" w:pos="270"/>
          <w:tab w:val="center" w:pos="4332"/>
        </w:tabs>
        <w:suppressAutoHyphens/>
        <w:ind w:left="360"/>
        <w:jc w:val="both"/>
      </w:pPr>
      <w:r w:rsidRPr="00B63529">
        <w:rPr>
          <w:b/>
        </w:rPr>
        <w:br/>
      </w:r>
      <w:r w:rsidRPr="00B63529">
        <w:t>The increasing emphasis on ADR and mediation in the everyday practice of the law means that a solid understanding of ADR is an essential skill for both new and seasoned lawyers. Law students graduating without an appreciation for this element of dispute resolution will lack a basic skill required for modern legal practice.</w:t>
      </w:r>
    </w:p>
    <w:p w14:paraId="034BC57E" w14:textId="30E7D687" w:rsidR="00D6142A" w:rsidRPr="00B63529" w:rsidRDefault="00FE7EB6" w:rsidP="00FE7EB6">
      <w:pPr>
        <w:pStyle w:val="ListParagraph"/>
        <w:tabs>
          <w:tab w:val="left" w:pos="0"/>
          <w:tab w:val="left" w:pos="270"/>
          <w:tab w:val="center" w:pos="4332"/>
        </w:tabs>
        <w:suppressAutoHyphens/>
        <w:ind w:left="360"/>
        <w:jc w:val="both"/>
      </w:pPr>
      <w:r w:rsidRPr="00B63529">
        <w:t xml:space="preserve"> </w:t>
      </w:r>
    </w:p>
    <w:p w14:paraId="491DBA9B"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However, we recognise that the increasing shift towards ADR does not always serve real justice between the parties. In particular, it is sometimes important for matters to be litigated in the transparent court system, particularly if those matters are of significant public interest requiring public exposure, assurance of accountability and if they may contribute to social progress.</w:t>
      </w:r>
      <w:r w:rsidRPr="00B63529">
        <w:rPr>
          <w:rStyle w:val="FootnoteReference"/>
        </w:rPr>
        <w:footnoteReference w:id="8"/>
      </w:r>
    </w:p>
    <w:p w14:paraId="0CE424D4" w14:textId="726FF5BE" w:rsidR="00D6142A" w:rsidRPr="00B63529" w:rsidRDefault="00D6142A" w:rsidP="00FE7EB6">
      <w:pPr>
        <w:pStyle w:val="ListParagraph"/>
        <w:tabs>
          <w:tab w:val="left" w:pos="0"/>
          <w:tab w:val="left" w:pos="270"/>
          <w:tab w:val="center" w:pos="4332"/>
        </w:tabs>
        <w:suppressAutoHyphens/>
        <w:ind w:left="792"/>
        <w:jc w:val="both"/>
      </w:pPr>
      <w:r w:rsidRPr="00B63529">
        <w:br/>
        <w:t>Therefore when students and lawyers are taught ADR skills and knowledge, it must include: an emphasis on ethical conduct foregrounding the desires and participation of the client, and an awareness of the systemic issues affecting dispute resolution such as power imbalances, social and cultural factors.</w:t>
      </w:r>
      <w:r w:rsidRPr="00B63529">
        <w:rPr>
          <w:rStyle w:val="FootnoteReference"/>
        </w:rPr>
        <w:footnoteReference w:id="9"/>
      </w:r>
      <w:r w:rsidRPr="00B63529">
        <w:t xml:space="preserve"> Clients who are not sufficiently engaged in the mediation process may be disappointed with the final outcome and feel justice has not been served.</w:t>
      </w:r>
      <w:r w:rsidRPr="00B63529">
        <w:rPr>
          <w:rStyle w:val="FootnoteReference"/>
        </w:rPr>
        <w:footnoteReference w:id="10"/>
      </w:r>
      <w:r w:rsidRPr="00B63529">
        <w:t xml:space="preserve"> It should also be noted that closed-door negotiations can potentially prevent important public interest cases being ventilated in the courts.</w:t>
      </w:r>
      <w:r w:rsidRPr="00B63529">
        <w:rPr>
          <w:rStyle w:val="FootnoteReference"/>
        </w:rPr>
        <w:footnoteReference w:id="11"/>
      </w:r>
      <w:r w:rsidRPr="00B63529">
        <w:t xml:space="preserve"> </w:t>
      </w:r>
      <w:r w:rsidRPr="00B63529">
        <w:br/>
      </w:r>
    </w:p>
    <w:p w14:paraId="4C336851" w14:textId="77777777" w:rsidR="00FE7EB6" w:rsidRPr="00B63529" w:rsidRDefault="00D6142A" w:rsidP="00FE7EB6">
      <w:pPr>
        <w:pStyle w:val="ListParagraph"/>
        <w:numPr>
          <w:ilvl w:val="2"/>
          <w:numId w:val="3"/>
        </w:numPr>
        <w:tabs>
          <w:tab w:val="left" w:pos="0"/>
          <w:tab w:val="left" w:pos="270"/>
          <w:tab w:val="center" w:pos="4332"/>
        </w:tabs>
        <w:suppressAutoHyphens/>
        <w:ind w:left="1418" w:hanging="709"/>
        <w:jc w:val="both"/>
      </w:pPr>
      <w:r w:rsidRPr="00B63529">
        <w:t xml:space="preserve">UNSW has included the subject </w:t>
      </w:r>
      <w:r w:rsidRPr="00B4515C">
        <w:t>Resolving Civil Disputes</w:t>
      </w:r>
      <w:r w:rsidRPr="00B63529">
        <w:t xml:space="preserve"> as a core subject for its law students following its 2010–13 major curriculum review. This subject contains an </w:t>
      </w:r>
      <w:r w:rsidRPr="00B63529">
        <w:lastRenderedPageBreak/>
        <w:t>ADR component which recognises the push towards mediation and teaches students the necessary skills to:</w:t>
      </w:r>
    </w:p>
    <w:p w14:paraId="27659962" w14:textId="0B057A8C" w:rsidR="00D6142A" w:rsidRPr="00B63529" w:rsidRDefault="00D6142A" w:rsidP="00FE7EB6">
      <w:pPr>
        <w:tabs>
          <w:tab w:val="left" w:pos="0"/>
          <w:tab w:val="left" w:pos="270"/>
          <w:tab w:val="center" w:pos="4332"/>
        </w:tabs>
        <w:suppressAutoHyphens/>
        <w:ind w:left="709"/>
        <w:jc w:val="both"/>
      </w:pPr>
    </w:p>
    <w:p w14:paraId="26602F71" w14:textId="77777777" w:rsidR="00FE7EB6" w:rsidRPr="00B63529" w:rsidRDefault="00D6142A" w:rsidP="00FE7EB6">
      <w:pPr>
        <w:pStyle w:val="ListParagraph"/>
        <w:numPr>
          <w:ilvl w:val="0"/>
          <w:numId w:val="4"/>
        </w:numPr>
        <w:tabs>
          <w:tab w:val="left" w:pos="0"/>
          <w:tab w:val="left" w:pos="270"/>
          <w:tab w:val="center" w:pos="4332"/>
        </w:tabs>
        <w:suppressAutoHyphens/>
        <w:jc w:val="both"/>
      </w:pPr>
      <w:r w:rsidRPr="00B63529">
        <w:t>prepare for and carry out mediation;</w:t>
      </w:r>
    </w:p>
    <w:p w14:paraId="7FBA1031" w14:textId="113141D2" w:rsidR="00D6142A" w:rsidRPr="00B63529" w:rsidRDefault="00D6142A" w:rsidP="00FE7EB6">
      <w:pPr>
        <w:pStyle w:val="ListParagraph"/>
        <w:tabs>
          <w:tab w:val="left" w:pos="0"/>
          <w:tab w:val="left" w:pos="270"/>
          <w:tab w:val="center" w:pos="4332"/>
        </w:tabs>
        <w:suppressAutoHyphens/>
        <w:ind w:left="1429"/>
        <w:jc w:val="both"/>
      </w:pPr>
    </w:p>
    <w:p w14:paraId="200C2353" w14:textId="77777777" w:rsidR="00D6142A" w:rsidRPr="00B63529" w:rsidRDefault="00D6142A" w:rsidP="00FE7EB6">
      <w:pPr>
        <w:pStyle w:val="ListParagraph"/>
        <w:numPr>
          <w:ilvl w:val="0"/>
          <w:numId w:val="4"/>
        </w:numPr>
        <w:tabs>
          <w:tab w:val="left" w:pos="0"/>
          <w:tab w:val="left" w:pos="270"/>
          <w:tab w:val="center" w:pos="4332"/>
        </w:tabs>
        <w:suppressAutoHyphens/>
        <w:jc w:val="both"/>
      </w:pPr>
      <w:r w:rsidRPr="00B63529">
        <w:t>understand that there are various avenues for dispute resolution of which mediation is only one option. Students are taught to understand factors determining when it is appropriate to mediate or litigate, with a particular focus on client needs.</w:t>
      </w:r>
    </w:p>
    <w:p w14:paraId="0CB3D83C" w14:textId="77777777" w:rsidR="00D6142A" w:rsidRPr="00B63529" w:rsidRDefault="00D6142A" w:rsidP="00FE7EB6">
      <w:pPr>
        <w:pStyle w:val="ListParagraph"/>
        <w:ind w:left="1418"/>
        <w:jc w:val="both"/>
      </w:pPr>
    </w:p>
    <w:p w14:paraId="29B6CCD0" w14:textId="6F7AF5AC" w:rsidR="00FE7EB6" w:rsidRPr="00B63529" w:rsidRDefault="00D6142A" w:rsidP="00FE7EB6">
      <w:pPr>
        <w:pStyle w:val="ListParagraph"/>
        <w:numPr>
          <w:ilvl w:val="2"/>
          <w:numId w:val="3"/>
        </w:numPr>
        <w:tabs>
          <w:tab w:val="left" w:pos="0"/>
          <w:tab w:val="left" w:pos="270"/>
          <w:tab w:val="center" w:pos="4332"/>
        </w:tabs>
        <w:suppressAutoHyphens/>
        <w:ind w:left="1418" w:hanging="698"/>
        <w:jc w:val="both"/>
      </w:pPr>
      <w:r w:rsidRPr="00B63529">
        <w:t xml:space="preserve">Further, one of the modules in UNSW’s core </w:t>
      </w:r>
      <w:r w:rsidRPr="00B4515C">
        <w:t>Law</w:t>
      </w:r>
      <w:r w:rsidR="002D20C7" w:rsidRPr="00B4515C">
        <w:t>yers</w:t>
      </w:r>
      <w:r w:rsidRPr="00B4515C">
        <w:t>, Ethics and Justice</w:t>
      </w:r>
      <w:r w:rsidRPr="00B63529">
        <w:t xml:space="preserve"> course is ‘Ethics in Negotiation and ADR’, introducing students to the negotiation process and relevant ethical issues and conduct.</w:t>
      </w:r>
    </w:p>
    <w:p w14:paraId="6A7B284C" w14:textId="69A738DC" w:rsidR="00D6142A" w:rsidRPr="00B63529" w:rsidRDefault="00D6142A" w:rsidP="00FE7EB6">
      <w:pPr>
        <w:pStyle w:val="ListParagraph"/>
        <w:tabs>
          <w:tab w:val="left" w:pos="0"/>
          <w:tab w:val="left" w:pos="270"/>
          <w:tab w:val="center" w:pos="4332"/>
        </w:tabs>
        <w:suppressAutoHyphens/>
        <w:ind w:left="1418"/>
        <w:jc w:val="both"/>
      </w:pPr>
    </w:p>
    <w:p w14:paraId="4F3D3261" w14:textId="77777777" w:rsidR="00FE7EB6" w:rsidRPr="00B63529" w:rsidRDefault="00D6142A" w:rsidP="00FE7EB6">
      <w:pPr>
        <w:pStyle w:val="ListParagraph"/>
        <w:numPr>
          <w:ilvl w:val="2"/>
          <w:numId w:val="3"/>
        </w:numPr>
        <w:tabs>
          <w:tab w:val="left" w:pos="0"/>
          <w:tab w:val="left" w:pos="270"/>
          <w:tab w:val="center" w:pos="4332"/>
        </w:tabs>
        <w:suppressAutoHyphens/>
        <w:ind w:left="1418" w:hanging="698"/>
        <w:jc w:val="both"/>
      </w:pPr>
      <w:r w:rsidRPr="00B63529">
        <w:t xml:space="preserve">Both courses above focus on the non-adversarial nature of mediation processes, which seek to find a mutually beneficial outcome for all parties. The courses </w:t>
      </w:r>
      <w:proofErr w:type="spellStart"/>
      <w:r w:rsidRPr="00B63529">
        <w:t>emphasise</w:t>
      </w:r>
      <w:proofErr w:type="spellEnd"/>
      <w:r w:rsidRPr="00B63529">
        <w:t xml:space="preserve"> the alternative skills and structures that may aid a successful negotiation, without taking an adversarial approach.</w:t>
      </w:r>
    </w:p>
    <w:p w14:paraId="11C5D5C9" w14:textId="5F9221CC" w:rsidR="00D6142A" w:rsidRPr="00B63529" w:rsidRDefault="00D6142A" w:rsidP="00FE7EB6">
      <w:pPr>
        <w:tabs>
          <w:tab w:val="left" w:pos="0"/>
          <w:tab w:val="left" w:pos="270"/>
          <w:tab w:val="center" w:pos="4332"/>
        </w:tabs>
        <w:suppressAutoHyphens/>
        <w:jc w:val="both"/>
      </w:pPr>
    </w:p>
    <w:p w14:paraId="0427770A"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The UNSW Law Society supports the integration of ADR as a compulsory core learning area in Australian law school curricula. Any such teaching of ADR should include not only technical skills but also teach students how to engage in ADR ethically and in line with professional standards and obligations. The appropriateness of ADR methods should be considered carefully where public interest cases are concerned, and students should understand this tension.</w:t>
      </w:r>
    </w:p>
    <w:p w14:paraId="44A5A755" w14:textId="77777777" w:rsidR="00D6142A" w:rsidRPr="00B63529" w:rsidRDefault="00D6142A" w:rsidP="00FE7EB6">
      <w:pPr>
        <w:jc w:val="both"/>
      </w:pPr>
    </w:p>
    <w:p w14:paraId="617AD225" w14:textId="77777777" w:rsidR="00FE7EB6" w:rsidRPr="00B63529" w:rsidRDefault="00D6142A" w:rsidP="00FE7EB6">
      <w:pPr>
        <w:pStyle w:val="ListParagraph"/>
        <w:numPr>
          <w:ilvl w:val="0"/>
          <w:numId w:val="3"/>
        </w:numPr>
        <w:tabs>
          <w:tab w:val="left" w:pos="0"/>
          <w:tab w:val="left" w:pos="270"/>
          <w:tab w:val="center" w:pos="4332"/>
        </w:tabs>
        <w:suppressAutoHyphens/>
        <w:jc w:val="both"/>
      </w:pPr>
      <w:r w:rsidRPr="00B63529">
        <w:rPr>
          <w:b/>
        </w:rPr>
        <w:t>Technological advancement and information saturation</w:t>
      </w:r>
    </w:p>
    <w:p w14:paraId="22113B20" w14:textId="13790996" w:rsidR="00D6142A" w:rsidRPr="00B63529" w:rsidRDefault="00D6142A" w:rsidP="00FE7EB6">
      <w:pPr>
        <w:pStyle w:val="ListParagraph"/>
        <w:tabs>
          <w:tab w:val="left" w:pos="0"/>
          <w:tab w:val="left" w:pos="270"/>
          <w:tab w:val="center" w:pos="4332"/>
        </w:tabs>
        <w:suppressAutoHyphens/>
        <w:ind w:left="360"/>
        <w:jc w:val="both"/>
      </w:pPr>
    </w:p>
    <w:p w14:paraId="257174EB" w14:textId="77777777" w:rsidR="00FE7EB6" w:rsidRPr="00B63529" w:rsidRDefault="00D6142A" w:rsidP="00FE7EB6">
      <w:pPr>
        <w:pStyle w:val="ListParagraph"/>
        <w:ind w:left="360"/>
        <w:jc w:val="both"/>
      </w:pPr>
      <w:r w:rsidRPr="00B63529">
        <w:t xml:space="preserve">The use of computers has </w:t>
      </w:r>
      <w:proofErr w:type="spellStart"/>
      <w:r w:rsidRPr="00B63529">
        <w:t>revolutionised</w:t>
      </w:r>
      <w:proofErr w:type="spellEnd"/>
      <w:r w:rsidRPr="00B63529">
        <w:t xml:space="preserve"> the legal profession, but in many respects lawyers lack competency in the efficient use of online legal resources. The rapid rate of technological change and pervasiveness of computer-mediated communication means it is increasingly important for legal professionals to develop and maintain relevant skills.</w:t>
      </w:r>
    </w:p>
    <w:p w14:paraId="0A160CE6" w14:textId="30971DA4" w:rsidR="00D6142A" w:rsidRPr="00B63529" w:rsidRDefault="00D6142A" w:rsidP="00FE7EB6">
      <w:pPr>
        <w:jc w:val="both"/>
      </w:pPr>
    </w:p>
    <w:p w14:paraId="3058F957" w14:textId="77777777" w:rsidR="00FE7EB6" w:rsidRPr="00B63529" w:rsidRDefault="00D6142A" w:rsidP="00FE7EB6">
      <w:pPr>
        <w:pStyle w:val="ListParagraph"/>
        <w:numPr>
          <w:ilvl w:val="1"/>
          <w:numId w:val="3"/>
        </w:numPr>
        <w:tabs>
          <w:tab w:val="left" w:pos="0"/>
          <w:tab w:val="left" w:pos="270"/>
          <w:tab w:val="center" w:pos="4332"/>
        </w:tabs>
        <w:suppressAutoHyphens/>
        <w:jc w:val="both"/>
      </w:pPr>
      <w:r w:rsidRPr="00B63529">
        <w:t>While digitization of legal resources has made information much more freely accessible, it has also allowed for a proliferation of information sources — some authoritative, some unreliable. The ability to identify the reliability of these sources is not an innate skill. Effective online legal research needs to be learnt by old and new lawyers alike if they are to have current knowledge and avoid professional negligence.</w:t>
      </w:r>
    </w:p>
    <w:p w14:paraId="0AF997F8" w14:textId="372A279F" w:rsidR="00D6142A" w:rsidRPr="00B63529" w:rsidRDefault="00D6142A" w:rsidP="00FE7EB6">
      <w:pPr>
        <w:pStyle w:val="ListParagraph"/>
        <w:tabs>
          <w:tab w:val="left" w:pos="0"/>
          <w:tab w:val="left" w:pos="270"/>
          <w:tab w:val="center" w:pos="4332"/>
        </w:tabs>
        <w:suppressAutoHyphens/>
        <w:ind w:left="792"/>
        <w:jc w:val="both"/>
      </w:pPr>
    </w:p>
    <w:p w14:paraId="673EDB99" w14:textId="77777777" w:rsidR="00FE7EB6" w:rsidRPr="00B63529" w:rsidRDefault="00D6142A" w:rsidP="00FE7EB6">
      <w:pPr>
        <w:pStyle w:val="ListParagraph"/>
        <w:numPr>
          <w:ilvl w:val="2"/>
          <w:numId w:val="3"/>
        </w:numPr>
        <w:tabs>
          <w:tab w:val="left" w:pos="0"/>
          <w:tab w:val="left" w:pos="270"/>
          <w:tab w:val="left" w:pos="1276"/>
        </w:tabs>
        <w:suppressAutoHyphens/>
        <w:jc w:val="both"/>
      </w:pPr>
      <w:r w:rsidRPr="00B63529">
        <w:t xml:space="preserve">The corollary of this is that lawyers who are </w:t>
      </w:r>
      <w:r w:rsidRPr="00B63529">
        <w:rPr>
          <w:i/>
        </w:rPr>
        <w:t>not</w:t>
      </w:r>
      <w:r w:rsidRPr="00B63529">
        <w:t xml:space="preserve"> equipped with such skills are particularly susceptible to professional negligence suits or, at a minimum, heavily reliant on colleagues and other sources. This in turn drives up costs to the client and unnecessarily prolongs the running of cases.</w:t>
      </w:r>
    </w:p>
    <w:p w14:paraId="2447B25A" w14:textId="1CEADE9E" w:rsidR="00D6142A" w:rsidRPr="00B63529" w:rsidRDefault="00FE7EB6" w:rsidP="00FE7EB6">
      <w:pPr>
        <w:tabs>
          <w:tab w:val="left" w:pos="0"/>
          <w:tab w:val="left" w:pos="270"/>
          <w:tab w:val="left" w:pos="1276"/>
        </w:tabs>
        <w:suppressAutoHyphens/>
        <w:jc w:val="both"/>
      </w:pPr>
      <w:r w:rsidRPr="00B63529">
        <w:t xml:space="preserve"> </w:t>
      </w:r>
    </w:p>
    <w:p w14:paraId="796B2332" w14:textId="77777777" w:rsidR="00FE7EB6" w:rsidRPr="00B63529" w:rsidRDefault="00D6142A" w:rsidP="00FE7EB6">
      <w:pPr>
        <w:pStyle w:val="ListParagraph"/>
        <w:numPr>
          <w:ilvl w:val="2"/>
          <w:numId w:val="3"/>
        </w:numPr>
        <w:tabs>
          <w:tab w:val="left" w:pos="0"/>
          <w:tab w:val="left" w:pos="270"/>
          <w:tab w:val="left" w:pos="1276"/>
        </w:tabs>
        <w:suppressAutoHyphens/>
        <w:jc w:val="both"/>
      </w:pPr>
      <w:r w:rsidRPr="00B63529">
        <w:t xml:space="preserve">At the law school level, it is now practically impossible to complete a law degree without some level of computer literacy. It is important to stress, however, that these </w:t>
      </w:r>
      <w:r w:rsidRPr="00B63529">
        <w:lastRenderedPageBreak/>
        <w:t xml:space="preserve">skills are necessary for all members of the profession. The courts in NSW have embraced, to a great extent, the capabilities of technology with the introduction of e-filing at Online Registry and </w:t>
      </w:r>
      <w:proofErr w:type="spellStart"/>
      <w:r w:rsidRPr="00B63529">
        <w:t>JusticeLink</w:t>
      </w:r>
      <w:proofErr w:type="spellEnd"/>
      <w:r w:rsidRPr="00B63529">
        <w:t xml:space="preserve">. Authorised depositories of legislative material and case law are easily accessible online at no cost (such as </w:t>
      </w:r>
      <w:proofErr w:type="spellStart"/>
      <w:r w:rsidRPr="00B63529">
        <w:t>Comlaw</w:t>
      </w:r>
      <w:proofErr w:type="spellEnd"/>
      <w:r w:rsidRPr="00B63529">
        <w:t xml:space="preserve">, </w:t>
      </w:r>
      <w:proofErr w:type="spellStart"/>
      <w:r w:rsidRPr="00B63529">
        <w:t>AustLII</w:t>
      </w:r>
      <w:proofErr w:type="spellEnd"/>
      <w:r w:rsidRPr="00B63529">
        <w:t>, and the official state legislation and court websites).</w:t>
      </w:r>
    </w:p>
    <w:p w14:paraId="6D91F571" w14:textId="153266E2" w:rsidR="00D6142A" w:rsidRPr="00B63529" w:rsidRDefault="00D6142A" w:rsidP="00FE7EB6">
      <w:pPr>
        <w:tabs>
          <w:tab w:val="left" w:pos="0"/>
          <w:tab w:val="left" w:pos="270"/>
          <w:tab w:val="left" w:pos="1276"/>
        </w:tabs>
        <w:suppressAutoHyphens/>
        <w:jc w:val="both"/>
      </w:pPr>
    </w:p>
    <w:p w14:paraId="1FCC4FB3" w14:textId="7362B922" w:rsidR="00FE7EB6" w:rsidRPr="00B63529" w:rsidRDefault="00B63529" w:rsidP="00FE7EB6">
      <w:pPr>
        <w:pStyle w:val="ListParagraph"/>
        <w:numPr>
          <w:ilvl w:val="2"/>
          <w:numId w:val="3"/>
        </w:numPr>
        <w:tabs>
          <w:tab w:val="left" w:pos="0"/>
          <w:tab w:val="left" w:pos="270"/>
          <w:tab w:val="left" w:pos="1276"/>
        </w:tabs>
        <w:suppressAutoHyphens/>
        <w:jc w:val="both"/>
      </w:pPr>
      <w:r>
        <w:t xml:space="preserve"> </w:t>
      </w:r>
      <w:r w:rsidR="00D6142A" w:rsidRPr="00B63529">
        <w:t>As such, there is little excuse for protracted legal costs relating to matters quickly resolved online. It would be prudent for professional legal regulation to include some way of monitoring this type of competency. Since it is crucial to professional practice across the board, one solution could be its inclusion in Continuing Legal Education requirements. This would also account for the constant change of resources as various institutions adapt to the digital environment.</w:t>
      </w:r>
    </w:p>
    <w:p w14:paraId="1381EC96" w14:textId="0566E895" w:rsidR="00D6142A" w:rsidRPr="00B63529" w:rsidRDefault="00D6142A" w:rsidP="00FE7EB6">
      <w:pPr>
        <w:tabs>
          <w:tab w:val="left" w:pos="0"/>
          <w:tab w:val="left" w:pos="270"/>
          <w:tab w:val="left" w:pos="1276"/>
        </w:tabs>
        <w:suppressAutoHyphens/>
        <w:jc w:val="both"/>
      </w:pPr>
    </w:p>
    <w:p w14:paraId="68D13060" w14:textId="77777777" w:rsidR="00FE7EB6" w:rsidRPr="00B63529" w:rsidRDefault="00D6142A" w:rsidP="00FE7EB6">
      <w:pPr>
        <w:pStyle w:val="ListParagraph"/>
        <w:numPr>
          <w:ilvl w:val="1"/>
          <w:numId w:val="3"/>
        </w:numPr>
        <w:tabs>
          <w:tab w:val="left" w:pos="0"/>
          <w:tab w:val="left" w:pos="270"/>
          <w:tab w:val="left" w:pos="1276"/>
        </w:tabs>
        <w:suppressAutoHyphens/>
        <w:jc w:val="both"/>
      </w:pPr>
      <w:r w:rsidRPr="00B63529">
        <w:t>Another serious consideration for lawyers is how their professional obligations may be compromised by their use of technology. In particular, the widespread uptake of cloud computing poses a threat to clients’ confidentiality if data is unsecured or accessed by third parties for storage purposes.</w:t>
      </w:r>
      <w:r w:rsidRPr="00B63529">
        <w:rPr>
          <w:rStyle w:val="FootnoteReference"/>
        </w:rPr>
        <w:footnoteReference w:id="12"/>
      </w:r>
    </w:p>
    <w:p w14:paraId="7A5DE5C5" w14:textId="5E0AB213" w:rsidR="00D6142A" w:rsidRPr="00B63529" w:rsidRDefault="00FE7EB6" w:rsidP="00FE7EB6">
      <w:pPr>
        <w:pStyle w:val="ListParagraph"/>
        <w:tabs>
          <w:tab w:val="left" w:pos="0"/>
          <w:tab w:val="left" w:pos="270"/>
          <w:tab w:val="left" w:pos="1276"/>
        </w:tabs>
        <w:suppressAutoHyphens/>
        <w:ind w:left="792"/>
        <w:jc w:val="both"/>
      </w:pPr>
      <w:r w:rsidRPr="00B63529">
        <w:t xml:space="preserve"> </w:t>
      </w:r>
    </w:p>
    <w:p w14:paraId="2AC40C5D" w14:textId="77777777" w:rsidR="00FE7EB6" w:rsidRPr="00B63529" w:rsidRDefault="00D6142A" w:rsidP="00FE7EB6">
      <w:pPr>
        <w:pStyle w:val="ListParagraph"/>
        <w:numPr>
          <w:ilvl w:val="2"/>
          <w:numId w:val="3"/>
        </w:numPr>
        <w:tabs>
          <w:tab w:val="left" w:pos="0"/>
          <w:tab w:val="left" w:pos="270"/>
          <w:tab w:val="left" w:pos="1276"/>
        </w:tabs>
        <w:suppressAutoHyphens/>
        <w:jc w:val="both"/>
      </w:pPr>
      <w:r w:rsidRPr="00B63529">
        <w:t>Email is now a commonplace method of communication between legal practitioners. It is also a portal through which information can easily go astray or confidential information can be accidentally disclosed. Firms should have IT systems and training in place to ensure lawyers do not unwittingly breach their professional rules.</w:t>
      </w:r>
    </w:p>
    <w:p w14:paraId="7F44A801" w14:textId="7C41D950" w:rsidR="00D6142A" w:rsidRPr="00B63529" w:rsidRDefault="00FE7EB6" w:rsidP="00FE7EB6">
      <w:pPr>
        <w:pStyle w:val="ListParagraph"/>
        <w:tabs>
          <w:tab w:val="left" w:pos="0"/>
          <w:tab w:val="left" w:pos="270"/>
          <w:tab w:val="left" w:pos="1276"/>
        </w:tabs>
        <w:suppressAutoHyphens/>
        <w:ind w:left="1224"/>
        <w:jc w:val="both"/>
      </w:pPr>
      <w:r w:rsidRPr="00B63529">
        <w:t xml:space="preserve"> </w:t>
      </w:r>
    </w:p>
    <w:p w14:paraId="07EE2EDE" w14:textId="77777777" w:rsidR="00D6142A" w:rsidRPr="00B63529" w:rsidRDefault="00D6142A" w:rsidP="00FE7EB6">
      <w:pPr>
        <w:pStyle w:val="ListParagraph"/>
        <w:numPr>
          <w:ilvl w:val="1"/>
          <w:numId w:val="3"/>
        </w:numPr>
        <w:tabs>
          <w:tab w:val="left" w:pos="0"/>
          <w:tab w:val="left" w:pos="270"/>
          <w:tab w:val="left" w:pos="1276"/>
        </w:tabs>
        <w:suppressAutoHyphens/>
        <w:jc w:val="both"/>
      </w:pPr>
      <w:r w:rsidRPr="00B63529">
        <w:t>The UNSW Law Society is of the view that use of technology in the legal profession requires some level of regulation. This is because of its rapid development and widespread use in law firms, courts, law schools etc. It is also necessary to ensure that computer mediated communication is being used to increase efficiency and reduce costs, rather than inflate them via unnecessarily frequent (and billed) contact.</w:t>
      </w:r>
    </w:p>
    <w:p w14:paraId="428CA485" w14:textId="77777777" w:rsidR="008A4CCB" w:rsidRPr="00B63529" w:rsidRDefault="008A4CCB" w:rsidP="00FE7EB6">
      <w:pPr>
        <w:pBdr>
          <w:bottom w:val="single" w:sz="6" w:space="1" w:color="auto"/>
        </w:pBdr>
        <w:tabs>
          <w:tab w:val="left" w:pos="0"/>
          <w:tab w:val="left" w:pos="270"/>
          <w:tab w:val="left" w:pos="1276"/>
        </w:tabs>
        <w:suppressAutoHyphens/>
        <w:jc w:val="both"/>
      </w:pPr>
    </w:p>
    <w:p w14:paraId="33ADA360" w14:textId="2D358314" w:rsidR="00F61E9E" w:rsidRPr="00B63529" w:rsidRDefault="00F61E9E" w:rsidP="00FE7EB6">
      <w:pPr>
        <w:jc w:val="both"/>
      </w:pPr>
    </w:p>
    <w:p w14:paraId="44C724D3" w14:textId="73CC94FD" w:rsidR="00D6142A" w:rsidRPr="00B63529" w:rsidRDefault="004D4E0A" w:rsidP="00FE7EB6">
      <w:pPr>
        <w:jc w:val="both"/>
        <w:rPr>
          <w:b/>
        </w:rPr>
      </w:pPr>
      <w:r w:rsidRPr="00B63529">
        <w:rPr>
          <w:b/>
        </w:rPr>
        <w:t xml:space="preserve">In response to </w:t>
      </w:r>
      <w:r w:rsidR="008A4CCB" w:rsidRPr="00B63529">
        <w:rPr>
          <w:b/>
        </w:rPr>
        <w:t xml:space="preserve">Draft </w:t>
      </w:r>
      <w:r w:rsidRPr="00B63529">
        <w:rPr>
          <w:b/>
        </w:rPr>
        <w:t xml:space="preserve">Recommendation 8.5 of the Commission’s draft report, </w:t>
      </w:r>
      <w:r w:rsidR="002D20C7">
        <w:rPr>
          <w:b/>
        </w:rPr>
        <w:t>the UNSW Law Society</w:t>
      </w:r>
      <w:r w:rsidR="002D20C7" w:rsidRPr="00B63529">
        <w:rPr>
          <w:b/>
        </w:rPr>
        <w:t xml:space="preserve"> </w:t>
      </w:r>
      <w:r w:rsidRPr="00B63529">
        <w:rPr>
          <w:b/>
        </w:rPr>
        <w:t>make</w:t>
      </w:r>
      <w:r w:rsidR="002D20C7">
        <w:rPr>
          <w:b/>
        </w:rPr>
        <w:t>s</w:t>
      </w:r>
      <w:r w:rsidRPr="00B63529">
        <w:rPr>
          <w:b/>
        </w:rPr>
        <w:t xml:space="preserve"> the following submissions:</w:t>
      </w:r>
    </w:p>
    <w:p w14:paraId="12A6904A" w14:textId="77777777" w:rsidR="004D4E0A" w:rsidRPr="00B63529" w:rsidRDefault="004D4E0A" w:rsidP="00FE7EB6">
      <w:pPr>
        <w:jc w:val="both"/>
      </w:pPr>
    </w:p>
    <w:p w14:paraId="26DC7950" w14:textId="0FF2C316" w:rsidR="00D6142A" w:rsidRPr="00B63529" w:rsidRDefault="00D6142A"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The UNSW Law Society is pleased to see the UNSW Faculty of Law receive credit for its progressive law education and introduction of LAWS2371, Resolving Civil Disputes.</w:t>
      </w:r>
      <w:r w:rsidRPr="00B63529">
        <w:rPr>
          <w:rStyle w:val="FootnoteReference"/>
          <w:rFonts w:ascii="Times New Roman" w:hAnsi="Times New Roman" w:cs="Times New Roman"/>
        </w:rPr>
        <w:footnoteReference w:id="13"/>
      </w:r>
      <w:r w:rsidRPr="00B63529">
        <w:rPr>
          <w:rFonts w:ascii="Times New Roman" w:hAnsi="Times New Roman" w:cs="Times New Roman"/>
        </w:rPr>
        <w:t xml:space="preserve"> The Draft Report encourages the accessibility of these courses for tertiary students of non-legal disciplines.</w:t>
      </w:r>
      <w:r w:rsidRPr="00B63529">
        <w:rPr>
          <w:rStyle w:val="FootnoteReference"/>
          <w:rFonts w:ascii="Times New Roman" w:hAnsi="Times New Roman" w:cs="Times New Roman"/>
        </w:rPr>
        <w:footnoteReference w:id="14"/>
      </w:r>
      <w:r w:rsidRPr="00B63529">
        <w:rPr>
          <w:rFonts w:ascii="Times New Roman" w:hAnsi="Times New Roman" w:cs="Times New Roman"/>
        </w:rPr>
        <w:t xml:space="preserve"> In its publication Teaching Alternative Dispute Resolution in Australian Law Schools, the National Alternative Dispute Resolution Advisory Council (NADRAC) said:</w:t>
      </w:r>
    </w:p>
    <w:p w14:paraId="0D7186BA" w14:textId="77777777" w:rsidR="004D4E0A" w:rsidRPr="00B63529" w:rsidRDefault="004D4E0A" w:rsidP="00FE7EB6">
      <w:pPr>
        <w:pStyle w:val="ListParagraph"/>
        <w:ind w:left="360"/>
        <w:jc w:val="both"/>
        <w:rPr>
          <w:rFonts w:ascii="Times New Roman" w:hAnsi="Times New Roman" w:cs="Times New Roman"/>
        </w:rPr>
      </w:pPr>
    </w:p>
    <w:p w14:paraId="11B99EDA" w14:textId="77777777" w:rsidR="004D4E0A" w:rsidRPr="00B63529" w:rsidRDefault="004D4E0A" w:rsidP="00FE7EB6">
      <w:pPr>
        <w:ind w:left="720"/>
        <w:jc w:val="both"/>
        <w:rPr>
          <w:rFonts w:ascii="Times New Roman" w:hAnsi="Times New Roman" w:cs="Times New Roman"/>
          <w:sz w:val="22"/>
          <w:szCs w:val="22"/>
        </w:rPr>
      </w:pPr>
      <w:r w:rsidRPr="00B63529">
        <w:rPr>
          <w:rFonts w:ascii="Times New Roman" w:hAnsi="Times New Roman" w:cs="Times New Roman"/>
          <w:sz w:val="22"/>
          <w:szCs w:val="22"/>
        </w:rPr>
        <w:lastRenderedPageBreak/>
        <w:t>NADRAC considers that teaching law students ADR knowledge and skills is important not just for those who go on to practice law, but also for those who seek employment in other areas. Conflict management and resolution and skills are critical in many professional roles.</w:t>
      </w:r>
      <w:r w:rsidRPr="00B63529">
        <w:rPr>
          <w:rStyle w:val="FootnoteReference"/>
          <w:rFonts w:ascii="Times New Roman" w:hAnsi="Times New Roman" w:cs="Times New Roman"/>
          <w:sz w:val="22"/>
          <w:szCs w:val="22"/>
        </w:rPr>
        <w:footnoteReference w:id="15"/>
      </w:r>
    </w:p>
    <w:p w14:paraId="22E1A0D3" w14:textId="77777777" w:rsidR="004D4E0A" w:rsidRPr="00B63529" w:rsidRDefault="004D4E0A" w:rsidP="00FE7EB6">
      <w:pPr>
        <w:jc w:val="both"/>
        <w:rPr>
          <w:rFonts w:ascii="Times New Roman" w:hAnsi="Times New Roman" w:cs="Times New Roman"/>
        </w:rPr>
      </w:pPr>
    </w:p>
    <w:p w14:paraId="41A79BAA" w14:textId="77777777" w:rsidR="008A4CCB" w:rsidRPr="00B63529" w:rsidRDefault="004D4E0A"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 xml:space="preserve">The Commission may be interested to know that at UNSW currently has a Masters of Dispute Resolution postgraduate degree, available for graduates of both legal and non-legal degrees. There is also a Graduate Diploma of Dispute Resolution, and a four-day workshop called Mastering Facilitation. </w:t>
      </w:r>
    </w:p>
    <w:p w14:paraId="1863AE01" w14:textId="77777777" w:rsidR="008A4CCB" w:rsidRPr="00B63529" w:rsidRDefault="008A4CCB" w:rsidP="00FE7EB6">
      <w:pPr>
        <w:jc w:val="both"/>
        <w:rPr>
          <w:rFonts w:ascii="Times New Roman" w:hAnsi="Times New Roman" w:cs="Times New Roman"/>
        </w:rPr>
      </w:pPr>
    </w:p>
    <w:p w14:paraId="6908BF60" w14:textId="560BA91D" w:rsidR="004D4E0A" w:rsidRPr="00B63529" w:rsidRDefault="004D4E0A"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suggests that the draft recommendation strengthen and widen the incentives for students and faculties, both legal and non-legal, to cooperate. Currently, UNSW sends student contingents to some international mediation competitions which support both students of non-legal and legal disciplines being on the same team, such as the International Chamber of Commerce Mediation.</w:t>
      </w:r>
      <w:r w:rsidRPr="00B63529">
        <w:rPr>
          <w:rStyle w:val="FootnoteReference"/>
          <w:rFonts w:ascii="Times New Roman" w:hAnsi="Times New Roman" w:cs="Times New Roman"/>
        </w:rPr>
        <w:footnoteReference w:id="16"/>
      </w:r>
    </w:p>
    <w:p w14:paraId="789CBA70" w14:textId="77777777" w:rsidR="004D4E0A" w:rsidRPr="00B63529" w:rsidRDefault="004D4E0A" w:rsidP="00FE7EB6">
      <w:pPr>
        <w:pStyle w:val="ListParagraph"/>
        <w:ind w:left="360"/>
        <w:jc w:val="both"/>
        <w:rPr>
          <w:rFonts w:ascii="Times New Roman" w:hAnsi="Times New Roman" w:cs="Times New Roman"/>
        </w:rPr>
      </w:pPr>
    </w:p>
    <w:p w14:paraId="7E09734E" w14:textId="77777777" w:rsidR="008A4CCB" w:rsidRPr="00B63529" w:rsidRDefault="004D4E0A"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 xml:space="preserve">The UNSW Law Society is also interested in the Draft Report’s observation that ‘many legal professionals have no or limited experience in the application of ADR’. This observation is relevant for integrating ADR and other non-adversarial options into Law School core curricula. The UNSW Law Society suggests that education and training for these disciplines are run by professionals, who </w:t>
      </w:r>
      <w:r w:rsidRPr="00B63529">
        <w:rPr>
          <w:rFonts w:ascii="Times New Roman" w:hAnsi="Times New Roman" w:cs="Times New Roman"/>
          <w:i/>
        </w:rPr>
        <w:t xml:space="preserve">both practice in the field </w:t>
      </w:r>
      <w:r w:rsidRPr="00B63529">
        <w:rPr>
          <w:rFonts w:ascii="Times New Roman" w:hAnsi="Times New Roman" w:cs="Times New Roman"/>
        </w:rPr>
        <w:t xml:space="preserve">and have relevant academic qualifications (like a Doctorate). This promotes a practical and relevant training program. </w:t>
      </w:r>
    </w:p>
    <w:p w14:paraId="5AE1CB90" w14:textId="77777777" w:rsidR="008A4CCB" w:rsidRPr="00B63529" w:rsidRDefault="008A4CCB" w:rsidP="00FE7EB6">
      <w:pPr>
        <w:jc w:val="both"/>
        <w:rPr>
          <w:rFonts w:ascii="Times New Roman" w:hAnsi="Times New Roman" w:cs="Times New Roman"/>
        </w:rPr>
      </w:pPr>
    </w:p>
    <w:p w14:paraId="2317F12F" w14:textId="4B998074" w:rsidR="004D4E0A" w:rsidRPr="00B63529" w:rsidRDefault="004D4E0A"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The UNSW Law Society agrees with Steve </w:t>
      </w:r>
      <w:proofErr w:type="spellStart"/>
      <w:r w:rsidRPr="00B63529">
        <w:rPr>
          <w:rFonts w:ascii="Times New Roman" w:hAnsi="Times New Roman" w:cs="Times New Roman"/>
        </w:rPr>
        <w:t>Lancken’s</w:t>
      </w:r>
      <w:proofErr w:type="spellEnd"/>
      <w:r w:rsidRPr="00B63529">
        <w:rPr>
          <w:rFonts w:ascii="Times New Roman" w:hAnsi="Times New Roman" w:cs="Times New Roman"/>
        </w:rPr>
        <w:t xml:space="preserve"> comments in his submission regarding Draft Recommendation 8.5: ‘courses need to be practical (with minimal theoretical focus) and include experiences that allow students to understand practically how processes work’.</w:t>
      </w:r>
      <w:r w:rsidRPr="00B63529">
        <w:rPr>
          <w:rStyle w:val="FootnoteReference"/>
          <w:rFonts w:ascii="Times New Roman" w:hAnsi="Times New Roman" w:cs="Times New Roman"/>
        </w:rPr>
        <w:footnoteReference w:id="17"/>
      </w:r>
      <w:r w:rsidRPr="00B63529">
        <w:rPr>
          <w:rFonts w:ascii="Times New Roman" w:hAnsi="Times New Roman" w:cs="Times New Roman"/>
        </w:rPr>
        <w:t xml:space="preserve"> Hiring this combination of professionals can help deliver such experiences.  At UNSW, we have a Visiting Professional Fellow, who while having her own business practicing ADR (</w:t>
      </w:r>
      <w:r w:rsidRPr="00B63529">
        <w:rPr>
          <w:rFonts w:ascii="Times New Roman" w:hAnsi="Times New Roman" w:cs="Times New Roman"/>
          <w:i/>
        </w:rPr>
        <w:t>Strategic Action</w:t>
      </w:r>
      <w:r w:rsidRPr="00B63529">
        <w:rPr>
          <w:rFonts w:ascii="Times New Roman" w:hAnsi="Times New Roman" w:cs="Times New Roman"/>
        </w:rPr>
        <w:t>), participates in the university’s activities as a coach of its Negotiation competition teams, as well as a lecturer for some of its elective subjects, like Dispute Resolution and Principled Negotiation.</w:t>
      </w:r>
      <w:r w:rsidRPr="00B63529">
        <w:rPr>
          <w:rStyle w:val="FootnoteReference"/>
          <w:rFonts w:ascii="Times New Roman" w:hAnsi="Times New Roman" w:cs="Times New Roman"/>
        </w:rPr>
        <w:footnoteReference w:id="18"/>
      </w:r>
      <w:r w:rsidRPr="00B63529">
        <w:rPr>
          <w:rFonts w:ascii="Times New Roman" w:hAnsi="Times New Roman" w:cs="Times New Roman"/>
        </w:rPr>
        <w:t xml:space="preserve"> </w:t>
      </w:r>
    </w:p>
    <w:p w14:paraId="261BF003" w14:textId="77777777" w:rsidR="004D4E0A" w:rsidRPr="00B63529" w:rsidRDefault="004D4E0A" w:rsidP="00FE7EB6">
      <w:pPr>
        <w:pStyle w:val="ListParagraph"/>
        <w:ind w:left="360"/>
        <w:jc w:val="both"/>
        <w:rPr>
          <w:rFonts w:ascii="Times New Roman" w:hAnsi="Times New Roman" w:cs="Times New Roman"/>
        </w:rPr>
      </w:pPr>
    </w:p>
    <w:p w14:paraId="18D377C3" w14:textId="009D433D" w:rsidR="004D4E0A" w:rsidRPr="00B63529" w:rsidRDefault="004D4E0A" w:rsidP="00FE7EB6">
      <w:pPr>
        <w:pStyle w:val="headingparagraph"/>
        <w:numPr>
          <w:ilvl w:val="0"/>
          <w:numId w:val="3"/>
        </w:numPr>
        <w:spacing w:before="0" w:beforeAutospacing="0" w:after="0" w:afterAutospacing="0"/>
        <w:jc w:val="both"/>
        <w:rPr>
          <w:rFonts w:ascii="Times New Roman" w:hAnsi="Times New Roman" w:cs="Times New Roman"/>
          <w:sz w:val="24"/>
          <w:szCs w:val="24"/>
        </w:rPr>
      </w:pPr>
      <w:r w:rsidRPr="00B63529">
        <w:rPr>
          <w:rFonts w:ascii="Times New Roman" w:hAnsi="Times New Roman" w:cs="Times New Roman"/>
          <w:sz w:val="24"/>
          <w:szCs w:val="24"/>
        </w:rPr>
        <w:t xml:space="preserve">There is also a pressing need for more guidance within the legal profession on the relevancy of certain types of ADR for certain cases. This could be implemented by promoting educational avenues such as the LexisNexis published </w:t>
      </w:r>
      <w:r w:rsidRPr="00B63529">
        <w:rPr>
          <w:rFonts w:ascii="Times New Roman" w:hAnsi="Times New Roman" w:cs="Times New Roman"/>
          <w:i/>
          <w:sz w:val="24"/>
          <w:szCs w:val="24"/>
        </w:rPr>
        <w:t>Australian Alternative Dispute Resolution Law Bulletin.</w:t>
      </w:r>
      <w:r w:rsidRPr="00B63529">
        <w:rPr>
          <w:rStyle w:val="FootnoteReference"/>
          <w:rFonts w:ascii="Times New Roman" w:hAnsi="Times New Roman" w:cs="Times New Roman"/>
          <w:sz w:val="24"/>
          <w:szCs w:val="24"/>
        </w:rPr>
        <w:footnoteReference w:id="19"/>
      </w:r>
      <w:r w:rsidRPr="00B63529">
        <w:rPr>
          <w:rFonts w:ascii="Times New Roman" w:hAnsi="Times New Roman" w:cs="Times New Roman"/>
          <w:i/>
          <w:sz w:val="24"/>
          <w:szCs w:val="24"/>
        </w:rPr>
        <w:t xml:space="preserve"> </w:t>
      </w:r>
      <w:r w:rsidRPr="00B63529">
        <w:rPr>
          <w:rFonts w:ascii="Times New Roman" w:hAnsi="Times New Roman" w:cs="Times New Roman"/>
          <w:sz w:val="24"/>
          <w:szCs w:val="24"/>
        </w:rPr>
        <w:t xml:space="preserve">Encouraging the proliferation of such journals and supporting them would assist practitioners in keeping abreast of current developments in the field, allowing them to be better placed to advise clients on alternative mechanisms. </w:t>
      </w:r>
    </w:p>
    <w:p w14:paraId="2C29360E" w14:textId="77777777" w:rsidR="004D4E0A" w:rsidRPr="00B63529" w:rsidRDefault="004D4E0A" w:rsidP="00FE7EB6">
      <w:pPr>
        <w:pStyle w:val="headingparagraph"/>
        <w:spacing w:before="0" w:beforeAutospacing="0" w:after="0" w:afterAutospacing="0"/>
        <w:jc w:val="both"/>
        <w:rPr>
          <w:rFonts w:ascii="Times New Roman" w:hAnsi="Times New Roman" w:cs="Times New Roman"/>
          <w:sz w:val="24"/>
          <w:szCs w:val="24"/>
        </w:rPr>
      </w:pPr>
    </w:p>
    <w:p w14:paraId="54AAF6F3" w14:textId="77777777" w:rsidR="004D4E0A" w:rsidRPr="00B63529" w:rsidRDefault="004D4E0A" w:rsidP="00FE7EB6">
      <w:pPr>
        <w:pStyle w:val="headingparagraph"/>
        <w:numPr>
          <w:ilvl w:val="0"/>
          <w:numId w:val="3"/>
        </w:numPr>
        <w:spacing w:before="0" w:beforeAutospacing="0" w:after="0" w:afterAutospacing="0"/>
        <w:jc w:val="both"/>
        <w:rPr>
          <w:rFonts w:ascii="Times New Roman" w:hAnsi="Times New Roman" w:cs="Times New Roman"/>
          <w:sz w:val="24"/>
          <w:szCs w:val="24"/>
        </w:rPr>
      </w:pPr>
      <w:r w:rsidRPr="00B63529">
        <w:rPr>
          <w:rFonts w:ascii="Times New Roman" w:hAnsi="Times New Roman" w:cs="Times New Roman"/>
          <w:sz w:val="24"/>
          <w:szCs w:val="24"/>
        </w:rPr>
        <w:lastRenderedPageBreak/>
        <w:t>Judges too experience difficulties in knowing which cases should be directed towards ADR. We propose that guidelines be introduced by the panel as a broad framework for making decisions on ADR referrals. While this should not constrain judges, it would act as a helpful tool. In the judgment of</w:t>
      </w:r>
      <w:r w:rsidRPr="00B63529">
        <w:rPr>
          <w:rFonts w:ascii="Times New Roman" w:hAnsi="Times New Roman" w:cs="Times New Roman"/>
          <w:i/>
          <w:sz w:val="24"/>
          <w:szCs w:val="24"/>
        </w:rPr>
        <w:t xml:space="preserve"> Stellar v </w:t>
      </w:r>
      <w:proofErr w:type="spellStart"/>
      <w:r w:rsidRPr="00B63529">
        <w:rPr>
          <w:rFonts w:ascii="Times New Roman" w:hAnsi="Times New Roman" w:cs="Times New Roman"/>
          <w:i/>
          <w:sz w:val="24"/>
          <w:szCs w:val="24"/>
        </w:rPr>
        <w:t>Lasotav</w:t>
      </w:r>
      <w:proofErr w:type="spellEnd"/>
      <w:r w:rsidRPr="00B63529">
        <w:rPr>
          <w:rFonts w:ascii="Times New Roman" w:hAnsi="Times New Roman" w:cs="Times New Roman"/>
          <w:i/>
          <w:sz w:val="24"/>
          <w:szCs w:val="24"/>
        </w:rPr>
        <w:t xml:space="preserve"> Pty Ltd</w:t>
      </w:r>
      <w:r w:rsidRPr="00B63529">
        <w:rPr>
          <w:rFonts w:ascii="Times New Roman" w:hAnsi="Times New Roman" w:cs="Times New Roman"/>
          <w:sz w:val="24"/>
          <w:szCs w:val="24"/>
        </w:rPr>
        <w:t>,</w:t>
      </w:r>
      <w:r w:rsidRPr="00B63529">
        <w:rPr>
          <w:rStyle w:val="FootnoteReference"/>
          <w:rFonts w:ascii="Times New Roman" w:hAnsi="Times New Roman" w:cs="Times New Roman"/>
          <w:sz w:val="24"/>
          <w:szCs w:val="24"/>
        </w:rPr>
        <w:footnoteReference w:id="20"/>
      </w:r>
      <w:r w:rsidRPr="00B63529">
        <w:rPr>
          <w:rFonts w:ascii="Times New Roman" w:hAnsi="Times New Roman" w:cs="Times New Roman"/>
          <w:sz w:val="24"/>
          <w:szCs w:val="24"/>
        </w:rPr>
        <w:t xml:space="preserve"> Foster J considered three main factors in his referral to mediation: the interlocutory procedures already involved which had all been challenged, the potential for substantial legal costs should the matter continue in litigation and the parties’ awareness of their cases.</w:t>
      </w:r>
      <w:r w:rsidRPr="00B63529">
        <w:rPr>
          <w:rStyle w:val="FootnoteReference"/>
          <w:rFonts w:ascii="Times New Roman" w:hAnsi="Times New Roman" w:cs="Times New Roman"/>
          <w:sz w:val="24"/>
          <w:szCs w:val="24"/>
        </w:rPr>
        <w:footnoteReference w:id="21"/>
      </w:r>
    </w:p>
    <w:p w14:paraId="3906C481" w14:textId="77777777" w:rsidR="004D4E0A" w:rsidRPr="00B63529" w:rsidRDefault="004D4E0A" w:rsidP="00FE7EB6">
      <w:pPr>
        <w:pStyle w:val="headingparagraph"/>
        <w:spacing w:before="0" w:beforeAutospacing="0" w:after="0" w:afterAutospacing="0"/>
        <w:jc w:val="both"/>
        <w:rPr>
          <w:rFonts w:ascii="Times New Roman" w:hAnsi="Times New Roman" w:cs="Times New Roman"/>
          <w:sz w:val="24"/>
          <w:szCs w:val="24"/>
        </w:rPr>
      </w:pPr>
    </w:p>
    <w:p w14:paraId="22DD73E3" w14:textId="77777777" w:rsidR="008A4CCB" w:rsidRPr="00B63529" w:rsidRDefault="004D4E0A"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 xml:space="preserve">While education and training mainly concern core curricula, the UNSW Law Society would like to suggest the recommendation includes encouraging extra-curricular activities, which teach ADR related skills. While such an exercise may be limited by resource constraints, it is important to consider that these extra-curricula opportunities are both educating and awareness-raising exercises. </w:t>
      </w:r>
    </w:p>
    <w:p w14:paraId="175B7B3B" w14:textId="77777777" w:rsidR="008A4CCB" w:rsidRPr="00B63529" w:rsidRDefault="008A4CCB" w:rsidP="00FE7EB6">
      <w:pPr>
        <w:jc w:val="both"/>
        <w:rPr>
          <w:rFonts w:ascii="Times New Roman" w:hAnsi="Times New Roman" w:cs="Times New Roman"/>
        </w:rPr>
      </w:pPr>
    </w:p>
    <w:p w14:paraId="0498760D" w14:textId="24B38E01" w:rsidR="004D4E0A" w:rsidRPr="00B63529" w:rsidRDefault="004D4E0A" w:rsidP="002D20C7">
      <w:pPr>
        <w:pStyle w:val="ListParagraph"/>
        <w:numPr>
          <w:ilvl w:val="1"/>
          <w:numId w:val="3"/>
        </w:numPr>
        <w:jc w:val="both"/>
        <w:rPr>
          <w:rFonts w:ascii="Times New Roman" w:hAnsi="Times New Roman" w:cs="Times New Roman"/>
        </w:rPr>
      </w:pPr>
      <w:r w:rsidRPr="00B63529">
        <w:rPr>
          <w:rFonts w:ascii="Times New Roman" w:hAnsi="Times New Roman" w:cs="Times New Roman"/>
        </w:rPr>
        <w:t>For example, the extra-curricular Negotiation Competitions run by many Australian universities raise awareness because students practicing it invest, learn skills, and begin to emotionally appreciate the exercise. In fact, in UNSW, this is reflected in the large (and growing) student uptake of the extra-curricular Negotiations competition. Almost 70 teams participated in Beginners’ Negotiations in 2013, which is more than a third of that year’s undergraduate cohort. This year, a third tier of Negotiation competition had to be created; the three tiers cater for different stages in one’s law degree (1</w:t>
      </w:r>
      <w:r w:rsidRPr="00B63529">
        <w:rPr>
          <w:rFonts w:ascii="Times New Roman" w:hAnsi="Times New Roman" w:cs="Times New Roman"/>
          <w:vertAlign w:val="superscript"/>
        </w:rPr>
        <w:t>st</w:t>
      </w:r>
      <w:r w:rsidRPr="00B63529">
        <w:rPr>
          <w:rFonts w:ascii="Times New Roman" w:hAnsi="Times New Roman" w:cs="Times New Roman"/>
        </w:rPr>
        <w:t xml:space="preserve"> year, 2</w:t>
      </w:r>
      <w:r w:rsidRPr="00B63529">
        <w:rPr>
          <w:rFonts w:ascii="Times New Roman" w:hAnsi="Times New Roman" w:cs="Times New Roman"/>
          <w:vertAlign w:val="superscript"/>
        </w:rPr>
        <w:t>nd</w:t>
      </w:r>
      <w:r w:rsidRPr="00B63529">
        <w:rPr>
          <w:rFonts w:ascii="Times New Roman" w:hAnsi="Times New Roman" w:cs="Times New Roman"/>
        </w:rPr>
        <w:t xml:space="preserve"> year, and 3</w:t>
      </w:r>
      <w:r w:rsidRPr="00B63529">
        <w:rPr>
          <w:rFonts w:ascii="Times New Roman" w:hAnsi="Times New Roman" w:cs="Times New Roman"/>
          <w:vertAlign w:val="superscript"/>
        </w:rPr>
        <w:t>rd</w:t>
      </w:r>
      <w:r w:rsidRPr="00B63529">
        <w:rPr>
          <w:rFonts w:ascii="Times New Roman" w:hAnsi="Times New Roman" w:cs="Times New Roman"/>
        </w:rPr>
        <w:t xml:space="preserve"> year and above). </w:t>
      </w:r>
    </w:p>
    <w:p w14:paraId="1CD9723F" w14:textId="77777777" w:rsidR="004D4E0A" w:rsidRPr="00B63529" w:rsidRDefault="004D4E0A" w:rsidP="00FE7EB6">
      <w:pPr>
        <w:jc w:val="both"/>
        <w:rPr>
          <w:rFonts w:ascii="Times New Roman" w:hAnsi="Times New Roman" w:cs="Times New Roman"/>
        </w:rPr>
      </w:pPr>
    </w:p>
    <w:p w14:paraId="57D195B2" w14:textId="77777777" w:rsidR="004D4E0A" w:rsidRPr="00B63529" w:rsidRDefault="004D4E0A"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This has also interacted with uptake in the curriculum</w:t>
      </w:r>
      <w:r w:rsidRPr="00B63529">
        <w:rPr>
          <w:rFonts w:ascii="Times New Roman" w:hAnsi="Times New Roman" w:cs="Times New Roman"/>
          <w:b/>
        </w:rPr>
        <w:t xml:space="preserve">. </w:t>
      </w:r>
      <w:r w:rsidRPr="00B63529">
        <w:rPr>
          <w:rFonts w:ascii="Times New Roman" w:hAnsi="Times New Roman" w:cs="Times New Roman"/>
        </w:rPr>
        <w:t>More and more students are taking subjects like Principled (Interest-Based) Negotiation as an elective. This subject is offered at least two times a year, with 68 people taking the course over Semesters 1 and 2 in 2014.</w:t>
      </w:r>
      <w:r w:rsidRPr="00B63529">
        <w:rPr>
          <w:rStyle w:val="FootnoteReference"/>
          <w:rFonts w:ascii="Times New Roman" w:hAnsi="Times New Roman" w:cs="Times New Roman"/>
        </w:rPr>
        <w:footnoteReference w:id="22"/>
      </w:r>
      <w:r w:rsidRPr="00B63529">
        <w:rPr>
          <w:rFonts w:ascii="Times New Roman" w:hAnsi="Times New Roman" w:cs="Times New Roman"/>
        </w:rPr>
        <w:t xml:space="preserve"> Being commonly in touch with the student body, the UNSW Law Society can also report that the perception of ADR as being less ‘mainstream’ is being broken down. Perhaps this is an innovative outlet which supports the need for ‘improving general awareness and education’, as expressed in Chapter 8.4 in the Draft Report.</w:t>
      </w:r>
      <w:r w:rsidRPr="00B63529">
        <w:rPr>
          <w:rStyle w:val="FootnoteReference"/>
          <w:rFonts w:ascii="Times New Roman" w:hAnsi="Times New Roman" w:cs="Times New Roman"/>
        </w:rPr>
        <w:footnoteReference w:id="23"/>
      </w:r>
      <w:r w:rsidRPr="00B63529">
        <w:rPr>
          <w:rFonts w:ascii="Times New Roman" w:hAnsi="Times New Roman" w:cs="Times New Roman"/>
        </w:rPr>
        <w:t xml:space="preserve"> </w:t>
      </w:r>
    </w:p>
    <w:p w14:paraId="1DAD4E63" w14:textId="77777777" w:rsidR="004D4E0A" w:rsidRPr="00B63529" w:rsidRDefault="004D4E0A" w:rsidP="00FE7EB6">
      <w:pPr>
        <w:jc w:val="both"/>
        <w:rPr>
          <w:rFonts w:ascii="Times New Roman" w:hAnsi="Times New Roman" w:cs="Times New Roman"/>
        </w:rPr>
      </w:pPr>
    </w:p>
    <w:p w14:paraId="5A52DD1F" w14:textId="26DE5BDF" w:rsidR="008A4CCB" w:rsidRPr="00B63529" w:rsidRDefault="008A4CCB"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 xml:space="preserve">We also suggest that revisiting the Priestley 11 to assist the integration of the full range of legal dispute resolution options in core curricula. (Please see </w:t>
      </w:r>
      <w:r w:rsidRPr="00B63529">
        <w:rPr>
          <w:rFonts w:ascii="Times New Roman" w:hAnsi="Times New Roman" w:cs="Times New Roman"/>
          <w:b/>
        </w:rPr>
        <w:t>Part 3</w:t>
      </w:r>
      <w:r w:rsidRPr="00B63529">
        <w:rPr>
          <w:rFonts w:ascii="Times New Roman" w:hAnsi="Times New Roman" w:cs="Times New Roman"/>
        </w:rPr>
        <w:t xml:space="preserve"> above).</w:t>
      </w:r>
    </w:p>
    <w:p w14:paraId="2799310F" w14:textId="77777777" w:rsidR="008A4CCB" w:rsidRPr="00B63529" w:rsidRDefault="008A4CCB" w:rsidP="00FE7EB6">
      <w:pPr>
        <w:pBdr>
          <w:bottom w:val="single" w:sz="6" w:space="1" w:color="auto"/>
        </w:pBdr>
        <w:jc w:val="both"/>
        <w:rPr>
          <w:rFonts w:ascii="Times New Roman" w:hAnsi="Times New Roman" w:cs="Times New Roman"/>
        </w:rPr>
      </w:pPr>
    </w:p>
    <w:p w14:paraId="3B774B29" w14:textId="77777777" w:rsidR="008A4CCB" w:rsidRPr="00B63529" w:rsidRDefault="008A4CCB" w:rsidP="00FE7EB6">
      <w:pPr>
        <w:jc w:val="both"/>
        <w:rPr>
          <w:rFonts w:ascii="Times New Roman" w:hAnsi="Times New Roman" w:cs="Times New Roman"/>
        </w:rPr>
      </w:pPr>
    </w:p>
    <w:p w14:paraId="609FD7FD" w14:textId="0A7CA99F" w:rsidR="008A4CCB" w:rsidRPr="00B63529" w:rsidRDefault="008A4CCB" w:rsidP="00FE7EB6">
      <w:pPr>
        <w:jc w:val="both"/>
        <w:rPr>
          <w:b/>
        </w:rPr>
      </w:pPr>
      <w:r w:rsidRPr="00B63529">
        <w:rPr>
          <w:rFonts w:ascii="Times New Roman" w:hAnsi="Times New Roman" w:cs="Times New Roman"/>
          <w:b/>
        </w:rPr>
        <w:t>In response to Draft Recommendation 9.1</w:t>
      </w:r>
      <w:r w:rsidRPr="00B63529">
        <w:rPr>
          <w:rFonts w:ascii="Times New Roman" w:hAnsi="Times New Roman" w:cs="Times New Roman"/>
        </w:rPr>
        <w:t xml:space="preserve"> </w:t>
      </w:r>
      <w:r w:rsidRPr="00B63529">
        <w:rPr>
          <w:b/>
        </w:rPr>
        <w:t xml:space="preserve">of the Commission’s draft report, </w:t>
      </w:r>
      <w:r w:rsidR="00C104BD">
        <w:rPr>
          <w:b/>
        </w:rPr>
        <w:t>the UNSW Law Society</w:t>
      </w:r>
      <w:r w:rsidR="00C104BD" w:rsidRPr="00B63529">
        <w:rPr>
          <w:b/>
        </w:rPr>
        <w:t xml:space="preserve"> </w:t>
      </w:r>
      <w:r w:rsidRPr="00B63529">
        <w:rPr>
          <w:b/>
        </w:rPr>
        <w:t>make</w:t>
      </w:r>
      <w:r w:rsidR="00C104BD">
        <w:rPr>
          <w:b/>
        </w:rPr>
        <w:t>s</w:t>
      </w:r>
      <w:r w:rsidRPr="00B63529">
        <w:rPr>
          <w:b/>
        </w:rPr>
        <w:t xml:space="preserve"> the following submissions:</w:t>
      </w:r>
    </w:p>
    <w:p w14:paraId="6F2DDF59" w14:textId="77777777" w:rsidR="008A4CCB" w:rsidRPr="00B63529" w:rsidRDefault="008A4CCB" w:rsidP="00FE7EB6">
      <w:pPr>
        <w:jc w:val="both"/>
        <w:rPr>
          <w:rFonts w:ascii="Times New Roman" w:hAnsi="Times New Roman" w:cs="Times New Roman"/>
        </w:rPr>
      </w:pPr>
    </w:p>
    <w:p w14:paraId="1514DD63" w14:textId="77777777" w:rsidR="008A4CCB" w:rsidRPr="00B63529" w:rsidRDefault="008A4CCB"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 xml:space="preserve">The UNSW Law Society supports this recommendation. We are pleased to see ‘the more prominent publishing of which Ombudsmen are available and what matters they deal with’ specified. This is mainly because the role of ombudsmen clearly occupies part of the ADR space, so more prominent publishing in this manner can better inform the public of where Ombudsmen fit in the overall Australian picture of ADR. Within universities, this will aid a clear teaching of both ADR and what Ombudsmen do. At the moment, the required clarity can elude us. For instance, as pointed out in </w:t>
      </w:r>
      <w:r w:rsidRPr="00B63529">
        <w:rPr>
          <w:rFonts w:ascii="Times New Roman" w:hAnsi="Times New Roman" w:cs="Times New Roman"/>
        </w:rPr>
        <w:lastRenderedPageBreak/>
        <w:t xml:space="preserve">LEADR’s submission, the use of the terminology ‘Ombudsman’ conveys an independence which is not necessarily present in every case. Consider the potential advocate role planned in the creation of a </w:t>
      </w:r>
      <w:r w:rsidRPr="00B63529">
        <w:rPr>
          <w:rFonts w:ascii="Times New Roman" w:hAnsi="Times New Roman" w:cs="Times New Roman"/>
          <w:i/>
        </w:rPr>
        <w:t>Small Business and Family Enterprise Ombudsman</w:t>
      </w:r>
      <w:r w:rsidRPr="00B63529">
        <w:rPr>
          <w:rFonts w:ascii="Times New Roman" w:hAnsi="Times New Roman" w:cs="Times New Roman"/>
        </w:rPr>
        <w:t>.</w:t>
      </w:r>
      <w:r w:rsidRPr="00B63529">
        <w:rPr>
          <w:rStyle w:val="FootnoteReference"/>
          <w:rFonts w:ascii="Times New Roman" w:hAnsi="Times New Roman" w:cs="Times New Roman"/>
        </w:rPr>
        <w:footnoteReference w:id="24"/>
      </w:r>
      <w:r w:rsidRPr="00B63529">
        <w:rPr>
          <w:rFonts w:ascii="Times New Roman" w:hAnsi="Times New Roman" w:cs="Times New Roman"/>
        </w:rPr>
        <w:t xml:space="preserve"> Raising the profile of Ombudsman services can help clarify our understanding of the concept.</w:t>
      </w:r>
    </w:p>
    <w:p w14:paraId="5C7DE03A" w14:textId="77777777" w:rsidR="008A4CCB" w:rsidRPr="00B63529" w:rsidRDefault="008A4CCB" w:rsidP="00FE7EB6">
      <w:pPr>
        <w:pBdr>
          <w:bottom w:val="single" w:sz="6" w:space="1" w:color="auto"/>
        </w:pBdr>
        <w:jc w:val="both"/>
      </w:pPr>
    </w:p>
    <w:p w14:paraId="5C01CB93" w14:textId="77777777" w:rsidR="0088687B" w:rsidRPr="00B63529" w:rsidRDefault="0088687B" w:rsidP="00FE7EB6">
      <w:pPr>
        <w:jc w:val="both"/>
      </w:pPr>
    </w:p>
    <w:p w14:paraId="4E91B22D" w14:textId="6B83E80A" w:rsidR="0088687B" w:rsidRPr="00B63529" w:rsidRDefault="0088687B" w:rsidP="00FE7EB6">
      <w:pPr>
        <w:jc w:val="both"/>
        <w:rPr>
          <w:b/>
        </w:rPr>
      </w:pPr>
      <w:r w:rsidRPr="00B63529">
        <w:rPr>
          <w:rFonts w:ascii="Times New Roman" w:hAnsi="Times New Roman" w:cs="Times New Roman"/>
          <w:b/>
        </w:rPr>
        <w:t xml:space="preserve">In response to Draft Recommendation 11.1 </w:t>
      </w:r>
      <w:r w:rsidRPr="00B63529">
        <w:rPr>
          <w:b/>
        </w:rPr>
        <w:t xml:space="preserve">of the Commission’s draft report, </w:t>
      </w:r>
      <w:r w:rsidR="00C104BD">
        <w:rPr>
          <w:b/>
        </w:rPr>
        <w:t>the UNSW Law Society</w:t>
      </w:r>
      <w:r w:rsidR="00C104BD" w:rsidRPr="00B63529">
        <w:rPr>
          <w:b/>
        </w:rPr>
        <w:t xml:space="preserve"> make</w:t>
      </w:r>
      <w:r w:rsidR="00C104BD">
        <w:rPr>
          <w:b/>
        </w:rPr>
        <w:t>s</w:t>
      </w:r>
      <w:r w:rsidRPr="00B63529">
        <w:rPr>
          <w:b/>
        </w:rPr>
        <w:t xml:space="preserve"> the following submissions:</w:t>
      </w:r>
    </w:p>
    <w:p w14:paraId="562B73AE" w14:textId="77777777" w:rsidR="0088687B" w:rsidRPr="00B63529" w:rsidRDefault="0088687B" w:rsidP="00FE7EB6">
      <w:pPr>
        <w:jc w:val="both"/>
      </w:pPr>
    </w:p>
    <w:p w14:paraId="2A61E180" w14:textId="77777777" w:rsidR="0088687B" w:rsidRPr="00B63529" w:rsidRDefault="0088687B"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Effective implementation of case management reforms requires a clear and common understanding among judges and practitioners as to how fair and expeditious litigation should be achieved. If elements of the Federal Court’s Fast Track model are more broadly applied, then procedures should be clearly stated in written practices. Ad hoc implementation of elements within the Fast Track model would not encourage its application for lack of certainty among judges and practitioners. A clear outline of rules and procedures will also ensure litigants are appropriately advised of the time and costs involved in the litigation process.</w:t>
      </w:r>
      <w:r w:rsidRPr="00B63529">
        <w:rPr>
          <w:rStyle w:val="FootnoteReference"/>
          <w:rFonts w:ascii="Times New Roman" w:hAnsi="Times New Roman" w:cs="Times New Roman"/>
        </w:rPr>
        <w:footnoteReference w:id="25"/>
      </w:r>
      <w:r w:rsidRPr="00B63529">
        <w:rPr>
          <w:rFonts w:ascii="Times New Roman" w:hAnsi="Times New Roman" w:cs="Times New Roman"/>
        </w:rPr>
        <w:t xml:space="preserve"> They can therefore weigh up the benefits and disadvantages of litigating before commencing proceedings.</w:t>
      </w:r>
    </w:p>
    <w:p w14:paraId="0814AA12" w14:textId="77777777" w:rsidR="0088687B" w:rsidRPr="00B63529" w:rsidRDefault="0088687B" w:rsidP="00FE7EB6">
      <w:pPr>
        <w:pStyle w:val="ListParagraph"/>
        <w:ind w:left="360"/>
        <w:jc w:val="both"/>
        <w:rPr>
          <w:rFonts w:ascii="Times New Roman" w:hAnsi="Times New Roman" w:cs="Times New Roman"/>
        </w:rPr>
      </w:pPr>
    </w:p>
    <w:p w14:paraId="1BCD1B5B" w14:textId="77777777" w:rsidR="0088687B" w:rsidRPr="00B63529" w:rsidRDefault="0088687B" w:rsidP="00FE7EB6">
      <w:pPr>
        <w:pStyle w:val="ListParagraph"/>
        <w:numPr>
          <w:ilvl w:val="0"/>
          <w:numId w:val="3"/>
        </w:numPr>
        <w:jc w:val="both"/>
        <w:rPr>
          <w:rFonts w:ascii="Times New Roman" w:hAnsi="Times New Roman" w:cs="Times New Roman"/>
        </w:rPr>
      </w:pPr>
      <w:r w:rsidRPr="00B63529">
        <w:rPr>
          <w:rFonts w:ascii="Times New Roman" w:hAnsi="Times New Roman" w:cs="Times New Roman"/>
        </w:rPr>
        <w:t>Your suggestion of facilitating greater participation in judicial education programs by judges is a good mechanism for encouraging better use of case management tools. However, discussion on improving case management in the courts should not be limited to judges. Case management education should be extended to barristers and lawyers, who are equally critical in ensuring court proceedings run expeditiously. Furthermore, practitioners will need time to become accustomed to a system of managerial judging.</w:t>
      </w:r>
      <w:r w:rsidRPr="00B63529">
        <w:rPr>
          <w:rStyle w:val="FootnoteReference"/>
          <w:rFonts w:ascii="Times New Roman" w:hAnsi="Times New Roman" w:cs="Times New Roman"/>
        </w:rPr>
        <w:footnoteReference w:id="26"/>
      </w:r>
    </w:p>
    <w:p w14:paraId="269F28FC" w14:textId="77777777" w:rsidR="0088687B" w:rsidRPr="00B63529" w:rsidRDefault="0088687B" w:rsidP="00FE7EB6">
      <w:pPr>
        <w:pStyle w:val="ListParagraph"/>
        <w:ind w:left="360"/>
        <w:jc w:val="both"/>
        <w:rPr>
          <w:rFonts w:ascii="Times New Roman" w:hAnsi="Times New Roman" w:cs="Times New Roman"/>
        </w:rPr>
      </w:pPr>
    </w:p>
    <w:p w14:paraId="0F6F64ED" w14:textId="77777777" w:rsidR="0088687B" w:rsidRPr="00B63529" w:rsidRDefault="0088687B"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Issues to consider</w:t>
      </w:r>
    </w:p>
    <w:p w14:paraId="1ED78D03" w14:textId="77777777" w:rsidR="0088687B" w:rsidRPr="00B63529" w:rsidRDefault="0088687B" w:rsidP="00FE7EB6">
      <w:pPr>
        <w:jc w:val="both"/>
        <w:rPr>
          <w:rFonts w:ascii="Times New Roman" w:hAnsi="Times New Roman" w:cs="Times New Roman"/>
          <w:u w:val="single"/>
        </w:rPr>
      </w:pPr>
    </w:p>
    <w:p w14:paraId="62714F35" w14:textId="77777777" w:rsidR="0088687B" w:rsidRPr="00B63529" w:rsidRDefault="0088687B" w:rsidP="00FE7EB6">
      <w:pPr>
        <w:pStyle w:val="ListParagraph"/>
        <w:numPr>
          <w:ilvl w:val="1"/>
          <w:numId w:val="3"/>
        </w:numPr>
        <w:jc w:val="both"/>
        <w:rPr>
          <w:rFonts w:ascii="Times New Roman" w:hAnsi="Times New Roman" w:cs="Times New Roman"/>
          <w:b/>
        </w:rPr>
      </w:pPr>
      <w:r w:rsidRPr="00B63529">
        <w:rPr>
          <w:rFonts w:ascii="Times New Roman" w:hAnsi="Times New Roman" w:cs="Times New Roman"/>
          <w:u w:val="single"/>
        </w:rPr>
        <w:t>Requiring strict observance of time limits</w:t>
      </w:r>
    </w:p>
    <w:p w14:paraId="6DDE8FCC" w14:textId="77777777" w:rsidR="0088687B" w:rsidRPr="00B63529" w:rsidRDefault="0088687B" w:rsidP="00FE7EB6">
      <w:pPr>
        <w:pStyle w:val="ListParagraph"/>
        <w:ind w:left="792"/>
        <w:jc w:val="both"/>
        <w:rPr>
          <w:rFonts w:ascii="Times New Roman" w:hAnsi="Times New Roman" w:cs="Times New Roman"/>
          <w:b/>
        </w:rPr>
      </w:pPr>
    </w:p>
    <w:p w14:paraId="4CC05688" w14:textId="2FF890FA" w:rsidR="0088687B" w:rsidRPr="00B63529" w:rsidRDefault="0088687B" w:rsidP="00FE7EB6">
      <w:pPr>
        <w:pStyle w:val="ListParagraph"/>
        <w:numPr>
          <w:ilvl w:val="2"/>
          <w:numId w:val="3"/>
        </w:numPr>
        <w:jc w:val="both"/>
        <w:rPr>
          <w:rFonts w:ascii="Times New Roman" w:hAnsi="Times New Roman" w:cs="Times New Roman"/>
          <w:b/>
        </w:rPr>
      </w:pPr>
      <w:r w:rsidRPr="00B63529">
        <w:rPr>
          <w:rFonts w:ascii="Times New Roman" w:hAnsi="Times New Roman" w:cs="Times New Roman"/>
        </w:rPr>
        <w:t>This is needed to ensure unnecessary costs and delays are avoided, but not all matters can be subject to tight time frames. The Fast Track Directions allows matters to be removed from the Fast Track list if the judge or one of the parties thinks it inappropriate to proceed on Fast Track Directions, but this would potentially undermine the benefits of uniformity enabled through standardized procedures. There needs to be a balance between custom-tailored case management and tracking.</w:t>
      </w:r>
    </w:p>
    <w:p w14:paraId="70B5F7DD" w14:textId="77777777" w:rsidR="004D4E0A" w:rsidRPr="00B63529" w:rsidRDefault="004D4E0A" w:rsidP="00FE7EB6">
      <w:pPr>
        <w:pBdr>
          <w:bottom w:val="single" w:sz="6" w:space="1" w:color="auto"/>
        </w:pBdr>
        <w:jc w:val="both"/>
        <w:rPr>
          <w:rFonts w:ascii="Times New Roman" w:hAnsi="Times New Roman" w:cs="Times New Roman"/>
        </w:rPr>
      </w:pPr>
    </w:p>
    <w:p w14:paraId="45E6C97A" w14:textId="77777777" w:rsidR="0088687B" w:rsidRPr="00B63529" w:rsidRDefault="0088687B" w:rsidP="00FE7EB6">
      <w:pPr>
        <w:jc w:val="both"/>
        <w:rPr>
          <w:rFonts w:ascii="Times New Roman" w:hAnsi="Times New Roman" w:cs="Times New Roman"/>
        </w:rPr>
      </w:pPr>
    </w:p>
    <w:p w14:paraId="5A89E5A5" w14:textId="3E69B913" w:rsidR="0088687B" w:rsidRPr="00B63529" w:rsidRDefault="0088687B" w:rsidP="00FE7EB6">
      <w:pPr>
        <w:jc w:val="both"/>
        <w:rPr>
          <w:b/>
        </w:rPr>
      </w:pPr>
      <w:r w:rsidRPr="00B63529">
        <w:rPr>
          <w:rFonts w:ascii="Times New Roman" w:hAnsi="Times New Roman" w:cs="Times New Roman"/>
          <w:b/>
        </w:rPr>
        <w:t xml:space="preserve">In response to Draft Recommendation 11.5 </w:t>
      </w:r>
      <w:r w:rsidRPr="00B63529">
        <w:rPr>
          <w:b/>
        </w:rPr>
        <w:t xml:space="preserve">of the Commission’s draft report, </w:t>
      </w:r>
      <w:r w:rsidR="00C104BD">
        <w:rPr>
          <w:b/>
        </w:rPr>
        <w:t>the UNSW Law Society</w:t>
      </w:r>
      <w:r w:rsidR="00C104BD" w:rsidRPr="00B63529">
        <w:rPr>
          <w:b/>
        </w:rPr>
        <w:t xml:space="preserve"> make</w:t>
      </w:r>
      <w:r w:rsidR="00C104BD">
        <w:rPr>
          <w:b/>
        </w:rPr>
        <w:t>s</w:t>
      </w:r>
      <w:r w:rsidRPr="00B63529">
        <w:rPr>
          <w:b/>
        </w:rPr>
        <w:t xml:space="preserve"> the following submissions:</w:t>
      </w:r>
    </w:p>
    <w:p w14:paraId="511B1526" w14:textId="77777777" w:rsidR="0088687B" w:rsidRPr="00B63529" w:rsidRDefault="0088687B" w:rsidP="00FE7EB6">
      <w:pPr>
        <w:jc w:val="both"/>
        <w:rPr>
          <w:rFonts w:ascii="Times New Roman" w:hAnsi="Times New Roman" w:cs="Times New Roman"/>
        </w:rPr>
      </w:pPr>
    </w:p>
    <w:p w14:paraId="04493341" w14:textId="77777777" w:rsidR="0088687B" w:rsidRPr="00B63529" w:rsidRDefault="0088687B"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lastRenderedPageBreak/>
        <w:t>Introduction</w:t>
      </w:r>
    </w:p>
    <w:p w14:paraId="79522533" w14:textId="77777777" w:rsidR="0088687B" w:rsidRPr="00B63529" w:rsidRDefault="0088687B" w:rsidP="00FE7EB6">
      <w:pPr>
        <w:pStyle w:val="ListParagraph"/>
        <w:ind w:left="360"/>
        <w:jc w:val="both"/>
        <w:rPr>
          <w:rFonts w:ascii="Times New Roman" w:hAnsi="Times New Roman" w:cs="Times New Roman"/>
        </w:rPr>
      </w:pPr>
    </w:p>
    <w:p w14:paraId="422CFD7E" w14:textId="77777777" w:rsidR="0088687B" w:rsidRPr="00B63529" w:rsidRDefault="0088687B" w:rsidP="00B4515C">
      <w:pPr>
        <w:pStyle w:val="ListParagraph"/>
        <w:numPr>
          <w:ilvl w:val="1"/>
          <w:numId w:val="3"/>
        </w:numPr>
        <w:ind w:left="993" w:hanging="633"/>
        <w:jc w:val="both"/>
        <w:rPr>
          <w:rFonts w:ascii="Times New Roman" w:hAnsi="Times New Roman" w:cs="Times New Roman"/>
        </w:rPr>
      </w:pPr>
      <w:r w:rsidRPr="00B63529">
        <w:rPr>
          <w:rFonts w:ascii="Times New Roman" w:hAnsi="Times New Roman" w:cs="Times New Roman"/>
        </w:rPr>
        <w:t>The UNSW Law Society is of the view that discovery needs to be reformed as it increases costs and delay disproportionately to the corresponding benefit it provides. This is especially so for complex litigation, where it has long been recognised as expensive and onerous.</w:t>
      </w:r>
      <w:r w:rsidRPr="00B63529">
        <w:rPr>
          <w:rStyle w:val="FootnoteReference"/>
          <w:rFonts w:ascii="Times New Roman" w:hAnsi="Times New Roman" w:cs="Times New Roman"/>
        </w:rPr>
        <w:footnoteReference w:id="27"/>
      </w:r>
      <w:r w:rsidRPr="00B63529">
        <w:rPr>
          <w:rFonts w:ascii="Times New Roman" w:hAnsi="Times New Roman" w:cs="Times New Roman"/>
        </w:rPr>
        <w:t xml:space="preserve"> It is important for courts to distinguish between cases where discovery needs to be controlled to prevent disproportionate costs and delay, and cases where limiting discovery would cause unnecessary costs. Generally speaking, such distinctions can be made based on the type of matter.</w:t>
      </w:r>
    </w:p>
    <w:p w14:paraId="53059C38" w14:textId="77777777" w:rsidR="0088687B" w:rsidRPr="00B63529" w:rsidRDefault="0088687B" w:rsidP="00FE7EB6">
      <w:pPr>
        <w:jc w:val="both"/>
        <w:rPr>
          <w:rFonts w:ascii="Times New Roman" w:hAnsi="Times New Roman" w:cs="Times New Roman"/>
        </w:rPr>
      </w:pPr>
    </w:p>
    <w:p w14:paraId="1946FB32" w14:textId="77777777" w:rsidR="0088687B" w:rsidRPr="00B63529" w:rsidRDefault="0088687B" w:rsidP="002D20C7">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The UNSW Law Society submits that the reform of discovery should adopt a number of measures that cumulatively and correspondingly limit the expense and burdens of discovery. </w:t>
      </w:r>
    </w:p>
    <w:p w14:paraId="531F6163" w14:textId="77777777" w:rsidR="0088687B" w:rsidRPr="00B63529" w:rsidRDefault="0088687B" w:rsidP="00FE7EB6">
      <w:pPr>
        <w:jc w:val="both"/>
        <w:rPr>
          <w:rFonts w:ascii="Times New Roman" w:hAnsi="Times New Roman" w:cs="Times New Roman"/>
          <w:i/>
        </w:rPr>
      </w:pPr>
    </w:p>
    <w:p w14:paraId="5DAF015A" w14:textId="77777777" w:rsidR="0088687B" w:rsidRPr="00B63529" w:rsidRDefault="0088687B"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General discovery and the ‘direct relevance’ test</w:t>
      </w:r>
    </w:p>
    <w:p w14:paraId="41DBA6B9" w14:textId="77777777" w:rsidR="0088687B" w:rsidRPr="00B63529" w:rsidRDefault="0088687B" w:rsidP="00FE7EB6">
      <w:pPr>
        <w:pStyle w:val="ListParagraph"/>
        <w:ind w:left="360"/>
        <w:jc w:val="both"/>
        <w:rPr>
          <w:rFonts w:ascii="Times New Roman" w:hAnsi="Times New Roman" w:cs="Times New Roman"/>
          <w:b/>
        </w:rPr>
      </w:pPr>
    </w:p>
    <w:p w14:paraId="60ECA48B"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Lord Woolf, in his 1996 review, recommended that discovery should normally be restricted to ‘directly relevant’ documents and ‘indirectly relevant’ documents should be disclosed only by court order.</w:t>
      </w:r>
      <w:r w:rsidRPr="00B63529">
        <w:rPr>
          <w:rStyle w:val="FootnoteReference"/>
          <w:rFonts w:ascii="Times New Roman" w:hAnsi="Times New Roman" w:cs="Times New Roman"/>
        </w:rPr>
        <w:footnoteReference w:id="28"/>
      </w:r>
      <w:r w:rsidRPr="00B63529">
        <w:rPr>
          <w:rFonts w:ascii="Times New Roman" w:hAnsi="Times New Roman" w:cs="Times New Roman"/>
        </w:rPr>
        <w:t xml:space="preserve"> This recommendation was followed in the UK and then in most Australian jurisdictions.</w:t>
      </w:r>
    </w:p>
    <w:p w14:paraId="717160E7" w14:textId="77777777" w:rsidR="0088687B" w:rsidRPr="00B63529" w:rsidRDefault="0088687B" w:rsidP="00FE7EB6">
      <w:pPr>
        <w:pStyle w:val="ListParagraph"/>
        <w:ind w:left="360"/>
        <w:jc w:val="both"/>
        <w:rPr>
          <w:rFonts w:ascii="Times New Roman" w:hAnsi="Times New Roman" w:cs="Times New Roman"/>
        </w:rPr>
      </w:pPr>
    </w:p>
    <w:p w14:paraId="259F7A27"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generally is in favour of the recommendation that all jurisdictions shift to limit general discovery to information of direct relevance. It strongly supports a presumption against general or standard discovery, particularly for complex cases. A test of relevance should be uniformly adopted across all jurisdictions, as consistency and uniformity has clear benefits for practitioners.</w:t>
      </w:r>
    </w:p>
    <w:p w14:paraId="721DE3EF" w14:textId="77777777" w:rsidR="0088687B" w:rsidRPr="00B63529" w:rsidRDefault="0088687B" w:rsidP="00FE7EB6">
      <w:pPr>
        <w:jc w:val="both"/>
        <w:rPr>
          <w:rFonts w:ascii="Times New Roman" w:hAnsi="Times New Roman" w:cs="Times New Roman"/>
        </w:rPr>
      </w:pPr>
    </w:p>
    <w:p w14:paraId="7FBE49BF"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There is some variance across jurisdictions as to the narrowness of the test of relevance. In NSW, the document has to be ‘relevant to a fact in issue’.</w:t>
      </w:r>
      <w:r w:rsidRPr="00B63529">
        <w:rPr>
          <w:rStyle w:val="FootnoteReference"/>
          <w:rFonts w:ascii="Times New Roman" w:hAnsi="Times New Roman" w:cs="Times New Roman"/>
        </w:rPr>
        <w:footnoteReference w:id="29"/>
      </w:r>
      <w:r w:rsidRPr="00B63529">
        <w:rPr>
          <w:rFonts w:ascii="Times New Roman" w:hAnsi="Times New Roman" w:cs="Times New Roman"/>
        </w:rPr>
        <w:t xml:space="preserve"> In Victoria, the ‘train of inquiry’ test as propounded in the </w:t>
      </w:r>
      <w:r w:rsidRPr="00B63529">
        <w:rPr>
          <w:rFonts w:ascii="Times New Roman" w:hAnsi="Times New Roman" w:cs="Times New Roman"/>
          <w:i/>
        </w:rPr>
        <w:t>Peruvian Guano</w:t>
      </w:r>
      <w:r w:rsidRPr="00B63529">
        <w:rPr>
          <w:rFonts w:ascii="Times New Roman" w:hAnsi="Times New Roman" w:cs="Times New Roman"/>
        </w:rPr>
        <w:t xml:space="preserve"> case remains the test of general application for discovery.</w:t>
      </w:r>
      <w:r w:rsidRPr="00B63529">
        <w:rPr>
          <w:rStyle w:val="FootnoteReference"/>
          <w:rFonts w:ascii="Times New Roman" w:hAnsi="Times New Roman" w:cs="Times New Roman"/>
        </w:rPr>
        <w:footnoteReference w:id="30"/>
      </w:r>
      <w:r w:rsidRPr="00B63529">
        <w:rPr>
          <w:rFonts w:ascii="Times New Roman" w:hAnsi="Times New Roman" w:cs="Times New Roman"/>
        </w:rPr>
        <w:t xml:space="preserve"> In the Federal Court, a party must discover documents that it relies on, that adversely affect the party’s case, and that support or adversely affect another party’s case.</w:t>
      </w:r>
      <w:r w:rsidRPr="00B63529">
        <w:rPr>
          <w:rStyle w:val="FootnoteReference"/>
          <w:rFonts w:ascii="Times New Roman" w:hAnsi="Times New Roman" w:cs="Times New Roman"/>
        </w:rPr>
        <w:footnoteReference w:id="31"/>
      </w:r>
      <w:r w:rsidRPr="00B63529">
        <w:rPr>
          <w:rFonts w:ascii="Times New Roman" w:hAnsi="Times New Roman" w:cs="Times New Roman"/>
        </w:rPr>
        <w:t xml:space="preserve"> </w:t>
      </w:r>
    </w:p>
    <w:p w14:paraId="42202364" w14:textId="77777777" w:rsidR="0088687B" w:rsidRPr="00B63529" w:rsidRDefault="0088687B" w:rsidP="00FE7EB6">
      <w:pPr>
        <w:pStyle w:val="ListParagraph"/>
        <w:ind w:left="360"/>
        <w:jc w:val="both"/>
        <w:rPr>
          <w:rFonts w:ascii="Times New Roman" w:hAnsi="Times New Roman" w:cs="Times New Roman"/>
        </w:rPr>
      </w:pPr>
    </w:p>
    <w:p w14:paraId="65FA88AB"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However, the limitation that discoverable documents be directly relevant to the matter is one that is easily rendered useless without corresponding strong case management and judicial oversight. Left to their own devices, solicitors will continue to disclose everything that may in any way be relevant.</w:t>
      </w:r>
      <w:r w:rsidRPr="00B63529">
        <w:rPr>
          <w:rStyle w:val="FootnoteReference"/>
          <w:rFonts w:ascii="Times New Roman" w:hAnsi="Times New Roman" w:cs="Times New Roman"/>
        </w:rPr>
        <w:footnoteReference w:id="32"/>
      </w:r>
      <w:r w:rsidRPr="00B63529">
        <w:rPr>
          <w:rFonts w:ascii="Times New Roman" w:hAnsi="Times New Roman" w:cs="Times New Roman"/>
        </w:rPr>
        <w:t xml:space="preserve">  </w:t>
      </w:r>
    </w:p>
    <w:p w14:paraId="575A040D" w14:textId="77777777" w:rsidR="0088687B" w:rsidRPr="00B63529" w:rsidRDefault="0088687B" w:rsidP="00FE7EB6">
      <w:pPr>
        <w:jc w:val="both"/>
        <w:rPr>
          <w:rFonts w:ascii="Times New Roman" w:hAnsi="Times New Roman" w:cs="Times New Roman"/>
        </w:rPr>
      </w:pPr>
    </w:p>
    <w:p w14:paraId="335A5132"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lastRenderedPageBreak/>
        <w:t>The UNSW Law Society submits that a narrow test should be favoured, along the lines of the Federal Court test, but that there should be an option for expanded discovery with the court’s leave. The ‘direct relevance’ test could be further refined to more effectively limit documents in discovery. The ALRC considered reforms to narrow the test of ‘direct relevance’ would not be an effective means of controlling the cost of discovery since litigants would still be required to view the same number of documents in order to identify those of sufficient relevance.</w:t>
      </w:r>
      <w:r w:rsidRPr="00B63529">
        <w:rPr>
          <w:rStyle w:val="FootnoteReference"/>
          <w:rFonts w:ascii="Times New Roman" w:hAnsi="Times New Roman" w:cs="Times New Roman"/>
        </w:rPr>
        <w:footnoteReference w:id="33"/>
      </w:r>
      <w:r w:rsidRPr="00B63529">
        <w:rPr>
          <w:rFonts w:ascii="Times New Roman" w:hAnsi="Times New Roman" w:cs="Times New Roman"/>
        </w:rPr>
        <w:t xml:space="preserve"> </w:t>
      </w:r>
    </w:p>
    <w:p w14:paraId="2AE9C947" w14:textId="77777777" w:rsidR="0088687B" w:rsidRPr="00B63529" w:rsidRDefault="0088687B" w:rsidP="00FE7EB6">
      <w:pPr>
        <w:jc w:val="both"/>
        <w:rPr>
          <w:rFonts w:ascii="Times New Roman" w:hAnsi="Times New Roman" w:cs="Times New Roman"/>
        </w:rPr>
      </w:pPr>
    </w:p>
    <w:p w14:paraId="65DB61A9"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agrees that simply narrowing the test of ‘direct relevance’ would, by itself, be insufficient to have much impact. But such a reform would need to be made in conjunction with other reforms that allow for judicial case management to tailor discovery.</w:t>
      </w:r>
    </w:p>
    <w:p w14:paraId="2C3E8B6E" w14:textId="77777777" w:rsidR="0088687B" w:rsidRPr="00B63529" w:rsidRDefault="0088687B" w:rsidP="00FE7EB6">
      <w:pPr>
        <w:jc w:val="both"/>
        <w:rPr>
          <w:rFonts w:ascii="Times New Roman" w:hAnsi="Times New Roman" w:cs="Times New Roman"/>
        </w:rPr>
      </w:pPr>
    </w:p>
    <w:p w14:paraId="7677B82D" w14:textId="77777777"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Discovery can be tailored to suit the issues in a number of ways. It can be tailored to the specific case, or category of case by requiring disclosure in stage, or describing discoverable documents by categories. The UNSW Law Society recommends a ‘menu’ approach, where by all these options are available for the judge to use their discretion and apply given the circumstances of a particular case. The US concept of specific proportionality, where the amount, type and sequence of discovery is pre-determined by the parties so that its cost is proportionate to what is at stake in the litigation, provides assistance in choosing the correct item of the menu.</w:t>
      </w:r>
      <w:r w:rsidRPr="00B63529">
        <w:rPr>
          <w:rStyle w:val="FootnoteReference"/>
          <w:rFonts w:ascii="Times New Roman" w:hAnsi="Times New Roman" w:cs="Times New Roman"/>
        </w:rPr>
        <w:footnoteReference w:id="34"/>
      </w:r>
    </w:p>
    <w:p w14:paraId="0AE6F89A" w14:textId="77777777" w:rsidR="0088687B" w:rsidRPr="00B63529" w:rsidRDefault="0088687B" w:rsidP="00FE7EB6">
      <w:pPr>
        <w:jc w:val="both"/>
        <w:rPr>
          <w:rFonts w:ascii="Times New Roman" w:hAnsi="Times New Roman" w:cs="Times New Roman"/>
        </w:rPr>
      </w:pPr>
    </w:p>
    <w:p w14:paraId="59DBDE25" w14:textId="77777777" w:rsidR="0088687B" w:rsidRPr="00B63529" w:rsidRDefault="0088687B" w:rsidP="00FE7EB6">
      <w:pPr>
        <w:pStyle w:val="ListParagraph"/>
        <w:numPr>
          <w:ilvl w:val="1"/>
          <w:numId w:val="3"/>
        </w:numPr>
        <w:jc w:val="both"/>
        <w:rPr>
          <w:rFonts w:ascii="Times New Roman" w:hAnsi="Times New Roman" w:cs="Times New Roman"/>
          <w:i/>
        </w:rPr>
      </w:pPr>
      <w:r w:rsidRPr="00B63529">
        <w:rPr>
          <w:rFonts w:ascii="Times New Roman" w:hAnsi="Times New Roman" w:cs="Times New Roman"/>
        </w:rPr>
        <w:t xml:space="preserve">The Federal Court has adopted the approach of tailoring discovery by </w:t>
      </w:r>
      <w:proofErr w:type="spellStart"/>
      <w:r w:rsidRPr="00B63529">
        <w:rPr>
          <w:rFonts w:ascii="Times New Roman" w:hAnsi="Times New Roman" w:cs="Times New Roman"/>
        </w:rPr>
        <w:t>utilising</w:t>
      </w:r>
      <w:proofErr w:type="spellEnd"/>
      <w:r w:rsidRPr="00B63529">
        <w:rPr>
          <w:rFonts w:ascii="Times New Roman" w:hAnsi="Times New Roman" w:cs="Times New Roman"/>
        </w:rPr>
        <w:t xml:space="preserve"> categories,</w:t>
      </w:r>
      <w:r w:rsidRPr="00B63529">
        <w:rPr>
          <w:rStyle w:val="FootnoteReference"/>
          <w:rFonts w:ascii="Times New Roman" w:hAnsi="Times New Roman" w:cs="Times New Roman"/>
        </w:rPr>
        <w:footnoteReference w:id="35"/>
      </w:r>
      <w:r w:rsidRPr="00B63529">
        <w:rPr>
          <w:rFonts w:ascii="Times New Roman" w:hAnsi="Times New Roman" w:cs="Times New Roman"/>
        </w:rPr>
        <w:t xml:space="preserve"> but the ALRC has found that this has not achieved significant efficiencies as desired, because parties are formulating overbroad categories.</w:t>
      </w:r>
      <w:r w:rsidRPr="00B63529">
        <w:rPr>
          <w:rStyle w:val="FootnoteReference"/>
          <w:rFonts w:ascii="Times New Roman" w:hAnsi="Times New Roman" w:cs="Times New Roman"/>
        </w:rPr>
        <w:footnoteReference w:id="36"/>
      </w:r>
      <w:r w:rsidRPr="00B63529">
        <w:rPr>
          <w:rFonts w:ascii="Times New Roman" w:hAnsi="Times New Roman" w:cs="Times New Roman"/>
        </w:rPr>
        <w:t xml:space="preserve"> The UNSW Law Society considers such flaws to be remediable by greater judicial involvement in the formulation of categories, perhaps in the form of objective criteria outlined in a Practice Note. Also, greater emphasis on the early and clear identification and definition of the issues in dispute would allow for more effective formulation of the categories of discovery required for each case.</w:t>
      </w:r>
      <w:r w:rsidRPr="00B63529">
        <w:rPr>
          <w:rStyle w:val="FootnoteReference"/>
          <w:rFonts w:ascii="Times New Roman" w:hAnsi="Times New Roman" w:cs="Times New Roman"/>
        </w:rPr>
        <w:footnoteReference w:id="37"/>
      </w:r>
      <w:r w:rsidRPr="00B63529">
        <w:rPr>
          <w:rFonts w:ascii="Times New Roman" w:hAnsi="Times New Roman" w:cs="Times New Roman"/>
        </w:rPr>
        <w:t xml:space="preserve"> The tailoring of discovery works best when done in conjunction with an individual docket system.</w:t>
      </w:r>
    </w:p>
    <w:p w14:paraId="62E6261A" w14:textId="77777777" w:rsidR="0088687B" w:rsidRPr="00B63529" w:rsidRDefault="0088687B" w:rsidP="00FE7EB6">
      <w:pPr>
        <w:jc w:val="both"/>
        <w:rPr>
          <w:rFonts w:ascii="Times New Roman" w:hAnsi="Times New Roman" w:cs="Times New Roman"/>
        </w:rPr>
      </w:pPr>
    </w:p>
    <w:p w14:paraId="3250AC88" w14:textId="77777777" w:rsidR="0088687B" w:rsidRPr="00B4515C" w:rsidRDefault="0088687B" w:rsidP="00FE7EB6">
      <w:pPr>
        <w:pStyle w:val="ListParagraph"/>
        <w:numPr>
          <w:ilvl w:val="1"/>
          <w:numId w:val="3"/>
        </w:numPr>
        <w:jc w:val="both"/>
        <w:rPr>
          <w:rFonts w:ascii="Times New Roman" w:hAnsi="Times New Roman" w:cs="Times New Roman"/>
          <w:i/>
        </w:rPr>
      </w:pPr>
      <w:r w:rsidRPr="00B63529">
        <w:rPr>
          <w:rFonts w:ascii="Times New Roman" w:hAnsi="Times New Roman" w:cs="Times New Roman"/>
        </w:rPr>
        <w:t>In conclusion, the UNSW Law Society submits that the Commission’s recommendation that there be a presumption against general discovery is one that should be implemented uniformly across Australia. The recommendation that court rules or practice directions should promote tailored discovery with clear guidance for practitioners and the courts on the discovery options available should be implemented. This is best done using objective criteria to clearly formulate categories of documents.</w:t>
      </w:r>
    </w:p>
    <w:p w14:paraId="5ADEC41E" w14:textId="77777777" w:rsidR="00867EC5" w:rsidRPr="00B4515C" w:rsidRDefault="00867EC5" w:rsidP="00B4515C">
      <w:pPr>
        <w:jc w:val="both"/>
        <w:rPr>
          <w:rFonts w:ascii="Times New Roman" w:hAnsi="Times New Roman" w:cs="Times New Roman"/>
          <w:i/>
        </w:rPr>
      </w:pPr>
    </w:p>
    <w:p w14:paraId="2364535C" w14:textId="77777777" w:rsidR="00867EC5" w:rsidRDefault="00867EC5" w:rsidP="00B4515C">
      <w:pPr>
        <w:jc w:val="both"/>
        <w:rPr>
          <w:rFonts w:ascii="Times New Roman" w:hAnsi="Times New Roman" w:cs="Times New Roman"/>
          <w:i/>
        </w:rPr>
      </w:pPr>
    </w:p>
    <w:p w14:paraId="4EBF0C2C" w14:textId="77777777" w:rsidR="00867EC5" w:rsidRPr="00B4515C" w:rsidRDefault="00867EC5" w:rsidP="00B4515C">
      <w:pPr>
        <w:jc w:val="both"/>
        <w:rPr>
          <w:rFonts w:ascii="Times New Roman" w:hAnsi="Times New Roman" w:cs="Times New Roman"/>
          <w:i/>
        </w:rPr>
      </w:pPr>
    </w:p>
    <w:p w14:paraId="5BF7A543" w14:textId="77777777" w:rsidR="0088687B" w:rsidRPr="00B63529" w:rsidRDefault="0088687B" w:rsidP="00FE7EB6">
      <w:pPr>
        <w:jc w:val="both"/>
        <w:rPr>
          <w:rFonts w:ascii="Times New Roman" w:hAnsi="Times New Roman" w:cs="Times New Roman"/>
          <w:i/>
        </w:rPr>
      </w:pPr>
    </w:p>
    <w:p w14:paraId="085CBD12" w14:textId="77777777" w:rsidR="009739D1" w:rsidRPr="00B63529" w:rsidRDefault="009739D1"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lastRenderedPageBreak/>
        <w:t>Leave requirements and justifying discovery orders</w:t>
      </w:r>
    </w:p>
    <w:p w14:paraId="1626B117" w14:textId="77777777" w:rsidR="00EA09E0" w:rsidRPr="00B63529" w:rsidRDefault="00EA09E0" w:rsidP="00FE7EB6">
      <w:pPr>
        <w:pStyle w:val="ListParagraph"/>
        <w:ind w:left="360"/>
        <w:jc w:val="both"/>
        <w:rPr>
          <w:rFonts w:ascii="Times New Roman" w:hAnsi="Times New Roman" w:cs="Times New Roman"/>
          <w:b/>
        </w:rPr>
      </w:pPr>
    </w:p>
    <w:p w14:paraId="7E9AAA93" w14:textId="77777777" w:rsidR="0088687B" w:rsidRPr="00B63529" w:rsidRDefault="0088687B" w:rsidP="00FE7EB6">
      <w:pPr>
        <w:pStyle w:val="ListParagraph"/>
        <w:numPr>
          <w:ilvl w:val="1"/>
          <w:numId w:val="3"/>
        </w:numPr>
        <w:jc w:val="both"/>
        <w:rPr>
          <w:rFonts w:ascii="Times New Roman" w:hAnsi="Times New Roman" w:cs="Times New Roman"/>
          <w:i/>
        </w:rPr>
      </w:pPr>
      <w:r w:rsidRPr="00B63529">
        <w:rPr>
          <w:rFonts w:ascii="Times New Roman" w:hAnsi="Times New Roman" w:cs="Times New Roman"/>
        </w:rPr>
        <w:t>The UNSW Law Society is in agreement with the Commission that leave should be required for discovery. The requirement to obtain the court’s leave to serve a notice of discovery is an important control over the use and breadth of discovery. The leave requirement needs to be supplemented by more explicit obligations for parties to justify their applications for discovery orders.</w:t>
      </w:r>
    </w:p>
    <w:p w14:paraId="0E8ED72C" w14:textId="77777777" w:rsidR="0088687B" w:rsidRPr="00B63529" w:rsidRDefault="0088687B" w:rsidP="00FE7EB6">
      <w:pPr>
        <w:pStyle w:val="ListParagraph"/>
        <w:ind w:left="360"/>
        <w:jc w:val="both"/>
        <w:rPr>
          <w:rFonts w:ascii="Times New Roman" w:hAnsi="Times New Roman" w:cs="Times New Roman"/>
          <w:i/>
        </w:rPr>
      </w:pPr>
    </w:p>
    <w:p w14:paraId="18E15993" w14:textId="77777777" w:rsidR="0088687B" w:rsidRPr="00B63529" w:rsidRDefault="0088687B" w:rsidP="00FE7EB6">
      <w:pPr>
        <w:pStyle w:val="ListParagraph"/>
        <w:numPr>
          <w:ilvl w:val="1"/>
          <w:numId w:val="3"/>
        </w:numPr>
        <w:jc w:val="both"/>
        <w:rPr>
          <w:rFonts w:ascii="Times New Roman" w:hAnsi="Times New Roman" w:cs="Times New Roman"/>
          <w:i/>
        </w:rPr>
      </w:pPr>
      <w:r w:rsidRPr="00B63529">
        <w:rPr>
          <w:rFonts w:ascii="Times New Roman" w:hAnsi="Times New Roman" w:cs="Times New Roman"/>
        </w:rPr>
        <w:t>These justifications for leave should explain why discovery is necessary and proportionate to justly determine the issues in dispute. Such obligations exist in a number of jurisdictions, including the NSW Supreme Court Equity Division.</w:t>
      </w:r>
      <w:r w:rsidRPr="00B63529">
        <w:rPr>
          <w:rStyle w:val="FootnoteReference"/>
          <w:rFonts w:ascii="Times New Roman" w:hAnsi="Times New Roman" w:cs="Times New Roman"/>
        </w:rPr>
        <w:footnoteReference w:id="38"/>
      </w:r>
      <w:r w:rsidRPr="00B63529">
        <w:rPr>
          <w:rFonts w:ascii="Times New Roman" w:hAnsi="Times New Roman" w:cs="Times New Roman"/>
        </w:rPr>
        <w:t xml:space="preserve"> This would necessarily involve a determination by the court and foster the greater judicial scrutiny and case management that is needed overall to make the judicial process more efficient and inexpensive.</w:t>
      </w:r>
    </w:p>
    <w:p w14:paraId="183624C9" w14:textId="77777777" w:rsidR="0088687B" w:rsidRPr="00B63529" w:rsidRDefault="0088687B" w:rsidP="00FE7EB6">
      <w:pPr>
        <w:jc w:val="both"/>
        <w:rPr>
          <w:rFonts w:ascii="Times New Roman" w:hAnsi="Times New Roman" w:cs="Times New Roman"/>
          <w:i/>
        </w:rPr>
      </w:pPr>
    </w:p>
    <w:p w14:paraId="7549FC90" w14:textId="55C888BC" w:rsidR="009739D1" w:rsidRPr="00B63529" w:rsidRDefault="009739D1"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Costs orders</w:t>
      </w:r>
    </w:p>
    <w:p w14:paraId="09328358" w14:textId="77777777" w:rsidR="009739D1" w:rsidRPr="00B63529" w:rsidRDefault="009739D1" w:rsidP="00FE7EB6">
      <w:pPr>
        <w:jc w:val="both"/>
        <w:rPr>
          <w:rFonts w:ascii="Times New Roman" w:hAnsi="Times New Roman" w:cs="Times New Roman"/>
          <w:b/>
        </w:rPr>
      </w:pPr>
    </w:p>
    <w:p w14:paraId="45824910" w14:textId="77777777" w:rsidR="009739D1"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submits that the Commission’s recommendation that courts should be expressly empowered to make targeted costs orders in respect of discovery should be implemented. This creates incentives for litigants to be more conscientious of how they conduct discovery, and deters them from abusing the discovery process. There needs to be consideration of whether costs should be ordered against those who cause unnecessary discovery disputes, or whether costs orders should be used as security.  The UNSW Law Society considers that both approaches are feasible, each serving a slightly different purpose.  Also costs orders specifying the maximum cost that may be recovered for giving discovery or taking inspection is an approach with great merit.</w:t>
      </w:r>
    </w:p>
    <w:p w14:paraId="6A5D0D51" w14:textId="77777777" w:rsidR="009739D1" w:rsidRPr="00B63529" w:rsidRDefault="009739D1" w:rsidP="00FE7EB6">
      <w:pPr>
        <w:pStyle w:val="ListParagraph"/>
        <w:ind w:left="792"/>
        <w:jc w:val="both"/>
        <w:rPr>
          <w:rFonts w:ascii="Times New Roman" w:hAnsi="Times New Roman" w:cs="Times New Roman"/>
        </w:rPr>
      </w:pPr>
    </w:p>
    <w:p w14:paraId="62C58456" w14:textId="3239B18C" w:rsidR="0088687B" w:rsidRPr="00B63529" w:rsidRDefault="0088687B"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recognises that costs orders for discovery must be carefully implemented. There need to be clear procedures and guidelines in place for judges to determine when and whether such orders are appropriate. These guidelines need to balance the interests of justice with the need to deter abuse and inefficient use of the discovery process.</w:t>
      </w:r>
    </w:p>
    <w:p w14:paraId="2FE08D46" w14:textId="77777777" w:rsidR="0088687B" w:rsidRPr="00B63529" w:rsidRDefault="0088687B" w:rsidP="00FE7EB6">
      <w:pPr>
        <w:pBdr>
          <w:bottom w:val="single" w:sz="6" w:space="1" w:color="auto"/>
        </w:pBdr>
        <w:jc w:val="both"/>
        <w:rPr>
          <w:rFonts w:ascii="Times New Roman" w:hAnsi="Times New Roman" w:cs="Times New Roman"/>
        </w:rPr>
      </w:pPr>
    </w:p>
    <w:p w14:paraId="7C332D8D" w14:textId="77777777" w:rsidR="00EA09E0" w:rsidRPr="00B63529" w:rsidRDefault="00EA09E0" w:rsidP="00FE7EB6">
      <w:pPr>
        <w:jc w:val="both"/>
        <w:rPr>
          <w:rFonts w:ascii="Times New Roman" w:hAnsi="Times New Roman" w:cs="Times New Roman"/>
        </w:rPr>
      </w:pPr>
    </w:p>
    <w:p w14:paraId="43079852" w14:textId="78EDE80A" w:rsidR="00EA09E0" w:rsidRPr="00B63529" w:rsidRDefault="00EA09E0" w:rsidP="00FE7EB6">
      <w:pPr>
        <w:jc w:val="both"/>
        <w:rPr>
          <w:b/>
        </w:rPr>
      </w:pPr>
      <w:r w:rsidRPr="00B63529">
        <w:rPr>
          <w:rFonts w:ascii="Times New Roman" w:hAnsi="Times New Roman" w:cs="Times New Roman"/>
          <w:b/>
        </w:rPr>
        <w:t xml:space="preserve">In response to Draft Recommendation 11.6 </w:t>
      </w:r>
      <w:r w:rsidRPr="00B63529">
        <w:rPr>
          <w:b/>
        </w:rPr>
        <w:t xml:space="preserve">of the Commission’s draft report, </w:t>
      </w:r>
      <w:r w:rsidR="00C104BD">
        <w:rPr>
          <w:b/>
        </w:rPr>
        <w:t>the UNSW Law Society</w:t>
      </w:r>
      <w:r w:rsidR="00C104BD" w:rsidRPr="00B63529">
        <w:rPr>
          <w:b/>
        </w:rPr>
        <w:t xml:space="preserve"> make</w:t>
      </w:r>
      <w:r w:rsidR="00C104BD">
        <w:rPr>
          <w:b/>
        </w:rPr>
        <w:t>s</w:t>
      </w:r>
      <w:r w:rsidRPr="00B63529">
        <w:rPr>
          <w:b/>
        </w:rPr>
        <w:t xml:space="preserve"> the following submissions:</w:t>
      </w:r>
    </w:p>
    <w:p w14:paraId="47E14FE0" w14:textId="77777777" w:rsidR="00EA09E0" w:rsidRPr="00B63529" w:rsidRDefault="00EA09E0" w:rsidP="00FE7EB6">
      <w:pPr>
        <w:jc w:val="both"/>
        <w:rPr>
          <w:rFonts w:ascii="Times New Roman" w:hAnsi="Times New Roman" w:cs="Times New Roman"/>
        </w:rPr>
      </w:pPr>
    </w:p>
    <w:p w14:paraId="14621869"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General discovery in an electronic age</w:t>
      </w:r>
    </w:p>
    <w:p w14:paraId="0DD4DA6D" w14:textId="77777777" w:rsidR="00EA09E0" w:rsidRPr="00B63529" w:rsidRDefault="00EA09E0" w:rsidP="00FE7EB6">
      <w:pPr>
        <w:pStyle w:val="ListParagraph"/>
        <w:ind w:left="360"/>
        <w:jc w:val="both"/>
        <w:rPr>
          <w:rFonts w:ascii="Times New Roman" w:hAnsi="Times New Roman" w:cs="Times New Roman"/>
          <w:b/>
        </w:rPr>
      </w:pPr>
    </w:p>
    <w:p w14:paraId="712410BA"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effect of any reforms to limit general discovery should be considered in the context of the rapidly evolving nature of Electronically Stored Information (ESI). The advent of electronic discovery, with its attendant focus on digital search strategies, can make the discovery process simultaneously larger and quicker.</w:t>
      </w:r>
    </w:p>
    <w:p w14:paraId="7038257F" w14:textId="77777777" w:rsidR="00EA09E0" w:rsidRPr="00B63529" w:rsidRDefault="00EA09E0" w:rsidP="00FE7EB6">
      <w:pPr>
        <w:pStyle w:val="ListParagraph"/>
        <w:ind w:left="792"/>
        <w:jc w:val="both"/>
        <w:rPr>
          <w:rFonts w:ascii="Times New Roman" w:hAnsi="Times New Roman" w:cs="Times New Roman"/>
        </w:rPr>
      </w:pPr>
    </w:p>
    <w:p w14:paraId="2E2676A1"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Hence, the UNSW Law Society, whilst acknowledging the importance of limiting the scope of general discovery, regards such concerns as being increasingly anachronistic because of </w:t>
      </w:r>
      <w:r w:rsidRPr="00B63529">
        <w:rPr>
          <w:rFonts w:ascii="Times New Roman" w:hAnsi="Times New Roman" w:cs="Times New Roman"/>
        </w:rPr>
        <w:lastRenderedPageBreak/>
        <w:t>the prevalence of electronic discovery, especially in complex litigation where the most substantial disproportionate costs and waste takes place.</w:t>
      </w:r>
    </w:p>
    <w:p w14:paraId="1D1DA0E9" w14:textId="77777777" w:rsidR="00EA09E0" w:rsidRPr="00B63529" w:rsidRDefault="00EA09E0" w:rsidP="00FE7EB6">
      <w:pPr>
        <w:jc w:val="both"/>
        <w:rPr>
          <w:rFonts w:ascii="Times New Roman" w:hAnsi="Times New Roman" w:cs="Times New Roman"/>
        </w:rPr>
      </w:pPr>
    </w:p>
    <w:p w14:paraId="09D15378" w14:textId="14A1C560"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Thus, the UNSW Law Society considers that greater effort and thought should be spent on pre-emptively creating a framework to more efficiently deal with electronic discovery than on general discovery.</w:t>
      </w:r>
    </w:p>
    <w:p w14:paraId="325CC4DB" w14:textId="77777777" w:rsidR="00EA09E0" w:rsidRPr="00B63529" w:rsidRDefault="00EA09E0" w:rsidP="00FE7EB6">
      <w:pPr>
        <w:jc w:val="both"/>
        <w:rPr>
          <w:rFonts w:ascii="Times New Roman" w:hAnsi="Times New Roman" w:cs="Times New Roman"/>
        </w:rPr>
      </w:pPr>
    </w:p>
    <w:p w14:paraId="43BF9667"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Managing e-discovery</w:t>
      </w:r>
    </w:p>
    <w:p w14:paraId="006E0839" w14:textId="77777777" w:rsidR="00EA09E0" w:rsidRPr="00B63529" w:rsidRDefault="00EA09E0" w:rsidP="00FE7EB6">
      <w:pPr>
        <w:pStyle w:val="ListParagraph"/>
        <w:ind w:left="360"/>
        <w:jc w:val="both"/>
        <w:rPr>
          <w:rFonts w:ascii="Times New Roman" w:hAnsi="Times New Roman" w:cs="Times New Roman"/>
        </w:rPr>
      </w:pPr>
    </w:p>
    <w:p w14:paraId="6AAAE5FE"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ESI has a number of distinguishing features from paper documentation including its volume, the variety of sources and formats, its dynamism, and its relative indestructability.</w:t>
      </w:r>
      <w:r w:rsidRPr="00B63529">
        <w:rPr>
          <w:rStyle w:val="FootnoteReference"/>
          <w:rFonts w:ascii="Times New Roman" w:hAnsi="Times New Roman" w:cs="Times New Roman"/>
        </w:rPr>
        <w:footnoteReference w:id="39"/>
      </w:r>
      <w:r w:rsidRPr="00B63529">
        <w:rPr>
          <w:rFonts w:ascii="Times New Roman" w:hAnsi="Times New Roman" w:cs="Times New Roman"/>
        </w:rPr>
        <w:t xml:space="preserve"> These unique characteristics of ESI need to be factored into the litigation process. </w:t>
      </w:r>
    </w:p>
    <w:p w14:paraId="55E36728" w14:textId="77777777" w:rsidR="00EA09E0" w:rsidRPr="00B63529" w:rsidRDefault="00EA09E0" w:rsidP="00FE7EB6">
      <w:pPr>
        <w:pStyle w:val="ListParagraph"/>
        <w:ind w:left="792"/>
        <w:jc w:val="both"/>
        <w:rPr>
          <w:rFonts w:ascii="Times New Roman" w:hAnsi="Times New Roman" w:cs="Times New Roman"/>
        </w:rPr>
      </w:pPr>
    </w:p>
    <w:p w14:paraId="6C1FAF6E" w14:textId="3946381C"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The UNSW Law Society supports the Commission’s recommendation that all courts should have practice guidelines and checklists which cover ways to use information technology to manage the discovery process more efficiently. Electronic discovery will inexorably supplant paper-based discovery, and it is crucial for courts in all jurisdictions to stay relevant. </w:t>
      </w:r>
    </w:p>
    <w:p w14:paraId="1699F311" w14:textId="77777777" w:rsidR="00EA09E0" w:rsidRPr="00B63529" w:rsidRDefault="00EA09E0" w:rsidP="00FE7EB6">
      <w:pPr>
        <w:jc w:val="both"/>
        <w:rPr>
          <w:rFonts w:ascii="Times New Roman" w:hAnsi="Times New Roman" w:cs="Times New Roman"/>
        </w:rPr>
      </w:pPr>
    </w:p>
    <w:p w14:paraId="6AFEA9A3"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Pre-discovery conferences</w:t>
      </w:r>
    </w:p>
    <w:p w14:paraId="7CFC746D" w14:textId="77777777" w:rsidR="00EA09E0" w:rsidRPr="00B63529" w:rsidRDefault="00EA09E0" w:rsidP="00FE7EB6">
      <w:pPr>
        <w:pStyle w:val="ListParagraph"/>
        <w:ind w:left="360"/>
        <w:jc w:val="both"/>
        <w:rPr>
          <w:rFonts w:ascii="Times New Roman" w:hAnsi="Times New Roman" w:cs="Times New Roman"/>
          <w:b/>
        </w:rPr>
      </w:pPr>
    </w:p>
    <w:p w14:paraId="2EAF27B3"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key to managing electronic discovery in complex litigation is case management or pre-discovery conferences where the issues in dispute, what types of data, the format it is sought in, and whether metadata is included in the discovery obligations are discussed. From these discussions, the parties should be required to file a discovery plan with the court before being given leave for discovery. A discovery plan outlining all these matters will give some structure and guidance to the court and parties as to what is expected in discovery and how long it may be expected to take.</w:t>
      </w:r>
    </w:p>
    <w:p w14:paraId="6AEF02A6" w14:textId="77777777" w:rsidR="00EA09E0" w:rsidRPr="00B63529" w:rsidRDefault="00EA09E0" w:rsidP="00FE7EB6">
      <w:pPr>
        <w:pStyle w:val="ListParagraph"/>
        <w:ind w:left="792"/>
        <w:jc w:val="both"/>
        <w:rPr>
          <w:rFonts w:ascii="Times New Roman" w:hAnsi="Times New Roman" w:cs="Times New Roman"/>
        </w:rPr>
      </w:pPr>
    </w:p>
    <w:p w14:paraId="631522AA"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submits that Registrars with information technology expertise should chair these pre-discovery conferences. These Registrars would be in a better position to direct parties as to how to limit electronic discovery, how to devise appropriate discovery plans, and how to formulate effective search strategies. Over time, these Registrars would develop familiarity with the best strategies for particular types of matters, and this would allow for greater efficiency in the discovery process.</w:t>
      </w:r>
    </w:p>
    <w:p w14:paraId="70C80210" w14:textId="77777777" w:rsidR="00EA09E0" w:rsidRPr="00B63529" w:rsidRDefault="00EA09E0" w:rsidP="00FE7EB6">
      <w:pPr>
        <w:jc w:val="both"/>
        <w:rPr>
          <w:rFonts w:ascii="Times New Roman" w:hAnsi="Times New Roman" w:cs="Times New Roman"/>
        </w:rPr>
      </w:pPr>
    </w:p>
    <w:p w14:paraId="08E39352" w14:textId="3CDFCCFE" w:rsidR="00EA09E0"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The UNSW Law Society acknowledges QPILCH’s concern that electronic documents create access to justice problems when litigants cannot afford specific software to access, </w:t>
      </w:r>
      <w:proofErr w:type="spellStart"/>
      <w:r w:rsidRPr="00B63529">
        <w:rPr>
          <w:rFonts w:ascii="Times New Roman" w:hAnsi="Times New Roman" w:cs="Times New Roman"/>
        </w:rPr>
        <w:t>categorise</w:t>
      </w:r>
      <w:proofErr w:type="spellEnd"/>
      <w:r w:rsidRPr="00B63529">
        <w:rPr>
          <w:rFonts w:ascii="Times New Roman" w:hAnsi="Times New Roman" w:cs="Times New Roman"/>
        </w:rPr>
        <w:t xml:space="preserve"> and review documents. Such disadvantages will be lessened because the continuing advancement and proliferation of technology will ensure that appropriate technology will be affordable and accessible in the future.</w:t>
      </w:r>
    </w:p>
    <w:p w14:paraId="291DFAF9" w14:textId="77777777" w:rsidR="00867EC5" w:rsidRPr="00B4515C" w:rsidRDefault="00867EC5" w:rsidP="00B4515C">
      <w:pPr>
        <w:jc w:val="both"/>
        <w:rPr>
          <w:rFonts w:ascii="Times New Roman" w:hAnsi="Times New Roman" w:cs="Times New Roman"/>
        </w:rPr>
      </w:pPr>
    </w:p>
    <w:p w14:paraId="38A99E8B" w14:textId="77777777" w:rsidR="00956F61" w:rsidRPr="00B4515C" w:rsidRDefault="00956F61" w:rsidP="00B4515C">
      <w:pPr>
        <w:jc w:val="both"/>
        <w:rPr>
          <w:rFonts w:ascii="Times New Roman" w:hAnsi="Times New Roman" w:cs="Times New Roman"/>
        </w:rPr>
      </w:pPr>
    </w:p>
    <w:p w14:paraId="1D9763E5" w14:textId="77777777" w:rsidR="00EA09E0" w:rsidRPr="00B63529" w:rsidRDefault="00EA09E0" w:rsidP="00FE7EB6">
      <w:pPr>
        <w:jc w:val="both"/>
        <w:rPr>
          <w:rFonts w:ascii="Times New Roman" w:hAnsi="Times New Roman" w:cs="Times New Roman"/>
        </w:rPr>
      </w:pPr>
    </w:p>
    <w:p w14:paraId="3C783FA4"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Scope of e-discovery</w:t>
      </w:r>
    </w:p>
    <w:p w14:paraId="4F4C8454" w14:textId="77777777" w:rsidR="00EA09E0" w:rsidRPr="00B63529" w:rsidRDefault="00EA09E0" w:rsidP="00FE7EB6">
      <w:pPr>
        <w:pStyle w:val="ListParagraph"/>
        <w:ind w:left="360"/>
        <w:jc w:val="both"/>
        <w:rPr>
          <w:rFonts w:ascii="Times New Roman" w:hAnsi="Times New Roman" w:cs="Times New Roman"/>
          <w:b/>
        </w:rPr>
      </w:pPr>
    </w:p>
    <w:p w14:paraId="521468CF"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Electronic data should be limited to the extent that it can be </w:t>
      </w:r>
      <w:proofErr w:type="spellStart"/>
      <w:r w:rsidRPr="00B63529">
        <w:rPr>
          <w:rFonts w:ascii="Times New Roman" w:hAnsi="Times New Roman" w:cs="Times New Roman"/>
        </w:rPr>
        <w:t>categorised</w:t>
      </w:r>
      <w:proofErr w:type="spellEnd"/>
      <w:r w:rsidRPr="00B63529">
        <w:rPr>
          <w:rFonts w:ascii="Times New Roman" w:hAnsi="Times New Roman" w:cs="Times New Roman"/>
        </w:rPr>
        <w:t>. Two common categories are accessible and inaccessible data. The former includes online data, near-line data and offline storage or archives; the latter includes backup tapes and erased, fragmented or damaged data.</w:t>
      </w:r>
      <w:r w:rsidRPr="00B63529">
        <w:rPr>
          <w:rStyle w:val="FootnoteReference"/>
          <w:rFonts w:ascii="Times New Roman" w:hAnsi="Times New Roman" w:cs="Times New Roman"/>
        </w:rPr>
        <w:footnoteReference w:id="40"/>
      </w:r>
      <w:r w:rsidRPr="00B63529">
        <w:rPr>
          <w:rFonts w:ascii="Times New Roman" w:hAnsi="Times New Roman" w:cs="Times New Roman"/>
        </w:rPr>
        <w:t xml:space="preserve"> The time and expense of data retrieval is dependent on whether such information is kept in an accessible or inaccessible format. In the UK, the party seeking discovery of inaccessible documents must ‘demonstrate that the relevance and materiality justify the cost and burden of retrieving and producing it’.</w:t>
      </w:r>
      <w:r w:rsidRPr="00B63529">
        <w:rPr>
          <w:rStyle w:val="FootnoteReference"/>
          <w:rFonts w:ascii="Times New Roman" w:hAnsi="Times New Roman" w:cs="Times New Roman"/>
        </w:rPr>
        <w:footnoteReference w:id="41"/>
      </w:r>
      <w:r w:rsidRPr="00B63529">
        <w:rPr>
          <w:rFonts w:ascii="Times New Roman" w:hAnsi="Times New Roman" w:cs="Times New Roman"/>
        </w:rPr>
        <w:t xml:space="preserve"> </w:t>
      </w:r>
    </w:p>
    <w:p w14:paraId="457D74B0" w14:textId="77777777" w:rsidR="00EA09E0" w:rsidRPr="00B63529" w:rsidRDefault="00EA09E0" w:rsidP="00FE7EB6">
      <w:pPr>
        <w:pStyle w:val="ListParagraph"/>
        <w:ind w:left="792"/>
        <w:jc w:val="both"/>
        <w:rPr>
          <w:rFonts w:ascii="Times New Roman" w:hAnsi="Times New Roman" w:cs="Times New Roman"/>
        </w:rPr>
      </w:pPr>
    </w:p>
    <w:p w14:paraId="7405BFE9"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considers the approach in the UK as one that should be adopted in Australia, as a means of limiting discovery and, again, allowing for judicial oversight.</w:t>
      </w:r>
      <w:r w:rsidRPr="00B63529">
        <w:rPr>
          <w:rStyle w:val="FootnoteReference"/>
          <w:rFonts w:ascii="Times New Roman" w:hAnsi="Times New Roman" w:cs="Times New Roman"/>
        </w:rPr>
        <w:footnoteReference w:id="42"/>
      </w:r>
      <w:r w:rsidRPr="00B63529">
        <w:rPr>
          <w:rFonts w:ascii="Times New Roman" w:hAnsi="Times New Roman" w:cs="Times New Roman"/>
        </w:rPr>
        <w:t xml:space="preserve"> </w:t>
      </w:r>
    </w:p>
    <w:p w14:paraId="1BA0515F" w14:textId="77777777" w:rsidR="00EA09E0" w:rsidRPr="00B63529" w:rsidRDefault="00EA09E0" w:rsidP="00FE7EB6">
      <w:pPr>
        <w:jc w:val="both"/>
        <w:rPr>
          <w:rFonts w:ascii="Times New Roman" w:hAnsi="Times New Roman" w:cs="Times New Roman"/>
        </w:rPr>
      </w:pPr>
    </w:p>
    <w:p w14:paraId="705E6993"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Transparency and cooperation are the keys to conducting a ‘reasonable search’ – the former involving awareness by all actors of the search strategy to be employed, the latter involving parties working together to ‘develop, test and agree upon the nature of the information being sought’.</w:t>
      </w:r>
      <w:r w:rsidRPr="00B63529">
        <w:rPr>
          <w:rStyle w:val="FootnoteReference"/>
          <w:rFonts w:ascii="Times New Roman" w:hAnsi="Times New Roman" w:cs="Times New Roman"/>
        </w:rPr>
        <w:footnoteReference w:id="43"/>
      </w:r>
      <w:r w:rsidRPr="00B63529">
        <w:rPr>
          <w:rFonts w:ascii="Times New Roman" w:hAnsi="Times New Roman" w:cs="Times New Roman"/>
        </w:rPr>
        <w:t xml:space="preserve"> The UNSW Law Society considers that the approach taken by the Federal Court in relation to the exchange of electronic documents is the most appropriate in ensuring that each party conducts a ‘reasonable search’. Here the parties are expected to meet and confer for the purpose of reaching an agreement about the protocols to be used for the exchange of electronic documents.</w:t>
      </w:r>
      <w:r w:rsidRPr="00B63529">
        <w:rPr>
          <w:rStyle w:val="FootnoteReference"/>
          <w:rFonts w:ascii="Times New Roman" w:hAnsi="Times New Roman" w:cs="Times New Roman"/>
        </w:rPr>
        <w:footnoteReference w:id="44"/>
      </w:r>
      <w:r w:rsidRPr="00B63529">
        <w:rPr>
          <w:rFonts w:ascii="Times New Roman" w:hAnsi="Times New Roman" w:cs="Times New Roman"/>
        </w:rPr>
        <w:t xml:space="preserve"> If one party contests that another has failed to make ‘reasonable efforts’ then the court can use that agreement as a key consideration in weighing the cost and inconvenience to the party giving discovery against the value of the documents sought.</w:t>
      </w:r>
      <w:r w:rsidRPr="00B63529">
        <w:rPr>
          <w:rStyle w:val="FootnoteReference"/>
          <w:rFonts w:ascii="Times New Roman" w:hAnsi="Times New Roman" w:cs="Times New Roman"/>
        </w:rPr>
        <w:footnoteReference w:id="45"/>
      </w:r>
    </w:p>
    <w:p w14:paraId="710511DA" w14:textId="77777777" w:rsidR="00EA09E0" w:rsidRPr="00B63529" w:rsidRDefault="00EA09E0" w:rsidP="00FE7EB6">
      <w:pPr>
        <w:jc w:val="both"/>
        <w:rPr>
          <w:rFonts w:ascii="Times New Roman" w:hAnsi="Times New Roman" w:cs="Times New Roman"/>
        </w:rPr>
      </w:pPr>
    </w:p>
    <w:p w14:paraId="073AB37E"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Search strategies</w:t>
      </w:r>
    </w:p>
    <w:p w14:paraId="65648902" w14:textId="77777777" w:rsidR="00EA09E0" w:rsidRPr="00B63529" w:rsidRDefault="00EA09E0" w:rsidP="00FE7EB6">
      <w:pPr>
        <w:pStyle w:val="ListParagraph"/>
        <w:ind w:left="360"/>
        <w:jc w:val="both"/>
        <w:rPr>
          <w:rFonts w:ascii="Times New Roman" w:hAnsi="Times New Roman" w:cs="Times New Roman"/>
          <w:b/>
        </w:rPr>
      </w:pPr>
    </w:p>
    <w:p w14:paraId="6B4C166C"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demands of ESI require the utilisation of various tools and methodologies to identify, cull and sort ESI for the purposes of relevance, privilege and confidentiality.</w:t>
      </w:r>
      <w:r w:rsidRPr="00B63529">
        <w:rPr>
          <w:rStyle w:val="FootnoteReference"/>
          <w:rFonts w:ascii="Times New Roman" w:hAnsi="Times New Roman" w:cs="Times New Roman"/>
        </w:rPr>
        <w:footnoteReference w:id="46"/>
      </w:r>
      <w:r w:rsidRPr="00B63529">
        <w:rPr>
          <w:rFonts w:ascii="Times New Roman" w:hAnsi="Times New Roman" w:cs="Times New Roman"/>
        </w:rPr>
        <w:t xml:space="preserve"> The US is at the forefront of developing and testing new technologies and methodologies to make electronic discovery less burdensome and expensive. The UNSW Law Society submits that the Commission should consider the US literature on ESI discovery to formulate recommendations that allow guidelines to be developed for practitioners and the courts on </w:t>
      </w:r>
      <w:proofErr w:type="spellStart"/>
      <w:r w:rsidRPr="00B63529">
        <w:rPr>
          <w:rFonts w:ascii="Times New Roman" w:hAnsi="Times New Roman" w:cs="Times New Roman"/>
        </w:rPr>
        <w:t>utilising</w:t>
      </w:r>
      <w:proofErr w:type="spellEnd"/>
      <w:r w:rsidRPr="00B63529">
        <w:rPr>
          <w:rFonts w:ascii="Times New Roman" w:hAnsi="Times New Roman" w:cs="Times New Roman"/>
        </w:rPr>
        <w:t xml:space="preserve"> cutting-edge technologies and innovations.</w:t>
      </w:r>
    </w:p>
    <w:p w14:paraId="61050DE4" w14:textId="77777777" w:rsidR="00EA09E0" w:rsidRPr="00B63529" w:rsidRDefault="00EA09E0" w:rsidP="00FE7EB6">
      <w:pPr>
        <w:pStyle w:val="ListParagraph"/>
        <w:jc w:val="both"/>
        <w:rPr>
          <w:rFonts w:ascii="Times New Roman" w:hAnsi="Times New Roman" w:cs="Times New Roman"/>
        </w:rPr>
      </w:pPr>
    </w:p>
    <w:p w14:paraId="19F2C9F5"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lastRenderedPageBreak/>
        <w:t>The most commonly used search methodology today is the use of ‘keyword searches’ – ‘set-based searching simple words or word combinations’.</w:t>
      </w:r>
      <w:r w:rsidRPr="00B63529">
        <w:rPr>
          <w:rStyle w:val="FootnoteReference"/>
          <w:rFonts w:ascii="Times New Roman" w:hAnsi="Times New Roman" w:cs="Times New Roman"/>
        </w:rPr>
        <w:footnoteReference w:id="47"/>
      </w:r>
      <w:r w:rsidRPr="00B63529">
        <w:rPr>
          <w:rFonts w:ascii="Times New Roman" w:hAnsi="Times New Roman" w:cs="Times New Roman"/>
        </w:rPr>
        <w:t xml:space="preserve"> However, this alone is often inadequate.</w:t>
      </w:r>
    </w:p>
    <w:p w14:paraId="123A8596" w14:textId="77777777" w:rsidR="00EA09E0" w:rsidRPr="00B63529" w:rsidRDefault="00EA09E0" w:rsidP="00FE7EB6">
      <w:pPr>
        <w:jc w:val="both"/>
        <w:rPr>
          <w:rFonts w:ascii="Times New Roman" w:hAnsi="Times New Roman" w:cs="Times New Roman"/>
        </w:rPr>
      </w:pPr>
    </w:p>
    <w:p w14:paraId="6A238D34"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‘Predictive coding’ is a process whereby computers are programmed to search large quantities of documents using complex algorithms to mimic the document selection process of a knowledgeable, human document review.</w:t>
      </w:r>
      <w:r w:rsidRPr="00B63529">
        <w:rPr>
          <w:rStyle w:val="FootnoteReference"/>
          <w:rFonts w:ascii="Times New Roman" w:hAnsi="Times New Roman" w:cs="Times New Roman"/>
        </w:rPr>
        <w:footnoteReference w:id="48"/>
      </w:r>
      <w:r w:rsidRPr="00B63529">
        <w:rPr>
          <w:rFonts w:ascii="Times New Roman" w:hAnsi="Times New Roman" w:cs="Times New Roman"/>
        </w:rPr>
        <w:t xml:space="preserve"> Owing to its speed and accuracy, it has been described as ‘a fundamental change in the way discovery is conducted’.</w:t>
      </w:r>
      <w:r w:rsidRPr="00B63529">
        <w:rPr>
          <w:rStyle w:val="FootnoteReference"/>
          <w:rFonts w:ascii="Times New Roman" w:hAnsi="Times New Roman" w:cs="Times New Roman"/>
        </w:rPr>
        <w:footnoteReference w:id="49"/>
      </w:r>
      <w:r w:rsidRPr="00B63529">
        <w:rPr>
          <w:rFonts w:ascii="Times New Roman" w:hAnsi="Times New Roman" w:cs="Times New Roman"/>
        </w:rPr>
        <w:t xml:space="preserve"> The technology has been implemented on a limited basis in federal cases in the US, but there are still unresolved issues regarding how much human input is necessary, and how accurate the results need to be.</w:t>
      </w:r>
      <w:r w:rsidRPr="00B63529">
        <w:rPr>
          <w:rStyle w:val="FootnoteReference"/>
          <w:rFonts w:ascii="Times New Roman" w:hAnsi="Times New Roman" w:cs="Times New Roman"/>
        </w:rPr>
        <w:footnoteReference w:id="50"/>
      </w:r>
      <w:r w:rsidRPr="00B63529">
        <w:rPr>
          <w:rFonts w:ascii="Times New Roman" w:hAnsi="Times New Roman" w:cs="Times New Roman"/>
        </w:rPr>
        <w:t xml:space="preserve"> This must be determined on a case-by-case basis.</w:t>
      </w:r>
    </w:p>
    <w:p w14:paraId="70ECE931" w14:textId="77777777" w:rsidR="00EA09E0" w:rsidRPr="00B63529" w:rsidRDefault="00EA09E0" w:rsidP="00FE7EB6">
      <w:pPr>
        <w:jc w:val="both"/>
        <w:rPr>
          <w:rFonts w:ascii="Times New Roman" w:hAnsi="Times New Roman" w:cs="Times New Roman"/>
        </w:rPr>
      </w:pPr>
    </w:p>
    <w:p w14:paraId="4BBAECD1"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Technology is developing at a faster pace than the law.</w:t>
      </w:r>
      <w:r w:rsidRPr="00B63529">
        <w:rPr>
          <w:rStyle w:val="FootnoteReference"/>
          <w:rFonts w:ascii="Times New Roman" w:hAnsi="Times New Roman" w:cs="Times New Roman"/>
        </w:rPr>
        <w:footnoteReference w:id="51"/>
      </w:r>
      <w:r w:rsidRPr="00B63529">
        <w:rPr>
          <w:rFonts w:ascii="Times New Roman" w:hAnsi="Times New Roman" w:cs="Times New Roman"/>
        </w:rPr>
        <w:t xml:space="preserve"> In many ways, this is unavoidable. Nonetheless, the UNSW Law Society is of the view that continual education and training programs for practitioners and the courts on new developments in information technology relevant to the legal field will create a culture where greater innovation in </w:t>
      </w:r>
      <w:proofErr w:type="spellStart"/>
      <w:r w:rsidRPr="00B63529">
        <w:rPr>
          <w:rFonts w:ascii="Times New Roman" w:hAnsi="Times New Roman" w:cs="Times New Roman"/>
        </w:rPr>
        <w:t>utilising</w:t>
      </w:r>
      <w:proofErr w:type="spellEnd"/>
      <w:r w:rsidRPr="00B63529">
        <w:rPr>
          <w:rFonts w:ascii="Times New Roman" w:hAnsi="Times New Roman" w:cs="Times New Roman"/>
        </w:rPr>
        <w:t xml:space="preserve"> appropriate technologies to improve discovery processes is welcomed. Practitioners should be allowed to take the initiative in pre-discovery conferences to propose the use of these technologies in any particular matter, and educating judges and their opponents on how the proposed technology is used, with a view to avoiding later disputes about its use.</w:t>
      </w:r>
      <w:r w:rsidRPr="00B63529">
        <w:rPr>
          <w:rStyle w:val="FootnoteReference"/>
          <w:rFonts w:ascii="Times New Roman" w:hAnsi="Times New Roman" w:cs="Times New Roman"/>
        </w:rPr>
        <w:footnoteReference w:id="52"/>
      </w:r>
      <w:r w:rsidRPr="00B63529">
        <w:rPr>
          <w:rFonts w:ascii="Times New Roman" w:hAnsi="Times New Roman" w:cs="Times New Roman"/>
        </w:rPr>
        <w:t xml:space="preserve"> </w:t>
      </w:r>
    </w:p>
    <w:p w14:paraId="5D1BFD0B" w14:textId="77777777" w:rsidR="00EA09E0" w:rsidRPr="00B63529" w:rsidRDefault="00EA09E0" w:rsidP="00FE7EB6">
      <w:pPr>
        <w:jc w:val="both"/>
        <w:rPr>
          <w:rFonts w:ascii="Times New Roman" w:hAnsi="Times New Roman" w:cs="Times New Roman"/>
        </w:rPr>
      </w:pPr>
    </w:p>
    <w:p w14:paraId="7899EBA3" w14:textId="77777777" w:rsidR="00EA09E0" w:rsidRPr="00B63529" w:rsidRDefault="00EA09E0" w:rsidP="00FE7EB6">
      <w:pPr>
        <w:pStyle w:val="ListParagraph"/>
        <w:numPr>
          <w:ilvl w:val="0"/>
          <w:numId w:val="3"/>
        </w:numPr>
        <w:jc w:val="both"/>
        <w:rPr>
          <w:rFonts w:ascii="Times New Roman" w:hAnsi="Times New Roman" w:cs="Times New Roman"/>
          <w:b/>
        </w:rPr>
      </w:pPr>
      <w:r w:rsidRPr="00B63529">
        <w:rPr>
          <w:rFonts w:ascii="Times New Roman" w:hAnsi="Times New Roman" w:cs="Times New Roman"/>
          <w:b/>
        </w:rPr>
        <w:t>Conclusion</w:t>
      </w:r>
    </w:p>
    <w:p w14:paraId="43F1D33C" w14:textId="77777777" w:rsidR="00EA09E0" w:rsidRPr="00B63529" w:rsidRDefault="00EA09E0" w:rsidP="00FE7EB6">
      <w:pPr>
        <w:pStyle w:val="ListParagraph"/>
        <w:ind w:left="360"/>
        <w:jc w:val="both"/>
        <w:rPr>
          <w:rFonts w:ascii="Times New Roman" w:hAnsi="Times New Roman" w:cs="Times New Roman"/>
          <w:b/>
        </w:rPr>
      </w:pPr>
    </w:p>
    <w:p w14:paraId="33683056" w14:textId="77777777"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The UNSW Law Society submits that Draft Recommendation 11.6 should be implemented, with checklists and questionnaires used to provide guidance and structure to how electronic discovery is conducted.</w:t>
      </w:r>
    </w:p>
    <w:p w14:paraId="5B458C5D" w14:textId="77777777" w:rsidR="00EA09E0" w:rsidRPr="00B63529" w:rsidRDefault="00EA09E0" w:rsidP="00FE7EB6">
      <w:pPr>
        <w:pStyle w:val="ListParagraph"/>
        <w:ind w:left="792"/>
        <w:jc w:val="both"/>
        <w:rPr>
          <w:rFonts w:ascii="Times New Roman" w:hAnsi="Times New Roman" w:cs="Times New Roman"/>
        </w:rPr>
      </w:pPr>
    </w:p>
    <w:p w14:paraId="734B4E81" w14:textId="3F131CD2" w:rsidR="00EA09E0" w:rsidRPr="00B63529" w:rsidRDefault="00EA09E0" w:rsidP="00FE7EB6">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Courts should be at the forefront in embracing the technological changes that will impact litigation by supporting the continuing education of practitioners on new technologies and how they may be </w:t>
      </w:r>
      <w:proofErr w:type="spellStart"/>
      <w:r w:rsidRPr="00B63529">
        <w:rPr>
          <w:rFonts w:ascii="Times New Roman" w:hAnsi="Times New Roman" w:cs="Times New Roman"/>
        </w:rPr>
        <w:t>utilised</w:t>
      </w:r>
      <w:proofErr w:type="spellEnd"/>
      <w:r w:rsidRPr="00B63529">
        <w:rPr>
          <w:rFonts w:ascii="Times New Roman" w:hAnsi="Times New Roman" w:cs="Times New Roman"/>
        </w:rPr>
        <w:t xml:space="preserve"> to make discovery more efficient. </w:t>
      </w:r>
    </w:p>
    <w:p w14:paraId="29C2318C" w14:textId="77777777" w:rsidR="00EA09E0" w:rsidRPr="00B63529" w:rsidRDefault="00EA09E0" w:rsidP="00FE7EB6">
      <w:pPr>
        <w:pBdr>
          <w:bottom w:val="single" w:sz="6" w:space="1" w:color="auto"/>
        </w:pBdr>
        <w:jc w:val="both"/>
        <w:rPr>
          <w:rFonts w:ascii="Times New Roman" w:hAnsi="Times New Roman" w:cs="Times New Roman"/>
        </w:rPr>
      </w:pPr>
    </w:p>
    <w:p w14:paraId="632FB353" w14:textId="77777777" w:rsidR="00956F61" w:rsidRPr="00B63529" w:rsidRDefault="00956F61" w:rsidP="00FE7EB6">
      <w:pPr>
        <w:jc w:val="both"/>
        <w:rPr>
          <w:rFonts w:ascii="Times New Roman" w:hAnsi="Times New Roman" w:cs="Times New Roman"/>
        </w:rPr>
      </w:pPr>
    </w:p>
    <w:p w14:paraId="7683B097" w14:textId="59EBB52D" w:rsidR="00FE7EB6" w:rsidRPr="00B63529" w:rsidRDefault="00FE7EB6" w:rsidP="00454BC3">
      <w:pPr>
        <w:jc w:val="both"/>
        <w:rPr>
          <w:b/>
        </w:rPr>
      </w:pPr>
      <w:r w:rsidRPr="00B63529">
        <w:rPr>
          <w:rFonts w:ascii="Times New Roman" w:hAnsi="Times New Roman" w:cs="Times New Roman"/>
          <w:b/>
        </w:rPr>
        <w:t xml:space="preserve">In response to Part 18.1 </w:t>
      </w:r>
      <w:r w:rsidRPr="00B63529">
        <w:rPr>
          <w:b/>
        </w:rPr>
        <w:t xml:space="preserve">of the Commission’s draft report, </w:t>
      </w:r>
      <w:r w:rsidR="00C104BD">
        <w:rPr>
          <w:b/>
        </w:rPr>
        <w:t>the UNSW Law Society</w:t>
      </w:r>
      <w:r w:rsidR="00C104BD" w:rsidRPr="00B63529">
        <w:rPr>
          <w:b/>
        </w:rPr>
        <w:t xml:space="preserve"> make</w:t>
      </w:r>
      <w:r w:rsidR="00C104BD">
        <w:rPr>
          <w:b/>
        </w:rPr>
        <w:t>s</w:t>
      </w:r>
      <w:r w:rsidRPr="00B63529">
        <w:rPr>
          <w:b/>
        </w:rPr>
        <w:t xml:space="preserve"> the following submissions:</w:t>
      </w:r>
    </w:p>
    <w:p w14:paraId="3657F3B4" w14:textId="77777777" w:rsidR="00FE7EB6" w:rsidRPr="00B63529" w:rsidRDefault="00FE7EB6" w:rsidP="00454BC3">
      <w:pPr>
        <w:jc w:val="both"/>
        <w:rPr>
          <w:rFonts w:ascii="Times New Roman" w:hAnsi="Times New Roman" w:cs="Times New Roman"/>
          <w:b/>
        </w:rPr>
      </w:pPr>
    </w:p>
    <w:p w14:paraId="4C7DDC8D" w14:textId="77777777" w:rsidR="00FE7EB6" w:rsidRPr="00B63529" w:rsidRDefault="00FE7EB6" w:rsidP="00454BC3">
      <w:pPr>
        <w:pStyle w:val="ListParagraph"/>
        <w:numPr>
          <w:ilvl w:val="0"/>
          <w:numId w:val="3"/>
        </w:numPr>
        <w:jc w:val="both"/>
        <w:rPr>
          <w:rFonts w:ascii="Times New Roman" w:hAnsi="Times New Roman" w:cs="Times New Roman"/>
        </w:rPr>
      </w:pPr>
      <w:r w:rsidRPr="00B63529">
        <w:rPr>
          <w:rFonts w:ascii="Times New Roman" w:hAnsi="Times New Roman" w:cs="Times New Roman"/>
          <w:b/>
        </w:rPr>
        <w:t>Damages-Based Billing</w:t>
      </w:r>
    </w:p>
    <w:p w14:paraId="20265FA4" w14:textId="77777777" w:rsidR="00FE7EB6" w:rsidRPr="00B63529" w:rsidRDefault="00FE7EB6" w:rsidP="00454BC3">
      <w:pPr>
        <w:pStyle w:val="ListParagraph"/>
        <w:ind w:left="360"/>
        <w:jc w:val="both"/>
        <w:rPr>
          <w:rFonts w:ascii="Times New Roman" w:hAnsi="Times New Roman" w:cs="Times New Roman"/>
        </w:rPr>
      </w:pPr>
    </w:p>
    <w:p w14:paraId="638755A6"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lastRenderedPageBreak/>
        <w:t xml:space="preserve">The UNSW Law Society opposes the reintroduction of damages-based billing in Australian jurisdictions. Damages-based billing imposes irreconcilable conflicts of interest on practitioners in providing legal advice. </w:t>
      </w:r>
    </w:p>
    <w:p w14:paraId="0BB348A0" w14:textId="77777777" w:rsidR="00FE7EB6" w:rsidRPr="00B63529" w:rsidRDefault="00FE7EB6" w:rsidP="00454BC3">
      <w:pPr>
        <w:pStyle w:val="ListParagraph"/>
        <w:ind w:left="792"/>
        <w:jc w:val="both"/>
        <w:rPr>
          <w:rFonts w:ascii="Times New Roman" w:hAnsi="Times New Roman" w:cs="Times New Roman"/>
        </w:rPr>
      </w:pPr>
    </w:p>
    <w:p w14:paraId="7AAAA29A"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To liken damages-based billing to conditional billing is misleading given that damages-based billing impedes lawyers’ ability to give honest and impartial advice due to perverse incentives. Damages-based billing will pose conflicts of interest throughout the dispute resolution process, in contrast to conditional billing where the initial question of acceptance of the claimants case is perhaps the sole time when the lawyer will be conflicted. Contingency fees equate every stage of the litigation to a determination by the lawyer on whether the uplift of continuing with the matter will be economical. This is an entirely different scenario from the conditional-billing arrangement where time-cost billing is accepted. For example, damages-based billing can foreseeably lead to the early or inopportune cessation of proceedings when the lawyer considers it uneconomical to persist with the proceeding. While there are sound arguments for its reintroduction, due to the inherent uncertainty of litigation and dispute resolution, damages-based billing can cement agency problems, which the profession seeks to exclude from the fiduciary relationship of client and solicitor. </w:t>
      </w:r>
    </w:p>
    <w:p w14:paraId="7B45A7B4" w14:textId="77777777" w:rsidR="00FE7EB6" w:rsidRPr="00B63529" w:rsidRDefault="00FE7EB6" w:rsidP="00454BC3">
      <w:pPr>
        <w:pStyle w:val="ListParagraph"/>
        <w:ind w:left="792"/>
        <w:jc w:val="both"/>
        <w:rPr>
          <w:rFonts w:ascii="Times New Roman" w:hAnsi="Times New Roman" w:cs="Times New Roman"/>
        </w:rPr>
      </w:pPr>
    </w:p>
    <w:p w14:paraId="5657944C"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The institutionalisation of the conflict of interest by provision of damages-based billing would be a retrograde step in ensuring lawyers’ standing and position in the community and belief in the fairness of the Court system more generally. Damages-based billing has been associated with diminished public faith in the justice system. This is problematic in a profession that relies on the public’s acceptance of its ethical conduct to discharge its duties. </w:t>
      </w:r>
    </w:p>
    <w:p w14:paraId="6C463BD5" w14:textId="77777777" w:rsidR="00FE7EB6" w:rsidRPr="00B63529" w:rsidRDefault="00FE7EB6" w:rsidP="00454BC3">
      <w:pPr>
        <w:jc w:val="both"/>
        <w:rPr>
          <w:rFonts w:ascii="Times New Roman" w:hAnsi="Times New Roman" w:cs="Times New Roman"/>
        </w:rPr>
      </w:pPr>
    </w:p>
    <w:p w14:paraId="79E4F86C" w14:textId="78E109EA"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In short, as emerging lawyers, the UNSW Law Society considers the challenges posed by the introduction of damages-based billing too great to justify.</w:t>
      </w:r>
    </w:p>
    <w:p w14:paraId="13496511" w14:textId="77777777" w:rsidR="00FE7EB6" w:rsidRPr="00B63529" w:rsidRDefault="00FE7EB6" w:rsidP="00454BC3">
      <w:pPr>
        <w:pBdr>
          <w:bottom w:val="single" w:sz="6" w:space="1" w:color="auto"/>
        </w:pBdr>
        <w:jc w:val="both"/>
        <w:rPr>
          <w:rFonts w:ascii="Times New Roman" w:hAnsi="Times New Roman" w:cs="Times New Roman"/>
        </w:rPr>
      </w:pPr>
    </w:p>
    <w:p w14:paraId="601B37A0" w14:textId="77777777" w:rsidR="00FE7EB6" w:rsidRPr="00B63529" w:rsidRDefault="00FE7EB6" w:rsidP="00454BC3">
      <w:pPr>
        <w:jc w:val="both"/>
        <w:rPr>
          <w:rFonts w:ascii="Times New Roman" w:hAnsi="Times New Roman" w:cs="Times New Roman"/>
          <w:b/>
        </w:rPr>
      </w:pPr>
    </w:p>
    <w:p w14:paraId="0F31E0A7" w14:textId="42926EC4" w:rsidR="00FE7EB6" w:rsidRPr="00B63529" w:rsidRDefault="00FE7EB6" w:rsidP="00454BC3">
      <w:pPr>
        <w:jc w:val="both"/>
        <w:rPr>
          <w:rFonts w:ascii="Times New Roman" w:hAnsi="Times New Roman" w:cs="Times New Roman"/>
          <w:b/>
        </w:rPr>
      </w:pPr>
      <w:r w:rsidRPr="00B63529">
        <w:rPr>
          <w:rFonts w:ascii="Times New Roman" w:hAnsi="Times New Roman" w:cs="Times New Roman"/>
          <w:b/>
        </w:rPr>
        <w:t xml:space="preserve">In response to Part 18.2 of the Commission’s Draft Report, </w:t>
      </w:r>
      <w:r w:rsidR="00C104BD">
        <w:rPr>
          <w:b/>
        </w:rPr>
        <w:t>the UNSW Law Society</w:t>
      </w:r>
      <w:r w:rsidR="00C104BD" w:rsidRPr="00B63529">
        <w:rPr>
          <w:b/>
        </w:rPr>
        <w:t xml:space="preserve"> make</w:t>
      </w:r>
      <w:r w:rsidR="00C104BD">
        <w:rPr>
          <w:b/>
        </w:rPr>
        <w:t>s</w:t>
      </w:r>
      <w:r w:rsidRPr="00B63529">
        <w:rPr>
          <w:rFonts w:ascii="Times New Roman" w:hAnsi="Times New Roman" w:cs="Times New Roman"/>
          <w:b/>
        </w:rPr>
        <w:t xml:space="preserve"> the following submissions:</w:t>
      </w:r>
    </w:p>
    <w:p w14:paraId="07840CE3" w14:textId="77777777" w:rsidR="00FE7EB6" w:rsidRPr="00B63529" w:rsidRDefault="00FE7EB6" w:rsidP="00454BC3">
      <w:pPr>
        <w:jc w:val="both"/>
        <w:rPr>
          <w:rFonts w:ascii="Times New Roman" w:hAnsi="Times New Roman" w:cs="Times New Roman"/>
          <w:b/>
        </w:rPr>
      </w:pPr>
    </w:p>
    <w:p w14:paraId="78E8461E" w14:textId="77777777" w:rsidR="00FE7EB6" w:rsidRPr="00B63529" w:rsidRDefault="00FE7EB6" w:rsidP="00454BC3">
      <w:pPr>
        <w:pStyle w:val="ListParagraph"/>
        <w:numPr>
          <w:ilvl w:val="0"/>
          <w:numId w:val="3"/>
        </w:numPr>
        <w:jc w:val="both"/>
        <w:rPr>
          <w:rFonts w:ascii="Times New Roman" w:hAnsi="Times New Roman" w:cs="Times New Roman"/>
        </w:rPr>
      </w:pPr>
      <w:r w:rsidRPr="00B63529">
        <w:rPr>
          <w:rFonts w:ascii="Times New Roman" w:hAnsi="Times New Roman" w:cs="Times New Roman"/>
          <w:b/>
        </w:rPr>
        <w:t xml:space="preserve">Third Party Litigation Funding </w:t>
      </w:r>
    </w:p>
    <w:p w14:paraId="2E9D6165" w14:textId="77777777" w:rsidR="00FE7EB6" w:rsidRPr="00B63529" w:rsidRDefault="00FE7EB6" w:rsidP="00454BC3">
      <w:pPr>
        <w:pStyle w:val="ListParagraph"/>
        <w:ind w:left="360"/>
        <w:jc w:val="both"/>
        <w:rPr>
          <w:rFonts w:ascii="Times New Roman" w:hAnsi="Times New Roman" w:cs="Times New Roman"/>
        </w:rPr>
      </w:pPr>
    </w:p>
    <w:p w14:paraId="5CCD8285"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Third party litigation funding is now an established means for the community to access justice. However, private funding of litigation imposes conflicting ethical duties on lawyers, while funders require their own regulation to ensure that class members are not left abandoned mid-action. As such, the UNSW Law Society makes two submissions on this point of inquiry.  </w:t>
      </w:r>
    </w:p>
    <w:p w14:paraId="692B7CC0" w14:textId="77777777" w:rsidR="00FE7EB6" w:rsidRPr="00B63529" w:rsidRDefault="00FE7EB6" w:rsidP="00454BC3">
      <w:pPr>
        <w:pStyle w:val="ListParagraph"/>
        <w:ind w:left="792"/>
        <w:jc w:val="both"/>
        <w:rPr>
          <w:rFonts w:ascii="Times New Roman" w:hAnsi="Times New Roman" w:cs="Times New Roman"/>
        </w:rPr>
      </w:pPr>
    </w:p>
    <w:p w14:paraId="65B83A8E"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 xml:space="preserve">Firstly, while third party litigation increases access to justice, solicitors’ ethical duties need clarification by legislative or professional guidance (as opposed to leaving these matters to the courts) in order to operate with commercial certainty. If solicitors intend to fund actions (as contemplated by Claims Funding Australia Equine Influenza class action and Melbourne City Investments Leighton class action), then it is important that lawyers have certainty their claims or claim funding vehicles will not be struck out or prohibited and the claim drawn to a premature end due to the Court’s determination regarding ethical duties at some latter stage of proceeding. </w:t>
      </w:r>
    </w:p>
    <w:p w14:paraId="2DE94DE2" w14:textId="77777777" w:rsidR="00FE7EB6" w:rsidRPr="00B63529" w:rsidRDefault="00FE7EB6" w:rsidP="00454BC3">
      <w:pPr>
        <w:jc w:val="both"/>
        <w:rPr>
          <w:rFonts w:ascii="Times New Roman" w:hAnsi="Times New Roman" w:cs="Times New Roman"/>
        </w:rPr>
      </w:pPr>
    </w:p>
    <w:p w14:paraId="6F3CE205" w14:textId="77777777"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lastRenderedPageBreak/>
        <w:t>It is on this ground that the UNSW Law Society submits that lawyers be prohibited from being both funders and legal practitioners in an action. This will not only remedy ethical concerns regarding legal practitioners management of a proceeding, it will also deliver clarity to practitioners and funders who currently proceed on an uncertain basis. Further, it may reduce spurious claims where a true ‘class’ may not exist. The UNSW Law Society also seeks a set of specific professional standards for lawyers acting in matters involving a third party funder to provide guidance on how to discharge their ethical duties to both clients and class members.</w:t>
      </w:r>
    </w:p>
    <w:p w14:paraId="60EBF242" w14:textId="77777777" w:rsidR="00FE7EB6" w:rsidRPr="00B63529" w:rsidRDefault="00FE7EB6" w:rsidP="00454BC3">
      <w:pPr>
        <w:jc w:val="both"/>
        <w:rPr>
          <w:rFonts w:ascii="Times New Roman" w:hAnsi="Times New Roman" w:cs="Times New Roman"/>
        </w:rPr>
      </w:pPr>
    </w:p>
    <w:p w14:paraId="55812E0D" w14:textId="0DB7D826" w:rsidR="00FE7EB6" w:rsidRPr="00B63529" w:rsidRDefault="00FE7EB6" w:rsidP="00454BC3">
      <w:pPr>
        <w:pStyle w:val="ListParagraph"/>
        <w:numPr>
          <w:ilvl w:val="1"/>
          <w:numId w:val="3"/>
        </w:numPr>
        <w:jc w:val="both"/>
        <w:rPr>
          <w:rFonts w:ascii="Times New Roman" w:hAnsi="Times New Roman" w:cs="Times New Roman"/>
        </w:rPr>
      </w:pPr>
      <w:r w:rsidRPr="00B63529">
        <w:rPr>
          <w:rFonts w:ascii="Times New Roman" w:hAnsi="Times New Roman" w:cs="Times New Roman"/>
        </w:rPr>
        <w:t>Secondly, the UNSW Law Society supports the Productivity Commission’s recommendation of a licensing scheme for third party litigation funders; however, the Society submits that the scheme should be an independent scheme rather than operate pursuant to the Australian Financial Services Licensing (‘AFSL’) regime. The other categories of capital providers who are subject to AFSLs conduct fundamentally different businesses from litigation funders; the interests of justice are not at stake for other AFSL holders. While capital adequacy requirements will be an important aspect of any licensing scheme, no doubt litigation funders will owe different duties to claimants and lawyers and the proper conduct of their business in respect of these duties will be different to the proper conduct of other AFSL holders. Further, if funders were to propose the sale of ‘shares’ in an action to investors or other forms of securitisation of claims (as is foreseeable in the future), then a licensing regime would be needed to specifically manage the shareholders’ duty to claimants. The UNSW Law Society submits that any licensing scheme for litigation funders be independent of other regimes and specifically designed to regulate litigation funders.</w:t>
      </w:r>
    </w:p>
    <w:p w14:paraId="4E31793F" w14:textId="77777777" w:rsidR="00D13197" w:rsidRPr="00B63529" w:rsidRDefault="00D13197" w:rsidP="00454BC3">
      <w:pPr>
        <w:pBdr>
          <w:bottom w:val="single" w:sz="6" w:space="1" w:color="auto"/>
        </w:pBdr>
        <w:jc w:val="both"/>
        <w:rPr>
          <w:rFonts w:ascii="Times New Roman" w:hAnsi="Times New Roman" w:cs="Times New Roman"/>
        </w:rPr>
      </w:pPr>
    </w:p>
    <w:p w14:paraId="698F137E" w14:textId="77777777" w:rsidR="00454BC3" w:rsidRPr="00B63529" w:rsidRDefault="00454BC3" w:rsidP="00454BC3">
      <w:pPr>
        <w:jc w:val="both"/>
        <w:rPr>
          <w:rFonts w:ascii="Times New Roman" w:hAnsi="Times New Roman" w:cs="Times New Roman"/>
        </w:rPr>
      </w:pPr>
    </w:p>
    <w:p w14:paraId="1E1A4D7B" w14:textId="06B032DE" w:rsidR="00454BC3" w:rsidRPr="00B63529" w:rsidRDefault="00454BC3" w:rsidP="00454BC3">
      <w:pPr>
        <w:jc w:val="both"/>
        <w:rPr>
          <w:rFonts w:ascii="Times New Roman" w:hAnsi="Times New Roman" w:cs="Times New Roman"/>
          <w:b/>
        </w:rPr>
      </w:pPr>
      <w:r w:rsidRPr="00B63529">
        <w:rPr>
          <w:rFonts w:ascii="Times New Roman" w:hAnsi="Times New Roman" w:cs="Times New Roman"/>
          <w:b/>
        </w:rPr>
        <w:t xml:space="preserve">In response to Part 19.2 of the Commission’s Draft Report, </w:t>
      </w:r>
      <w:r w:rsidR="00C104BD">
        <w:rPr>
          <w:b/>
        </w:rPr>
        <w:t>the UNSW Law Society</w:t>
      </w:r>
      <w:r w:rsidR="00C104BD" w:rsidRPr="00B63529">
        <w:rPr>
          <w:b/>
        </w:rPr>
        <w:t xml:space="preserve"> make</w:t>
      </w:r>
      <w:r w:rsidR="00C104BD">
        <w:rPr>
          <w:b/>
        </w:rPr>
        <w:t>s</w:t>
      </w:r>
      <w:r w:rsidRPr="00B63529">
        <w:rPr>
          <w:rFonts w:ascii="Times New Roman" w:hAnsi="Times New Roman" w:cs="Times New Roman"/>
          <w:b/>
        </w:rPr>
        <w:t xml:space="preserve"> the following submissions:</w:t>
      </w:r>
    </w:p>
    <w:p w14:paraId="5D457620" w14:textId="77777777" w:rsidR="00454BC3" w:rsidRPr="00B63529" w:rsidRDefault="00454BC3" w:rsidP="00454BC3">
      <w:pPr>
        <w:jc w:val="both"/>
        <w:rPr>
          <w:rFonts w:ascii="Times New Roman" w:hAnsi="Times New Roman" w:cs="Times New Roman"/>
        </w:rPr>
      </w:pPr>
    </w:p>
    <w:p w14:paraId="298D6150" w14:textId="77777777" w:rsidR="00454BC3" w:rsidRPr="00B63529" w:rsidRDefault="00454BC3" w:rsidP="00454BC3">
      <w:pPr>
        <w:pStyle w:val="ListParagraph"/>
        <w:widowControl w:val="0"/>
        <w:numPr>
          <w:ilvl w:val="0"/>
          <w:numId w:val="3"/>
        </w:numPr>
        <w:autoSpaceDE w:val="0"/>
        <w:autoSpaceDN w:val="0"/>
        <w:adjustRightInd w:val="0"/>
        <w:jc w:val="both"/>
        <w:rPr>
          <w:rFonts w:ascii="Times New Roman" w:hAnsi="Times New Roman" w:cs="Times New Roman"/>
        </w:rPr>
      </w:pPr>
      <w:r w:rsidRPr="00B63529">
        <w:rPr>
          <w:rFonts w:ascii="Times New Roman" w:hAnsi="Times New Roman" w:cs="Times New Roman"/>
          <w:b/>
        </w:rPr>
        <w:t>Unbundling Legal Services</w:t>
      </w:r>
    </w:p>
    <w:p w14:paraId="7EF6E05C" w14:textId="77777777" w:rsidR="00454BC3" w:rsidRPr="00B63529" w:rsidRDefault="00454BC3" w:rsidP="00454BC3">
      <w:pPr>
        <w:pStyle w:val="ListParagraph"/>
        <w:widowControl w:val="0"/>
        <w:autoSpaceDE w:val="0"/>
        <w:autoSpaceDN w:val="0"/>
        <w:adjustRightInd w:val="0"/>
        <w:ind w:left="360"/>
        <w:jc w:val="both"/>
        <w:rPr>
          <w:rFonts w:ascii="Times New Roman" w:hAnsi="Times New Roman" w:cs="Times New Roman"/>
        </w:rPr>
      </w:pPr>
    </w:p>
    <w:p w14:paraId="1C3045D5" w14:textId="19726A60" w:rsidR="00454BC3"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The UNSW Law Society supports the provision of unbundled legal services. The provision of legal services in this adapted form will increase the availability of legal services, formalise arrangements for lawyers and clients already providing and receiving services and address the gap that is the ‘missing middle’ who are ineligible for legal aid or community legal centre service but cannot afford full service assistance from a private solicitor (see further </w:t>
      </w:r>
      <w:r w:rsidR="00B63529" w:rsidRPr="00B63529">
        <w:rPr>
          <w:rFonts w:ascii="Times New Roman" w:hAnsi="Times New Roman" w:cs="Times New Roman"/>
          <w:b/>
        </w:rPr>
        <w:t>Parts 30–32</w:t>
      </w:r>
      <w:r w:rsidRPr="00B63529">
        <w:rPr>
          <w:rFonts w:ascii="Times New Roman" w:hAnsi="Times New Roman" w:cs="Times New Roman"/>
        </w:rPr>
        <w:t xml:space="preserve"> </w:t>
      </w:r>
      <w:r w:rsidR="00B63529" w:rsidRPr="00B63529">
        <w:rPr>
          <w:rFonts w:ascii="Times New Roman" w:hAnsi="Times New Roman" w:cs="Times New Roman"/>
        </w:rPr>
        <w:t xml:space="preserve">below </w:t>
      </w:r>
      <w:r w:rsidRPr="00B63529">
        <w:rPr>
          <w:rFonts w:ascii="Times New Roman" w:hAnsi="Times New Roman" w:cs="Times New Roman"/>
        </w:rPr>
        <w:t xml:space="preserve">on a Legal Expenses Contribution Scheme). The success of this model of legal service provision is evidenced by its adoption in more than 40 states in the US, while it is the standard mode of advice in domestic jurisdictions. </w:t>
      </w:r>
    </w:p>
    <w:p w14:paraId="5A9FAB5E" w14:textId="77777777" w:rsidR="00454BC3" w:rsidRPr="00B63529" w:rsidRDefault="00454BC3" w:rsidP="00454BC3">
      <w:pPr>
        <w:pStyle w:val="ListParagraph"/>
        <w:widowControl w:val="0"/>
        <w:autoSpaceDE w:val="0"/>
        <w:autoSpaceDN w:val="0"/>
        <w:adjustRightInd w:val="0"/>
        <w:ind w:left="792"/>
        <w:jc w:val="both"/>
        <w:rPr>
          <w:rFonts w:ascii="Times New Roman" w:hAnsi="Times New Roman" w:cs="Times New Roman"/>
        </w:rPr>
      </w:pPr>
    </w:p>
    <w:p w14:paraId="5EEDC873" w14:textId="77777777" w:rsidR="00454BC3"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However, the adoption of this method of providing legal services needs to be subject to specific professional rules in order for lawyers to discharge their ethical duties to clients. In the absence of statutory guidance, lawyers performing unbundled legal services do so by bearing risk of being subject to liability, professional discipline and reputational damage. If firm professional standards are not adopted, then lawyers will provide unbundled services at great risk, or (as is more likely) will not provide unbundled services at all. </w:t>
      </w:r>
    </w:p>
    <w:p w14:paraId="3A30E092" w14:textId="77777777" w:rsidR="00454BC3" w:rsidRPr="00B63529" w:rsidRDefault="00454BC3" w:rsidP="00454BC3">
      <w:pPr>
        <w:widowControl w:val="0"/>
        <w:autoSpaceDE w:val="0"/>
        <w:autoSpaceDN w:val="0"/>
        <w:adjustRightInd w:val="0"/>
        <w:jc w:val="both"/>
        <w:rPr>
          <w:rFonts w:ascii="Times New Roman" w:hAnsi="Times New Roman" w:cs="Times New Roman"/>
        </w:rPr>
      </w:pPr>
    </w:p>
    <w:p w14:paraId="63363704" w14:textId="77777777" w:rsidR="00454BC3"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It is for professional bodies and state legislatures to determine the specific content of </w:t>
      </w:r>
      <w:r w:rsidRPr="00B63529">
        <w:rPr>
          <w:rFonts w:ascii="Times New Roman" w:hAnsi="Times New Roman" w:cs="Times New Roman"/>
        </w:rPr>
        <w:lastRenderedPageBreak/>
        <w:t xml:space="preserve">unbundled retainers and professional duties which accompany solicitors bound by unbundled retainers. However, there are two key recommendations which the UNSW Law Society advances: </w:t>
      </w:r>
    </w:p>
    <w:p w14:paraId="66861EE5" w14:textId="77777777" w:rsidR="00454BC3" w:rsidRPr="00B63529" w:rsidRDefault="00454BC3" w:rsidP="00454BC3">
      <w:pPr>
        <w:widowControl w:val="0"/>
        <w:autoSpaceDE w:val="0"/>
        <w:autoSpaceDN w:val="0"/>
        <w:adjustRightInd w:val="0"/>
        <w:jc w:val="both"/>
        <w:rPr>
          <w:rFonts w:ascii="Times New Roman" w:hAnsi="Times New Roman" w:cs="Times New Roman"/>
        </w:rPr>
      </w:pPr>
    </w:p>
    <w:p w14:paraId="14D8DD64" w14:textId="77777777" w:rsidR="00454BC3" w:rsidRPr="00B63529" w:rsidRDefault="00454BC3" w:rsidP="00454BC3">
      <w:pPr>
        <w:pStyle w:val="ListParagraph"/>
        <w:widowControl w:val="0"/>
        <w:numPr>
          <w:ilvl w:val="2"/>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Due to issues of professional liability, the availability of unbundled legal retainers be restricted to litigious or potentially litigious matters; and, </w:t>
      </w:r>
    </w:p>
    <w:p w14:paraId="70997ADA" w14:textId="77777777" w:rsidR="00454BC3" w:rsidRPr="00B63529" w:rsidRDefault="00454BC3" w:rsidP="00454BC3">
      <w:pPr>
        <w:pStyle w:val="ListParagraph"/>
        <w:widowControl w:val="0"/>
        <w:autoSpaceDE w:val="0"/>
        <w:autoSpaceDN w:val="0"/>
        <w:adjustRightInd w:val="0"/>
        <w:ind w:left="1224"/>
        <w:jc w:val="both"/>
        <w:rPr>
          <w:rFonts w:ascii="Times New Roman" w:hAnsi="Times New Roman" w:cs="Times New Roman"/>
        </w:rPr>
      </w:pPr>
    </w:p>
    <w:p w14:paraId="14BF246B" w14:textId="77777777" w:rsidR="00454BC3" w:rsidRPr="00B63529" w:rsidRDefault="00454BC3" w:rsidP="00454BC3">
      <w:pPr>
        <w:pStyle w:val="ListParagraph"/>
        <w:widowControl w:val="0"/>
        <w:numPr>
          <w:ilvl w:val="2"/>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When obtaining informed consent, the solicitor retained be bound by statute to also provide advice on how best to </w:t>
      </w:r>
      <w:proofErr w:type="spellStart"/>
      <w:r w:rsidRPr="00B63529">
        <w:rPr>
          <w:rFonts w:ascii="Times New Roman" w:hAnsi="Times New Roman" w:cs="Times New Roman"/>
        </w:rPr>
        <w:t>utilise</w:t>
      </w:r>
      <w:proofErr w:type="spellEnd"/>
      <w:r w:rsidRPr="00B63529">
        <w:rPr>
          <w:rFonts w:ascii="Times New Roman" w:hAnsi="Times New Roman" w:cs="Times New Roman"/>
        </w:rPr>
        <w:t xml:space="preserve"> the unbundled services. </w:t>
      </w:r>
    </w:p>
    <w:p w14:paraId="0007CABE" w14:textId="77777777" w:rsidR="00454BC3" w:rsidRPr="00B63529" w:rsidRDefault="00454BC3" w:rsidP="00454BC3">
      <w:pPr>
        <w:widowControl w:val="0"/>
        <w:autoSpaceDE w:val="0"/>
        <w:autoSpaceDN w:val="0"/>
        <w:adjustRightInd w:val="0"/>
        <w:jc w:val="both"/>
        <w:rPr>
          <w:rFonts w:ascii="Times New Roman" w:hAnsi="Times New Roman" w:cs="Times New Roman"/>
        </w:rPr>
      </w:pPr>
    </w:p>
    <w:p w14:paraId="0E5F4DDC" w14:textId="77777777" w:rsidR="00454BC3"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The Productivity Commission has noted that ‘[c]</w:t>
      </w:r>
      <w:proofErr w:type="spellStart"/>
      <w:r w:rsidRPr="00B63529">
        <w:rPr>
          <w:rFonts w:ascii="Times New Roman" w:hAnsi="Times New Roman" w:cs="Times New Roman"/>
        </w:rPr>
        <w:t>lear</w:t>
      </w:r>
      <w:proofErr w:type="spellEnd"/>
      <w:r w:rsidRPr="00B63529">
        <w:rPr>
          <w:rFonts w:ascii="Times New Roman" w:hAnsi="Times New Roman" w:cs="Times New Roman"/>
        </w:rPr>
        <w:t xml:space="preserve"> and explicit rules that deal with unbundled assistance provide the foundation for dealing with professional liability concerns, and support the development of a market for appropriate indemnity insurance.’ While this is true, the UNSW Law Society supports the restriction of unbundled legal services to litigious or potentially litigious matters as these matters will attract advocates’ immunity, negating issues that may arise with respect to increasing premiums from professional indemnity insurers. </w:t>
      </w:r>
    </w:p>
    <w:p w14:paraId="57C205BF" w14:textId="77777777" w:rsidR="00454BC3" w:rsidRPr="00B63529" w:rsidRDefault="00454BC3" w:rsidP="00454BC3">
      <w:pPr>
        <w:pStyle w:val="ListParagraph"/>
        <w:widowControl w:val="0"/>
        <w:autoSpaceDE w:val="0"/>
        <w:autoSpaceDN w:val="0"/>
        <w:adjustRightInd w:val="0"/>
        <w:ind w:left="792"/>
        <w:jc w:val="both"/>
        <w:rPr>
          <w:rFonts w:ascii="Times New Roman" w:hAnsi="Times New Roman" w:cs="Times New Roman"/>
        </w:rPr>
      </w:pPr>
    </w:p>
    <w:p w14:paraId="7E148E57" w14:textId="77777777" w:rsidR="006201C4"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Advocates’ immunity has been broadly applied in Australia and while not available in other common law countries (such as the UK and New Zealand), the doctrine is routinely reinforced.</w:t>
      </w:r>
      <w:r w:rsidRPr="00B63529">
        <w:rPr>
          <w:rStyle w:val="FootnoteReference"/>
          <w:rFonts w:ascii="Times New Roman" w:hAnsi="Times New Roman" w:cs="Times New Roman"/>
        </w:rPr>
        <w:footnoteReference w:id="53"/>
      </w:r>
      <w:r w:rsidRPr="00B63529">
        <w:rPr>
          <w:rFonts w:ascii="Times New Roman" w:hAnsi="Times New Roman" w:cs="Times New Roman"/>
        </w:rPr>
        <w:t xml:space="preserve"> The High Court’s decisions in </w:t>
      </w:r>
      <w:proofErr w:type="spellStart"/>
      <w:r w:rsidRPr="00B63529">
        <w:rPr>
          <w:rFonts w:ascii="Times New Roman" w:hAnsi="Times New Roman" w:cs="Times New Roman"/>
          <w:i/>
        </w:rPr>
        <w:t>Giannarelli</w:t>
      </w:r>
      <w:proofErr w:type="spellEnd"/>
      <w:r w:rsidRPr="00B63529">
        <w:rPr>
          <w:rFonts w:ascii="Times New Roman" w:hAnsi="Times New Roman" w:cs="Times New Roman"/>
          <w:i/>
        </w:rPr>
        <w:t xml:space="preserve"> v Wraith</w:t>
      </w:r>
      <w:r w:rsidRPr="00B63529">
        <w:rPr>
          <w:rStyle w:val="FootnoteReference"/>
          <w:rFonts w:ascii="Times New Roman" w:hAnsi="Times New Roman" w:cs="Times New Roman"/>
        </w:rPr>
        <w:footnoteReference w:id="54"/>
      </w:r>
      <w:r w:rsidRPr="00B63529">
        <w:rPr>
          <w:rFonts w:ascii="Times New Roman" w:hAnsi="Times New Roman" w:cs="Times New Roman"/>
        </w:rPr>
        <w:t xml:space="preserve"> and </w:t>
      </w:r>
      <w:proofErr w:type="spellStart"/>
      <w:r w:rsidRPr="00B63529">
        <w:rPr>
          <w:rFonts w:ascii="Times New Roman" w:hAnsi="Times New Roman" w:cs="Times New Roman"/>
          <w:i/>
        </w:rPr>
        <w:t>D’Orta</w:t>
      </w:r>
      <w:proofErr w:type="spellEnd"/>
      <w:r w:rsidRPr="00B63529">
        <w:rPr>
          <w:rFonts w:ascii="Times New Roman" w:hAnsi="Times New Roman" w:cs="Times New Roman"/>
          <w:i/>
        </w:rPr>
        <w:t xml:space="preserve"> v </w:t>
      </w:r>
      <w:proofErr w:type="spellStart"/>
      <w:r w:rsidRPr="00B63529">
        <w:rPr>
          <w:rFonts w:ascii="Times New Roman" w:hAnsi="Times New Roman" w:cs="Times New Roman"/>
          <w:i/>
        </w:rPr>
        <w:t>Ekenaike</w:t>
      </w:r>
      <w:proofErr w:type="spellEnd"/>
      <w:r w:rsidRPr="00B63529">
        <w:rPr>
          <w:rStyle w:val="FootnoteReference"/>
          <w:rFonts w:ascii="Times New Roman" w:hAnsi="Times New Roman" w:cs="Times New Roman"/>
        </w:rPr>
        <w:footnoteReference w:id="55"/>
      </w:r>
      <w:r w:rsidRPr="00B63529">
        <w:rPr>
          <w:rFonts w:ascii="Times New Roman" w:hAnsi="Times New Roman" w:cs="Times New Roman"/>
          <w:i/>
        </w:rPr>
        <w:t xml:space="preserve"> </w:t>
      </w:r>
      <w:r w:rsidRPr="00B63529">
        <w:rPr>
          <w:rFonts w:ascii="Times New Roman" w:hAnsi="Times New Roman" w:cs="Times New Roman"/>
        </w:rPr>
        <w:t>illustrate that the doctrine has been upheld by the highest judicial authority, at a time when other jurisdictions were departing from its use. The doctrine is entrenched in Australian law and protects both barristers and solicitors from claims in contract or tort when the lawyer conducted work in court or work out of court, which led to a decision affecting the conduct of the case in court. The broad construction given to the immunity in recent times suggests that any work reasonably connected with litigious matters falls within the immunity. Advocates remain subject to professional disciplinary bodies and the relevant rules in discharging their duties, guaranteeing that aggrieved clients will still be able to take disciplinary action.</w:t>
      </w:r>
    </w:p>
    <w:p w14:paraId="6A72A217" w14:textId="77777777" w:rsidR="006201C4" w:rsidRPr="00B63529" w:rsidRDefault="006201C4" w:rsidP="006201C4">
      <w:pPr>
        <w:widowControl w:val="0"/>
        <w:autoSpaceDE w:val="0"/>
        <w:autoSpaceDN w:val="0"/>
        <w:adjustRightInd w:val="0"/>
        <w:jc w:val="both"/>
        <w:rPr>
          <w:rFonts w:ascii="Times New Roman" w:hAnsi="Times New Roman" w:cs="Times New Roman"/>
        </w:rPr>
      </w:pPr>
    </w:p>
    <w:p w14:paraId="6F984E05" w14:textId="77777777" w:rsidR="006201C4"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By imposing the restriction that provision of unbundled legal services be undertaken only in litigious or potentially litigious matters, concerns regarding professional liability will be discharged. It should be noted that such a restriction will not unnecessarily restrict access to legal services: private clients traditionally seek transactional legal advice in the more </w:t>
      </w:r>
      <w:proofErr w:type="spellStart"/>
      <w:r w:rsidRPr="00B63529">
        <w:rPr>
          <w:rFonts w:ascii="Times New Roman" w:hAnsi="Times New Roman" w:cs="Times New Roman"/>
        </w:rPr>
        <w:t>afforable</w:t>
      </w:r>
      <w:proofErr w:type="spellEnd"/>
      <w:r w:rsidRPr="00B63529">
        <w:rPr>
          <w:rFonts w:ascii="Times New Roman" w:hAnsi="Times New Roman" w:cs="Times New Roman"/>
        </w:rPr>
        <w:t xml:space="preserve"> areas of property conveyances and wills. Such a restriction will increase access to justice, while limiting the professional liability of solicitors.</w:t>
      </w:r>
    </w:p>
    <w:p w14:paraId="3802FA3E" w14:textId="77777777" w:rsidR="006201C4" w:rsidRPr="00B63529" w:rsidRDefault="006201C4" w:rsidP="006201C4">
      <w:pPr>
        <w:widowControl w:val="0"/>
        <w:autoSpaceDE w:val="0"/>
        <w:autoSpaceDN w:val="0"/>
        <w:adjustRightInd w:val="0"/>
        <w:jc w:val="both"/>
        <w:rPr>
          <w:rFonts w:ascii="Times New Roman" w:hAnsi="Times New Roman" w:cs="Times New Roman"/>
        </w:rPr>
      </w:pPr>
    </w:p>
    <w:p w14:paraId="2C293E24" w14:textId="77777777" w:rsidR="006201C4"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 xml:space="preserve">Secondly, requiring the lawyer, in obtaining informed consent, to give professional advice on when best to utilise their unbundled services, would discharge concerns regarding the client being unable to make use of their unbundled legal services. The lawyer would exercise their professional judgment and the client would be better informed by their own practitioner on the best use of their funds. Given the lawyer is entering into an unbundled, lower fee earning retainer on any basis, the likelihood of a conflict of interest emerging between the optimal time to provide </w:t>
      </w:r>
      <w:r w:rsidRPr="00B63529">
        <w:rPr>
          <w:rFonts w:ascii="Times New Roman" w:hAnsi="Times New Roman" w:cs="Times New Roman"/>
        </w:rPr>
        <w:lastRenderedPageBreak/>
        <w:t>advice and when it is in the lawyer’s interest is low. This, in addition to factsheets and advice from referral services, would ensure the client receives an earnest assessment of when is the most suitable time to seek legal advice.</w:t>
      </w:r>
    </w:p>
    <w:p w14:paraId="04355F30" w14:textId="77777777" w:rsidR="006201C4" w:rsidRPr="00B63529" w:rsidRDefault="006201C4" w:rsidP="006201C4">
      <w:pPr>
        <w:widowControl w:val="0"/>
        <w:autoSpaceDE w:val="0"/>
        <w:autoSpaceDN w:val="0"/>
        <w:adjustRightInd w:val="0"/>
        <w:jc w:val="both"/>
        <w:rPr>
          <w:rFonts w:ascii="Times New Roman" w:hAnsi="Times New Roman" w:cs="Times New Roman"/>
        </w:rPr>
      </w:pPr>
    </w:p>
    <w:p w14:paraId="107E1F94" w14:textId="4541B123" w:rsidR="00454BC3" w:rsidRPr="00B63529" w:rsidRDefault="00454BC3" w:rsidP="00454BC3">
      <w:pPr>
        <w:pStyle w:val="ListParagraph"/>
        <w:widowControl w:val="0"/>
        <w:numPr>
          <w:ilvl w:val="1"/>
          <w:numId w:val="3"/>
        </w:numPr>
        <w:autoSpaceDE w:val="0"/>
        <w:autoSpaceDN w:val="0"/>
        <w:adjustRightInd w:val="0"/>
        <w:jc w:val="both"/>
        <w:rPr>
          <w:rFonts w:ascii="Times New Roman" w:hAnsi="Times New Roman" w:cs="Times New Roman"/>
        </w:rPr>
      </w:pPr>
      <w:r w:rsidRPr="00B63529">
        <w:rPr>
          <w:rFonts w:ascii="Times New Roman" w:hAnsi="Times New Roman" w:cs="Times New Roman"/>
        </w:rPr>
        <w:t>By restricting unbundled legal services to litigious or potentially litigious matters, and requiring provision of advice as to the optimal time to provide legal advice in any unbundled retainer, some of the concerns regarding lawyers’ entry into unbundled retainers would be removed, and this innovative billing arrangement could become more broadly used.</w:t>
      </w:r>
    </w:p>
    <w:p w14:paraId="6AA71C99" w14:textId="77777777" w:rsidR="00454BC3" w:rsidRPr="00B63529" w:rsidRDefault="00454BC3" w:rsidP="00454BC3">
      <w:pPr>
        <w:pStyle w:val="ListParagraph"/>
        <w:widowControl w:val="0"/>
        <w:pBdr>
          <w:bottom w:val="single" w:sz="6" w:space="1" w:color="auto"/>
        </w:pBdr>
        <w:autoSpaceDE w:val="0"/>
        <w:autoSpaceDN w:val="0"/>
        <w:adjustRightInd w:val="0"/>
        <w:ind w:left="360"/>
        <w:jc w:val="both"/>
        <w:rPr>
          <w:rFonts w:ascii="Times New Roman" w:hAnsi="Times New Roman" w:cs="Times New Roman"/>
        </w:rPr>
      </w:pPr>
    </w:p>
    <w:p w14:paraId="65708F25" w14:textId="77777777" w:rsidR="00C104BD" w:rsidRDefault="00C104BD" w:rsidP="00364617">
      <w:pPr>
        <w:jc w:val="both"/>
        <w:rPr>
          <w:rFonts w:ascii="Times New Roman" w:hAnsi="Times New Roman" w:cs="Times New Roman"/>
          <w:b/>
        </w:rPr>
      </w:pPr>
    </w:p>
    <w:p w14:paraId="4C2A43A3" w14:textId="309C2413" w:rsidR="00364617" w:rsidRPr="00B63529" w:rsidRDefault="00364617" w:rsidP="00364617">
      <w:pPr>
        <w:jc w:val="both"/>
        <w:rPr>
          <w:rFonts w:ascii="Times New Roman" w:hAnsi="Times New Roman" w:cs="Times New Roman"/>
          <w:b/>
        </w:rPr>
      </w:pPr>
      <w:r w:rsidRPr="00B63529">
        <w:rPr>
          <w:rFonts w:ascii="Times New Roman" w:hAnsi="Times New Roman" w:cs="Times New Roman"/>
          <w:b/>
        </w:rPr>
        <w:t xml:space="preserve">In response to Part 19.4 of the Commission’s Draft Report, </w:t>
      </w:r>
      <w:r w:rsidR="00C104BD">
        <w:rPr>
          <w:b/>
        </w:rPr>
        <w:t>the UNSW Law Society</w:t>
      </w:r>
      <w:r w:rsidR="00C104BD" w:rsidRPr="00B63529">
        <w:rPr>
          <w:b/>
        </w:rPr>
        <w:t xml:space="preserve"> make</w:t>
      </w:r>
      <w:r w:rsidR="00C104BD">
        <w:rPr>
          <w:b/>
        </w:rPr>
        <w:t>s</w:t>
      </w:r>
      <w:r w:rsidRPr="00B63529">
        <w:rPr>
          <w:rFonts w:ascii="Times New Roman" w:hAnsi="Times New Roman" w:cs="Times New Roman"/>
          <w:b/>
        </w:rPr>
        <w:t xml:space="preserve"> the following submissions:</w:t>
      </w:r>
    </w:p>
    <w:p w14:paraId="76739590" w14:textId="77777777" w:rsidR="00364617" w:rsidRPr="00B63529" w:rsidRDefault="00364617" w:rsidP="00364617">
      <w:pPr>
        <w:jc w:val="both"/>
        <w:rPr>
          <w:lang w:val="en-US"/>
        </w:rPr>
      </w:pPr>
    </w:p>
    <w:p w14:paraId="1DF9071A" w14:textId="02A9C436" w:rsidR="00364617" w:rsidRPr="00B63529" w:rsidRDefault="00364617" w:rsidP="00364617">
      <w:pPr>
        <w:pStyle w:val="ListParagraph"/>
        <w:numPr>
          <w:ilvl w:val="0"/>
          <w:numId w:val="3"/>
        </w:numPr>
        <w:jc w:val="both"/>
        <w:rPr>
          <w:b/>
        </w:rPr>
      </w:pPr>
      <w:r w:rsidRPr="00B63529">
        <w:rPr>
          <w:b/>
        </w:rPr>
        <w:t>Introduction</w:t>
      </w:r>
    </w:p>
    <w:p w14:paraId="2F487C22" w14:textId="77777777" w:rsidR="00364617" w:rsidRPr="00B63529" w:rsidRDefault="00364617" w:rsidP="00364617">
      <w:pPr>
        <w:pStyle w:val="ListParagraph"/>
        <w:ind w:left="360"/>
        <w:jc w:val="both"/>
      </w:pPr>
    </w:p>
    <w:p w14:paraId="29A8698B" w14:textId="77777777" w:rsidR="00364617" w:rsidRPr="00B63529" w:rsidRDefault="00364617" w:rsidP="00364617">
      <w:pPr>
        <w:pStyle w:val="ListParagraph"/>
        <w:numPr>
          <w:ilvl w:val="1"/>
          <w:numId w:val="3"/>
        </w:numPr>
        <w:jc w:val="both"/>
      </w:pPr>
      <w:r w:rsidRPr="00B63529">
        <w:t xml:space="preserve">The UNSW Law Society is of the view that the introduction of a Legal Expenses Contribution Scheme (LECS) as a supplementary funding model would be beneficial. As students, we understand the value in an income contingent loan to assist funding tertiary education. The same principle could effectively be applied to address legal needs currently unmet. </w:t>
      </w:r>
    </w:p>
    <w:p w14:paraId="54DE5EF6" w14:textId="77777777" w:rsidR="00364617" w:rsidRPr="00B63529" w:rsidRDefault="00364617" w:rsidP="00364617">
      <w:pPr>
        <w:pStyle w:val="ListParagraph"/>
        <w:ind w:left="792"/>
        <w:jc w:val="both"/>
      </w:pPr>
    </w:p>
    <w:p w14:paraId="18BA02AB" w14:textId="3CE5BF08" w:rsidR="00364617" w:rsidRPr="00B63529" w:rsidRDefault="00364617" w:rsidP="00364617">
      <w:pPr>
        <w:pStyle w:val="ListParagraph"/>
        <w:numPr>
          <w:ilvl w:val="1"/>
          <w:numId w:val="3"/>
        </w:numPr>
        <w:jc w:val="both"/>
      </w:pPr>
      <w:r w:rsidRPr="00B63529">
        <w:t xml:space="preserve">LECS would enhance access to justice to many Australians currently ineligible for assistance in funding legal expenses, notably the ‘missing middle.’ In the context of limited funding channeled through Legal Aid and CLCs, currently only the most disadvantaged are offered assistance. For the majority of Australians there is a distinct lack of financial support available to ease the burden of an exorbitant justice system. </w:t>
      </w:r>
    </w:p>
    <w:p w14:paraId="409F64F1" w14:textId="77777777" w:rsidR="00364617" w:rsidRPr="00B63529" w:rsidRDefault="00364617" w:rsidP="00364617">
      <w:pPr>
        <w:jc w:val="both"/>
      </w:pPr>
    </w:p>
    <w:p w14:paraId="71EDE106" w14:textId="646E04EE" w:rsidR="00364617" w:rsidRPr="00B63529" w:rsidRDefault="00364617" w:rsidP="00364617">
      <w:pPr>
        <w:pStyle w:val="ListParagraph"/>
        <w:numPr>
          <w:ilvl w:val="0"/>
          <w:numId w:val="3"/>
        </w:numPr>
        <w:jc w:val="both"/>
        <w:rPr>
          <w:b/>
        </w:rPr>
      </w:pPr>
      <w:r w:rsidRPr="00B63529">
        <w:rPr>
          <w:b/>
        </w:rPr>
        <w:t>Potential design problems</w:t>
      </w:r>
    </w:p>
    <w:p w14:paraId="5A1FEE33" w14:textId="77777777" w:rsidR="00364617" w:rsidRPr="00B63529" w:rsidRDefault="00364617" w:rsidP="00364617">
      <w:pPr>
        <w:pStyle w:val="ListParagraph"/>
        <w:ind w:left="360"/>
        <w:jc w:val="both"/>
      </w:pPr>
    </w:p>
    <w:p w14:paraId="10D17F17" w14:textId="77777777" w:rsidR="00364617" w:rsidRPr="00B63529" w:rsidRDefault="00364617" w:rsidP="00364617">
      <w:pPr>
        <w:pStyle w:val="ListParagraph"/>
        <w:numPr>
          <w:ilvl w:val="1"/>
          <w:numId w:val="3"/>
        </w:numPr>
        <w:jc w:val="both"/>
      </w:pPr>
      <w:r w:rsidRPr="00B63529">
        <w:t xml:space="preserve">However, three inherent design problems are clear, and not discussed in the Preliminary Report. </w:t>
      </w:r>
    </w:p>
    <w:p w14:paraId="78D00221" w14:textId="77777777" w:rsidR="00364617" w:rsidRPr="00B63529" w:rsidRDefault="00364617" w:rsidP="00364617">
      <w:pPr>
        <w:pStyle w:val="ListParagraph"/>
        <w:ind w:left="792"/>
        <w:jc w:val="both"/>
      </w:pPr>
    </w:p>
    <w:p w14:paraId="73150A5B" w14:textId="77777777" w:rsidR="00364617" w:rsidRPr="00B63529" w:rsidRDefault="00364617" w:rsidP="00364617">
      <w:pPr>
        <w:pStyle w:val="ListParagraph"/>
        <w:numPr>
          <w:ilvl w:val="2"/>
          <w:numId w:val="3"/>
        </w:numPr>
        <w:jc w:val="both"/>
      </w:pPr>
      <w:r w:rsidRPr="00B63529">
        <w:t>At first instance it is necessary to place limitations on eligibility. A suggested mechanism for determining initial eligibility is to tie eligibility for a LECS loan to whether an applicant receives monetary support from the government. This would incorporate a range of Australians, much wider than the current criteria for legal aid or CLCs. Students and young people, the unemployed, families and pensioners would all be entitled to receive LECS. This would avoid those who receive an upper level income being able to access LECS, which is aimed at assisting those in the ‘missing middle’.  The use of a pre-existing mechanism would also lower costs and ensure efficiency in implementation.</w:t>
      </w:r>
    </w:p>
    <w:p w14:paraId="3FC92516" w14:textId="77777777" w:rsidR="00364617" w:rsidRPr="00B63529" w:rsidRDefault="00364617" w:rsidP="00364617">
      <w:pPr>
        <w:pStyle w:val="ListParagraph"/>
        <w:ind w:left="1224"/>
        <w:jc w:val="both"/>
      </w:pPr>
    </w:p>
    <w:p w14:paraId="49AA20B7" w14:textId="56745DAD" w:rsidR="00364617" w:rsidRPr="00B63529" w:rsidRDefault="00364617" w:rsidP="00364617">
      <w:pPr>
        <w:pStyle w:val="ListParagraph"/>
        <w:numPr>
          <w:ilvl w:val="2"/>
          <w:numId w:val="3"/>
        </w:numPr>
        <w:jc w:val="both"/>
      </w:pPr>
      <w:r w:rsidRPr="00B63529">
        <w:t xml:space="preserve">After determining initial eligibility, we would assert that the secondary criteria for attaining LECS would not follow a merits based test, as suggested in the Preliminary Report. If a merits test were to be used, the LECS scheme would purely function as an </w:t>
      </w:r>
      <w:r w:rsidRPr="00B63529">
        <w:lastRenderedPageBreak/>
        <w:t xml:space="preserve">extension of Legal Aid. Legal Aid has a very narrow scope of types of claims that can be funded. The introduction of LECS would attempt to broaden this field, thus widening the scope of Australians eligible to receive Legal Aid </w:t>
      </w:r>
      <w:r w:rsidRPr="00B63529">
        <w:rPr>
          <w:i/>
        </w:rPr>
        <w:t>or</w:t>
      </w:r>
      <w:r w:rsidRPr="00B63529">
        <w:t xml:space="preserve"> LECS. As such, a broader range of matters could be financed, such as civil matters, which currently fail to attract Legal Aid funding. An alternative reasonable prospects of success test as determined by a practicing solicitor could be used instead.</w:t>
      </w:r>
      <w:r w:rsidRPr="00B63529">
        <w:rPr>
          <w:rStyle w:val="FootnoteReference"/>
        </w:rPr>
        <w:footnoteReference w:id="56"/>
      </w:r>
    </w:p>
    <w:p w14:paraId="43BC04AD" w14:textId="77777777" w:rsidR="00364617" w:rsidRPr="00B63529" w:rsidRDefault="00364617" w:rsidP="00364617">
      <w:pPr>
        <w:jc w:val="both"/>
      </w:pPr>
    </w:p>
    <w:p w14:paraId="0765ADA8" w14:textId="1EB5E918" w:rsidR="00364617" w:rsidRPr="00B63529" w:rsidRDefault="00364617" w:rsidP="00364617">
      <w:pPr>
        <w:pStyle w:val="ListParagraph"/>
        <w:numPr>
          <w:ilvl w:val="2"/>
          <w:numId w:val="3"/>
        </w:numPr>
        <w:jc w:val="both"/>
      </w:pPr>
      <w:r w:rsidRPr="00B63529">
        <w:t xml:space="preserve">The UNSW Law Society would suggest that it would be unnecessary to create an independent implementation board. Instead, the program could be administered as a subsidiary body of Legal Aid. This would allow the two sectors to work closely, with those applicants who are unsuccessful in qualifying for Legal Aid being referred to the LECS scheme. The combination of eligibility as tied to government benefits and the prospects of success test should ensure that Australians who don’t succeed in the merits based assessment of legal aid would be able to seek this financial assistance. </w:t>
      </w:r>
    </w:p>
    <w:p w14:paraId="2ABFDFCA" w14:textId="77777777" w:rsidR="00364617" w:rsidRPr="00B63529" w:rsidRDefault="00364617" w:rsidP="00364617">
      <w:pPr>
        <w:jc w:val="both"/>
      </w:pPr>
    </w:p>
    <w:p w14:paraId="5AFB7E8A" w14:textId="11CE6E20" w:rsidR="00364617" w:rsidRPr="00B63529" w:rsidRDefault="00364617" w:rsidP="00364617">
      <w:pPr>
        <w:pStyle w:val="ListParagraph"/>
        <w:numPr>
          <w:ilvl w:val="0"/>
          <w:numId w:val="3"/>
        </w:numPr>
        <w:jc w:val="both"/>
      </w:pPr>
      <w:r w:rsidRPr="00B63529">
        <w:rPr>
          <w:b/>
        </w:rPr>
        <w:t>Potential imbalance of power in legal proceedings</w:t>
      </w:r>
      <w:r w:rsidRPr="00B63529">
        <w:t xml:space="preserve"> </w:t>
      </w:r>
    </w:p>
    <w:p w14:paraId="2C7A5B07" w14:textId="77777777" w:rsidR="00364617" w:rsidRPr="00B63529" w:rsidRDefault="00364617" w:rsidP="00364617">
      <w:pPr>
        <w:pStyle w:val="ListParagraph"/>
        <w:ind w:left="360"/>
        <w:jc w:val="both"/>
      </w:pPr>
    </w:p>
    <w:p w14:paraId="62C3BE86" w14:textId="7D32680B" w:rsidR="00364617" w:rsidRPr="00B63529" w:rsidRDefault="00364617" w:rsidP="00364617">
      <w:pPr>
        <w:pStyle w:val="ListParagraph"/>
        <w:numPr>
          <w:ilvl w:val="1"/>
          <w:numId w:val="3"/>
        </w:numPr>
        <w:jc w:val="both"/>
      </w:pPr>
      <w:r w:rsidRPr="00B63529">
        <w:t xml:space="preserve">A potential problem that could arise in proceedings is if one party was benefiting from a LECS loan, and the other was not. Potentially it could place the party with LECS at a disadvantage. In practice, the party that was reliant on a LECS loan to fund their legal work, may not be able to progress as far in the legal proceedings as they would have liked, or may have to settle at an earlier point than was desirable. Moreover, the non-LECS party may be merciless in their approach to proceedings, particularly those involving litigation, in the knowledge that there are limited legal steps that the LECs party could fund. However, the counter argument would assert that some, albeit limited, access to financial aid is more preferable than never entering the legal system. If the LECs scheme was to be pursued, this may be a consideration in implementation. </w:t>
      </w:r>
    </w:p>
    <w:p w14:paraId="0A71193D" w14:textId="77777777" w:rsidR="00364617" w:rsidRPr="00B63529" w:rsidRDefault="00364617" w:rsidP="00364617">
      <w:pPr>
        <w:pStyle w:val="ListParagraph"/>
        <w:pBdr>
          <w:bottom w:val="single" w:sz="6" w:space="1" w:color="auto"/>
        </w:pBdr>
        <w:jc w:val="both"/>
      </w:pPr>
    </w:p>
    <w:p w14:paraId="41443027" w14:textId="77777777" w:rsidR="00364617" w:rsidRPr="00B63529" w:rsidRDefault="00364617" w:rsidP="00364617">
      <w:pPr>
        <w:jc w:val="both"/>
        <w:rPr>
          <w:lang w:val="en-US"/>
        </w:rPr>
      </w:pPr>
    </w:p>
    <w:p w14:paraId="1BF00767" w14:textId="7FEE3899" w:rsidR="00364617" w:rsidRPr="00B63529" w:rsidRDefault="00364617" w:rsidP="00364617">
      <w:pPr>
        <w:jc w:val="both"/>
        <w:rPr>
          <w:b/>
          <w:lang w:val="en-US"/>
        </w:rPr>
      </w:pPr>
      <w:r w:rsidRPr="00B63529">
        <w:rPr>
          <w:b/>
          <w:lang w:val="en-US"/>
        </w:rPr>
        <w:t>The following section expresses the UNSW Law Society’s concern about the lack of attention to student volunteers in Chapters 20 and 21 of the Draft Report.</w:t>
      </w:r>
    </w:p>
    <w:p w14:paraId="70FE33E0" w14:textId="77777777" w:rsidR="00364617" w:rsidRPr="00B63529" w:rsidRDefault="00364617" w:rsidP="00364617">
      <w:pPr>
        <w:jc w:val="both"/>
        <w:rPr>
          <w:b/>
          <w:lang w:val="en-US"/>
        </w:rPr>
      </w:pPr>
    </w:p>
    <w:p w14:paraId="726585E6" w14:textId="65F13019"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b/>
        </w:rPr>
        <w:t>Summary</w:t>
      </w:r>
    </w:p>
    <w:p w14:paraId="71215406" w14:textId="77777777" w:rsidR="00364617" w:rsidRPr="00B63529" w:rsidRDefault="00364617" w:rsidP="00A85F54">
      <w:pPr>
        <w:pStyle w:val="ListParagraph"/>
        <w:spacing w:before="100" w:beforeAutospacing="1" w:after="100" w:afterAutospacing="1"/>
        <w:ind w:left="360"/>
        <w:jc w:val="both"/>
        <w:rPr>
          <w:rFonts w:ascii="Times New Roman" w:hAnsi="Times New Roman" w:cs="Times New Roman"/>
        </w:rPr>
      </w:pPr>
    </w:p>
    <w:p w14:paraId="26A16AAF" w14:textId="4050AAC5" w:rsidR="00364617" w:rsidRPr="00B63529" w:rsidRDefault="00364617" w:rsidP="00A85F54">
      <w:pPr>
        <w:pStyle w:val="ListParagraph"/>
        <w:spacing w:before="100" w:beforeAutospacing="1" w:after="100" w:afterAutospacing="1"/>
        <w:ind w:left="360"/>
        <w:jc w:val="both"/>
        <w:rPr>
          <w:rFonts w:ascii="Times New Roman" w:hAnsi="Times New Roman" w:cs="Times New Roman"/>
        </w:rPr>
      </w:pPr>
      <w:r w:rsidRPr="00B63529">
        <w:rPr>
          <w:rFonts w:ascii="Times New Roman" w:hAnsi="Times New Roman" w:cs="Times New Roman"/>
        </w:rPr>
        <w:t xml:space="preserve">The UNSW Law Society is concerned with the lack of attention to student volunteers in Chapters 20 and 21 of the Draft Report. </w:t>
      </w:r>
    </w:p>
    <w:p w14:paraId="71B4103F"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rPr>
      </w:pPr>
    </w:p>
    <w:p w14:paraId="71E6A02B" w14:textId="3876368B" w:rsidR="00A85F54"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Firstly, there is the issue of the opportunities, rights and protections available to volunteers.</w:t>
      </w:r>
    </w:p>
    <w:p w14:paraId="02E0A812"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33753DC1"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The absence of a consistent legislative definition for ‘volunteer’ inhibits the development of 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regime for protecting and enhancing the experiences of student volunteers.</w:t>
      </w:r>
    </w:p>
    <w:p w14:paraId="7F9C7368"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587E7110" w14:textId="656016F1" w:rsidR="00A85F54"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Student volunteers are not protected by award conditions or workplace agreements as salaried staff are. </w:t>
      </w:r>
    </w:p>
    <w:p w14:paraId="325D13BD"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2302ABB7"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There are limited protections prescribed by legislation, such as the provision of a healthy and safe environment, reimbursement of out-of-pocket expenses, sufficiency of training and disclosure of volunteer policy and other policies that affect volunteers.  </w:t>
      </w:r>
    </w:p>
    <w:p w14:paraId="1A613CCE"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3968499D" w14:textId="12C0DCF6" w:rsidR="00A85F54"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However, the requirement for remaining conditions is largely a ‘moral obligation’ of the legal centre.</w:t>
      </w:r>
      <w:r w:rsidRPr="00B63529">
        <w:rPr>
          <w:rStyle w:val="FootnoteReference"/>
          <w:rFonts w:ascii="Times New Roman" w:hAnsi="Times New Roman" w:cs="Times New Roman"/>
        </w:rPr>
        <w:footnoteReference w:id="57"/>
      </w:r>
      <w:r w:rsidRPr="00B63529">
        <w:rPr>
          <w:rFonts w:ascii="Times New Roman" w:hAnsi="Times New Roman" w:cs="Times New Roman"/>
        </w:rPr>
        <w:t xml:space="preserve"> </w:t>
      </w:r>
    </w:p>
    <w:p w14:paraId="490AABA9"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784B87F3"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Whereas Community Legal Centres (</w:t>
      </w:r>
      <w:proofErr w:type="spellStart"/>
      <w:r w:rsidRPr="00B63529">
        <w:rPr>
          <w:rFonts w:ascii="Times New Roman" w:hAnsi="Times New Roman" w:cs="Times New Roman"/>
        </w:rPr>
        <w:t>CLCs</w:t>
      </w:r>
      <w:proofErr w:type="spellEnd"/>
      <w:r w:rsidRPr="00B63529">
        <w:rPr>
          <w:rFonts w:ascii="Times New Roman" w:hAnsi="Times New Roman" w:cs="Times New Roman"/>
        </w:rPr>
        <w:t xml:space="preserve">) and non-profit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are likely to be more familiar with volunteers and, perhaps, more inclined to support such obligations, the same cannot be said of private legal services. </w:t>
      </w:r>
    </w:p>
    <w:p w14:paraId="22E1951B"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09EA710D" w14:textId="6F5602C7" w:rsidR="00A85F54"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UNSW Law Society recommends that there be a unified definition for ‘volunteer’ in legislation relating to volunteers, developed in consultation with community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w:t>
      </w:r>
    </w:p>
    <w:p w14:paraId="4321FCC2"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3D572901"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UNSW Law Society recommends that there be a legislative regime that requires community and private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to comply with 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Code of Practice for volunteers that establishes essential professional and personal development goals, and protective work conditions in addition to those available by other legislation. </w:t>
      </w:r>
    </w:p>
    <w:p w14:paraId="4F26A57A"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53CCE6C6"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Secondly, this is an issue of equity. </w:t>
      </w:r>
    </w:p>
    <w:p w14:paraId="18A71DA7"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76BE2AD8"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number of law graduates is increasing, disproportionate to the work availabilities.</w:t>
      </w:r>
    </w:p>
    <w:p w14:paraId="5E294B76"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5CEF7FC9" w14:textId="062B1F0C" w:rsidR="00A85F54"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This puts pressure on students to take up extra-curricular activities – such as unpaid work – so as to better their chances of employment.</w:t>
      </w:r>
    </w:p>
    <w:p w14:paraId="7140C5C1"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2B5CEA06"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Students from lower socio-economic backgrounds, who need to obtain paid work to support themselves, are excluded from this opportunity.</w:t>
      </w:r>
    </w:p>
    <w:p w14:paraId="60627AA8"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07541183" w14:textId="3A5D2ED3" w:rsidR="00A85F54"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prevalence of internships in the model is also serving to undercut entry-level job opportunities, as they carry out work which would otherwise be done by a paid employee.</w:t>
      </w:r>
      <w:r w:rsidRPr="00B63529">
        <w:rPr>
          <w:rStyle w:val="FootnoteReference"/>
          <w:rFonts w:ascii="Times New Roman" w:hAnsi="Times New Roman" w:cs="Times New Roman"/>
        </w:rPr>
        <w:footnoteReference w:id="58"/>
      </w:r>
      <w:r w:rsidRPr="00B63529">
        <w:rPr>
          <w:rFonts w:ascii="Times New Roman" w:hAnsi="Times New Roman" w:cs="Times New Roman"/>
        </w:rPr>
        <w:t xml:space="preserve"> </w:t>
      </w:r>
    </w:p>
    <w:p w14:paraId="3D086D40"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563403DB" w14:textId="6658D297" w:rsidR="00A85F54"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The difficulty of implementing the volunteer model in remote, regional and rural communities (Box 20.2) could be alleviated by the provision of greater financial support available for those wishing to participate. </w:t>
      </w:r>
    </w:p>
    <w:p w14:paraId="23DA20C8"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66A677DD"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b/>
        </w:rPr>
      </w:pPr>
      <w:r w:rsidRPr="00B63529">
        <w:rPr>
          <w:rFonts w:ascii="Times New Roman" w:hAnsi="Times New Roman" w:cs="Times New Roman"/>
        </w:rPr>
        <w:t>UNSW Law Society recommends the implementation of a Code of Conduct for all CLCs and institutions which offer unpaid-internship or student volunteer positions.</w:t>
      </w:r>
    </w:p>
    <w:p w14:paraId="1B513500" w14:textId="77777777" w:rsidR="00364617" w:rsidRPr="00B63529" w:rsidRDefault="00364617" w:rsidP="00A85F54">
      <w:pPr>
        <w:pStyle w:val="ListParagraph"/>
        <w:spacing w:before="100" w:beforeAutospacing="1" w:after="100" w:afterAutospacing="1"/>
        <w:ind w:left="1416"/>
        <w:jc w:val="both"/>
        <w:rPr>
          <w:rFonts w:ascii="Times New Roman" w:hAnsi="Times New Roman" w:cs="Times New Roman"/>
          <w:b/>
        </w:rPr>
      </w:pPr>
    </w:p>
    <w:p w14:paraId="156B0111" w14:textId="27EF2286" w:rsidR="00364617" w:rsidRPr="00B63529" w:rsidRDefault="00A85F54" w:rsidP="00A85F54">
      <w:pPr>
        <w:pStyle w:val="ListParagraph"/>
        <w:numPr>
          <w:ilvl w:val="0"/>
          <w:numId w:val="3"/>
        </w:numPr>
        <w:spacing w:before="100" w:beforeAutospacing="1" w:after="100" w:afterAutospacing="1"/>
        <w:jc w:val="both"/>
        <w:rPr>
          <w:rFonts w:ascii="Times New Roman" w:hAnsi="Times New Roman" w:cs="Times New Roman"/>
          <w:b/>
        </w:rPr>
      </w:pPr>
      <w:r w:rsidRPr="00B63529">
        <w:rPr>
          <w:rFonts w:ascii="Times New Roman" w:hAnsi="Times New Roman" w:cs="Times New Roman"/>
          <w:b/>
        </w:rPr>
        <w:t>Significance of unpaid v</w:t>
      </w:r>
      <w:r w:rsidR="00364617" w:rsidRPr="00B63529">
        <w:rPr>
          <w:rFonts w:ascii="Times New Roman" w:hAnsi="Times New Roman" w:cs="Times New Roman"/>
          <w:b/>
        </w:rPr>
        <w:t>olunteers</w:t>
      </w:r>
    </w:p>
    <w:p w14:paraId="177B82AB"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b/>
        </w:rPr>
      </w:pPr>
    </w:p>
    <w:p w14:paraId="4514A844"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Chapters 20–21 of the Access to Justice Draft Report make brief mention of the significant contribution made by volunteers, including student volunteers. </w:t>
      </w:r>
    </w:p>
    <w:p w14:paraId="78508820"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75B07D0E" w14:textId="0EA3B929" w:rsidR="00A85F54" w:rsidRPr="00B4515C" w:rsidRDefault="00364617" w:rsidP="00B4515C">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Law student volunteers are a significant participant in the legal assistance landscape which provides access to justice.</w:t>
      </w:r>
    </w:p>
    <w:p w14:paraId="448321B2"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32E5F40D"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UNSW Law Society shares the view that the dearth of official statistics for volunteers makes evaluation of the significant contribution of unpaid volunteers difficult.</w:t>
      </w:r>
    </w:p>
    <w:p w14:paraId="59F5228F"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3AD0524B"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In addition to the NACLC submission, we refer to the Australian Board of Statistics’ (ABS) most recent report into the state of Legal Services in Australia.</w:t>
      </w:r>
      <w:r w:rsidRPr="00B63529">
        <w:rPr>
          <w:rStyle w:val="FootnoteReference"/>
          <w:rFonts w:ascii="Times New Roman" w:hAnsi="Times New Roman" w:cs="Times New Roman"/>
        </w:rPr>
        <w:footnoteReference w:id="59"/>
      </w:r>
      <w:r w:rsidRPr="00B63529">
        <w:rPr>
          <w:rFonts w:ascii="Times New Roman" w:hAnsi="Times New Roman" w:cs="Times New Roman"/>
        </w:rPr>
        <w:t xml:space="preserve"> The ABS found that in a single month in 2008 there were 4474 volunteers providing 38 600 hours in assistance at CLCs and Aboriginal legal services. Of this only 1713 volunteers were practising barristers and solicitors.</w:t>
      </w:r>
    </w:p>
    <w:p w14:paraId="2C3BAE9A"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64F1CA3B"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It is probable that the majority of the remaining 2761 volunteers were student or community volunteers. </w:t>
      </w:r>
    </w:p>
    <w:p w14:paraId="443A4AD4"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2AE8221C"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b/>
        </w:rPr>
      </w:pPr>
      <w:r w:rsidRPr="00B63529">
        <w:rPr>
          <w:rFonts w:ascii="Times New Roman" w:hAnsi="Times New Roman" w:cs="Times New Roman"/>
        </w:rPr>
        <w:t>It is also probable that the volume of student and community volunteering in the legal industry has risen significantly since 2008 as CLCs have played an increasing role in access to justice.</w:t>
      </w:r>
    </w:p>
    <w:p w14:paraId="26715C7F" w14:textId="77777777" w:rsidR="00364617" w:rsidRPr="00B63529" w:rsidRDefault="00364617" w:rsidP="00A85F54">
      <w:pPr>
        <w:pStyle w:val="ListParagraph"/>
        <w:spacing w:before="100" w:beforeAutospacing="1" w:after="100" w:afterAutospacing="1"/>
        <w:ind w:left="1416"/>
        <w:jc w:val="both"/>
        <w:rPr>
          <w:rFonts w:ascii="Times New Roman" w:hAnsi="Times New Roman" w:cs="Times New Roman"/>
          <w:b/>
        </w:rPr>
      </w:pPr>
    </w:p>
    <w:p w14:paraId="65F6432F" w14:textId="77777777"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b/>
        </w:rPr>
      </w:pPr>
      <w:r w:rsidRPr="00B63529">
        <w:rPr>
          <w:rFonts w:ascii="Times New Roman" w:hAnsi="Times New Roman" w:cs="Times New Roman"/>
          <w:b/>
        </w:rPr>
        <w:t>Rights of Unpaid volunteers</w:t>
      </w:r>
    </w:p>
    <w:p w14:paraId="0B5573E5"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b/>
        </w:rPr>
      </w:pPr>
    </w:p>
    <w:p w14:paraId="337C541E"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Considering the significant time and cost incurred by students and their families of unpaid work, it is crucial that unpaid work provide safe and suitable working conditions, reasonable opportunities for personal and professional training, and gainful experiences that lead to future employment.</w:t>
      </w:r>
    </w:p>
    <w:p w14:paraId="684BD99A"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43B3C7E8"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legislative definition of ‘volunteers’ will enhance the consistency of these experiences for volunteers. No such definition presently exists.</w:t>
      </w:r>
    </w:p>
    <w:p w14:paraId="1972A4CD"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6308F448"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For example, the </w:t>
      </w:r>
      <w:r w:rsidRPr="00B63529">
        <w:rPr>
          <w:rFonts w:ascii="Times New Roman" w:hAnsi="Times New Roman" w:cs="Times New Roman"/>
          <w:i/>
        </w:rPr>
        <w:t xml:space="preserve">Work Health and Safety Act 2011 </w:t>
      </w:r>
      <w:r w:rsidRPr="00B63529">
        <w:rPr>
          <w:rFonts w:ascii="Times New Roman" w:hAnsi="Times New Roman" w:cs="Times New Roman"/>
        </w:rPr>
        <w:t>(NSW)</w:t>
      </w:r>
      <w:r w:rsidRPr="00B63529">
        <w:rPr>
          <w:rFonts w:ascii="Times New Roman" w:hAnsi="Times New Roman" w:cs="Times New Roman"/>
          <w:i/>
        </w:rPr>
        <w:t xml:space="preserve"> </w:t>
      </w:r>
      <w:r w:rsidRPr="00B63529">
        <w:rPr>
          <w:rFonts w:ascii="Times New Roman" w:hAnsi="Times New Roman" w:cs="Times New Roman"/>
        </w:rPr>
        <w:t>describes a volunteer as a ‘person who is acting on a voluntary basis (irrespective of whether the person receives out-of-pocket expenses)’.</w:t>
      </w:r>
      <w:r w:rsidRPr="00B63529">
        <w:rPr>
          <w:rStyle w:val="FootnoteReference"/>
          <w:rFonts w:ascii="Times New Roman" w:hAnsi="Times New Roman" w:cs="Times New Roman"/>
        </w:rPr>
        <w:footnoteReference w:id="60"/>
      </w:r>
      <w:r w:rsidRPr="00B63529">
        <w:rPr>
          <w:rFonts w:ascii="Times New Roman" w:hAnsi="Times New Roman" w:cs="Times New Roman"/>
        </w:rPr>
        <w:t xml:space="preserve"> </w:t>
      </w:r>
    </w:p>
    <w:p w14:paraId="40E7D8BD"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699068A9"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ATO also does not provide for a legal definition of ‘volunteer’ for tax purposes, instead referring to the dictionary definition of a volunteer as ‘someone who enters into any service of their own free will, or who offers to perform a service or undertaking.’</w:t>
      </w:r>
      <w:r w:rsidRPr="00B63529">
        <w:rPr>
          <w:rStyle w:val="FootnoteReference"/>
          <w:rFonts w:ascii="Times New Roman" w:hAnsi="Times New Roman" w:cs="Times New Roman"/>
        </w:rPr>
        <w:footnoteReference w:id="61"/>
      </w:r>
    </w:p>
    <w:p w14:paraId="3D5F9F57"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640C1AEC"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The inclusion of 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legislative definition for volunteers will improve the public perception and student expectation of what being a ‘volunteer’ entails. </w:t>
      </w:r>
    </w:p>
    <w:p w14:paraId="6B1537E8"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3F71AF6B"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This will also go some way towards improving the potential for further monitoring of volunteer trends, and regulatory oversight of student volunteers and unpaid interns in the legal industry. </w:t>
      </w:r>
    </w:p>
    <w:p w14:paraId="280EABC7"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076373FE"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It is recommended that there be formal recognition of a Code of Practice for volunteers, such as the Model Conduct of Practice developed by </w:t>
      </w:r>
      <w:r w:rsidRPr="00B63529">
        <w:rPr>
          <w:rFonts w:ascii="Times New Roman" w:hAnsi="Times New Roman" w:cs="Times New Roman"/>
          <w:i/>
        </w:rPr>
        <w:t>Volunteering Australia</w:t>
      </w:r>
      <w:r w:rsidRPr="00B63529">
        <w:rPr>
          <w:rFonts w:ascii="Times New Roman" w:hAnsi="Times New Roman" w:cs="Times New Roman"/>
        </w:rPr>
        <w:t>.</w:t>
      </w:r>
      <w:r w:rsidRPr="00B63529">
        <w:rPr>
          <w:rStyle w:val="FootnoteReference"/>
          <w:rFonts w:ascii="Times New Roman" w:hAnsi="Times New Roman" w:cs="Times New Roman"/>
        </w:rPr>
        <w:footnoteReference w:id="62"/>
      </w:r>
    </w:p>
    <w:p w14:paraId="2D227FCE"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0D657BC4"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code will provide volunteers with reasonable expectations of the level of professional and personal development that will be provided.</w:t>
      </w:r>
    </w:p>
    <w:p w14:paraId="1F8DBC95"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0949D34A"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code will provide community and non-profit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with a best practice system for managing volunteers whilst leaving their implementation to the organisation. This balances the need for consistency with the need to reflect the unique circumstances of the organisation. </w:t>
      </w:r>
    </w:p>
    <w:p w14:paraId="1B886331"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703B837D"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A </w:t>
      </w:r>
      <w:proofErr w:type="spellStart"/>
      <w:r w:rsidRPr="00B63529">
        <w:rPr>
          <w:rFonts w:ascii="Times New Roman" w:hAnsi="Times New Roman" w:cs="Times New Roman"/>
        </w:rPr>
        <w:t>standardised</w:t>
      </w:r>
      <w:proofErr w:type="spellEnd"/>
      <w:r w:rsidRPr="00B63529">
        <w:rPr>
          <w:rFonts w:ascii="Times New Roman" w:hAnsi="Times New Roman" w:cs="Times New Roman"/>
        </w:rPr>
        <w:t xml:space="preserve"> code will also provide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an ability to evaluate their own practices and engage in continual improvement.</w:t>
      </w:r>
    </w:p>
    <w:p w14:paraId="4B285E33"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363048CC"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It is noted that some CLCs and non-profits currently adhere to a disparate network of Codes or have an internal Code that sets out the rights and responsibilities of volunteers. However, compliance with the code is wholly at the discretion of the organisation.</w:t>
      </w:r>
    </w:p>
    <w:p w14:paraId="66B2B6B9" w14:textId="77777777" w:rsidR="00A85F54" w:rsidRPr="00B63529" w:rsidRDefault="00A85F54" w:rsidP="00A85F54">
      <w:pPr>
        <w:pStyle w:val="ListParagraph"/>
        <w:spacing w:before="100" w:beforeAutospacing="1" w:after="100" w:afterAutospacing="1"/>
        <w:ind w:left="1224"/>
        <w:jc w:val="both"/>
        <w:rPr>
          <w:rFonts w:ascii="Times New Roman" w:hAnsi="Times New Roman" w:cs="Times New Roman"/>
        </w:rPr>
      </w:pPr>
    </w:p>
    <w:p w14:paraId="756593A5" w14:textId="77777777" w:rsidR="00364617" w:rsidRPr="00B63529" w:rsidRDefault="00364617" w:rsidP="00A85F54">
      <w:pPr>
        <w:pStyle w:val="ListParagraph"/>
        <w:numPr>
          <w:ilvl w:val="2"/>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The UNSW Law Society recommends that the Code of Practice be developed through a consultative process with </w:t>
      </w:r>
      <w:proofErr w:type="spellStart"/>
      <w:r w:rsidRPr="00B63529">
        <w:rPr>
          <w:rFonts w:ascii="Times New Roman" w:hAnsi="Times New Roman" w:cs="Times New Roman"/>
        </w:rPr>
        <w:t>CLCs</w:t>
      </w:r>
      <w:proofErr w:type="spellEnd"/>
      <w:r w:rsidRPr="00B63529">
        <w:rPr>
          <w:rFonts w:ascii="Times New Roman" w:hAnsi="Times New Roman" w:cs="Times New Roman"/>
        </w:rPr>
        <w:t xml:space="preserve">, non-profit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 xml:space="preserve">, student bodies and </w:t>
      </w:r>
      <w:proofErr w:type="spellStart"/>
      <w:r w:rsidRPr="00B63529">
        <w:rPr>
          <w:rFonts w:ascii="Times New Roman" w:hAnsi="Times New Roman" w:cs="Times New Roman"/>
        </w:rPr>
        <w:t>labour</w:t>
      </w:r>
      <w:proofErr w:type="spellEnd"/>
      <w:r w:rsidRPr="00B63529">
        <w:rPr>
          <w:rFonts w:ascii="Times New Roman" w:hAnsi="Times New Roman" w:cs="Times New Roman"/>
        </w:rPr>
        <w:t xml:space="preserve"> </w:t>
      </w:r>
      <w:proofErr w:type="spellStart"/>
      <w:r w:rsidRPr="00B63529">
        <w:rPr>
          <w:rFonts w:ascii="Times New Roman" w:hAnsi="Times New Roman" w:cs="Times New Roman"/>
        </w:rPr>
        <w:t>organisations</w:t>
      </w:r>
      <w:proofErr w:type="spellEnd"/>
      <w:r w:rsidRPr="00B63529">
        <w:rPr>
          <w:rFonts w:ascii="Times New Roman" w:hAnsi="Times New Roman" w:cs="Times New Roman"/>
        </w:rPr>
        <w:t>.</w:t>
      </w:r>
    </w:p>
    <w:p w14:paraId="54DE2377" w14:textId="77777777" w:rsidR="00364617" w:rsidRPr="00B63529" w:rsidRDefault="00364617" w:rsidP="00A85F54">
      <w:pPr>
        <w:pStyle w:val="ListParagraph"/>
        <w:spacing w:before="100" w:beforeAutospacing="1" w:after="100" w:afterAutospacing="1"/>
        <w:ind w:left="2832"/>
        <w:jc w:val="both"/>
        <w:rPr>
          <w:rFonts w:ascii="Times New Roman" w:hAnsi="Times New Roman" w:cs="Times New Roman"/>
        </w:rPr>
      </w:pPr>
    </w:p>
    <w:p w14:paraId="69037640" w14:textId="017BB8FA"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b/>
        </w:rPr>
        <w:t xml:space="preserve"> Unpaid work: Towards a </w:t>
      </w:r>
      <w:r w:rsidR="00A85F54" w:rsidRPr="00B63529">
        <w:rPr>
          <w:rFonts w:ascii="Times New Roman" w:hAnsi="Times New Roman" w:cs="Times New Roman"/>
          <w:b/>
        </w:rPr>
        <w:t>new global t</w:t>
      </w:r>
      <w:r w:rsidRPr="00B63529">
        <w:rPr>
          <w:rFonts w:ascii="Times New Roman" w:hAnsi="Times New Roman" w:cs="Times New Roman"/>
          <w:b/>
        </w:rPr>
        <w:t xml:space="preserve">rend </w:t>
      </w:r>
    </w:p>
    <w:p w14:paraId="641FABCB"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rPr>
      </w:pPr>
    </w:p>
    <w:p w14:paraId="44DC7647"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Unpaid work, in its various manifestations, has become a new means for young people to transition from education to paid employment.</w:t>
      </w:r>
      <w:r w:rsidRPr="00B63529">
        <w:rPr>
          <w:rStyle w:val="FootnoteReference"/>
          <w:rFonts w:ascii="Times New Roman" w:hAnsi="Times New Roman" w:cs="Times New Roman"/>
        </w:rPr>
        <w:footnoteReference w:id="63"/>
      </w:r>
      <w:r w:rsidRPr="00B63529">
        <w:rPr>
          <w:rFonts w:ascii="Times New Roman" w:hAnsi="Times New Roman" w:cs="Times New Roman"/>
        </w:rPr>
        <w:t xml:space="preserve"> </w:t>
      </w:r>
    </w:p>
    <w:p w14:paraId="2E0E864E"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58B25364"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This is a new global trend, and concerns of how this is affecting both students and other paid employees has led to the adoption by the International Labour Conference (ICL) in June </w:t>
      </w:r>
      <w:r w:rsidRPr="00B63529">
        <w:rPr>
          <w:rFonts w:ascii="Times New Roman" w:hAnsi="Times New Roman" w:cs="Times New Roman"/>
        </w:rPr>
        <w:lastRenderedPageBreak/>
        <w:t xml:space="preserve">2012 of a new resolution, entitled </w:t>
      </w:r>
      <w:r w:rsidRPr="00B63529">
        <w:rPr>
          <w:rFonts w:ascii="Times New Roman" w:hAnsi="Times New Roman" w:cs="Times New Roman"/>
          <w:i/>
        </w:rPr>
        <w:t>Resolution concerning Youth Employment: A Call for Action.</w:t>
      </w:r>
      <w:r w:rsidRPr="00B63529">
        <w:rPr>
          <w:rStyle w:val="FootnoteReference"/>
          <w:rFonts w:ascii="Times New Roman" w:hAnsi="Times New Roman" w:cs="Times New Roman"/>
        </w:rPr>
        <w:footnoteReference w:id="64"/>
      </w:r>
      <w:r w:rsidRPr="00B63529">
        <w:rPr>
          <w:rFonts w:ascii="Times New Roman" w:hAnsi="Times New Roman" w:cs="Times New Roman"/>
          <w:i/>
        </w:rPr>
        <w:t xml:space="preserve"> </w:t>
      </w:r>
      <w:r w:rsidRPr="00B63529">
        <w:rPr>
          <w:rFonts w:ascii="Times New Roman" w:hAnsi="Times New Roman" w:cs="Times New Roman"/>
        </w:rPr>
        <w:t xml:space="preserve">This call to action </w:t>
      </w:r>
      <w:proofErr w:type="spellStart"/>
      <w:r w:rsidRPr="00B63529">
        <w:rPr>
          <w:rFonts w:ascii="Times New Roman" w:hAnsi="Times New Roman" w:cs="Times New Roman"/>
        </w:rPr>
        <w:t>centred</w:t>
      </w:r>
      <w:proofErr w:type="spellEnd"/>
      <w:r w:rsidRPr="00B63529">
        <w:rPr>
          <w:rFonts w:ascii="Times New Roman" w:hAnsi="Times New Roman" w:cs="Times New Roman"/>
        </w:rPr>
        <w:t xml:space="preserve"> on the concern of the ILC that this new trend is exploitative toward young graduates, and becoming an entrenched method of undermining paid positions. The ILC labels unpaid work as ‘disguised employment’, as it serves to provide cheap labour and thereby replace positions that would otherwise be remunerated, under the guise of being an educational experience. </w:t>
      </w:r>
    </w:p>
    <w:p w14:paraId="7E4325F7"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4C35F5C0"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This is a trend at a global level. The challenge lies in Australia in ensuring that young people and those transitioning from education to paid employment are not exploited, nor at a disadvantage under this new trend. </w:t>
      </w:r>
    </w:p>
    <w:p w14:paraId="4D219919" w14:textId="77777777" w:rsidR="00364617" w:rsidRPr="00B63529" w:rsidRDefault="00364617" w:rsidP="00A85F54">
      <w:pPr>
        <w:pStyle w:val="ListParagraph"/>
        <w:spacing w:before="100" w:beforeAutospacing="1" w:after="100" w:afterAutospacing="1"/>
        <w:ind w:left="1416"/>
        <w:jc w:val="both"/>
        <w:rPr>
          <w:rFonts w:ascii="Times New Roman" w:hAnsi="Times New Roman" w:cs="Times New Roman"/>
        </w:rPr>
      </w:pPr>
    </w:p>
    <w:p w14:paraId="1CFB1F76" w14:textId="7304B05D"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b/>
        </w:rPr>
        <w:t xml:space="preserve">The </w:t>
      </w:r>
      <w:r w:rsidR="00A85F54" w:rsidRPr="00B63529">
        <w:rPr>
          <w:rFonts w:ascii="Times New Roman" w:hAnsi="Times New Roman" w:cs="Times New Roman"/>
          <w:b/>
        </w:rPr>
        <w:t>c</w:t>
      </w:r>
      <w:r w:rsidRPr="00B63529">
        <w:rPr>
          <w:rFonts w:ascii="Times New Roman" w:hAnsi="Times New Roman" w:cs="Times New Roman"/>
          <w:b/>
        </w:rPr>
        <w:t xml:space="preserve">hanging </w:t>
      </w:r>
      <w:r w:rsidR="00A85F54" w:rsidRPr="00B63529">
        <w:rPr>
          <w:rFonts w:ascii="Times New Roman" w:hAnsi="Times New Roman" w:cs="Times New Roman"/>
          <w:b/>
        </w:rPr>
        <w:t>context of the Australian legal market</w:t>
      </w:r>
    </w:p>
    <w:p w14:paraId="15EEC371"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rPr>
      </w:pPr>
    </w:p>
    <w:p w14:paraId="68F2C15D"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past decade has seen a doubling of the number of law graduates in Australia, without the commensurate increase in jobs. According to Graduate Careers Australia, the proportion of bachelor-degree law graduates who find full-time employment has fallen from 96% in 2001 to 83% in 2012.</w:t>
      </w:r>
      <w:r w:rsidRPr="00B63529">
        <w:rPr>
          <w:rStyle w:val="FootnoteReference"/>
          <w:rFonts w:ascii="Times New Roman" w:hAnsi="Times New Roman" w:cs="Times New Roman"/>
        </w:rPr>
        <w:footnoteReference w:id="65"/>
      </w:r>
    </w:p>
    <w:p w14:paraId="03CC9002"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5055BA11" w14:textId="49A7BF66" w:rsidR="00A85F54"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This has meant that competition for legal jobs is on the increase. While commentary suggests that a law degree is now considered a good  ‘generalist degree’, this does not alter the fact that there is still now greater pressure for graduates to have experiences that make them ‘stick out from the crowd’.  </w:t>
      </w:r>
    </w:p>
    <w:p w14:paraId="59BD5AEA"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0FF10A14"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Internships and other forms of unpaid work are experiences which are increasingly becoming a mandatory line on a successful job application. This is for good reason; well-run internships programs can be beneficial learning experiences for students, as well as opportunities for students to explore what career suits them while still at university.</w:t>
      </w:r>
    </w:p>
    <w:p w14:paraId="2D1C6228" w14:textId="77777777" w:rsidR="00364617" w:rsidRPr="00B63529" w:rsidRDefault="00364617" w:rsidP="00A85F54">
      <w:pPr>
        <w:pStyle w:val="ListParagraph"/>
        <w:spacing w:before="100" w:beforeAutospacing="1" w:after="100" w:afterAutospacing="1"/>
        <w:ind w:left="1416"/>
        <w:jc w:val="both"/>
        <w:rPr>
          <w:rFonts w:ascii="Times New Roman" w:hAnsi="Times New Roman" w:cs="Times New Roman"/>
        </w:rPr>
      </w:pPr>
      <w:r w:rsidRPr="00B63529">
        <w:rPr>
          <w:rFonts w:ascii="Times New Roman" w:hAnsi="Times New Roman" w:cs="Times New Roman"/>
        </w:rPr>
        <w:t xml:space="preserve"> </w:t>
      </w:r>
    </w:p>
    <w:p w14:paraId="34EE578C" w14:textId="14D1153B"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b/>
        </w:rPr>
        <w:t>Un</w:t>
      </w:r>
      <w:r w:rsidR="00A85F54" w:rsidRPr="00B63529">
        <w:rPr>
          <w:rFonts w:ascii="Times New Roman" w:hAnsi="Times New Roman" w:cs="Times New Roman"/>
          <w:b/>
        </w:rPr>
        <w:t>paid w</w:t>
      </w:r>
      <w:r w:rsidRPr="00B63529">
        <w:rPr>
          <w:rFonts w:ascii="Times New Roman" w:hAnsi="Times New Roman" w:cs="Times New Roman"/>
          <w:b/>
        </w:rPr>
        <w:t>ork – A</w:t>
      </w:r>
      <w:r w:rsidR="00A85F54" w:rsidRPr="00B63529">
        <w:rPr>
          <w:rFonts w:ascii="Times New Roman" w:hAnsi="Times New Roman" w:cs="Times New Roman"/>
          <w:b/>
        </w:rPr>
        <w:t>n e</w:t>
      </w:r>
      <w:r w:rsidRPr="00B63529">
        <w:rPr>
          <w:rFonts w:ascii="Times New Roman" w:hAnsi="Times New Roman" w:cs="Times New Roman"/>
          <w:b/>
        </w:rPr>
        <w:t>quity issue</w:t>
      </w:r>
    </w:p>
    <w:p w14:paraId="7DF965AC"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rPr>
      </w:pPr>
    </w:p>
    <w:p w14:paraId="36A1667C"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However, unpaid work assumes that the individual undertaking it is able to otherwise financially support himself or herself.</w:t>
      </w:r>
      <w:r w:rsidRPr="00B63529">
        <w:rPr>
          <w:rStyle w:val="FootnoteReference"/>
          <w:rFonts w:ascii="Times New Roman" w:hAnsi="Times New Roman" w:cs="Times New Roman"/>
        </w:rPr>
        <w:footnoteReference w:id="66"/>
      </w:r>
      <w:r w:rsidRPr="00B63529">
        <w:rPr>
          <w:rFonts w:ascii="Times New Roman" w:hAnsi="Times New Roman" w:cs="Times New Roman"/>
        </w:rPr>
        <w:t xml:space="preserve"> This will either assume that the worker is sufficiently affluent to not need financial compensation, or that they are otherwise able to simultaneously maintain other (paid) employment. As such, internships and unpaid work too often become the purview of the  ‘upper middle class and the super rich’.</w:t>
      </w:r>
      <w:r w:rsidRPr="00B63529">
        <w:rPr>
          <w:rStyle w:val="FootnoteReference"/>
          <w:rFonts w:ascii="Times New Roman" w:hAnsi="Times New Roman" w:cs="Times New Roman"/>
        </w:rPr>
        <w:footnoteReference w:id="67"/>
      </w:r>
    </w:p>
    <w:p w14:paraId="63BE7237"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68E5679B"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lastRenderedPageBreak/>
        <w:t>The completion of work by unpaid interns can also mean that entry-level paid positions are made redundant. Unpaid work is therefore further limiting paid positions available to those who need remuneration for their work.</w:t>
      </w:r>
      <w:r w:rsidRPr="00B63529">
        <w:rPr>
          <w:rStyle w:val="FootnoteReference"/>
          <w:rFonts w:ascii="Times New Roman" w:hAnsi="Times New Roman" w:cs="Times New Roman"/>
        </w:rPr>
        <w:footnoteReference w:id="68"/>
      </w:r>
    </w:p>
    <w:p w14:paraId="43C486DE" w14:textId="77777777" w:rsidR="00364617" w:rsidRPr="00B63529" w:rsidRDefault="00364617" w:rsidP="00A85F54">
      <w:pPr>
        <w:pStyle w:val="ListParagraph"/>
        <w:spacing w:before="100" w:beforeAutospacing="1" w:after="100" w:afterAutospacing="1"/>
        <w:ind w:left="1416"/>
        <w:jc w:val="both"/>
        <w:rPr>
          <w:rFonts w:ascii="Times New Roman" w:hAnsi="Times New Roman" w:cs="Times New Roman"/>
        </w:rPr>
      </w:pPr>
    </w:p>
    <w:p w14:paraId="6576B927" w14:textId="77777777" w:rsidR="00364617" w:rsidRPr="00B63529" w:rsidRDefault="00364617" w:rsidP="00A85F54">
      <w:pPr>
        <w:pStyle w:val="ListParagraph"/>
        <w:numPr>
          <w:ilvl w:val="0"/>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b/>
        </w:rPr>
        <w:t>Recommendations for the CLC Model</w:t>
      </w:r>
    </w:p>
    <w:p w14:paraId="1C309634" w14:textId="77777777" w:rsidR="00A85F54" w:rsidRPr="00B63529" w:rsidRDefault="00A85F54" w:rsidP="00A85F54">
      <w:pPr>
        <w:pStyle w:val="ListParagraph"/>
        <w:spacing w:before="100" w:beforeAutospacing="1" w:after="100" w:afterAutospacing="1"/>
        <w:ind w:left="360"/>
        <w:jc w:val="both"/>
        <w:rPr>
          <w:rFonts w:ascii="Times New Roman" w:hAnsi="Times New Roman" w:cs="Times New Roman"/>
        </w:rPr>
      </w:pPr>
    </w:p>
    <w:p w14:paraId="16AA0A73"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 xml:space="preserve">As noted in Chapters 20–21, volunteers form an integral part of the CLC model. The UNSW Law Society does not wish to see this change: volunteers are an invaluable means of keepings costs down while providing access to justice to those whom otherwise may not be able to do so. The concern of the UNSW Law Society is that measures be put into place so as to ensure that this does not result in the exploitation of the students themselves, or lead to the disappearance of remunerated work. </w:t>
      </w:r>
    </w:p>
    <w:p w14:paraId="0EFF03CA"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330B1DDC" w14:textId="3487D855" w:rsidR="00A85F54"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To achieve this, the UNSW Law Society recommends the implementation of a Code of Conduct which all CLCs with student volunteers would be required to sign. On the issue of equity, this would be with an eye towards limiting the time period of volunteering each person can do. This would result in a two-fold consequence of allowing for a higher turnover of volunteers, and therefore more opportunities available to the growing number of law graduates, while also preventing unpaid work from replacing otherwise paid positions.</w:t>
      </w:r>
    </w:p>
    <w:p w14:paraId="44D6F776" w14:textId="77777777" w:rsidR="00A85F54" w:rsidRPr="00B63529" w:rsidRDefault="00A85F54" w:rsidP="00A85F54">
      <w:pPr>
        <w:pStyle w:val="ListParagraph"/>
        <w:spacing w:before="100" w:beforeAutospacing="1" w:after="100" w:afterAutospacing="1"/>
        <w:ind w:left="792"/>
        <w:jc w:val="both"/>
        <w:rPr>
          <w:rFonts w:ascii="Times New Roman" w:hAnsi="Times New Roman" w:cs="Times New Roman"/>
        </w:rPr>
      </w:pPr>
    </w:p>
    <w:p w14:paraId="355F0DBB" w14:textId="77777777" w:rsidR="00364617" w:rsidRPr="00B63529" w:rsidRDefault="00364617" w:rsidP="00A85F54">
      <w:pPr>
        <w:pStyle w:val="ListParagraph"/>
        <w:numPr>
          <w:ilvl w:val="1"/>
          <w:numId w:val="3"/>
        </w:numPr>
        <w:spacing w:before="100" w:beforeAutospacing="1" w:after="100" w:afterAutospacing="1"/>
        <w:jc w:val="both"/>
        <w:rPr>
          <w:rFonts w:ascii="Times New Roman" w:hAnsi="Times New Roman" w:cs="Times New Roman"/>
        </w:rPr>
      </w:pPr>
      <w:r w:rsidRPr="00B63529">
        <w:rPr>
          <w:rFonts w:ascii="Times New Roman" w:hAnsi="Times New Roman" w:cs="Times New Roman"/>
        </w:rPr>
        <w:t>The UNSW Law Society notes the findings in the report of the understaffing of regional, remote and rural CLCs. The UNSW Law Society would recommend the allocation of funding, where possible further contributed to by universities, for the creation of a stipend allowance for students wishing to work in these locations. Working in rural communities entails a high financial cost; this makes such work prohibitive for most. A stipend system, aimed at solely covering basic living costs, would help alleviate the deficit in volunteers in these communities, while also addressing the equity issue in regards access to unpaid work experience.</w:t>
      </w:r>
    </w:p>
    <w:p w14:paraId="1A9E7E8D" w14:textId="77777777" w:rsidR="00364617" w:rsidRPr="0064441B" w:rsidRDefault="00364617" w:rsidP="00364617">
      <w:pPr>
        <w:pStyle w:val="ListParagraph"/>
        <w:jc w:val="both"/>
        <w:rPr>
          <w:rFonts w:ascii="Times New Roman" w:hAnsi="Times New Roman" w:cs="Times New Roman"/>
        </w:rPr>
      </w:pPr>
    </w:p>
    <w:p w14:paraId="4D69A2DD" w14:textId="77777777" w:rsidR="00364617" w:rsidRPr="0064441B" w:rsidRDefault="00364617" w:rsidP="00364617">
      <w:pPr>
        <w:pStyle w:val="ListParagraph"/>
        <w:rPr>
          <w:rFonts w:ascii="Times New Roman" w:hAnsi="Times New Roman" w:cs="Times New Roman"/>
        </w:rPr>
      </w:pPr>
    </w:p>
    <w:p w14:paraId="6899E89A" w14:textId="77777777" w:rsidR="00364617" w:rsidRPr="0064441B" w:rsidRDefault="00364617" w:rsidP="00364617">
      <w:pPr>
        <w:rPr>
          <w:rFonts w:ascii="Times New Roman" w:hAnsi="Times New Roman" w:cs="Times New Roman"/>
          <w:b/>
        </w:rPr>
      </w:pPr>
    </w:p>
    <w:p w14:paraId="63190099" w14:textId="77777777" w:rsidR="00364617" w:rsidRPr="00364617" w:rsidRDefault="00364617" w:rsidP="00364617">
      <w:pPr>
        <w:jc w:val="both"/>
        <w:rPr>
          <w:b/>
          <w:lang w:val="en-US"/>
        </w:rPr>
      </w:pPr>
    </w:p>
    <w:p w14:paraId="080C68BA" w14:textId="77777777" w:rsidR="00364617" w:rsidRPr="00AA7AB8" w:rsidRDefault="00364617" w:rsidP="00364617">
      <w:pPr>
        <w:jc w:val="both"/>
        <w:rPr>
          <w:lang w:val="en-US"/>
        </w:rPr>
      </w:pPr>
    </w:p>
    <w:p w14:paraId="5F1A6D8D" w14:textId="77777777" w:rsidR="00364617" w:rsidRPr="00AA7AB8" w:rsidRDefault="00364617" w:rsidP="00364617">
      <w:pPr>
        <w:jc w:val="both"/>
        <w:rPr>
          <w:i/>
          <w:lang w:val="en-US"/>
        </w:rPr>
      </w:pPr>
      <w:r>
        <w:rPr>
          <w:i/>
          <w:lang w:val="en-US"/>
        </w:rPr>
        <w:t xml:space="preserve"> </w:t>
      </w:r>
    </w:p>
    <w:p w14:paraId="7F17AB38" w14:textId="77777777" w:rsidR="00364617" w:rsidRPr="00454BC3" w:rsidRDefault="00364617" w:rsidP="00454BC3">
      <w:pPr>
        <w:pStyle w:val="ListParagraph"/>
        <w:widowControl w:val="0"/>
        <w:autoSpaceDE w:val="0"/>
        <w:autoSpaceDN w:val="0"/>
        <w:adjustRightInd w:val="0"/>
        <w:ind w:left="360"/>
        <w:jc w:val="both"/>
        <w:rPr>
          <w:rFonts w:ascii="Times New Roman" w:hAnsi="Times New Roman" w:cs="Times New Roman"/>
        </w:rPr>
      </w:pPr>
    </w:p>
    <w:sectPr w:rsidR="00364617" w:rsidRPr="00454BC3" w:rsidSect="004D6FAD">
      <w:headerReference w:type="default" r:id="rId9"/>
      <w:footerReference w:type="default" r:id="rId10"/>
      <w:pgSz w:w="11900" w:h="16840"/>
      <w:pgMar w:top="2410" w:right="851" w:bottom="15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24E7" w14:textId="77777777" w:rsidR="00867EC5" w:rsidRDefault="00867EC5" w:rsidP="00B450E9">
      <w:r>
        <w:separator/>
      </w:r>
    </w:p>
  </w:endnote>
  <w:endnote w:type="continuationSeparator" w:id="0">
    <w:p w14:paraId="572F1765" w14:textId="77777777" w:rsidR="00867EC5" w:rsidRDefault="00867EC5" w:rsidP="00B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D9E2" w14:textId="77777777" w:rsidR="00867EC5" w:rsidRDefault="00867EC5">
    <w:pPr>
      <w:pStyle w:val="Footer"/>
    </w:pPr>
    <w:r>
      <w:rPr>
        <w:noProof/>
        <w:lang w:eastAsia="en-AU"/>
      </w:rPr>
      <w:drawing>
        <wp:anchor distT="0" distB="0" distL="114300" distR="114300" simplePos="0" relativeHeight="251661312" behindDoc="0" locked="0" layoutInCell="1" allowOverlap="1" wp14:anchorId="774032CB" wp14:editId="74E9944C">
          <wp:simplePos x="0" y="0"/>
          <wp:positionH relativeFrom="column">
            <wp:posOffset>-521335</wp:posOffset>
          </wp:positionH>
          <wp:positionV relativeFrom="paragraph">
            <wp:posOffset>-292100</wp:posOffset>
          </wp:positionV>
          <wp:extent cx="7620000" cy="923925"/>
          <wp:effectExtent l="19050" t="0" r="0" b="0"/>
          <wp:wrapTight wrapText="bothSides">
            <wp:wrapPolygon edited="0">
              <wp:start x="-54" y="0"/>
              <wp:lineTo x="-54" y="21377"/>
              <wp:lineTo x="21600" y="21377"/>
              <wp:lineTo x="21600" y="0"/>
              <wp:lineTo x="-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png"/>
                  <pic:cNvPicPr/>
                </pic:nvPicPr>
                <pic:blipFill>
                  <a:blip r:embed="rId1">
                    <a:extLst>
                      <a:ext uri="{28A0092B-C50C-407E-A947-70E740481C1C}">
                        <a14:useLocalDpi xmlns:a14="http://schemas.microsoft.com/office/drawing/2010/main" val="0"/>
                      </a:ext>
                    </a:extLst>
                  </a:blip>
                  <a:stretch>
                    <a:fillRect/>
                  </a:stretch>
                </pic:blipFill>
                <pic:spPr>
                  <a:xfrm>
                    <a:off x="0" y="0"/>
                    <a:ext cx="7620000" cy="9239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D88BA" w14:textId="77777777" w:rsidR="00867EC5" w:rsidRDefault="00867EC5" w:rsidP="00B450E9">
      <w:r>
        <w:separator/>
      </w:r>
    </w:p>
  </w:footnote>
  <w:footnote w:type="continuationSeparator" w:id="0">
    <w:p w14:paraId="19B8B74F" w14:textId="77777777" w:rsidR="00867EC5" w:rsidRDefault="00867EC5" w:rsidP="00B450E9">
      <w:r>
        <w:continuationSeparator/>
      </w:r>
    </w:p>
  </w:footnote>
  <w:footnote w:id="1">
    <w:p w14:paraId="5788C1E7"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Alex Steel, Julian Laurens and Anna Huggins, ‘</w:t>
      </w:r>
      <w:r w:rsidRPr="00364617">
        <w:rPr>
          <w:iCs/>
          <w:sz w:val="22"/>
          <w:szCs w:val="22"/>
        </w:rPr>
        <w:t>Class Participation as a Learning and Assessment Strategy in Law: Facilitating Students’ Engagement, Skills Development and Deep Learning’</w:t>
      </w:r>
      <w:r w:rsidRPr="00364617">
        <w:rPr>
          <w:sz w:val="22"/>
          <w:szCs w:val="22"/>
        </w:rPr>
        <w:t xml:space="preserve">  (2012) 36 </w:t>
      </w:r>
      <w:r w:rsidRPr="00364617">
        <w:rPr>
          <w:i/>
          <w:sz w:val="22"/>
          <w:szCs w:val="22"/>
        </w:rPr>
        <w:t>UNSW Law Journal</w:t>
      </w:r>
      <w:r w:rsidRPr="00364617">
        <w:rPr>
          <w:sz w:val="22"/>
          <w:szCs w:val="22"/>
        </w:rPr>
        <w:t xml:space="preserve"> 30, 40–1.</w:t>
      </w:r>
    </w:p>
  </w:footnote>
  <w:footnote w:id="2">
    <w:p w14:paraId="3483B128"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Ibid 35–6, 41.</w:t>
      </w:r>
    </w:p>
  </w:footnote>
  <w:footnote w:id="3">
    <w:p w14:paraId="3B301722"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Alex Steel, ‘</w:t>
      </w:r>
      <w:r w:rsidRPr="00364617">
        <w:rPr>
          <w:iCs/>
          <w:sz w:val="22"/>
          <w:szCs w:val="22"/>
        </w:rPr>
        <w:t>Law in Broader Contexts’ (Good Practice Guide (Bachelor of Laws), Australian Learning and Teaching Council, 2013), 7.</w:t>
      </w:r>
    </w:p>
  </w:footnote>
  <w:footnote w:id="4">
    <w:p w14:paraId="3EF457C2" w14:textId="77777777" w:rsidR="00867EC5" w:rsidRPr="00364617" w:rsidRDefault="00867EC5" w:rsidP="00D6142A">
      <w:pPr>
        <w:pStyle w:val="FootnoteText"/>
        <w:ind w:left="567" w:hanging="141"/>
        <w:rPr>
          <w:sz w:val="22"/>
          <w:szCs w:val="22"/>
        </w:rPr>
      </w:pPr>
      <w:r w:rsidRPr="00364617">
        <w:rPr>
          <w:rStyle w:val="FootnoteReference"/>
          <w:sz w:val="22"/>
          <w:szCs w:val="22"/>
        </w:rPr>
        <w:footnoteRef/>
      </w:r>
      <w:r w:rsidRPr="00364617">
        <w:rPr>
          <w:sz w:val="22"/>
          <w:szCs w:val="22"/>
        </w:rPr>
        <w:t xml:space="preserve"> Frank S Bloch and Mary Anne </w:t>
      </w:r>
      <w:proofErr w:type="spellStart"/>
      <w:r w:rsidRPr="00364617">
        <w:rPr>
          <w:sz w:val="22"/>
          <w:szCs w:val="22"/>
        </w:rPr>
        <w:t>Noone</w:t>
      </w:r>
      <w:proofErr w:type="spellEnd"/>
      <w:r w:rsidRPr="00364617">
        <w:rPr>
          <w:sz w:val="22"/>
          <w:szCs w:val="22"/>
        </w:rPr>
        <w:t>, ‘Legal Aid Origins of Clinical Legal Education’ in Frank S Bloch (</w:t>
      </w:r>
      <w:proofErr w:type="spellStart"/>
      <w:r w:rsidRPr="00364617">
        <w:rPr>
          <w:sz w:val="22"/>
          <w:szCs w:val="22"/>
        </w:rPr>
        <w:t>ed</w:t>
      </w:r>
      <w:proofErr w:type="spellEnd"/>
      <w:r w:rsidRPr="00364617">
        <w:rPr>
          <w:sz w:val="22"/>
          <w:szCs w:val="22"/>
        </w:rPr>
        <w:t xml:space="preserve">), </w:t>
      </w:r>
      <w:r w:rsidRPr="00364617">
        <w:rPr>
          <w:i/>
          <w:sz w:val="22"/>
          <w:szCs w:val="22"/>
        </w:rPr>
        <w:t xml:space="preserve">The Global Clinical Movement </w:t>
      </w:r>
      <w:r w:rsidRPr="00364617">
        <w:rPr>
          <w:sz w:val="22"/>
          <w:szCs w:val="22"/>
        </w:rPr>
        <w:t>(Oxford University Press, 2011) 153, 156.</w:t>
      </w:r>
    </w:p>
  </w:footnote>
  <w:footnote w:id="5">
    <w:p w14:paraId="3ED7703D" w14:textId="77777777" w:rsidR="00867EC5" w:rsidRPr="00364617" w:rsidRDefault="00867EC5" w:rsidP="00D6142A">
      <w:pPr>
        <w:pStyle w:val="FootnoteText"/>
        <w:ind w:left="567" w:hanging="141"/>
        <w:rPr>
          <w:sz w:val="22"/>
          <w:szCs w:val="22"/>
        </w:rPr>
      </w:pPr>
      <w:r w:rsidRPr="00364617">
        <w:rPr>
          <w:rStyle w:val="FootnoteReference"/>
          <w:sz w:val="22"/>
          <w:szCs w:val="22"/>
        </w:rPr>
        <w:footnoteRef/>
      </w:r>
      <w:r w:rsidRPr="00364617">
        <w:rPr>
          <w:sz w:val="22"/>
          <w:szCs w:val="22"/>
        </w:rPr>
        <w:t xml:space="preserve"> Adrian Evans et al, ‘Best Practices: Australian Clinical Legal Education’ (Final Report, Strengthening Australian Legal Education by Integrating Clinical Experiences: Identifying and Supporting Effective Practices Project, 2013) 48–61.</w:t>
      </w:r>
    </w:p>
  </w:footnote>
  <w:footnote w:id="6">
    <w:p w14:paraId="69F9A7EE" w14:textId="77777777" w:rsidR="00867EC5" w:rsidRPr="00364617" w:rsidRDefault="00867EC5" w:rsidP="00D6142A">
      <w:pPr>
        <w:pStyle w:val="FootnoteText"/>
        <w:tabs>
          <w:tab w:val="left" w:pos="426"/>
        </w:tabs>
        <w:ind w:left="426"/>
        <w:rPr>
          <w:sz w:val="22"/>
          <w:szCs w:val="22"/>
        </w:rPr>
      </w:pPr>
      <w:r w:rsidRPr="00364617">
        <w:rPr>
          <w:rStyle w:val="FootnoteReference"/>
          <w:sz w:val="22"/>
          <w:szCs w:val="22"/>
        </w:rPr>
        <w:footnoteRef/>
      </w:r>
      <w:r w:rsidRPr="00364617">
        <w:rPr>
          <w:sz w:val="22"/>
          <w:szCs w:val="22"/>
        </w:rPr>
        <w:t xml:space="preserve"> Anna Cody and Barbara Schatz, ‘Community Law Clinics: Teaching Students, Working with Disadvantaged Communities’ in Frank S Bloch (</w:t>
      </w:r>
      <w:proofErr w:type="spellStart"/>
      <w:r w:rsidRPr="00364617">
        <w:rPr>
          <w:sz w:val="22"/>
          <w:szCs w:val="22"/>
        </w:rPr>
        <w:t>ed</w:t>
      </w:r>
      <w:proofErr w:type="spellEnd"/>
      <w:r w:rsidRPr="00364617">
        <w:rPr>
          <w:sz w:val="22"/>
          <w:szCs w:val="22"/>
        </w:rPr>
        <w:t xml:space="preserve">), </w:t>
      </w:r>
      <w:r w:rsidRPr="00364617">
        <w:rPr>
          <w:i/>
          <w:sz w:val="22"/>
          <w:szCs w:val="22"/>
        </w:rPr>
        <w:t xml:space="preserve">The Global Clinical Movement </w:t>
      </w:r>
      <w:r w:rsidRPr="00364617">
        <w:rPr>
          <w:sz w:val="22"/>
          <w:szCs w:val="22"/>
        </w:rPr>
        <w:t>(Oxford University Press, 2011) 167, 176.</w:t>
      </w:r>
    </w:p>
  </w:footnote>
  <w:footnote w:id="7">
    <w:p w14:paraId="29AC3226"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Ibid 176–7.</w:t>
      </w:r>
    </w:p>
  </w:footnote>
  <w:footnote w:id="8">
    <w:p w14:paraId="4E0CA9BB" w14:textId="77777777" w:rsidR="00867EC5" w:rsidRPr="00364617" w:rsidRDefault="00867EC5" w:rsidP="00D6142A">
      <w:pPr>
        <w:pStyle w:val="FootnoteText"/>
        <w:ind w:left="142" w:hanging="142"/>
        <w:rPr>
          <w:sz w:val="22"/>
          <w:szCs w:val="22"/>
        </w:rPr>
      </w:pPr>
      <w:r w:rsidRPr="00364617">
        <w:rPr>
          <w:rStyle w:val="FootnoteReference"/>
          <w:sz w:val="22"/>
          <w:szCs w:val="22"/>
        </w:rPr>
        <w:footnoteRef/>
      </w:r>
      <w:r w:rsidRPr="00364617">
        <w:rPr>
          <w:sz w:val="22"/>
          <w:szCs w:val="22"/>
        </w:rPr>
        <w:t xml:space="preserve"> Andrea </w:t>
      </w:r>
      <w:proofErr w:type="spellStart"/>
      <w:r w:rsidRPr="00364617">
        <w:rPr>
          <w:sz w:val="22"/>
          <w:szCs w:val="22"/>
        </w:rPr>
        <w:t>Durbach</w:t>
      </w:r>
      <w:proofErr w:type="spellEnd"/>
      <w:r w:rsidRPr="00364617">
        <w:rPr>
          <w:sz w:val="22"/>
          <w:szCs w:val="22"/>
        </w:rPr>
        <w:t xml:space="preserve">, ‘Test Case Mediation — </w:t>
      </w:r>
      <w:proofErr w:type="spellStart"/>
      <w:r w:rsidRPr="00364617">
        <w:rPr>
          <w:sz w:val="22"/>
          <w:szCs w:val="22"/>
        </w:rPr>
        <w:t>Privatising</w:t>
      </w:r>
      <w:proofErr w:type="spellEnd"/>
      <w:r w:rsidRPr="00364617">
        <w:rPr>
          <w:sz w:val="22"/>
          <w:szCs w:val="22"/>
        </w:rPr>
        <w:t xml:space="preserve"> the Public Interest’ (1995) 6 </w:t>
      </w:r>
      <w:r w:rsidRPr="00364617">
        <w:rPr>
          <w:i/>
          <w:sz w:val="22"/>
          <w:szCs w:val="22"/>
        </w:rPr>
        <w:t xml:space="preserve">Australian Dispute Resolution Journal </w:t>
      </w:r>
      <w:r w:rsidRPr="00364617">
        <w:rPr>
          <w:sz w:val="22"/>
          <w:szCs w:val="22"/>
        </w:rPr>
        <w:t>233, 235.</w:t>
      </w:r>
    </w:p>
  </w:footnote>
  <w:footnote w:id="9">
    <w:p w14:paraId="56D8412D"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Mary Anne </w:t>
      </w:r>
      <w:proofErr w:type="spellStart"/>
      <w:r w:rsidRPr="00364617">
        <w:rPr>
          <w:sz w:val="22"/>
          <w:szCs w:val="22"/>
        </w:rPr>
        <w:t>Noone</w:t>
      </w:r>
      <w:proofErr w:type="spellEnd"/>
      <w:r w:rsidRPr="00364617">
        <w:rPr>
          <w:sz w:val="22"/>
          <w:szCs w:val="22"/>
        </w:rPr>
        <w:t>, ‘</w:t>
      </w:r>
      <w:proofErr w:type="spellStart"/>
      <w:r w:rsidRPr="00364617">
        <w:rPr>
          <w:sz w:val="22"/>
          <w:szCs w:val="22"/>
        </w:rPr>
        <w:t>ADR</w:t>
      </w:r>
      <w:proofErr w:type="spellEnd"/>
      <w:r w:rsidRPr="00364617">
        <w:rPr>
          <w:sz w:val="22"/>
          <w:szCs w:val="22"/>
        </w:rPr>
        <w:t xml:space="preserve">, Public Interest Law and Access to Justice: The Need for Vigilance’ (2011) 37 </w:t>
      </w:r>
      <w:proofErr w:type="spellStart"/>
      <w:r w:rsidRPr="00364617">
        <w:rPr>
          <w:i/>
          <w:sz w:val="22"/>
          <w:szCs w:val="22"/>
        </w:rPr>
        <w:t>Monash</w:t>
      </w:r>
      <w:proofErr w:type="spellEnd"/>
      <w:r w:rsidRPr="00364617">
        <w:rPr>
          <w:i/>
          <w:sz w:val="22"/>
          <w:szCs w:val="22"/>
        </w:rPr>
        <w:t xml:space="preserve"> University Law Review </w:t>
      </w:r>
      <w:r w:rsidRPr="00364617">
        <w:rPr>
          <w:sz w:val="22"/>
          <w:szCs w:val="22"/>
        </w:rPr>
        <w:t>57, 79–80.</w:t>
      </w:r>
    </w:p>
  </w:footnote>
  <w:footnote w:id="10">
    <w:p w14:paraId="414937CF"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w:t>
      </w:r>
      <w:proofErr w:type="spellStart"/>
      <w:r w:rsidRPr="00364617">
        <w:rPr>
          <w:sz w:val="22"/>
          <w:szCs w:val="22"/>
        </w:rPr>
        <w:t>Durbach</w:t>
      </w:r>
      <w:proofErr w:type="spellEnd"/>
      <w:r w:rsidRPr="00364617">
        <w:rPr>
          <w:sz w:val="22"/>
          <w:szCs w:val="22"/>
        </w:rPr>
        <w:t>, above n 8, 240.</w:t>
      </w:r>
    </w:p>
  </w:footnote>
  <w:footnote w:id="11">
    <w:p w14:paraId="30EEDF96"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Ibid 241; </w:t>
      </w:r>
      <w:proofErr w:type="spellStart"/>
      <w:r w:rsidRPr="00364617">
        <w:rPr>
          <w:sz w:val="22"/>
          <w:szCs w:val="22"/>
        </w:rPr>
        <w:t>Noone</w:t>
      </w:r>
      <w:proofErr w:type="spellEnd"/>
      <w:r w:rsidRPr="00364617">
        <w:rPr>
          <w:sz w:val="22"/>
          <w:szCs w:val="22"/>
        </w:rPr>
        <w:t>, above n 9, 67.</w:t>
      </w:r>
    </w:p>
  </w:footnote>
  <w:footnote w:id="12">
    <w:p w14:paraId="570439BC" w14:textId="77777777" w:rsidR="00867EC5" w:rsidRPr="00364617" w:rsidRDefault="00867EC5" w:rsidP="00D6142A">
      <w:pPr>
        <w:pStyle w:val="FootnoteText"/>
        <w:rPr>
          <w:sz w:val="22"/>
          <w:szCs w:val="22"/>
        </w:rPr>
      </w:pPr>
      <w:r w:rsidRPr="00364617">
        <w:rPr>
          <w:rStyle w:val="FootnoteReference"/>
          <w:sz w:val="22"/>
          <w:szCs w:val="22"/>
        </w:rPr>
        <w:footnoteRef/>
      </w:r>
      <w:r w:rsidRPr="00364617">
        <w:rPr>
          <w:sz w:val="22"/>
          <w:szCs w:val="22"/>
        </w:rPr>
        <w:t xml:space="preserve"> The Office of the Legal Services Commissioner (OLSC) </w:t>
      </w:r>
      <w:r w:rsidRPr="00364617">
        <w:rPr>
          <w:i/>
          <w:sz w:val="22"/>
          <w:szCs w:val="22"/>
        </w:rPr>
        <w:t xml:space="preserve">A Guide on Practical Issues: Cloud Computing </w:t>
      </w:r>
      <w:r w:rsidRPr="00364617">
        <w:rPr>
          <w:sz w:val="22"/>
          <w:szCs w:val="22"/>
        </w:rPr>
        <w:t>(January 2013) &lt;http://www.olsc.nsw.gov.au/agdbasev7wr/olsc/documents/pdf/practice_guideline_cloud_computing_jan2013.pdf &gt;.</w:t>
      </w:r>
    </w:p>
  </w:footnote>
  <w:footnote w:id="13">
    <w:p w14:paraId="0E1C8715" w14:textId="77777777" w:rsidR="00867EC5" w:rsidRPr="00364617" w:rsidRDefault="00867EC5" w:rsidP="00D6142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Productivity Commission above n 1, 271.</w:t>
      </w:r>
    </w:p>
  </w:footnote>
  <w:footnote w:id="14">
    <w:p w14:paraId="7776F616" w14:textId="77777777" w:rsidR="00867EC5" w:rsidRPr="00364617" w:rsidRDefault="00867EC5" w:rsidP="00D6142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Productivity Commission, above n 1, 272.</w:t>
      </w:r>
    </w:p>
  </w:footnote>
  <w:footnote w:id="15">
    <w:p w14:paraId="190FC7D2"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NADRAC, </w:t>
      </w:r>
      <w:r w:rsidRPr="00364617">
        <w:rPr>
          <w:rFonts w:ascii="Times New Roman" w:hAnsi="Times New Roman" w:cs="Times New Roman"/>
          <w:i/>
          <w:sz w:val="22"/>
          <w:szCs w:val="22"/>
        </w:rPr>
        <w:t>Teaching Alternative Dispute Resolution in Australian Law Schools</w:t>
      </w:r>
      <w:r w:rsidRPr="00364617">
        <w:rPr>
          <w:rFonts w:ascii="Times New Roman" w:hAnsi="Times New Roman" w:cs="Times New Roman"/>
          <w:sz w:val="22"/>
          <w:szCs w:val="22"/>
        </w:rPr>
        <w:t>, Report to the Attorney General (2012) 12.</w:t>
      </w:r>
    </w:p>
  </w:footnote>
  <w:footnote w:id="16">
    <w:p w14:paraId="0FA2ADA7"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9</w:t>
      </w:r>
      <w:r w:rsidRPr="00364617">
        <w:rPr>
          <w:rFonts w:ascii="Times New Roman" w:hAnsi="Times New Roman" w:cs="Times New Roman"/>
          <w:sz w:val="22"/>
          <w:szCs w:val="22"/>
          <w:vertAlign w:val="superscript"/>
        </w:rPr>
        <w:t>th</w:t>
      </w:r>
      <w:r w:rsidRPr="00364617">
        <w:rPr>
          <w:rFonts w:ascii="Times New Roman" w:hAnsi="Times New Roman" w:cs="Times New Roman"/>
          <w:sz w:val="22"/>
          <w:szCs w:val="22"/>
        </w:rPr>
        <w:t xml:space="preserve"> ICC International Commercial Mediation Competition Rules (2014), 9-10.</w:t>
      </w:r>
    </w:p>
  </w:footnote>
  <w:footnote w:id="17">
    <w:p w14:paraId="799FF616"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Steve </w:t>
      </w:r>
      <w:proofErr w:type="spellStart"/>
      <w:r w:rsidRPr="00364617">
        <w:rPr>
          <w:rFonts w:ascii="Times New Roman" w:hAnsi="Times New Roman" w:cs="Times New Roman"/>
          <w:sz w:val="22"/>
          <w:szCs w:val="22"/>
        </w:rPr>
        <w:t>Lancken</w:t>
      </w:r>
      <w:proofErr w:type="spellEnd"/>
      <w:r w:rsidRPr="00364617">
        <w:rPr>
          <w:rFonts w:ascii="Times New Roman" w:hAnsi="Times New Roman" w:cs="Times New Roman"/>
          <w:sz w:val="22"/>
          <w:szCs w:val="22"/>
        </w:rPr>
        <w:t xml:space="preserve">, Submission to Productivity Commission, </w:t>
      </w:r>
      <w:r w:rsidRPr="00364617">
        <w:rPr>
          <w:rFonts w:ascii="Times New Roman" w:hAnsi="Times New Roman" w:cs="Times New Roman"/>
          <w:i/>
          <w:sz w:val="22"/>
          <w:szCs w:val="22"/>
        </w:rPr>
        <w:t>Access to Justice Arrangements</w:t>
      </w:r>
      <w:r w:rsidRPr="00364617">
        <w:rPr>
          <w:rFonts w:ascii="Times New Roman" w:hAnsi="Times New Roman" w:cs="Times New Roman"/>
          <w:sz w:val="22"/>
          <w:szCs w:val="22"/>
        </w:rPr>
        <w:t>, 18 May 2014, 6.</w:t>
      </w:r>
    </w:p>
  </w:footnote>
  <w:footnote w:id="18">
    <w:p w14:paraId="08B095E5"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UNSW Law, </w:t>
      </w:r>
      <w:r w:rsidRPr="00364617">
        <w:rPr>
          <w:rFonts w:ascii="Times New Roman" w:hAnsi="Times New Roman" w:cs="Times New Roman"/>
          <w:i/>
          <w:sz w:val="22"/>
          <w:szCs w:val="22"/>
        </w:rPr>
        <w:t xml:space="preserve">Rosemary Howell </w:t>
      </w:r>
      <w:r w:rsidRPr="00364617">
        <w:rPr>
          <w:rFonts w:ascii="Times New Roman" w:hAnsi="Times New Roman" w:cs="Times New Roman"/>
          <w:sz w:val="22"/>
          <w:szCs w:val="22"/>
        </w:rPr>
        <w:t>(2014) UNSW Australia &lt; http://www.law.unsw.edu.au/profile/rosemary-howell&gt;.</w:t>
      </w:r>
    </w:p>
  </w:footnote>
  <w:footnote w:id="19">
    <w:p w14:paraId="21A05FE5" w14:textId="77777777" w:rsidR="00867EC5" w:rsidRPr="00364617" w:rsidRDefault="00867EC5" w:rsidP="004D4E0A">
      <w:pPr>
        <w:pStyle w:val="FootnoteText"/>
        <w:rPr>
          <w:rFonts w:ascii="Times New Roman" w:hAnsi="Times New Roman" w:cs="Times New Roman"/>
          <w:i/>
          <w:sz w:val="22"/>
          <w:szCs w:val="22"/>
        </w:rPr>
      </w:pPr>
      <w:r w:rsidRPr="00364617">
        <w:rPr>
          <w:rStyle w:val="FootnoteReference"/>
          <w:rFonts w:ascii="Times New Roman" w:hAnsi="Times New Roman" w:cs="Times New Roman"/>
          <w:i/>
          <w:sz w:val="22"/>
          <w:szCs w:val="22"/>
        </w:rPr>
        <w:footnoteRef/>
      </w:r>
      <w:r w:rsidRPr="00364617">
        <w:rPr>
          <w:rFonts w:ascii="Times New Roman" w:hAnsi="Times New Roman" w:cs="Times New Roman"/>
          <w:i/>
          <w:sz w:val="22"/>
          <w:szCs w:val="22"/>
        </w:rPr>
        <w:t xml:space="preserve"> Australian Alternative Dispute Resolution Law Bulletin, </w:t>
      </w:r>
      <w:r w:rsidRPr="00364617">
        <w:rPr>
          <w:rFonts w:ascii="Times New Roman" w:hAnsi="Times New Roman" w:cs="Times New Roman"/>
          <w:sz w:val="22"/>
          <w:szCs w:val="22"/>
        </w:rPr>
        <w:t>1(1) 2014.</w:t>
      </w:r>
      <w:r w:rsidRPr="00364617">
        <w:rPr>
          <w:rFonts w:ascii="Times New Roman" w:hAnsi="Times New Roman" w:cs="Times New Roman"/>
          <w:i/>
          <w:sz w:val="22"/>
          <w:szCs w:val="22"/>
        </w:rPr>
        <w:t xml:space="preserve"> </w:t>
      </w:r>
    </w:p>
  </w:footnote>
  <w:footnote w:id="20">
    <w:p w14:paraId="3DD0B7FF"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w:t>
      </w:r>
      <w:proofErr w:type="spellStart"/>
      <w:r w:rsidRPr="00364617">
        <w:rPr>
          <w:rFonts w:ascii="Times New Roman" w:hAnsi="Times New Roman" w:cs="Times New Roman"/>
          <w:i/>
          <w:sz w:val="22"/>
          <w:szCs w:val="22"/>
        </w:rPr>
        <w:t>Sellar</w:t>
      </w:r>
      <w:proofErr w:type="spellEnd"/>
      <w:r w:rsidRPr="00364617">
        <w:rPr>
          <w:rFonts w:ascii="Times New Roman" w:hAnsi="Times New Roman" w:cs="Times New Roman"/>
          <w:i/>
          <w:sz w:val="22"/>
          <w:szCs w:val="22"/>
        </w:rPr>
        <w:t xml:space="preserve"> v </w:t>
      </w:r>
      <w:proofErr w:type="spellStart"/>
      <w:r w:rsidRPr="00364617">
        <w:rPr>
          <w:rFonts w:ascii="Times New Roman" w:hAnsi="Times New Roman" w:cs="Times New Roman"/>
          <w:i/>
          <w:sz w:val="22"/>
          <w:szCs w:val="22"/>
        </w:rPr>
        <w:t>Lasotav</w:t>
      </w:r>
      <w:proofErr w:type="spellEnd"/>
      <w:r w:rsidRPr="00364617">
        <w:rPr>
          <w:rFonts w:ascii="Times New Roman" w:hAnsi="Times New Roman" w:cs="Times New Roman"/>
          <w:i/>
          <w:sz w:val="22"/>
          <w:szCs w:val="22"/>
        </w:rPr>
        <w:t xml:space="preserve"> Pty Ltd</w:t>
      </w:r>
      <w:r w:rsidRPr="00364617">
        <w:rPr>
          <w:rFonts w:ascii="Times New Roman" w:hAnsi="Times New Roman" w:cs="Times New Roman"/>
          <w:sz w:val="22"/>
          <w:szCs w:val="22"/>
        </w:rPr>
        <w:t xml:space="preserve"> [2008] FCA 1766. </w:t>
      </w:r>
    </w:p>
  </w:footnote>
  <w:footnote w:id="21">
    <w:p w14:paraId="0B2F84D0"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Ibid [37]–[38]. </w:t>
      </w:r>
    </w:p>
  </w:footnote>
  <w:footnote w:id="22">
    <w:p w14:paraId="1E68BD16"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UNSW Australia, </w:t>
      </w:r>
      <w:r w:rsidRPr="00364617">
        <w:rPr>
          <w:rFonts w:ascii="Times New Roman" w:hAnsi="Times New Roman" w:cs="Times New Roman"/>
          <w:i/>
          <w:sz w:val="22"/>
          <w:szCs w:val="22"/>
        </w:rPr>
        <w:t>UNSW Class Timetable 2014 (LAWS8980)</w:t>
      </w:r>
      <w:r w:rsidRPr="00364617">
        <w:rPr>
          <w:rFonts w:ascii="Times New Roman" w:hAnsi="Times New Roman" w:cs="Times New Roman"/>
          <w:sz w:val="22"/>
          <w:szCs w:val="22"/>
        </w:rPr>
        <w:t xml:space="preserve"> (2014) &lt; http://www.timetable.unsw.edu.au/current/JURD4780.html&gt;; UNSW Australia, </w:t>
      </w:r>
      <w:r w:rsidRPr="00364617">
        <w:rPr>
          <w:rFonts w:ascii="Times New Roman" w:hAnsi="Times New Roman" w:cs="Times New Roman"/>
          <w:i/>
          <w:sz w:val="22"/>
          <w:szCs w:val="22"/>
        </w:rPr>
        <w:t>UNSW Class Timetable 2014 (JURD4780)</w:t>
      </w:r>
      <w:r w:rsidRPr="00364617">
        <w:rPr>
          <w:rFonts w:ascii="Times New Roman" w:hAnsi="Times New Roman" w:cs="Times New Roman"/>
          <w:sz w:val="22"/>
          <w:szCs w:val="22"/>
        </w:rPr>
        <w:t xml:space="preserve"> (2014) UNSW Class Timetable &lt; http://www.timetable.unsw.edu.au/current/JURD7480.html&gt;.</w:t>
      </w:r>
    </w:p>
  </w:footnote>
  <w:footnote w:id="23">
    <w:p w14:paraId="332AAC4A" w14:textId="77777777" w:rsidR="00867EC5" w:rsidRPr="00364617" w:rsidRDefault="00867EC5" w:rsidP="004D4E0A">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Productivity Commission, above n 1, 267.</w:t>
      </w:r>
    </w:p>
  </w:footnote>
  <w:footnote w:id="24">
    <w:p w14:paraId="640FF2ED" w14:textId="77777777" w:rsidR="00867EC5" w:rsidRPr="00364617" w:rsidRDefault="00867EC5" w:rsidP="008A4CC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LEADR, above n 4, 13.</w:t>
      </w:r>
    </w:p>
  </w:footnote>
  <w:footnote w:id="25">
    <w:p w14:paraId="09C489BC" w14:textId="77777777" w:rsidR="00867EC5" w:rsidRPr="00364617" w:rsidRDefault="00867EC5" w:rsidP="0088687B">
      <w:pPr>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The Honourable Justice Michelle Gordon, ‘</w:t>
      </w:r>
      <w:r w:rsidRPr="00364617">
        <w:rPr>
          <w:rFonts w:ascii="Times New Roman" w:eastAsia="Times New Roman" w:hAnsi="Times New Roman" w:cs="Times New Roman"/>
          <w:spacing w:val="8"/>
          <w:sz w:val="22"/>
          <w:szCs w:val="22"/>
          <w:shd w:val="clear" w:color="auto" w:fill="FFFFFF"/>
        </w:rPr>
        <w:t xml:space="preserve">Benefits and Burdens of Case Management’ (2009) 34 </w:t>
      </w:r>
      <w:r w:rsidRPr="00364617">
        <w:rPr>
          <w:rFonts w:ascii="Times New Roman" w:eastAsia="Times New Roman" w:hAnsi="Times New Roman" w:cs="Times New Roman"/>
          <w:i/>
          <w:spacing w:val="8"/>
          <w:sz w:val="22"/>
          <w:szCs w:val="22"/>
          <w:shd w:val="clear" w:color="auto" w:fill="FFFFFF"/>
        </w:rPr>
        <w:t>Hearsay</w:t>
      </w:r>
      <w:r w:rsidRPr="00364617">
        <w:rPr>
          <w:rFonts w:ascii="Times New Roman" w:eastAsia="Times New Roman" w:hAnsi="Times New Roman" w:cs="Times New Roman"/>
          <w:spacing w:val="8"/>
          <w:sz w:val="22"/>
          <w:szCs w:val="22"/>
          <w:shd w:val="clear" w:color="auto" w:fill="FFFFFF"/>
        </w:rPr>
        <w:t xml:space="preserve"> 1, [15].</w:t>
      </w:r>
    </w:p>
  </w:footnote>
  <w:footnote w:id="26">
    <w:p w14:paraId="53E49B1B" w14:textId="77777777" w:rsidR="00867EC5" w:rsidRPr="00364617" w:rsidRDefault="00867EC5" w:rsidP="0088687B">
      <w:pPr>
        <w:rPr>
          <w:rFonts w:ascii="Times New Roman" w:eastAsia="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D Williams, ‘Changing Roles and Skills for Courts, Tribunals and Practitioners’ in </w:t>
      </w:r>
      <w:r w:rsidRPr="00364617">
        <w:rPr>
          <w:rFonts w:ascii="Times New Roman" w:eastAsia="Times New Roman" w:hAnsi="Times New Roman" w:cs="Times New Roman"/>
          <w:color w:val="333333"/>
          <w:sz w:val="22"/>
          <w:szCs w:val="22"/>
          <w:shd w:val="clear" w:color="auto" w:fill="FFFFFF"/>
        </w:rPr>
        <w:t xml:space="preserve">Helen Stacy and Michael </w:t>
      </w:r>
      <w:proofErr w:type="spellStart"/>
      <w:r w:rsidRPr="00364617">
        <w:rPr>
          <w:rFonts w:ascii="Times New Roman" w:eastAsia="Times New Roman" w:hAnsi="Times New Roman" w:cs="Times New Roman"/>
          <w:color w:val="333333"/>
          <w:sz w:val="22"/>
          <w:szCs w:val="22"/>
          <w:shd w:val="clear" w:color="auto" w:fill="FFFFFF"/>
        </w:rPr>
        <w:t>Lavarch</w:t>
      </w:r>
      <w:proofErr w:type="spellEnd"/>
      <w:r w:rsidRPr="00364617">
        <w:rPr>
          <w:rFonts w:ascii="Times New Roman" w:eastAsia="Times New Roman" w:hAnsi="Times New Roman" w:cs="Times New Roman"/>
          <w:color w:val="333333"/>
          <w:sz w:val="22"/>
          <w:szCs w:val="22"/>
          <w:shd w:val="clear" w:color="auto" w:fill="FFFFFF"/>
        </w:rPr>
        <w:t xml:space="preserve"> (</w:t>
      </w:r>
      <w:proofErr w:type="spellStart"/>
      <w:r w:rsidRPr="00364617">
        <w:rPr>
          <w:rFonts w:ascii="Times New Roman" w:eastAsia="Times New Roman" w:hAnsi="Times New Roman" w:cs="Times New Roman"/>
          <w:color w:val="333333"/>
          <w:sz w:val="22"/>
          <w:szCs w:val="22"/>
          <w:shd w:val="clear" w:color="auto" w:fill="FFFFFF"/>
        </w:rPr>
        <w:t>eds</w:t>
      </w:r>
      <w:proofErr w:type="spellEnd"/>
      <w:r w:rsidRPr="00364617">
        <w:rPr>
          <w:rFonts w:ascii="Times New Roman" w:eastAsia="Times New Roman" w:hAnsi="Times New Roman" w:cs="Times New Roman"/>
          <w:color w:val="333333"/>
          <w:sz w:val="22"/>
          <w:szCs w:val="22"/>
          <w:shd w:val="clear" w:color="auto" w:fill="FFFFFF"/>
        </w:rPr>
        <w:t xml:space="preserve">), </w:t>
      </w:r>
      <w:r w:rsidRPr="00364617">
        <w:rPr>
          <w:rFonts w:ascii="Times New Roman" w:hAnsi="Times New Roman" w:cs="Times New Roman"/>
          <w:i/>
          <w:sz w:val="22"/>
          <w:szCs w:val="22"/>
        </w:rPr>
        <w:t>Beyond the Adversarial System</w:t>
      </w:r>
      <w:r w:rsidRPr="00364617">
        <w:rPr>
          <w:rFonts w:ascii="Times New Roman" w:hAnsi="Times New Roman" w:cs="Times New Roman"/>
          <w:sz w:val="22"/>
          <w:szCs w:val="22"/>
        </w:rPr>
        <w:t xml:space="preserve"> (The Federation Press, 1999) 1, 5.</w:t>
      </w:r>
    </w:p>
  </w:footnote>
  <w:footnote w:id="27">
    <w:p w14:paraId="4E72CF34"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w:t>
      </w:r>
      <w:proofErr w:type="spellStart"/>
      <w:r w:rsidRPr="00364617">
        <w:rPr>
          <w:rFonts w:ascii="Times New Roman" w:hAnsi="Times New Roman" w:cs="Times New Roman"/>
          <w:sz w:val="22"/>
          <w:szCs w:val="22"/>
        </w:rPr>
        <w:t>CW</w:t>
      </w:r>
      <w:proofErr w:type="spellEnd"/>
      <w:r w:rsidRPr="00364617">
        <w:rPr>
          <w:rFonts w:ascii="Times New Roman" w:hAnsi="Times New Roman" w:cs="Times New Roman"/>
          <w:sz w:val="22"/>
          <w:szCs w:val="22"/>
        </w:rPr>
        <w:t xml:space="preserve"> </w:t>
      </w:r>
      <w:proofErr w:type="spellStart"/>
      <w:r w:rsidRPr="00364617">
        <w:rPr>
          <w:rFonts w:ascii="Times New Roman" w:hAnsi="Times New Roman" w:cs="Times New Roman"/>
          <w:sz w:val="22"/>
          <w:szCs w:val="22"/>
        </w:rPr>
        <w:t>Pincus</w:t>
      </w:r>
      <w:proofErr w:type="spellEnd"/>
      <w:r w:rsidRPr="00364617">
        <w:rPr>
          <w:rFonts w:ascii="Times New Roman" w:hAnsi="Times New Roman" w:cs="Times New Roman"/>
          <w:sz w:val="22"/>
          <w:szCs w:val="22"/>
        </w:rPr>
        <w:t xml:space="preserve">, ‘Court Involvement in Pre-Trial Procedures’ (1987) 61 </w:t>
      </w:r>
      <w:r w:rsidRPr="00364617">
        <w:rPr>
          <w:rFonts w:ascii="Times New Roman" w:hAnsi="Times New Roman" w:cs="Times New Roman"/>
          <w:i/>
          <w:sz w:val="22"/>
          <w:szCs w:val="22"/>
        </w:rPr>
        <w:t xml:space="preserve">Australian Law Journal </w:t>
      </w:r>
      <w:r w:rsidRPr="00364617">
        <w:rPr>
          <w:rFonts w:ascii="Times New Roman" w:hAnsi="Times New Roman" w:cs="Times New Roman"/>
          <w:sz w:val="22"/>
          <w:szCs w:val="22"/>
        </w:rPr>
        <w:t xml:space="preserve">471, 474; </w:t>
      </w:r>
      <w:r w:rsidRPr="00364617">
        <w:rPr>
          <w:rFonts w:ascii="Times New Roman" w:hAnsi="Times New Roman" w:cs="Times New Roman"/>
          <w:i/>
          <w:sz w:val="22"/>
          <w:szCs w:val="22"/>
        </w:rPr>
        <w:t xml:space="preserve">Seven Network Ltd v News Ltd </w:t>
      </w:r>
      <w:r w:rsidRPr="00364617">
        <w:rPr>
          <w:rFonts w:ascii="Times New Roman" w:hAnsi="Times New Roman" w:cs="Times New Roman"/>
          <w:sz w:val="22"/>
          <w:szCs w:val="22"/>
        </w:rPr>
        <w:t>[2007] FCA 1062, [21].</w:t>
      </w:r>
    </w:p>
  </w:footnote>
  <w:footnote w:id="28">
    <w:p w14:paraId="2583D050"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Lord Woolf, </w:t>
      </w:r>
      <w:r w:rsidRPr="00364617">
        <w:rPr>
          <w:rFonts w:ascii="Times New Roman" w:hAnsi="Times New Roman" w:cs="Times New Roman"/>
          <w:i/>
          <w:sz w:val="22"/>
          <w:szCs w:val="22"/>
        </w:rPr>
        <w:t xml:space="preserve">Access to Justice: Final Report </w:t>
      </w:r>
      <w:r w:rsidRPr="00364617">
        <w:rPr>
          <w:rFonts w:ascii="Times New Roman" w:hAnsi="Times New Roman" w:cs="Times New Roman"/>
          <w:sz w:val="22"/>
          <w:szCs w:val="22"/>
        </w:rPr>
        <w:t>(1996), 86–7.</w:t>
      </w:r>
    </w:p>
  </w:footnote>
  <w:footnote w:id="29">
    <w:p w14:paraId="4CDB5F69"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w:t>
      </w:r>
      <w:r w:rsidRPr="00364617">
        <w:rPr>
          <w:rFonts w:ascii="Times New Roman" w:hAnsi="Times New Roman" w:cs="Times New Roman"/>
          <w:i/>
          <w:sz w:val="22"/>
          <w:szCs w:val="22"/>
        </w:rPr>
        <w:t xml:space="preserve">Uniform Civil Procedure Rules 2005 </w:t>
      </w:r>
      <w:r w:rsidRPr="00364617">
        <w:rPr>
          <w:rFonts w:ascii="Times New Roman" w:hAnsi="Times New Roman" w:cs="Times New Roman"/>
          <w:sz w:val="22"/>
          <w:szCs w:val="22"/>
        </w:rPr>
        <w:t>(NSW) r 21.2(3), (4).</w:t>
      </w:r>
    </w:p>
  </w:footnote>
  <w:footnote w:id="30">
    <w:p w14:paraId="16E80A86"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Victorian Law Reform Commission, </w:t>
      </w:r>
      <w:r w:rsidRPr="00364617">
        <w:rPr>
          <w:rFonts w:ascii="Times New Roman" w:hAnsi="Times New Roman" w:cs="Times New Roman"/>
          <w:i/>
          <w:sz w:val="22"/>
          <w:szCs w:val="22"/>
        </w:rPr>
        <w:t>Civil Justice Review</w:t>
      </w:r>
      <w:r w:rsidRPr="00364617">
        <w:rPr>
          <w:rFonts w:ascii="Times New Roman" w:hAnsi="Times New Roman" w:cs="Times New Roman"/>
          <w:sz w:val="22"/>
          <w:szCs w:val="22"/>
        </w:rPr>
        <w:t xml:space="preserve">, Report No 14 (2008) 427; </w:t>
      </w:r>
      <w:proofErr w:type="spellStart"/>
      <w:r w:rsidRPr="00364617">
        <w:rPr>
          <w:rFonts w:ascii="Times New Roman" w:hAnsi="Times New Roman" w:cs="Times New Roman"/>
          <w:i/>
          <w:sz w:val="22"/>
          <w:szCs w:val="22"/>
        </w:rPr>
        <w:t>Compagnie</w:t>
      </w:r>
      <w:proofErr w:type="spellEnd"/>
      <w:r w:rsidRPr="00364617">
        <w:rPr>
          <w:rFonts w:ascii="Times New Roman" w:hAnsi="Times New Roman" w:cs="Times New Roman"/>
          <w:i/>
          <w:sz w:val="22"/>
          <w:szCs w:val="22"/>
        </w:rPr>
        <w:t xml:space="preserve"> </w:t>
      </w:r>
      <w:proofErr w:type="spellStart"/>
      <w:r w:rsidRPr="00364617">
        <w:rPr>
          <w:rFonts w:ascii="Times New Roman" w:hAnsi="Times New Roman" w:cs="Times New Roman"/>
          <w:i/>
          <w:sz w:val="22"/>
          <w:szCs w:val="22"/>
        </w:rPr>
        <w:t>Financiere</w:t>
      </w:r>
      <w:proofErr w:type="spellEnd"/>
      <w:r w:rsidRPr="00364617">
        <w:rPr>
          <w:rFonts w:ascii="Times New Roman" w:hAnsi="Times New Roman" w:cs="Times New Roman"/>
          <w:i/>
          <w:sz w:val="22"/>
          <w:szCs w:val="22"/>
        </w:rPr>
        <w:t xml:space="preserve"> et </w:t>
      </w:r>
      <w:proofErr w:type="spellStart"/>
      <w:r w:rsidRPr="00364617">
        <w:rPr>
          <w:rFonts w:ascii="Times New Roman" w:hAnsi="Times New Roman" w:cs="Times New Roman"/>
          <w:i/>
          <w:sz w:val="22"/>
          <w:szCs w:val="22"/>
        </w:rPr>
        <w:t>Commerciale</w:t>
      </w:r>
      <w:proofErr w:type="spellEnd"/>
      <w:r w:rsidRPr="00364617">
        <w:rPr>
          <w:rFonts w:ascii="Times New Roman" w:hAnsi="Times New Roman" w:cs="Times New Roman"/>
          <w:i/>
          <w:sz w:val="22"/>
          <w:szCs w:val="22"/>
        </w:rPr>
        <w:t xml:space="preserve"> du </w:t>
      </w:r>
      <w:proofErr w:type="spellStart"/>
      <w:r w:rsidRPr="00364617">
        <w:rPr>
          <w:rFonts w:ascii="Times New Roman" w:hAnsi="Times New Roman" w:cs="Times New Roman"/>
          <w:i/>
          <w:sz w:val="22"/>
          <w:szCs w:val="22"/>
        </w:rPr>
        <w:t>Pacifique</w:t>
      </w:r>
      <w:proofErr w:type="spellEnd"/>
      <w:r w:rsidRPr="00364617">
        <w:rPr>
          <w:rFonts w:ascii="Times New Roman" w:hAnsi="Times New Roman" w:cs="Times New Roman"/>
          <w:i/>
          <w:sz w:val="22"/>
          <w:szCs w:val="22"/>
        </w:rPr>
        <w:t xml:space="preserve"> v Peruvian Guano Co </w:t>
      </w:r>
      <w:r w:rsidRPr="00364617">
        <w:rPr>
          <w:rFonts w:ascii="Times New Roman" w:hAnsi="Times New Roman" w:cs="Times New Roman"/>
          <w:sz w:val="22"/>
          <w:szCs w:val="22"/>
        </w:rPr>
        <w:t>(1882) 11 QBD 55, 65.</w:t>
      </w:r>
    </w:p>
  </w:footnote>
  <w:footnote w:id="31">
    <w:p w14:paraId="5EE8862D"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w:t>
      </w:r>
      <w:r w:rsidRPr="00364617">
        <w:rPr>
          <w:rFonts w:ascii="Times New Roman" w:hAnsi="Times New Roman" w:cs="Times New Roman"/>
          <w:i/>
          <w:sz w:val="22"/>
          <w:szCs w:val="22"/>
        </w:rPr>
        <w:t xml:space="preserve">Federal Court Rules 2011 </w:t>
      </w:r>
      <w:r w:rsidRPr="00364617">
        <w:rPr>
          <w:rFonts w:ascii="Times New Roman" w:hAnsi="Times New Roman" w:cs="Times New Roman"/>
          <w:sz w:val="22"/>
          <w:szCs w:val="22"/>
        </w:rPr>
        <w:t>r 20.14(2).</w:t>
      </w:r>
    </w:p>
  </w:footnote>
  <w:footnote w:id="32">
    <w:p w14:paraId="197061D7"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Lord Jackson, </w:t>
      </w:r>
      <w:r w:rsidRPr="00364617">
        <w:rPr>
          <w:rFonts w:ascii="Times New Roman" w:hAnsi="Times New Roman" w:cs="Times New Roman"/>
          <w:i/>
          <w:sz w:val="22"/>
          <w:szCs w:val="22"/>
        </w:rPr>
        <w:t xml:space="preserve">Review of Civil Litigation Costs: Final Report </w:t>
      </w:r>
      <w:r w:rsidRPr="00364617">
        <w:rPr>
          <w:rFonts w:ascii="Times New Roman" w:hAnsi="Times New Roman" w:cs="Times New Roman"/>
          <w:sz w:val="22"/>
          <w:szCs w:val="22"/>
        </w:rPr>
        <w:t>(2009).</w:t>
      </w:r>
    </w:p>
  </w:footnote>
  <w:footnote w:id="33">
    <w:p w14:paraId="07662164"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Australian Law Reform Commission, </w:t>
      </w:r>
      <w:r w:rsidRPr="00364617">
        <w:rPr>
          <w:rFonts w:ascii="Times New Roman" w:hAnsi="Times New Roman" w:cs="Times New Roman"/>
          <w:i/>
          <w:sz w:val="22"/>
          <w:szCs w:val="22"/>
        </w:rPr>
        <w:t>Managing Discovery: Final Report</w:t>
      </w:r>
      <w:r w:rsidRPr="00364617">
        <w:rPr>
          <w:rFonts w:ascii="Times New Roman" w:hAnsi="Times New Roman" w:cs="Times New Roman"/>
          <w:sz w:val="22"/>
          <w:szCs w:val="22"/>
        </w:rPr>
        <w:t>, Report No 115 (2011) 121.</w:t>
      </w:r>
    </w:p>
  </w:footnote>
  <w:footnote w:id="34">
    <w:p w14:paraId="741BBA37" w14:textId="77777777" w:rsidR="00867EC5" w:rsidRPr="00364617" w:rsidRDefault="00867EC5" w:rsidP="0088687B">
      <w:pPr>
        <w:pStyle w:val="FootnoteText"/>
        <w:rPr>
          <w:rFonts w:ascii="Times New Roman" w:hAnsi="Times New Roman" w:cs="Times New Roman"/>
          <w:i/>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Michael Legg, </w:t>
      </w:r>
      <w:r w:rsidRPr="00364617">
        <w:rPr>
          <w:rFonts w:ascii="Times New Roman" w:hAnsi="Times New Roman" w:cs="Times New Roman"/>
          <w:i/>
          <w:sz w:val="22"/>
          <w:szCs w:val="22"/>
        </w:rPr>
        <w:t xml:space="preserve">Case Management and Complex Civil Litigation </w:t>
      </w:r>
      <w:r w:rsidRPr="00364617">
        <w:rPr>
          <w:rFonts w:ascii="Times New Roman" w:hAnsi="Times New Roman" w:cs="Times New Roman"/>
          <w:sz w:val="22"/>
          <w:szCs w:val="22"/>
        </w:rPr>
        <w:t>(Federation Press, 2011) 77–8.</w:t>
      </w:r>
    </w:p>
  </w:footnote>
  <w:footnote w:id="35">
    <w:p w14:paraId="66C3B55B"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Federal Court, </w:t>
      </w:r>
      <w:r w:rsidRPr="00364617">
        <w:rPr>
          <w:rFonts w:ascii="Times New Roman" w:hAnsi="Times New Roman" w:cs="Times New Roman"/>
          <w:i/>
          <w:sz w:val="22"/>
          <w:szCs w:val="22"/>
        </w:rPr>
        <w:t xml:space="preserve">Practice Note CM 5: Discovery </w:t>
      </w:r>
      <w:r w:rsidRPr="00364617">
        <w:rPr>
          <w:rFonts w:ascii="Times New Roman" w:hAnsi="Times New Roman" w:cs="Times New Roman"/>
          <w:sz w:val="22"/>
          <w:szCs w:val="22"/>
        </w:rPr>
        <w:t>(2011) r 2(c)(v)–(vi).</w:t>
      </w:r>
    </w:p>
  </w:footnote>
  <w:footnote w:id="36">
    <w:p w14:paraId="7D115B1E"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Australian Law Reform Commission, above n 7, 139.</w:t>
      </w:r>
    </w:p>
  </w:footnote>
  <w:footnote w:id="37">
    <w:p w14:paraId="1DE17FCB"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Andrew Stephenson, ‘Turning Mountains into Molehills: Improvements to Formal Dispute Resolution’ (Paper presented at Society of Construction Law Inaugural Conference, Perth, 2010) 16, cited in Australian Law Reform Commission, above n 7, 144; Arthur R Emmett, ‘Reforming Discovery’ in Michael Legg (</w:t>
      </w:r>
      <w:proofErr w:type="spellStart"/>
      <w:r w:rsidRPr="00364617">
        <w:rPr>
          <w:rFonts w:ascii="Times New Roman" w:hAnsi="Times New Roman" w:cs="Times New Roman"/>
          <w:sz w:val="22"/>
          <w:szCs w:val="22"/>
        </w:rPr>
        <w:t>ed</w:t>
      </w:r>
      <w:proofErr w:type="spellEnd"/>
      <w:r w:rsidRPr="00364617">
        <w:rPr>
          <w:rFonts w:ascii="Times New Roman" w:hAnsi="Times New Roman" w:cs="Times New Roman"/>
          <w:sz w:val="22"/>
          <w:szCs w:val="22"/>
        </w:rPr>
        <w:t xml:space="preserve">), </w:t>
      </w:r>
      <w:r w:rsidRPr="00364617">
        <w:rPr>
          <w:rFonts w:ascii="Times New Roman" w:hAnsi="Times New Roman" w:cs="Times New Roman"/>
          <w:i/>
          <w:sz w:val="22"/>
          <w:szCs w:val="22"/>
        </w:rPr>
        <w:t>The Future of Dispute Resolution</w:t>
      </w:r>
      <w:r w:rsidRPr="00364617">
        <w:rPr>
          <w:rFonts w:ascii="Times New Roman" w:hAnsi="Times New Roman" w:cs="Times New Roman"/>
          <w:sz w:val="22"/>
          <w:szCs w:val="22"/>
        </w:rPr>
        <w:t xml:space="preserve"> (LexisNexis, 2013) 51, 60.</w:t>
      </w:r>
    </w:p>
  </w:footnote>
  <w:footnote w:id="38">
    <w:p w14:paraId="6EF045D1" w14:textId="77777777" w:rsidR="00867EC5" w:rsidRPr="00364617" w:rsidRDefault="00867EC5" w:rsidP="0088687B">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Supreme Court of NSW, </w:t>
      </w:r>
      <w:r w:rsidRPr="00364617">
        <w:rPr>
          <w:rFonts w:ascii="Times New Roman" w:hAnsi="Times New Roman" w:cs="Times New Roman"/>
          <w:i/>
          <w:sz w:val="22"/>
          <w:szCs w:val="22"/>
        </w:rPr>
        <w:t xml:space="preserve">Practice Note No. SC </w:t>
      </w:r>
      <w:proofErr w:type="spellStart"/>
      <w:r w:rsidRPr="00364617">
        <w:rPr>
          <w:rFonts w:ascii="Times New Roman" w:hAnsi="Times New Roman" w:cs="Times New Roman"/>
          <w:i/>
          <w:sz w:val="22"/>
          <w:szCs w:val="22"/>
        </w:rPr>
        <w:t>Eq</w:t>
      </w:r>
      <w:proofErr w:type="spellEnd"/>
      <w:r w:rsidRPr="00364617">
        <w:rPr>
          <w:rFonts w:ascii="Times New Roman" w:hAnsi="Times New Roman" w:cs="Times New Roman"/>
          <w:i/>
          <w:sz w:val="22"/>
          <w:szCs w:val="22"/>
        </w:rPr>
        <w:t xml:space="preserve"> 11</w:t>
      </w:r>
      <w:r w:rsidRPr="00364617">
        <w:rPr>
          <w:rFonts w:ascii="Times New Roman" w:hAnsi="Times New Roman" w:cs="Times New Roman"/>
          <w:sz w:val="22"/>
          <w:szCs w:val="22"/>
        </w:rPr>
        <w:t>, r 6.</w:t>
      </w:r>
    </w:p>
  </w:footnote>
  <w:footnote w:id="39">
    <w:p w14:paraId="2B0FAEE3"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Legg, above n 8, 72.</w:t>
      </w:r>
    </w:p>
  </w:footnote>
  <w:footnote w:id="40">
    <w:p w14:paraId="13B51668"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Ibid 78–9.</w:t>
      </w:r>
    </w:p>
  </w:footnote>
  <w:footnote w:id="41">
    <w:p w14:paraId="25294263" w14:textId="77777777" w:rsidR="00867EC5" w:rsidRPr="00364617" w:rsidRDefault="00867EC5" w:rsidP="00EA09E0">
      <w:pPr>
        <w:pStyle w:val="FootnoteText"/>
        <w:rPr>
          <w:rFonts w:ascii="Times New Roman" w:hAnsi="Times New Roman" w:cs="Times New Roman"/>
          <w:i/>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United Kingdom Civil Procedure Rule Committee, </w:t>
      </w:r>
      <w:r w:rsidRPr="00364617">
        <w:rPr>
          <w:rFonts w:ascii="Times New Roman" w:hAnsi="Times New Roman" w:cs="Times New Roman"/>
          <w:i/>
          <w:sz w:val="22"/>
          <w:szCs w:val="22"/>
        </w:rPr>
        <w:t>Practice Direction 31B: Disclosure of Electronic Documents</w:t>
      </w:r>
      <w:r w:rsidRPr="00364617">
        <w:rPr>
          <w:rFonts w:ascii="Times New Roman" w:hAnsi="Times New Roman" w:cs="Times New Roman"/>
          <w:sz w:val="22"/>
          <w:szCs w:val="22"/>
        </w:rPr>
        <w:t xml:space="preserve"> (July 2010) [24].</w:t>
      </w:r>
      <w:r w:rsidRPr="00364617">
        <w:rPr>
          <w:rFonts w:ascii="Times New Roman" w:hAnsi="Times New Roman" w:cs="Times New Roman"/>
          <w:i/>
          <w:sz w:val="22"/>
          <w:szCs w:val="22"/>
        </w:rPr>
        <w:t xml:space="preserve"> </w:t>
      </w:r>
    </w:p>
  </w:footnote>
  <w:footnote w:id="42">
    <w:p w14:paraId="3AE4A90E"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See further Legg, above n 8, 79, citing </w:t>
      </w:r>
      <w:r w:rsidRPr="00364617">
        <w:rPr>
          <w:rFonts w:ascii="Times New Roman" w:hAnsi="Times New Roman" w:cs="Times New Roman"/>
          <w:i/>
          <w:sz w:val="22"/>
          <w:szCs w:val="22"/>
        </w:rPr>
        <w:t>Slick v Westpac Banking Corp (No 2)</w:t>
      </w:r>
      <w:r w:rsidRPr="00364617">
        <w:rPr>
          <w:rFonts w:ascii="Times New Roman" w:hAnsi="Times New Roman" w:cs="Times New Roman"/>
          <w:sz w:val="22"/>
          <w:szCs w:val="22"/>
        </w:rPr>
        <w:t xml:space="preserve"> [2006] FCA 1712; </w:t>
      </w:r>
      <w:r w:rsidRPr="00364617">
        <w:rPr>
          <w:rFonts w:ascii="Times New Roman" w:hAnsi="Times New Roman" w:cs="Times New Roman"/>
          <w:i/>
          <w:sz w:val="22"/>
          <w:szCs w:val="22"/>
        </w:rPr>
        <w:t>Leighton Contractors Pty Ltd v Public Transport Authority of WA</w:t>
      </w:r>
      <w:r w:rsidRPr="00364617">
        <w:rPr>
          <w:rFonts w:ascii="Times New Roman" w:hAnsi="Times New Roman" w:cs="Times New Roman"/>
          <w:sz w:val="22"/>
          <w:szCs w:val="22"/>
        </w:rPr>
        <w:t xml:space="preserve"> [2007] WASC 65, [21].</w:t>
      </w:r>
    </w:p>
  </w:footnote>
  <w:footnote w:id="43">
    <w:p w14:paraId="713656CC"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The Sedona Conference Proclamation (July 2008), available at &lt;www.thesedonaconference.org/content/tsc_cooperation_proclamation/proclamation.pdf&gt;.</w:t>
      </w:r>
    </w:p>
  </w:footnote>
  <w:footnote w:id="44">
    <w:p w14:paraId="4CACD2B5"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Federal Court of Australia, </w:t>
      </w:r>
      <w:r w:rsidRPr="00364617">
        <w:rPr>
          <w:rFonts w:ascii="Times New Roman" w:hAnsi="Times New Roman" w:cs="Times New Roman"/>
          <w:i/>
          <w:sz w:val="22"/>
          <w:szCs w:val="22"/>
        </w:rPr>
        <w:t>Practice Note CM 6: Electronic technology in litigation</w:t>
      </w:r>
      <w:r w:rsidRPr="00364617">
        <w:rPr>
          <w:rFonts w:ascii="Times New Roman" w:hAnsi="Times New Roman" w:cs="Times New Roman"/>
          <w:sz w:val="22"/>
          <w:szCs w:val="22"/>
        </w:rPr>
        <w:t xml:space="preserve"> (2011) r 7.1.</w:t>
      </w:r>
    </w:p>
  </w:footnote>
  <w:footnote w:id="45">
    <w:p w14:paraId="1D1C5AAC"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Australian Law Reform Commission, above n 7, 160.</w:t>
      </w:r>
    </w:p>
  </w:footnote>
  <w:footnote w:id="46">
    <w:p w14:paraId="63CF480E"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Ronald Levine and Susan </w:t>
      </w:r>
      <w:proofErr w:type="spellStart"/>
      <w:r w:rsidRPr="00364617">
        <w:rPr>
          <w:rFonts w:ascii="Times New Roman" w:hAnsi="Times New Roman" w:cs="Times New Roman"/>
          <w:sz w:val="22"/>
          <w:szCs w:val="22"/>
        </w:rPr>
        <w:t>Swataski-Lebon</w:t>
      </w:r>
      <w:proofErr w:type="spellEnd"/>
      <w:r w:rsidRPr="00364617">
        <w:rPr>
          <w:rFonts w:ascii="Times New Roman" w:hAnsi="Times New Roman" w:cs="Times New Roman"/>
          <w:sz w:val="22"/>
          <w:szCs w:val="22"/>
        </w:rPr>
        <w:t xml:space="preserve">, ‘Finding a Needle in an Electronic Haystack: The Science of Search and Retrieval’ (2009) 7(1) </w:t>
      </w:r>
      <w:r w:rsidRPr="00364617">
        <w:rPr>
          <w:rFonts w:ascii="Times New Roman" w:hAnsi="Times New Roman" w:cs="Times New Roman"/>
          <w:i/>
          <w:sz w:val="22"/>
          <w:szCs w:val="22"/>
        </w:rPr>
        <w:t>Mass Torts</w:t>
      </w:r>
      <w:r w:rsidRPr="00364617">
        <w:rPr>
          <w:rFonts w:ascii="Times New Roman" w:hAnsi="Times New Roman" w:cs="Times New Roman"/>
          <w:sz w:val="22"/>
          <w:szCs w:val="22"/>
        </w:rPr>
        <w:t xml:space="preserve"> 16, cited in Legg, above n 8</w:t>
      </w:r>
      <w:r w:rsidRPr="00364617">
        <w:rPr>
          <w:rFonts w:ascii="Times New Roman" w:hAnsi="Times New Roman" w:cs="Times New Roman"/>
          <w:i/>
          <w:sz w:val="22"/>
          <w:szCs w:val="22"/>
        </w:rPr>
        <w:t xml:space="preserve">, </w:t>
      </w:r>
      <w:r w:rsidRPr="00364617">
        <w:rPr>
          <w:rFonts w:ascii="Times New Roman" w:hAnsi="Times New Roman" w:cs="Times New Roman"/>
          <w:sz w:val="22"/>
          <w:szCs w:val="22"/>
        </w:rPr>
        <w:t>84.</w:t>
      </w:r>
    </w:p>
  </w:footnote>
  <w:footnote w:id="47">
    <w:p w14:paraId="220C3D8B"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Legg, above n 8</w:t>
      </w:r>
      <w:r w:rsidRPr="00364617">
        <w:rPr>
          <w:rFonts w:ascii="Times New Roman" w:hAnsi="Times New Roman" w:cs="Times New Roman"/>
          <w:i/>
          <w:sz w:val="22"/>
          <w:szCs w:val="22"/>
        </w:rPr>
        <w:t xml:space="preserve">, </w:t>
      </w:r>
      <w:r w:rsidRPr="00364617">
        <w:rPr>
          <w:rFonts w:ascii="Times New Roman" w:hAnsi="Times New Roman" w:cs="Times New Roman"/>
          <w:sz w:val="22"/>
          <w:szCs w:val="22"/>
        </w:rPr>
        <w:t>84.</w:t>
      </w:r>
    </w:p>
  </w:footnote>
  <w:footnote w:id="48">
    <w:p w14:paraId="4AA1CC05"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Charles </w:t>
      </w:r>
      <w:proofErr w:type="spellStart"/>
      <w:r w:rsidRPr="00364617">
        <w:rPr>
          <w:rFonts w:ascii="Times New Roman" w:hAnsi="Times New Roman" w:cs="Times New Roman"/>
          <w:sz w:val="22"/>
          <w:szCs w:val="22"/>
        </w:rPr>
        <w:t>Yablon</w:t>
      </w:r>
      <w:proofErr w:type="spellEnd"/>
      <w:r w:rsidRPr="00364617">
        <w:rPr>
          <w:rFonts w:ascii="Times New Roman" w:hAnsi="Times New Roman" w:cs="Times New Roman"/>
          <w:sz w:val="22"/>
          <w:szCs w:val="22"/>
        </w:rPr>
        <w:t xml:space="preserve"> and Nick Landsman-</w:t>
      </w:r>
      <w:proofErr w:type="spellStart"/>
      <w:r w:rsidRPr="00364617">
        <w:rPr>
          <w:rFonts w:ascii="Times New Roman" w:hAnsi="Times New Roman" w:cs="Times New Roman"/>
          <w:sz w:val="22"/>
          <w:szCs w:val="22"/>
        </w:rPr>
        <w:t>Roos</w:t>
      </w:r>
      <w:proofErr w:type="spellEnd"/>
      <w:r w:rsidRPr="00364617">
        <w:rPr>
          <w:rFonts w:ascii="Times New Roman" w:hAnsi="Times New Roman" w:cs="Times New Roman"/>
          <w:sz w:val="22"/>
          <w:szCs w:val="22"/>
        </w:rPr>
        <w:t xml:space="preserve">, ‘Predictive Coding: Emerging Questions and Concerns’ (2012-2013) 64(3) </w:t>
      </w:r>
      <w:r w:rsidRPr="00364617">
        <w:rPr>
          <w:rFonts w:ascii="Times New Roman" w:hAnsi="Times New Roman" w:cs="Times New Roman"/>
          <w:i/>
          <w:sz w:val="22"/>
          <w:szCs w:val="22"/>
        </w:rPr>
        <w:t xml:space="preserve">South Carolina Law Review </w:t>
      </w:r>
      <w:r w:rsidRPr="00364617">
        <w:rPr>
          <w:rFonts w:ascii="Times New Roman" w:hAnsi="Times New Roman" w:cs="Times New Roman"/>
          <w:sz w:val="22"/>
          <w:szCs w:val="22"/>
        </w:rPr>
        <w:t>633, 634.</w:t>
      </w:r>
    </w:p>
  </w:footnote>
  <w:footnote w:id="49">
    <w:p w14:paraId="3C1CC371"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Ibid 634.</w:t>
      </w:r>
    </w:p>
  </w:footnote>
  <w:footnote w:id="50">
    <w:p w14:paraId="3682A7E8"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Ibid 642–7; </w:t>
      </w:r>
      <w:r w:rsidRPr="00364617">
        <w:rPr>
          <w:rFonts w:ascii="Times New Roman" w:hAnsi="Times New Roman" w:cs="Times New Roman"/>
          <w:i/>
          <w:sz w:val="22"/>
          <w:szCs w:val="22"/>
        </w:rPr>
        <w:t xml:space="preserve">Da Silva Moore v </w:t>
      </w:r>
      <w:proofErr w:type="spellStart"/>
      <w:r w:rsidRPr="00364617">
        <w:rPr>
          <w:rFonts w:ascii="Times New Roman" w:hAnsi="Times New Roman" w:cs="Times New Roman"/>
          <w:i/>
          <w:sz w:val="22"/>
          <w:szCs w:val="22"/>
        </w:rPr>
        <w:t>Publicis</w:t>
      </w:r>
      <w:proofErr w:type="spellEnd"/>
      <w:r w:rsidRPr="00364617">
        <w:rPr>
          <w:rFonts w:ascii="Times New Roman" w:hAnsi="Times New Roman" w:cs="Times New Roman"/>
          <w:i/>
          <w:sz w:val="22"/>
          <w:szCs w:val="22"/>
        </w:rPr>
        <w:t xml:space="preserve"> </w:t>
      </w:r>
      <w:proofErr w:type="spellStart"/>
      <w:r w:rsidRPr="00364617">
        <w:rPr>
          <w:rFonts w:ascii="Times New Roman" w:hAnsi="Times New Roman" w:cs="Times New Roman"/>
          <w:i/>
          <w:sz w:val="22"/>
          <w:szCs w:val="22"/>
        </w:rPr>
        <w:t>Groupe</w:t>
      </w:r>
      <w:proofErr w:type="spellEnd"/>
      <w:r w:rsidRPr="00364617">
        <w:rPr>
          <w:rFonts w:ascii="Times New Roman" w:hAnsi="Times New Roman" w:cs="Times New Roman"/>
          <w:i/>
          <w:sz w:val="22"/>
          <w:szCs w:val="22"/>
        </w:rPr>
        <w:t xml:space="preserve">, </w:t>
      </w:r>
      <w:r w:rsidRPr="00364617">
        <w:rPr>
          <w:rFonts w:ascii="Times New Roman" w:hAnsi="Times New Roman" w:cs="Times New Roman"/>
          <w:sz w:val="22"/>
          <w:szCs w:val="22"/>
        </w:rPr>
        <w:t xml:space="preserve">11 </w:t>
      </w:r>
      <w:proofErr w:type="spellStart"/>
      <w:r w:rsidRPr="00364617">
        <w:rPr>
          <w:rFonts w:ascii="Times New Roman" w:hAnsi="Times New Roman" w:cs="Times New Roman"/>
          <w:sz w:val="22"/>
          <w:szCs w:val="22"/>
        </w:rPr>
        <w:t>Civ</w:t>
      </w:r>
      <w:proofErr w:type="spellEnd"/>
      <w:r w:rsidRPr="00364617">
        <w:rPr>
          <w:rFonts w:ascii="Times New Roman" w:hAnsi="Times New Roman" w:cs="Times New Roman"/>
          <w:sz w:val="22"/>
          <w:szCs w:val="22"/>
        </w:rPr>
        <w:t xml:space="preserve"> 1279 (SD NY, 2012).</w:t>
      </w:r>
    </w:p>
  </w:footnote>
  <w:footnote w:id="51">
    <w:p w14:paraId="4D7051A9"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Legg, above n 8, 85.</w:t>
      </w:r>
    </w:p>
  </w:footnote>
  <w:footnote w:id="52">
    <w:p w14:paraId="68F9AD30" w14:textId="77777777" w:rsidR="00867EC5" w:rsidRPr="00364617" w:rsidRDefault="00867EC5" w:rsidP="00EA09E0">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Ibid.</w:t>
      </w:r>
    </w:p>
  </w:footnote>
  <w:footnote w:id="53">
    <w:p w14:paraId="518E1E3F" w14:textId="77777777" w:rsidR="00867EC5" w:rsidRPr="00364617" w:rsidRDefault="00867EC5" w:rsidP="00454BC3">
      <w:pPr>
        <w:pStyle w:val="FootnoteText"/>
        <w:rPr>
          <w:rFonts w:ascii="Times New Roman" w:hAnsi="Times New Roman" w:cs="Times New Roman"/>
          <w:sz w:val="22"/>
          <w:szCs w:val="22"/>
        </w:rPr>
      </w:pPr>
      <w:r w:rsidRPr="00364617">
        <w:rPr>
          <w:rStyle w:val="FootnoteReference"/>
          <w:rFonts w:ascii="Times New Roman" w:hAnsi="Times New Roman" w:cs="Times New Roman"/>
          <w:sz w:val="22"/>
          <w:szCs w:val="22"/>
        </w:rPr>
        <w:footnoteRef/>
      </w:r>
      <w:r w:rsidRPr="00364617">
        <w:rPr>
          <w:rFonts w:ascii="Times New Roman" w:hAnsi="Times New Roman" w:cs="Times New Roman"/>
          <w:sz w:val="22"/>
          <w:szCs w:val="22"/>
        </w:rPr>
        <w:t xml:space="preserve"> See, </w:t>
      </w:r>
      <w:proofErr w:type="spellStart"/>
      <w:r w:rsidRPr="00364617">
        <w:rPr>
          <w:rFonts w:ascii="Times New Roman" w:hAnsi="Times New Roman" w:cs="Times New Roman"/>
          <w:sz w:val="22"/>
          <w:szCs w:val="22"/>
        </w:rPr>
        <w:t>eg</w:t>
      </w:r>
      <w:proofErr w:type="spellEnd"/>
      <w:r w:rsidRPr="00364617">
        <w:rPr>
          <w:rFonts w:ascii="Times New Roman" w:hAnsi="Times New Roman" w:cs="Times New Roman"/>
          <w:sz w:val="22"/>
          <w:szCs w:val="22"/>
        </w:rPr>
        <w:t xml:space="preserve">, </w:t>
      </w:r>
      <w:proofErr w:type="spellStart"/>
      <w:r w:rsidRPr="00364617">
        <w:rPr>
          <w:rFonts w:ascii="Times New Roman" w:hAnsi="Times New Roman" w:cs="Times New Roman"/>
          <w:i/>
          <w:sz w:val="22"/>
          <w:szCs w:val="22"/>
        </w:rPr>
        <w:t>Donnellan</w:t>
      </w:r>
      <w:proofErr w:type="spellEnd"/>
      <w:r w:rsidRPr="00364617">
        <w:rPr>
          <w:rFonts w:ascii="Times New Roman" w:hAnsi="Times New Roman" w:cs="Times New Roman"/>
          <w:i/>
          <w:sz w:val="22"/>
          <w:szCs w:val="22"/>
        </w:rPr>
        <w:t xml:space="preserve"> v Woodland</w:t>
      </w:r>
      <w:r w:rsidRPr="00364617">
        <w:rPr>
          <w:rFonts w:ascii="Times New Roman" w:hAnsi="Times New Roman" w:cs="Times New Roman"/>
          <w:sz w:val="22"/>
          <w:szCs w:val="22"/>
        </w:rPr>
        <w:t xml:space="preserve"> [2012] NSWCA 433, [160]–[234] (Beazley JA).</w:t>
      </w:r>
    </w:p>
  </w:footnote>
  <w:footnote w:id="54">
    <w:p w14:paraId="542B3A8A" w14:textId="77777777" w:rsidR="00867EC5" w:rsidRPr="00364617" w:rsidRDefault="00867EC5" w:rsidP="00454BC3">
      <w:pPr>
        <w:pStyle w:val="FootnoteText"/>
        <w:rPr>
          <w:sz w:val="22"/>
          <w:szCs w:val="22"/>
        </w:rPr>
      </w:pPr>
      <w:r w:rsidRPr="00364617">
        <w:rPr>
          <w:rStyle w:val="FootnoteReference"/>
          <w:sz w:val="22"/>
          <w:szCs w:val="22"/>
        </w:rPr>
        <w:footnoteRef/>
      </w:r>
      <w:r w:rsidRPr="00364617">
        <w:rPr>
          <w:sz w:val="22"/>
          <w:szCs w:val="22"/>
        </w:rPr>
        <w:t xml:space="preserve"> </w:t>
      </w:r>
      <w:r w:rsidRPr="00364617">
        <w:rPr>
          <w:rFonts w:ascii="Times New Roman" w:hAnsi="Times New Roman" w:cs="Times New Roman"/>
          <w:sz w:val="22"/>
          <w:szCs w:val="22"/>
        </w:rPr>
        <w:t>(1988) 165 CLR 543.</w:t>
      </w:r>
    </w:p>
  </w:footnote>
  <w:footnote w:id="55">
    <w:p w14:paraId="1971B04E" w14:textId="77777777" w:rsidR="00867EC5" w:rsidRPr="00364617" w:rsidRDefault="00867EC5" w:rsidP="00454BC3">
      <w:pPr>
        <w:pStyle w:val="FootnoteText"/>
        <w:rPr>
          <w:sz w:val="22"/>
          <w:szCs w:val="22"/>
        </w:rPr>
      </w:pPr>
      <w:r w:rsidRPr="00364617">
        <w:rPr>
          <w:rStyle w:val="FootnoteReference"/>
          <w:sz w:val="22"/>
          <w:szCs w:val="22"/>
        </w:rPr>
        <w:footnoteRef/>
      </w:r>
      <w:r w:rsidRPr="00364617">
        <w:rPr>
          <w:sz w:val="22"/>
          <w:szCs w:val="22"/>
        </w:rPr>
        <w:t xml:space="preserve"> </w:t>
      </w:r>
      <w:r w:rsidRPr="00364617">
        <w:rPr>
          <w:rFonts w:ascii="Times New Roman" w:hAnsi="Times New Roman" w:cs="Times New Roman"/>
          <w:sz w:val="22"/>
          <w:szCs w:val="22"/>
        </w:rPr>
        <w:t>(2005) 223 CLR 1.</w:t>
      </w:r>
    </w:p>
  </w:footnote>
  <w:footnote w:id="56">
    <w:p w14:paraId="493AAC4F" w14:textId="71B54B42" w:rsidR="00867EC5" w:rsidRPr="00364617" w:rsidRDefault="00867EC5">
      <w:pPr>
        <w:pStyle w:val="FootnoteText"/>
        <w:rPr>
          <w:sz w:val="22"/>
          <w:szCs w:val="22"/>
        </w:rPr>
      </w:pPr>
      <w:r w:rsidRPr="00364617">
        <w:rPr>
          <w:rStyle w:val="FootnoteReference"/>
          <w:sz w:val="22"/>
          <w:szCs w:val="22"/>
        </w:rPr>
        <w:footnoteRef/>
      </w:r>
      <w:r w:rsidRPr="00364617">
        <w:rPr>
          <w:sz w:val="22"/>
          <w:szCs w:val="22"/>
        </w:rPr>
        <w:t xml:space="preserve"> Richard </w:t>
      </w:r>
      <w:proofErr w:type="spellStart"/>
      <w:r w:rsidRPr="00364617">
        <w:rPr>
          <w:sz w:val="22"/>
          <w:szCs w:val="22"/>
        </w:rPr>
        <w:t>Denniss</w:t>
      </w:r>
      <w:proofErr w:type="spellEnd"/>
      <w:r w:rsidRPr="00364617">
        <w:rPr>
          <w:sz w:val="22"/>
          <w:szCs w:val="22"/>
        </w:rPr>
        <w:t xml:space="preserve">, Josh Fear and Emily </w:t>
      </w:r>
      <w:proofErr w:type="spellStart"/>
      <w:r w:rsidRPr="00364617">
        <w:rPr>
          <w:sz w:val="22"/>
          <w:szCs w:val="22"/>
        </w:rPr>
        <w:t>Millane</w:t>
      </w:r>
      <w:proofErr w:type="spellEnd"/>
      <w:r w:rsidRPr="00364617">
        <w:rPr>
          <w:sz w:val="22"/>
          <w:szCs w:val="22"/>
        </w:rPr>
        <w:t xml:space="preserve">, </w:t>
      </w:r>
      <w:r w:rsidRPr="00364617">
        <w:rPr>
          <w:i/>
          <w:sz w:val="22"/>
          <w:szCs w:val="22"/>
        </w:rPr>
        <w:t>Justice For All: Giving Australians Greater Access To The Legal System</w:t>
      </w:r>
      <w:r w:rsidRPr="00364617">
        <w:rPr>
          <w:sz w:val="22"/>
          <w:szCs w:val="22"/>
        </w:rPr>
        <w:t xml:space="preserve"> (2012) The Australia Institute 27.</w:t>
      </w:r>
    </w:p>
  </w:footnote>
  <w:footnote w:id="57">
    <w:p w14:paraId="737D407F"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Andrew Stewart and Rosemary Owens</w:t>
      </w:r>
      <w:r>
        <w:rPr>
          <w:rFonts w:ascii="Times New Roman" w:hAnsi="Times New Roman" w:cs="Times New Roman"/>
          <w:sz w:val="22"/>
          <w:szCs w:val="22"/>
        </w:rPr>
        <w:t>, ‘Experience or E</w:t>
      </w:r>
      <w:r w:rsidRPr="00962BA0">
        <w:rPr>
          <w:rFonts w:ascii="Times New Roman" w:hAnsi="Times New Roman" w:cs="Times New Roman"/>
          <w:sz w:val="22"/>
          <w:szCs w:val="22"/>
        </w:rPr>
        <w:t>xploitation</w:t>
      </w:r>
      <w:r>
        <w:rPr>
          <w:rFonts w:ascii="Times New Roman" w:hAnsi="Times New Roman" w:cs="Times New Roman"/>
          <w:sz w:val="22"/>
          <w:szCs w:val="22"/>
        </w:rPr>
        <w:t>’</w:t>
      </w:r>
      <w:r w:rsidRPr="00962BA0">
        <w:rPr>
          <w:rFonts w:ascii="Times New Roman" w:hAnsi="Times New Roman" w:cs="Times New Roman"/>
          <w:i/>
          <w:sz w:val="22"/>
          <w:szCs w:val="22"/>
        </w:rPr>
        <w:t xml:space="preserve"> The Australian </w:t>
      </w:r>
      <w:r>
        <w:rPr>
          <w:rFonts w:ascii="Times New Roman" w:hAnsi="Times New Roman" w:cs="Times New Roman"/>
          <w:sz w:val="22"/>
          <w:szCs w:val="22"/>
        </w:rPr>
        <w:t xml:space="preserve"> (online)</w:t>
      </w:r>
      <w:r w:rsidRPr="00962BA0">
        <w:rPr>
          <w:rFonts w:ascii="Times New Roman" w:hAnsi="Times New Roman" w:cs="Times New Roman"/>
          <w:sz w:val="22"/>
          <w:szCs w:val="22"/>
        </w:rPr>
        <w:t xml:space="preserve">, 10 January 2013 </w:t>
      </w:r>
      <w:r>
        <w:rPr>
          <w:rFonts w:ascii="Times New Roman" w:hAnsi="Times New Roman" w:cs="Times New Roman"/>
          <w:sz w:val="22"/>
          <w:szCs w:val="22"/>
        </w:rPr>
        <w:t>&lt;</w:t>
      </w:r>
      <w:r w:rsidRPr="00007F3D">
        <w:rPr>
          <w:rFonts w:ascii="Times New Roman" w:hAnsi="Times New Roman" w:cs="Times New Roman"/>
          <w:sz w:val="22"/>
          <w:szCs w:val="22"/>
        </w:rPr>
        <w:t>http://www.fairwork.gov.au/ArticleDocuments/2293/UW-complete-report.pdf.aspx?Embed=Y</w:t>
      </w:r>
      <w:r>
        <w:rPr>
          <w:rFonts w:ascii="Times New Roman" w:hAnsi="Times New Roman" w:cs="Times New Roman"/>
          <w:sz w:val="22"/>
          <w:szCs w:val="22"/>
        </w:rPr>
        <w:t>&gt;.</w:t>
      </w:r>
    </w:p>
  </w:footnote>
  <w:footnote w:id="58">
    <w:p w14:paraId="27203F33"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Carla </w:t>
      </w:r>
      <w:proofErr w:type="spellStart"/>
      <w:r w:rsidRPr="00962BA0">
        <w:rPr>
          <w:rFonts w:ascii="Times New Roman" w:hAnsi="Times New Roman" w:cs="Times New Roman"/>
          <w:sz w:val="22"/>
          <w:szCs w:val="22"/>
        </w:rPr>
        <w:t>Drakeford</w:t>
      </w:r>
      <w:proofErr w:type="spellEnd"/>
      <w:r w:rsidRPr="00962BA0">
        <w:rPr>
          <w:rFonts w:ascii="Times New Roman" w:hAnsi="Times New Roman" w:cs="Times New Roman"/>
          <w:sz w:val="22"/>
          <w:szCs w:val="22"/>
        </w:rPr>
        <w:t xml:space="preserve">, </w:t>
      </w:r>
      <w:r>
        <w:rPr>
          <w:rFonts w:ascii="Times New Roman" w:hAnsi="Times New Roman" w:cs="Times New Roman"/>
          <w:sz w:val="22"/>
          <w:szCs w:val="22"/>
        </w:rPr>
        <w:t>‘</w:t>
      </w:r>
      <w:r w:rsidRPr="00962BA0">
        <w:rPr>
          <w:rFonts w:ascii="Times New Roman" w:hAnsi="Times New Roman" w:cs="Times New Roman"/>
          <w:sz w:val="22"/>
          <w:szCs w:val="22"/>
        </w:rPr>
        <w:t>Hidden Cost of Free Labour</w:t>
      </w:r>
      <w:r>
        <w:rPr>
          <w:rFonts w:ascii="Times New Roman" w:hAnsi="Times New Roman" w:cs="Times New Roman"/>
          <w:sz w:val="22"/>
          <w:szCs w:val="22"/>
        </w:rPr>
        <w:t>’,</w:t>
      </w:r>
      <w:r w:rsidRPr="00962BA0">
        <w:rPr>
          <w:rFonts w:ascii="Times New Roman" w:hAnsi="Times New Roman" w:cs="Times New Roman"/>
          <w:i/>
          <w:sz w:val="22"/>
          <w:szCs w:val="22"/>
        </w:rPr>
        <w:t xml:space="preserve"> The Australian </w:t>
      </w:r>
      <w:r>
        <w:rPr>
          <w:rFonts w:ascii="Times New Roman" w:hAnsi="Times New Roman" w:cs="Times New Roman"/>
          <w:sz w:val="22"/>
          <w:szCs w:val="22"/>
        </w:rPr>
        <w:t>(online)</w:t>
      </w:r>
      <w:r w:rsidRPr="00962BA0">
        <w:rPr>
          <w:rFonts w:ascii="Times New Roman" w:hAnsi="Times New Roman" w:cs="Times New Roman"/>
          <w:sz w:val="22"/>
          <w:szCs w:val="22"/>
        </w:rPr>
        <w:t xml:space="preserve">, 8 January 2011 </w:t>
      </w:r>
      <w:r>
        <w:rPr>
          <w:rFonts w:ascii="Times New Roman" w:hAnsi="Times New Roman" w:cs="Times New Roman"/>
          <w:sz w:val="22"/>
          <w:szCs w:val="22"/>
        </w:rPr>
        <w:t>&lt;</w:t>
      </w:r>
      <w:r w:rsidRPr="00962BA0">
        <w:rPr>
          <w:rFonts w:ascii="Times New Roman" w:hAnsi="Times New Roman" w:cs="Times New Roman"/>
          <w:sz w:val="22"/>
          <w:szCs w:val="22"/>
        </w:rPr>
        <w:t>http://www.theaustralian.com.au/business/hidden-cost-of-free-labour/story-fn717l4s-1225983259802</w:t>
      </w:r>
      <w:r>
        <w:rPr>
          <w:rFonts w:ascii="Times New Roman" w:hAnsi="Times New Roman" w:cs="Times New Roman"/>
          <w:sz w:val="22"/>
          <w:szCs w:val="22"/>
        </w:rPr>
        <w:t>&gt;.</w:t>
      </w:r>
    </w:p>
  </w:footnote>
  <w:footnote w:id="59">
    <w:p w14:paraId="1B255322"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Australian Bureau of Statistics, </w:t>
      </w:r>
      <w:r w:rsidRPr="00962BA0">
        <w:rPr>
          <w:rFonts w:ascii="Times New Roman" w:hAnsi="Times New Roman" w:cs="Times New Roman"/>
          <w:i/>
          <w:sz w:val="22"/>
          <w:szCs w:val="22"/>
        </w:rPr>
        <w:t>Legal Services</w:t>
      </w:r>
      <w:r w:rsidRPr="00962BA0">
        <w:rPr>
          <w:rFonts w:ascii="Times New Roman" w:hAnsi="Times New Roman" w:cs="Times New Roman"/>
          <w:sz w:val="22"/>
          <w:szCs w:val="22"/>
        </w:rPr>
        <w:t xml:space="preserve"> </w:t>
      </w:r>
      <w:r>
        <w:rPr>
          <w:rFonts w:ascii="Times New Roman" w:hAnsi="Times New Roman" w:cs="Times New Roman"/>
          <w:sz w:val="22"/>
          <w:szCs w:val="22"/>
        </w:rPr>
        <w:t>(Cat No</w:t>
      </w:r>
      <w:r w:rsidRPr="00962BA0">
        <w:rPr>
          <w:rFonts w:ascii="Times New Roman" w:hAnsi="Times New Roman" w:cs="Times New Roman"/>
          <w:sz w:val="22"/>
          <w:szCs w:val="22"/>
        </w:rPr>
        <w:t xml:space="preserve"> 8667.0</w:t>
      </w:r>
      <w:r>
        <w:rPr>
          <w:rFonts w:ascii="Times New Roman" w:hAnsi="Times New Roman" w:cs="Times New Roman"/>
          <w:sz w:val="22"/>
          <w:szCs w:val="22"/>
        </w:rPr>
        <w:t>, 2008).</w:t>
      </w:r>
    </w:p>
  </w:footnote>
  <w:footnote w:id="60">
    <w:p w14:paraId="01F2FD65"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w:t>
      </w:r>
      <w:r w:rsidRPr="00007F3D">
        <w:rPr>
          <w:rFonts w:ascii="Times New Roman" w:hAnsi="Times New Roman" w:cs="Times New Roman"/>
          <w:i/>
          <w:sz w:val="22"/>
          <w:szCs w:val="22"/>
        </w:rPr>
        <w:t xml:space="preserve">Work Health and Safety Act 2011 </w:t>
      </w:r>
      <w:r w:rsidRPr="00007F3D">
        <w:rPr>
          <w:rFonts w:ascii="Times New Roman" w:hAnsi="Times New Roman" w:cs="Times New Roman"/>
          <w:sz w:val="22"/>
          <w:szCs w:val="22"/>
        </w:rPr>
        <w:t>(NSW)</w:t>
      </w:r>
      <w:r>
        <w:rPr>
          <w:rFonts w:ascii="Times New Roman" w:hAnsi="Times New Roman" w:cs="Times New Roman"/>
          <w:sz w:val="22"/>
          <w:szCs w:val="22"/>
        </w:rPr>
        <w:t xml:space="preserve"> s 4 (Definitions).</w:t>
      </w:r>
    </w:p>
  </w:footnote>
  <w:footnote w:id="61">
    <w:p w14:paraId="61EFCE73"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Australian Tax Office, ‘</w:t>
      </w:r>
      <w:r w:rsidRPr="00962BA0">
        <w:rPr>
          <w:rFonts w:ascii="Times New Roman" w:hAnsi="Times New Roman" w:cs="Times New Roman"/>
          <w:sz w:val="22"/>
          <w:szCs w:val="22"/>
        </w:rPr>
        <w:t>Distinguishing between Volunteers and Employees</w:t>
      </w:r>
      <w:r>
        <w:rPr>
          <w:rFonts w:ascii="Times New Roman" w:hAnsi="Times New Roman" w:cs="Times New Roman"/>
          <w:sz w:val="22"/>
          <w:szCs w:val="22"/>
        </w:rPr>
        <w:t>’ (2013)</w:t>
      </w:r>
      <w:r w:rsidRPr="00962BA0">
        <w:rPr>
          <w:rFonts w:ascii="Times New Roman" w:hAnsi="Times New Roman" w:cs="Times New Roman"/>
          <w:sz w:val="22"/>
          <w:szCs w:val="22"/>
        </w:rPr>
        <w:t xml:space="preserve"> </w:t>
      </w:r>
      <w:r>
        <w:rPr>
          <w:rFonts w:ascii="Times New Roman" w:hAnsi="Times New Roman" w:cs="Times New Roman"/>
          <w:sz w:val="22"/>
          <w:szCs w:val="22"/>
        </w:rPr>
        <w:t>&lt;</w:t>
      </w:r>
      <w:r w:rsidRPr="00820BBD">
        <w:rPr>
          <w:rFonts w:ascii="Times New Roman" w:hAnsi="Times New Roman" w:cs="Times New Roman"/>
          <w:sz w:val="22"/>
          <w:szCs w:val="22"/>
        </w:rPr>
        <w:t>https://www.ato.gov.au/Non-profit/Employees,-volunteers-and-other-workers/In-detail/Employees,-volunteers---other-workers/Volunteers/Volunteers-and-tax/?page=2</w:t>
      </w:r>
      <w:r>
        <w:rPr>
          <w:rFonts w:ascii="Times New Roman" w:hAnsi="Times New Roman" w:cs="Times New Roman"/>
          <w:sz w:val="22"/>
          <w:szCs w:val="22"/>
        </w:rPr>
        <w:t>&gt;</w:t>
      </w:r>
      <w:r w:rsidRPr="00962BA0">
        <w:rPr>
          <w:rFonts w:ascii="Times New Roman" w:hAnsi="Times New Roman" w:cs="Times New Roman"/>
          <w:sz w:val="22"/>
          <w:szCs w:val="22"/>
        </w:rPr>
        <w:t>.</w:t>
      </w:r>
    </w:p>
  </w:footnote>
  <w:footnote w:id="62">
    <w:p w14:paraId="47D00BEA"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Volunteering Australia, ‘</w:t>
      </w:r>
      <w:r w:rsidRPr="00962BA0">
        <w:rPr>
          <w:rFonts w:ascii="Times New Roman" w:hAnsi="Times New Roman" w:cs="Times New Roman"/>
          <w:sz w:val="22"/>
          <w:szCs w:val="22"/>
        </w:rPr>
        <w:t xml:space="preserve">National Standards for Involving Volunteers in Not for Profit </w:t>
      </w:r>
      <w:proofErr w:type="spellStart"/>
      <w:r w:rsidRPr="00962BA0">
        <w:rPr>
          <w:rFonts w:ascii="Times New Roman" w:hAnsi="Times New Roman" w:cs="Times New Roman"/>
          <w:sz w:val="22"/>
          <w:szCs w:val="22"/>
        </w:rPr>
        <w:t>Organisations</w:t>
      </w:r>
      <w:r>
        <w:rPr>
          <w:rFonts w:ascii="Times New Roman" w:hAnsi="Times New Roman" w:cs="Times New Roman"/>
          <w:sz w:val="22"/>
          <w:szCs w:val="22"/>
        </w:rPr>
        <w:t>’</w:t>
      </w:r>
      <w:proofErr w:type="spellEnd"/>
      <w:r w:rsidRPr="00962BA0">
        <w:rPr>
          <w:rFonts w:ascii="Times New Roman" w:hAnsi="Times New Roman" w:cs="Times New Roman"/>
          <w:i/>
          <w:sz w:val="22"/>
          <w:szCs w:val="22"/>
        </w:rPr>
        <w:t xml:space="preserve"> </w:t>
      </w:r>
      <w:r>
        <w:rPr>
          <w:rFonts w:ascii="Times New Roman" w:hAnsi="Times New Roman" w:cs="Times New Roman"/>
          <w:sz w:val="22"/>
          <w:szCs w:val="22"/>
        </w:rPr>
        <w:t>(2001</w:t>
      </w:r>
      <w:r w:rsidRPr="00962BA0">
        <w:rPr>
          <w:rFonts w:ascii="Times New Roman" w:hAnsi="Times New Roman" w:cs="Times New Roman"/>
          <w:sz w:val="22"/>
          <w:szCs w:val="22"/>
        </w:rPr>
        <w:t xml:space="preserve">) </w:t>
      </w:r>
      <w:r>
        <w:rPr>
          <w:rFonts w:ascii="Times New Roman" w:hAnsi="Times New Roman" w:cs="Times New Roman"/>
          <w:sz w:val="22"/>
          <w:szCs w:val="22"/>
        </w:rPr>
        <w:t>&lt;</w:t>
      </w:r>
      <w:r w:rsidRPr="00820BBD">
        <w:rPr>
          <w:rFonts w:ascii="Times New Roman" w:hAnsi="Times New Roman" w:cs="Times New Roman"/>
          <w:sz w:val="22"/>
          <w:szCs w:val="22"/>
        </w:rPr>
        <w:t>http://www.volunteeringaustralia.org/wp-content/files_mf/1377052577VANationalStandardsforinvolvingvolunteersinnotforprofitorganisations.pdf</w:t>
      </w:r>
      <w:r>
        <w:rPr>
          <w:rFonts w:ascii="Times New Roman" w:hAnsi="Times New Roman" w:cs="Times New Roman"/>
          <w:sz w:val="22"/>
          <w:szCs w:val="22"/>
        </w:rPr>
        <w:t>&gt;.</w:t>
      </w:r>
    </w:p>
  </w:footnote>
  <w:footnote w:id="63">
    <w:p w14:paraId="1365DD56"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w:t>
      </w:r>
      <w:r>
        <w:rPr>
          <w:rFonts w:ascii="Times New Roman" w:hAnsi="Times New Roman" w:cs="Times New Roman"/>
          <w:sz w:val="22"/>
          <w:szCs w:val="22"/>
        </w:rPr>
        <w:t>Andrew Stewart and Rosemary Owens,</w:t>
      </w:r>
      <w:r w:rsidRPr="00962BA0">
        <w:rPr>
          <w:rFonts w:ascii="Times New Roman" w:hAnsi="Times New Roman" w:cs="Times New Roman"/>
          <w:sz w:val="22"/>
          <w:szCs w:val="22"/>
        </w:rPr>
        <w:t xml:space="preserve"> </w:t>
      </w:r>
      <w:r w:rsidRPr="00962BA0">
        <w:rPr>
          <w:rFonts w:ascii="Times New Roman" w:hAnsi="Times New Roman" w:cs="Times New Roman"/>
          <w:i/>
          <w:iCs/>
          <w:sz w:val="22"/>
          <w:szCs w:val="22"/>
        </w:rPr>
        <w:t>Experience or Exploitation? The Nature, Prevalence and Regulation of Unpaid Work Experience, Internships and Trial Periods in Australia</w:t>
      </w:r>
      <w:r>
        <w:rPr>
          <w:rFonts w:ascii="Times New Roman" w:hAnsi="Times New Roman" w:cs="Times New Roman"/>
          <w:iCs/>
          <w:sz w:val="22"/>
          <w:szCs w:val="22"/>
        </w:rPr>
        <w:t xml:space="preserve"> (</w:t>
      </w:r>
      <w:r w:rsidRPr="00962BA0">
        <w:rPr>
          <w:rFonts w:ascii="Times New Roman" w:hAnsi="Times New Roman" w:cs="Times New Roman"/>
          <w:iCs/>
          <w:sz w:val="22"/>
          <w:szCs w:val="22"/>
        </w:rPr>
        <w:t>Rep</w:t>
      </w:r>
      <w:r>
        <w:rPr>
          <w:rFonts w:ascii="Times New Roman" w:hAnsi="Times New Roman" w:cs="Times New Roman"/>
          <w:iCs/>
          <w:sz w:val="22"/>
          <w:szCs w:val="22"/>
        </w:rPr>
        <w:t xml:space="preserve">ort to the Fair Work Ombudsman, </w:t>
      </w:r>
      <w:r w:rsidRPr="00962BA0">
        <w:rPr>
          <w:rFonts w:ascii="Times New Roman" w:hAnsi="Times New Roman" w:cs="Times New Roman"/>
          <w:iCs/>
          <w:sz w:val="22"/>
          <w:szCs w:val="22"/>
        </w:rPr>
        <w:t>January 2013</w:t>
      </w:r>
      <w:r>
        <w:rPr>
          <w:rFonts w:ascii="Times New Roman" w:hAnsi="Times New Roman" w:cs="Times New Roman"/>
          <w:iCs/>
          <w:sz w:val="22"/>
          <w:szCs w:val="22"/>
        </w:rPr>
        <w:t>)</w:t>
      </w:r>
      <w:r w:rsidRPr="00962BA0">
        <w:rPr>
          <w:rFonts w:ascii="Times New Roman" w:hAnsi="Times New Roman" w:cs="Times New Roman"/>
          <w:iCs/>
          <w:sz w:val="22"/>
          <w:szCs w:val="22"/>
        </w:rPr>
        <w:t xml:space="preserve"> </w:t>
      </w:r>
      <w:r>
        <w:rPr>
          <w:rFonts w:ascii="Times New Roman" w:hAnsi="Times New Roman" w:cs="Times New Roman"/>
          <w:iCs/>
          <w:sz w:val="22"/>
          <w:szCs w:val="22"/>
        </w:rPr>
        <w:t>&lt;</w:t>
      </w:r>
      <w:r w:rsidRPr="00E758C8">
        <w:rPr>
          <w:rFonts w:ascii="Times New Roman" w:hAnsi="Times New Roman" w:cs="Times New Roman"/>
          <w:iCs/>
          <w:sz w:val="22"/>
          <w:szCs w:val="22"/>
        </w:rPr>
        <w:t>http://www.fairwork.gov.au/ArticleDocuments/2293/UW-complete-report.pdf.aspx?Embed=Y</w:t>
      </w:r>
      <w:r>
        <w:rPr>
          <w:rFonts w:ascii="Times New Roman" w:hAnsi="Times New Roman" w:cs="Times New Roman"/>
          <w:iCs/>
          <w:sz w:val="22"/>
          <w:szCs w:val="22"/>
        </w:rPr>
        <w:t>&gt;.</w:t>
      </w:r>
      <w:r w:rsidRPr="00962BA0">
        <w:rPr>
          <w:rFonts w:ascii="Times New Roman" w:hAnsi="Times New Roman" w:cs="Times New Roman"/>
          <w:iCs/>
          <w:sz w:val="22"/>
          <w:szCs w:val="22"/>
        </w:rPr>
        <w:t xml:space="preserve"> </w:t>
      </w:r>
    </w:p>
  </w:footnote>
  <w:footnote w:id="64">
    <w:p w14:paraId="45E8F11A"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International Labour Office, </w:t>
      </w:r>
      <w:r w:rsidRPr="00962BA0">
        <w:rPr>
          <w:rFonts w:ascii="Times New Roman" w:hAnsi="Times New Roman" w:cs="Times New Roman"/>
          <w:i/>
          <w:sz w:val="22"/>
          <w:szCs w:val="22"/>
        </w:rPr>
        <w:t>Youth Emplo</w:t>
      </w:r>
      <w:r>
        <w:rPr>
          <w:rFonts w:ascii="Times New Roman" w:hAnsi="Times New Roman" w:cs="Times New Roman"/>
          <w:i/>
          <w:sz w:val="22"/>
          <w:szCs w:val="22"/>
        </w:rPr>
        <w:t xml:space="preserve">yment Crisis: A Call for Action </w:t>
      </w:r>
      <w:r>
        <w:rPr>
          <w:rFonts w:ascii="Times New Roman" w:hAnsi="Times New Roman" w:cs="Times New Roman"/>
          <w:sz w:val="22"/>
          <w:szCs w:val="22"/>
        </w:rPr>
        <w:t>(</w:t>
      </w:r>
      <w:r w:rsidRPr="00962BA0">
        <w:rPr>
          <w:rFonts w:ascii="Times New Roman" w:hAnsi="Times New Roman" w:cs="Times New Roman"/>
          <w:sz w:val="22"/>
          <w:szCs w:val="22"/>
        </w:rPr>
        <w:t>Resolution and Conclusions of the 101</w:t>
      </w:r>
      <w:r w:rsidRPr="00962BA0">
        <w:rPr>
          <w:rFonts w:ascii="Times New Roman" w:hAnsi="Times New Roman" w:cs="Times New Roman"/>
          <w:sz w:val="22"/>
          <w:szCs w:val="22"/>
          <w:vertAlign w:val="superscript"/>
        </w:rPr>
        <w:t>st</w:t>
      </w:r>
      <w:r w:rsidRPr="00962BA0">
        <w:rPr>
          <w:rFonts w:ascii="Times New Roman" w:hAnsi="Times New Roman" w:cs="Times New Roman"/>
          <w:sz w:val="22"/>
          <w:szCs w:val="22"/>
        </w:rPr>
        <w:t xml:space="preserve"> Session of the International Labour Conference, Geneva, 2012</w:t>
      </w:r>
      <w:r>
        <w:rPr>
          <w:rFonts w:ascii="Times New Roman" w:hAnsi="Times New Roman" w:cs="Times New Roman"/>
          <w:sz w:val="22"/>
          <w:szCs w:val="22"/>
        </w:rPr>
        <w:t>)</w:t>
      </w:r>
      <w:r w:rsidRPr="00962BA0">
        <w:rPr>
          <w:rFonts w:ascii="Times New Roman" w:hAnsi="Times New Roman" w:cs="Times New Roman"/>
          <w:sz w:val="22"/>
          <w:szCs w:val="22"/>
        </w:rPr>
        <w:t xml:space="preserve"> </w:t>
      </w:r>
      <w:r>
        <w:rPr>
          <w:rFonts w:ascii="Times New Roman" w:hAnsi="Times New Roman" w:cs="Times New Roman"/>
          <w:sz w:val="22"/>
          <w:szCs w:val="22"/>
        </w:rPr>
        <w:t>&lt;</w:t>
      </w:r>
      <w:r w:rsidRPr="00E758C8">
        <w:rPr>
          <w:rFonts w:ascii="Times New Roman" w:hAnsi="Times New Roman" w:cs="Times New Roman"/>
          <w:sz w:val="22"/>
          <w:szCs w:val="22"/>
        </w:rPr>
        <w:t>http://www.ilo.org/washington/areas/youth-employment/WCMS_185950/lang--en/index.html</w:t>
      </w:r>
      <w:r>
        <w:rPr>
          <w:rFonts w:ascii="Times New Roman" w:hAnsi="Times New Roman" w:cs="Times New Roman"/>
          <w:sz w:val="22"/>
          <w:szCs w:val="22"/>
        </w:rPr>
        <w:t>&gt;.</w:t>
      </w:r>
      <w:r w:rsidRPr="00962BA0">
        <w:rPr>
          <w:rFonts w:ascii="Times New Roman" w:hAnsi="Times New Roman" w:cs="Times New Roman"/>
          <w:sz w:val="22"/>
          <w:szCs w:val="22"/>
        </w:rPr>
        <w:t xml:space="preserve"> </w:t>
      </w:r>
    </w:p>
  </w:footnote>
  <w:footnote w:id="65">
    <w:p w14:paraId="14764984"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w:t>
      </w:r>
      <w:r>
        <w:rPr>
          <w:rFonts w:ascii="Times New Roman" w:hAnsi="Times New Roman" w:cs="Times New Roman"/>
          <w:sz w:val="22"/>
          <w:szCs w:val="22"/>
        </w:rPr>
        <w:t xml:space="preserve">Edmund </w:t>
      </w:r>
      <w:proofErr w:type="spellStart"/>
      <w:r>
        <w:rPr>
          <w:rFonts w:ascii="Times New Roman" w:hAnsi="Times New Roman" w:cs="Times New Roman"/>
          <w:sz w:val="22"/>
          <w:szCs w:val="22"/>
        </w:rPr>
        <w:t>Tadros</w:t>
      </w:r>
      <w:proofErr w:type="spellEnd"/>
      <w:r>
        <w:rPr>
          <w:rFonts w:ascii="Times New Roman" w:hAnsi="Times New Roman" w:cs="Times New Roman"/>
          <w:sz w:val="22"/>
          <w:szCs w:val="22"/>
        </w:rPr>
        <w:t>, ‘Graduate Glut: 12 000 New Lawyers Every Year’,</w:t>
      </w:r>
      <w:r w:rsidRPr="00962BA0">
        <w:rPr>
          <w:rFonts w:ascii="Times New Roman" w:hAnsi="Times New Roman" w:cs="Times New Roman"/>
          <w:sz w:val="22"/>
          <w:szCs w:val="22"/>
        </w:rPr>
        <w:t xml:space="preserve"> </w:t>
      </w:r>
      <w:r w:rsidRPr="00962BA0">
        <w:rPr>
          <w:rFonts w:ascii="Times New Roman" w:hAnsi="Times New Roman" w:cs="Times New Roman"/>
          <w:i/>
          <w:sz w:val="22"/>
          <w:szCs w:val="22"/>
        </w:rPr>
        <w:t xml:space="preserve">Sydney Morning Herald </w:t>
      </w:r>
      <w:r w:rsidRPr="00962BA0">
        <w:rPr>
          <w:rFonts w:ascii="Times New Roman" w:hAnsi="Times New Roman" w:cs="Times New Roman"/>
          <w:sz w:val="22"/>
          <w:szCs w:val="22"/>
        </w:rPr>
        <w:t xml:space="preserve">(online), 14 February 2014 </w:t>
      </w:r>
      <w:r>
        <w:rPr>
          <w:rFonts w:ascii="Times New Roman" w:hAnsi="Times New Roman" w:cs="Times New Roman"/>
          <w:sz w:val="22"/>
          <w:szCs w:val="22"/>
        </w:rPr>
        <w:t>&lt;</w:t>
      </w:r>
      <w:r w:rsidRPr="001374FE">
        <w:rPr>
          <w:rFonts w:ascii="Times New Roman" w:hAnsi="Times New Roman" w:cs="Times New Roman"/>
          <w:sz w:val="22"/>
          <w:szCs w:val="22"/>
        </w:rPr>
        <w:t>http://www.smh.com.au/business/graduate-glut-12000-new-lawyers-every-year-20140214-32qnm.html</w:t>
      </w:r>
      <w:r>
        <w:rPr>
          <w:rFonts w:ascii="Times New Roman" w:hAnsi="Times New Roman" w:cs="Times New Roman"/>
          <w:sz w:val="22"/>
          <w:szCs w:val="22"/>
        </w:rPr>
        <w:t>&gt;.</w:t>
      </w:r>
      <w:r w:rsidRPr="00962BA0">
        <w:rPr>
          <w:rFonts w:ascii="Times New Roman" w:hAnsi="Times New Roman" w:cs="Times New Roman"/>
          <w:sz w:val="22"/>
          <w:szCs w:val="22"/>
        </w:rPr>
        <w:t xml:space="preserve"> </w:t>
      </w:r>
    </w:p>
  </w:footnote>
  <w:footnote w:id="66">
    <w:p w14:paraId="18EF02FB"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Stewart and Owens, above n 7,</w:t>
      </w:r>
      <w:r w:rsidRPr="00962BA0">
        <w:rPr>
          <w:rFonts w:ascii="Times New Roman" w:hAnsi="Times New Roman" w:cs="Times New Roman"/>
          <w:sz w:val="22"/>
          <w:szCs w:val="22"/>
        </w:rPr>
        <w:t xml:space="preserve"> 20 (2.17). </w:t>
      </w:r>
    </w:p>
  </w:footnote>
  <w:footnote w:id="67">
    <w:p w14:paraId="2452093D" w14:textId="77777777" w:rsidR="00867EC5" w:rsidRPr="00962BA0" w:rsidRDefault="00867EC5" w:rsidP="00364617">
      <w:pPr>
        <w:pStyle w:val="FootnoteText"/>
        <w:rPr>
          <w:rFonts w:ascii="Times New Roman" w:hAnsi="Times New Roman" w:cs="Times New Roman"/>
          <w:sz w:val="22"/>
          <w:szCs w:val="22"/>
        </w:rPr>
      </w:pPr>
      <w:r w:rsidRPr="00962BA0">
        <w:rPr>
          <w:rStyle w:val="FootnoteReference"/>
          <w:rFonts w:ascii="Times New Roman" w:hAnsi="Times New Roman" w:cs="Times New Roman"/>
          <w:sz w:val="22"/>
          <w:szCs w:val="22"/>
        </w:rPr>
        <w:footnoteRef/>
      </w:r>
      <w:r w:rsidRPr="00962BA0">
        <w:rPr>
          <w:rFonts w:ascii="Times New Roman" w:hAnsi="Times New Roman" w:cs="Times New Roman"/>
          <w:sz w:val="22"/>
          <w:szCs w:val="22"/>
        </w:rPr>
        <w:t xml:space="preserve"> </w:t>
      </w:r>
      <w:r>
        <w:rPr>
          <w:rFonts w:ascii="Times New Roman" w:hAnsi="Times New Roman" w:cs="Times New Roman"/>
          <w:sz w:val="22"/>
          <w:szCs w:val="22"/>
        </w:rPr>
        <w:t xml:space="preserve">Ross </w:t>
      </w:r>
      <w:proofErr w:type="spellStart"/>
      <w:r>
        <w:rPr>
          <w:rFonts w:ascii="Times New Roman" w:hAnsi="Times New Roman" w:cs="Times New Roman"/>
          <w:sz w:val="22"/>
          <w:szCs w:val="22"/>
        </w:rPr>
        <w:t>Perlin</w:t>
      </w:r>
      <w:proofErr w:type="spellEnd"/>
      <w:r>
        <w:rPr>
          <w:rFonts w:ascii="Times New Roman" w:hAnsi="Times New Roman" w:cs="Times New Roman"/>
          <w:sz w:val="22"/>
          <w:szCs w:val="22"/>
        </w:rPr>
        <w:t>,</w:t>
      </w:r>
      <w:r w:rsidRPr="00962BA0">
        <w:rPr>
          <w:rFonts w:ascii="Times New Roman" w:hAnsi="Times New Roman" w:cs="Times New Roman"/>
          <w:sz w:val="22"/>
          <w:szCs w:val="22"/>
        </w:rPr>
        <w:t xml:space="preserve"> </w:t>
      </w:r>
      <w:r w:rsidRPr="00962BA0">
        <w:rPr>
          <w:rFonts w:ascii="Times New Roman" w:hAnsi="Times New Roman" w:cs="Times New Roman"/>
          <w:i/>
          <w:sz w:val="22"/>
          <w:szCs w:val="22"/>
        </w:rPr>
        <w:t>Intern Nation: How to Earn Nothing and Learn Little in the Brave New Economy</w:t>
      </w:r>
      <w:r>
        <w:rPr>
          <w:rFonts w:ascii="Times New Roman" w:hAnsi="Times New Roman" w:cs="Times New Roman"/>
          <w:i/>
          <w:sz w:val="22"/>
          <w:szCs w:val="22"/>
        </w:rPr>
        <w:t xml:space="preserve"> </w:t>
      </w:r>
      <w:r w:rsidRPr="00962BA0">
        <w:rPr>
          <w:rFonts w:ascii="Times New Roman" w:hAnsi="Times New Roman" w:cs="Times New Roman"/>
          <w:sz w:val="22"/>
          <w:szCs w:val="22"/>
        </w:rPr>
        <w:t xml:space="preserve">(Verso Books, 2012) 62. </w:t>
      </w:r>
    </w:p>
  </w:footnote>
  <w:footnote w:id="68">
    <w:p w14:paraId="7A392985" w14:textId="77777777" w:rsidR="00867EC5" w:rsidRPr="00962BA0" w:rsidRDefault="00867EC5" w:rsidP="00364617">
      <w:pPr>
        <w:pStyle w:val="FootnoteText"/>
        <w:rPr>
          <w:rFonts w:ascii="Times New Roman" w:hAnsi="Times New Roman" w:cs="Times New Roman"/>
          <w:sz w:val="22"/>
          <w:szCs w:val="22"/>
          <w:lang w:val="es-ES_tradnl"/>
        </w:rPr>
      </w:pPr>
      <w:r w:rsidRPr="00962BA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Rachel Brown, ‘</w:t>
      </w:r>
      <w:r w:rsidRPr="00962BA0">
        <w:rPr>
          <w:rFonts w:ascii="Times New Roman" w:hAnsi="Times New Roman" w:cs="Times New Roman"/>
          <w:sz w:val="22"/>
          <w:szCs w:val="22"/>
        </w:rPr>
        <w:t>Un</w:t>
      </w:r>
      <w:r>
        <w:rPr>
          <w:rFonts w:ascii="Times New Roman" w:hAnsi="Times New Roman" w:cs="Times New Roman"/>
          <w:sz w:val="22"/>
          <w:szCs w:val="22"/>
        </w:rPr>
        <w:t xml:space="preserve">ion Call For Code To Crack Down </w:t>
      </w:r>
      <w:r w:rsidRPr="00962BA0">
        <w:rPr>
          <w:rFonts w:ascii="Times New Roman" w:hAnsi="Times New Roman" w:cs="Times New Roman"/>
          <w:sz w:val="22"/>
          <w:szCs w:val="22"/>
        </w:rPr>
        <w:t>On Exploitation Of Interns</w:t>
      </w:r>
      <w:r>
        <w:rPr>
          <w:rFonts w:ascii="Times New Roman" w:hAnsi="Times New Roman" w:cs="Times New Roman"/>
          <w:sz w:val="22"/>
          <w:szCs w:val="22"/>
        </w:rPr>
        <w:t>’,</w:t>
      </w:r>
      <w:r w:rsidRPr="00962BA0">
        <w:rPr>
          <w:rFonts w:ascii="Times New Roman" w:hAnsi="Times New Roman" w:cs="Times New Roman"/>
          <w:sz w:val="22"/>
          <w:szCs w:val="22"/>
        </w:rPr>
        <w:t xml:space="preserve"> </w:t>
      </w:r>
      <w:r w:rsidRPr="00962BA0">
        <w:rPr>
          <w:rFonts w:ascii="Times New Roman" w:hAnsi="Times New Roman" w:cs="Times New Roman"/>
          <w:i/>
          <w:sz w:val="22"/>
          <w:szCs w:val="22"/>
        </w:rPr>
        <w:t xml:space="preserve">Sydney Morning Herald </w:t>
      </w:r>
      <w:r w:rsidRPr="00962BA0">
        <w:rPr>
          <w:rFonts w:ascii="Times New Roman" w:hAnsi="Times New Roman" w:cs="Times New Roman"/>
          <w:sz w:val="22"/>
          <w:szCs w:val="22"/>
        </w:rPr>
        <w:t>(online)</w:t>
      </w:r>
      <w:r>
        <w:rPr>
          <w:rFonts w:ascii="Times New Roman" w:hAnsi="Times New Roman" w:cs="Times New Roman"/>
          <w:sz w:val="22"/>
          <w:szCs w:val="22"/>
        </w:rPr>
        <w:t>,</w:t>
      </w:r>
      <w:r w:rsidRPr="00962BA0">
        <w:rPr>
          <w:rFonts w:ascii="Times New Roman" w:hAnsi="Times New Roman" w:cs="Times New Roman"/>
          <w:sz w:val="22"/>
          <w:szCs w:val="22"/>
        </w:rPr>
        <w:t xml:space="preserve"> 18 February 2014 </w:t>
      </w:r>
      <w:r>
        <w:rPr>
          <w:rFonts w:ascii="Times New Roman" w:hAnsi="Times New Roman" w:cs="Times New Roman"/>
          <w:sz w:val="22"/>
          <w:szCs w:val="22"/>
        </w:rPr>
        <w:t>&lt;</w:t>
      </w:r>
      <w:r w:rsidRPr="001374FE">
        <w:rPr>
          <w:rFonts w:ascii="Times New Roman" w:hAnsi="Times New Roman" w:cs="Times New Roman"/>
          <w:sz w:val="22"/>
          <w:szCs w:val="22"/>
        </w:rPr>
        <w:t>http://newsstore.fairfax.com.au/apps/viewDocument.ac;jsessionid=30E0427F636F7214109867B4161F6F61?sy=afr&amp;pb=all_ffx&amp;dt=selectRange&amp;dr=1month&amp;so=relevance&amp;sf=text&amp;sf=headline&amp;rc=10&amp;rm=200&amp;sp=brs&amp;cls=657&amp;clsPage=1&amp;docID=SMH140218FP79U68ORIH</w:t>
      </w:r>
      <w:r>
        <w:rPr>
          <w:rFonts w:ascii="Times New Roman" w:hAnsi="Times New Roman" w:cs="Times New Roman"/>
          <w:sz w:val="22"/>
          <w:szCs w:val="22"/>
        </w:rPr>
        <w:t>&gt;.</w:t>
      </w:r>
      <w:r w:rsidRPr="00962BA0">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B436" w14:textId="77777777" w:rsidR="00867EC5" w:rsidRDefault="00867EC5">
    <w:pPr>
      <w:pStyle w:val="Header"/>
    </w:pPr>
    <w:r>
      <w:rPr>
        <w:noProof/>
        <w:lang w:eastAsia="en-AU"/>
      </w:rPr>
      <w:drawing>
        <wp:anchor distT="0" distB="0" distL="114300" distR="114300" simplePos="0" relativeHeight="251658240" behindDoc="0" locked="0" layoutInCell="1" allowOverlap="1" wp14:anchorId="6A23ED82" wp14:editId="7F5B93C0">
          <wp:simplePos x="0" y="0"/>
          <wp:positionH relativeFrom="column">
            <wp:posOffset>3467100</wp:posOffset>
          </wp:positionH>
          <wp:positionV relativeFrom="paragraph">
            <wp:posOffset>-80645</wp:posOffset>
          </wp:positionV>
          <wp:extent cx="2971800" cy="993775"/>
          <wp:effectExtent l="0" t="0" r="0" b="0"/>
          <wp:wrapTight wrapText="bothSides">
            <wp:wrapPolygon edited="0">
              <wp:start x="0" y="0"/>
              <wp:lineTo x="0" y="20979"/>
              <wp:lineTo x="21415" y="2097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oc_logo1_black.jpg"/>
                  <pic:cNvPicPr/>
                </pic:nvPicPr>
                <pic:blipFill>
                  <a:blip r:embed="rId1">
                    <a:extLst>
                      <a:ext uri="{28A0092B-C50C-407E-A947-70E740481C1C}">
                        <a14:useLocalDpi xmlns:a14="http://schemas.microsoft.com/office/drawing/2010/main" val="0"/>
                      </a:ext>
                    </a:extLst>
                  </a:blip>
                  <a:stretch>
                    <a:fillRect/>
                  </a:stretch>
                </pic:blipFill>
                <pic:spPr>
                  <a:xfrm>
                    <a:off x="0" y="0"/>
                    <a:ext cx="2971800" cy="993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58A"/>
    <w:multiLevelType w:val="hybridMultilevel"/>
    <w:tmpl w:val="022C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71F01"/>
    <w:multiLevelType w:val="hybridMultilevel"/>
    <w:tmpl w:val="07E655F2"/>
    <w:lvl w:ilvl="0" w:tplc="2FD4425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E2BDA"/>
    <w:multiLevelType w:val="multilevel"/>
    <w:tmpl w:val="07E655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0A7042"/>
    <w:multiLevelType w:val="hybridMultilevel"/>
    <w:tmpl w:val="B06E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45635"/>
    <w:multiLevelType w:val="hybridMultilevel"/>
    <w:tmpl w:val="031481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ECC7D9C"/>
    <w:multiLevelType w:val="multilevel"/>
    <w:tmpl w:val="F124B3FA"/>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FE0A64"/>
    <w:multiLevelType w:val="multilevel"/>
    <w:tmpl w:val="70C0ED3A"/>
    <w:lvl w:ilvl="0">
      <w:start w:val="1"/>
      <w:numFmt w:val="decimal"/>
      <w:lvlText w:val="%1."/>
      <w:lvlJc w:val="left"/>
      <w:pPr>
        <w:ind w:left="360" w:hanging="360"/>
      </w:pPr>
      <w:rPr>
        <w:rFonts w:asciiTheme="minorHAnsi" w:eastAsiaTheme="minorEastAsia" w:hAnsiTheme="minorHAnsi" w:cstheme="minorBidi"/>
        <w:b/>
      </w:rPr>
    </w:lvl>
    <w:lvl w:ilvl="1">
      <w:start w:val="1"/>
      <w:numFmt w:val="decimal"/>
      <w:isLgl/>
      <w:lvlText w:val="%1.%2"/>
      <w:lvlJc w:val="left"/>
      <w:pPr>
        <w:ind w:left="1416" w:hanging="360"/>
      </w:pPr>
      <w:rPr>
        <w:rFonts w:hint="default"/>
        <w:b/>
      </w:rPr>
    </w:lvl>
    <w:lvl w:ilvl="2">
      <w:start w:val="1"/>
      <w:numFmt w:val="decimal"/>
      <w:isLgl/>
      <w:lvlText w:val="%1.%2.%3"/>
      <w:lvlJc w:val="left"/>
      <w:pPr>
        <w:ind w:left="2832" w:hanging="720"/>
      </w:pPr>
      <w:rPr>
        <w:rFonts w:hint="default"/>
        <w:b/>
      </w:rPr>
    </w:lvl>
    <w:lvl w:ilvl="3">
      <w:start w:val="1"/>
      <w:numFmt w:val="decimal"/>
      <w:isLgl/>
      <w:lvlText w:val="%1.%2.%3.%4"/>
      <w:lvlJc w:val="left"/>
      <w:pPr>
        <w:ind w:left="4248" w:hanging="108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9192" w:hanging="1800"/>
      </w:pPr>
      <w:rPr>
        <w:rFonts w:hint="default"/>
      </w:rPr>
    </w:lvl>
    <w:lvl w:ilvl="8">
      <w:start w:val="1"/>
      <w:numFmt w:val="decimal"/>
      <w:isLgl/>
      <w:lvlText w:val="%1.%2.%3.%4.%5.%6.%7.%8.%9"/>
      <w:lvlJc w:val="left"/>
      <w:pPr>
        <w:ind w:left="10248" w:hanging="1800"/>
      </w:pPr>
      <w:rPr>
        <w:rFonts w:hint="default"/>
      </w:rPr>
    </w:lvl>
  </w:abstractNum>
  <w:abstractNum w:abstractNumId="7">
    <w:nsid w:val="5D071F13"/>
    <w:multiLevelType w:val="hybridMultilevel"/>
    <w:tmpl w:val="045CBB22"/>
    <w:lvl w:ilvl="0" w:tplc="0409000F">
      <w:start w:val="1"/>
      <w:numFmt w:val="upp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A5217E"/>
    <w:multiLevelType w:val="hybridMultilevel"/>
    <w:tmpl w:val="2800E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7F03D8"/>
    <w:multiLevelType w:val="multilevel"/>
    <w:tmpl w:val="07E655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A009D9"/>
    <w:multiLevelType w:val="multilevel"/>
    <w:tmpl w:val="70C0ED3A"/>
    <w:lvl w:ilvl="0">
      <w:start w:val="1"/>
      <w:numFmt w:val="decimal"/>
      <w:lvlText w:val="%1."/>
      <w:lvlJc w:val="left"/>
      <w:pPr>
        <w:ind w:left="360" w:hanging="360"/>
      </w:pPr>
      <w:rPr>
        <w:rFonts w:asciiTheme="minorHAnsi" w:eastAsiaTheme="minorEastAsia" w:hAnsiTheme="minorHAnsi" w:cstheme="minorBidi"/>
        <w:b/>
      </w:rPr>
    </w:lvl>
    <w:lvl w:ilvl="1">
      <w:start w:val="1"/>
      <w:numFmt w:val="decimal"/>
      <w:isLgl/>
      <w:lvlText w:val="%1.%2"/>
      <w:lvlJc w:val="left"/>
      <w:pPr>
        <w:ind w:left="1416" w:hanging="360"/>
      </w:pPr>
      <w:rPr>
        <w:rFonts w:hint="default"/>
        <w:b/>
      </w:rPr>
    </w:lvl>
    <w:lvl w:ilvl="2">
      <w:start w:val="1"/>
      <w:numFmt w:val="decimal"/>
      <w:isLgl/>
      <w:lvlText w:val="%1.%2.%3"/>
      <w:lvlJc w:val="left"/>
      <w:pPr>
        <w:ind w:left="2832" w:hanging="720"/>
      </w:pPr>
      <w:rPr>
        <w:rFonts w:hint="default"/>
        <w:b/>
      </w:rPr>
    </w:lvl>
    <w:lvl w:ilvl="3">
      <w:start w:val="1"/>
      <w:numFmt w:val="decimal"/>
      <w:isLgl/>
      <w:lvlText w:val="%1.%2.%3.%4"/>
      <w:lvlJc w:val="left"/>
      <w:pPr>
        <w:ind w:left="4248" w:hanging="108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9192" w:hanging="1800"/>
      </w:pPr>
      <w:rPr>
        <w:rFonts w:hint="default"/>
      </w:rPr>
    </w:lvl>
    <w:lvl w:ilvl="8">
      <w:start w:val="1"/>
      <w:numFmt w:val="decimal"/>
      <w:isLgl/>
      <w:lvlText w:val="%1.%2.%3.%4.%5.%6.%7.%8.%9"/>
      <w:lvlJc w:val="left"/>
      <w:pPr>
        <w:ind w:left="10248" w:hanging="1800"/>
      </w:pPr>
      <w:rPr>
        <w:rFonts w:hint="default"/>
      </w:rPr>
    </w:lvl>
  </w:abstractNum>
  <w:abstractNum w:abstractNumId="11">
    <w:nsid w:val="7B431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3"/>
  </w:num>
  <w:num w:numId="3">
    <w:abstractNumId w:val="5"/>
  </w:num>
  <w:num w:numId="4">
    <w:abstractNumId w:val="4"/>
  </w:num>
  <w:num w:numId="5">
    <w:abstractNumId w:val="0"/>
  </w:num>
  <w:num w:numId="6">
    <w:abstractNumId w:val="12"/>
  </w:num>
  <w:num w:numId="7">
    <w:abstractNumId w:val="1"/>
  </w:num>
  <w:num w:numId="8">
    <w:abstractNumId w:val="2"/>
  </w:num>
  <w:num w:numId="9">
    <w:abstractNumId w:val="9"/>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E9"/>
    <w:rsid w:val="000353B9"/>
    <w:rsid w:val="00093D70"/>
    <w:rsid w:val="00137F49"/>
    <w:rsid w:val="0014366E"/>
    <w:rsid w:val="001A2B66"/>
    <w:rsid w:val="002D20C7"/>
    <w:rsid w:val="002E7E4A"/>
    <w:rsid w:val="002F6A02"/>
    <w:rsid w:val="00315D20"/>
    <w:rsid w:val="00336CF7"/>
    <w:rsid w:val="003603EC"/>
    <w:rsid w:val="00363592"/>
    <w:rsid w:val="00364617"/>
    <w:rsid w:val="00443F8C"/>
    <w:rsid w:val="00454BC3"/>
    <w:rsid w:val="004A4E27"/>
    <w:rsid w:val="004C36A8"/>
    <w:rsid w:val="004D4E0A"/>
    <w:rsid w:val="004D6FAD"/>
    <w:rsid w:val="004E3B66"/>
    <w:rsid w:val="004E744B"/>
    <w:rsid w:val="00524597"/>
    <w:rsid w:val="00535018"/>
    <w:rsid w:val="005850AE"/>
    <w:rsid w:val="005A631C"/>
    <w:rsid w:val="006201C4"/>
    <w:rsid w:val="00654244"/>
    <w:rsid w:val="00672F42"/>
    <w:rsid w:val="006A64E9"/>
    <w:rsid w:val="006F3FDA"/>
    <w:rsid w:val="007B572F"/>
    <w:rsid w:val="00844FA6"/>
    <w:rsid w:val="00867EC5"/>
    <w:rsid w:val="0088687B"/>
    <w:rsid w:val="008A4CCB"/>
    <w:rsid w:val="00956F61"/>
    <w:rsid w:val="00965410"/>
    <w:rsid w:val="009739D1"/>
    <w:rsid w:val="009A7EBC"/>
    <w:rsid w:val="00A30275"/>
    <w:rsid w:val="00A85F54"/>
    <w:rsid w:val="00AD0531"/>
    <w:rsid w:val="00B066BD"/>
    <w:rsid w:val="00B14EC3"/>
    <w:rsid w:val="00B16495"/>
    <w:rsid w:val="00B450E9"/>
    <w:rsid w:val="00B4515C"/>
    <w:rsid w:val="00B63529"/>
    <w:rsid w:val="00C104BD"/>
    <w:rsid w:val="00C36105"/>
    <w:rsid w:val="00C8592F"/>
    <w:rsid w:val="00CD3BCB"/>
    <w:rsid w:val="00D13197"/>
    <w:rsid w:val="00D33B26"/>
    <w:rsid w:val="00D6142A"/>
    <w:rsid w:val="00DA6134"/>
    <w:rsid w:val="00E129A1"/>
    <w:rsid w:val="00E33BCB"/>
    <w:rsid w:val="00E729BA"/>
    <w:rsid w:val="00EA09E0"/>
    <w:rsid w:val="00F61E9E"/>
    <w:rsid w:val="00F900B2"/>
    <w:rsid w:val="00F907E8"/>
    <w:rsid w:val="00FA2792"/>
    <w:rsid w:val="00FC7BAE"/>
    <w:rsid w:val="00FD093B"/>
    <w:rsid w:val="00FE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A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A4E27"/>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E9"/>
    <w:pPr>
      <w:tabs>
        <w:tab w:val="center" w:pos="4320"/>
        <w:tab w:val="right" w:pos="8640"/>
      </w:tabs>
    </w:pPr>
  </w:style>
  <w:style w:type="character" w:customStyle="1" w:styleId="HeaderChar">
    <w:name w:val="Header Char"/>
    <w:basedOn w:val="DefaultParagraphFont"/>
    <w:link w:val="Header"/>
    <w:uiPriority w:val="99"/>
    <w:rsid w:val="00B450E9"/>
    <w:rPr>
      <w:lang w:val="en-AU"/>
    </w:rPr>
  </w:style>
  <w:style w:type="paragraph" w:styleId="Footer">
    <w:name w:val="footer"/>
    <w:basedOn w:val="Normal"/>
    <w:link w:val="FooterChar"/>
    <w:uiPriority w:val="99"/>
    <w:unhideWhenUsed/>
    <w:rsid w:val="00B450E9"/>
    <w:pPr>
      <w:tabs>
        <w:tab w:val="center" w:pos="4320"/>
        <w:tab w:val="right" w:pos="8640"/>
      </w:tabs>
    </w:pPr>
  </w:style>
  <w:style w:type="character" w:customStyle="1" w:styleId="FooterChar">
    <w:name w:val="Footer Char"/>
    <w:basedOn w:val="DefaultParagraphFont"/>
    <w:link w:val="Footer"/>
    <w:uiPriority w:val="99"/>
    <w:rsid w:val="00B450E9"/>
    <w:rPr>
      <w:lang w:val="en-AU"/>
    </w:rPr>
  </w:style>
  <w:style w:type="paragraph" w:styleId="BalloonText">
    <w:name w:val="Balloon Text"/>
    <w:basedOn w:val="Normal"/>
    <w:link w:val="BalloonTextChar"/>
    <w:uiPriority w:val="99"/>
    <w:semiHidden/>
    <w:unhideWhenUsed/>
    <w:rsid w:val="00B4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0E9"/>
    <w:rPr>
      <w:rFonts w:ascii="Lucida Grande" w:hAnsi="Lucida Grande" w:cs="Lucida Grande"/>
      <w:sz w:val="18"/>
      <w:szCs w:val="18"/>
      <w:lang w:val="en-AU"/>
    </w:rPr>
  </w:style>
  <w:style w:type="character" w:customStyle="1" w:styleId="apple-converted-space">
    <w:name w:val="apple-converted-space"/>
    <w:basedOn w:val="DefaultParagraphFont"/>
    <w:rsid w:val="00B14EC3"/>
  </w:style>
  <w:style w:type="character" w:customStyle="1" w:styleId="Heading1Char">
    <w:name w:val="Heading 1 Char"/>
    <w:basedOn w:val="DefaultParagraphFont"/>
    <w:link w:val="Heading1"/>
    <w:uiPriority w:val="9"/>
    <w:rsid w:val="004A4E2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qFormat/>
    <w:rsid w:val="004A4E27"/>
    <w:rPr>
      <w:lang w:val="en-US"/>
    </w:rPr>
  </w:style>
  <w:style w:type="character" w:customStyle="1" w:styleId="FootnoteTextChar">
    <w:name w:val="Footnote Text Char"/>
    <w:basedOn w:val="DefaultParagraphFont"/>
    <w:link w:val="FootnoteText"/>
    <w:uiPriority w:val="99"/>
    <w:rsid w:val="004A4E27"/>
  </w:style>
  <w:style w:type="paragraph" w:styleId="NormalWeb">
    <w:name w:val="Normal (Web)"/>
    <w:basedOn w:val="Normal"/>
    <w:uiPriority w:val="99"/>
    <w:semiHidden/>
    <w:unhideWhenUsed/>
    <w:rsid w:val="004A4E27"/>
    <w:rPr>
      <w:rFonts w:ascii="Times New Roman" w:hAnsi="Times New Roman" w:cs="Times New Roman"/>
      <w:lang w:val="en-US"/>
    </w:rPr>
  </w:style>
  <w:style w:type="character" w:styleId="FootnoteReference">
    <w:name w:val="footnote reference"/>
    <w:basedOn w:val="DefaultParagraphFont"/>
    <w:uiPriority w:val="99"/>
    <w:unhideWhenUsed/>
    <w:rsid w:val="004A4E27"/>
    <w:rPr>
      <w:vertAlign w:val="superscript"/>
    </w:rPr>
  </w:style>
  <w:style w:type="character" w:customStyle="1" w:styleId="Hyperlink1">
    <w:name w:val="Hyperlink1"/>
    <w:basedOn w:val="DefaultParagraphFont"/>
    <w:uiPriority w:val="99"/>
    <w:unhideWhenUsed/>
    <w:rsid w:val="004A4E27"/>
    <w:rPr>
      <w:color w:val="0000FF"/>
      <w:u w:val="single"/>
    </w:rPr>
  </w:style>
  <w:style w:type="character" w:styleId="HTMLCite">
    <w:name w:val="HTML Cite"/>
    <w:basedOn w:val="DefaultParagraphFont"/>
    <w:uiPriority w:val="99"/>
    <w:semiHidden/>
    <w:unhideWhenUsed/>
    <w:rsid w:val="004A4E27"/>
    <w:rPr>
      <w:i/>
      <w:iCs/>
    </w:rPr>
  </w:style>
  <w:style w:type="paragraph" w:styleId="ListParagraph">
    <w:name w:val="List Paragraph"/>
    <w:basedOn w:val="Normal"/>
    <w:uiPriority w:val="34"/>
    <w:qFormat/>
    <w:rsid w:val="004A4E27"/>
    <w:pPr>
      <w:ind w:left="720"/>
      <w:contextualSpacing/>
    </w:pPr>
    <w:rPr>
      <w:lang w:val="en-US"/>
    </w:rPr>
  </w:style>
  <w:style w:type="character" w:styleId="CommentReference">
    <w:name w:val="annotation reference"/>
    <w:basedOn w:val="DefaultParagraphFont"/>
    <w:uiPriority w:val="99"/>
    <w:semiHidden/>
    <w:unhideWhenUsed/>
    <w:rsid w:val="00FC7BAE"/>
    <w:rPr>
      <w:sz w:val="16"/>
      <w:szCs w:val="16"/>
    </w:rPr>
  </w:style>
  <w:style w:type="paragraph" w:styleId="CommentText">
    <w:name w:val="annotation text"/>
    <w:basedOn w:val="Normal"/>
    <w:link w:val="CommentTextChar"/>
    <w:uiPriority w:val="99"/>
    <w:semiHidden/>
    <w:unhideWhenUsed/>
    <w:rsid w:val="00FC7BAE"/>
    <w:rPr>
      <w:sz w:val="20"/>
      <w:szCs w:val="20"/>
    </w:rPr>
  </w:style>
  <w:style w:type="character" w:customStyle="1" w:styleId="CommentTextChar">
    <w:name w:val="Comment Text Char"/>
    <w:basedOn w:val="DefaultParagraphFont"/>
    <w:link w:val="CommentText"/>
    <w:uiPriority w:val="99"/>
    <w:semiHidden/>
    <w:rsid w:val="00FC7BAE"/>
    <w:rPr>
      <w:sz w:val="20"/>
      <w:szCs w:val="20"/>
      <w:lang w:val="en-AU"/>
    </w:rPr>
  </w:style>
  <w:style w:type="paragraph" w:styleId="CommentSubject">
    <w:name w:val="annotation subject"/>
    <w:basedOn w:val="CommentText"/>
    <w:next w:val="CommentText"/>
    <w:link w:val="CommentSubjectChar"/>
    <w:uiPriority w:val="99"/>
    <w:semiHidden/>
    <w:unhideWhenUsed/>
    <w:rsid w:val="00FC7BAE"/>
    <w:rPr>
      <w:b/>
      <w:bCs/>
    </w:rPr>
  </w:style>
  <w:style w:type="character" w:customStyle="1" w:styleId="CommentSubjectChar">
    <w:name w:val="Comment Subject Char"/>
    <w:basedOn w:val="CommentTextChar"/>
    <w:link w:val="CommentSubject"/>
    <w:uiPriority w:val="99"/>
    <w:semiHidden/>
    <w:rsid w:val="00FC7BAE"/>
    <w:rPr>
      <w:b/>
      <w:bCs/>
      <w:sz w:val="20"/>
      <w:szCs w:val="20"/>
      <w:lang w:val="en-AU"/>
    </w:rPr>
  </w:style>
  <w:style w:type="paragraph" w:customStyle="1" w:styleId="headingparagraph">
    <w:name w:val="headingparagraph"/>
    <w:basedOn w:val="Normal"/>
    <w:rsid w:val="00D6142A"/>
    <w:pPr>
      <w:spacing w:before="100" w:beforeAutospacing="1" w:after="100" w:afterAutospacing="1"/>
    </w:pPr>
    <w:rPr>
      <w:rFonts w:ascii="Times" w:hAnsi="Times"/>
      <w:sz w:val="20"/>
      <w:szCs w:val="20"/>
    </w:rPr>
  </w:style>
  <w:style w:type="paragraph" w:customStyle="1" w:styleId="Rec">
    <w:name w:val="Rec"/>
    <w:basedOn w:val="BodyText"/>
    <w:link w:val="RecChar"/>
    <w:rsid w:val="004D4E0A"/>
    <w:pPr>
      <w:keepLines/>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ullet">
    <w:name w:val="Rec Bullet"/>
    <w:basedOn w:val="Rec"/>
    <w:rsid w:val="004D4E0A"/>
    <w:pPr>
      <w:numPr>
        <w:numId w:val="6"/>
      </w:numPr>
      <w:tabs>
        <w:tab w:val="clear" w:pos="340"/>
        <w:tab w:val="num" w:pos="360"/>
      </w:tabs>
      <w:spacing w:before="80"/>
      <w:ind w:left="0" w:firstLine="0"/>
    </w:pPr>
  </w:style>
  <w:style w:type="character" w:customStyle="1" w:styleId="RecChar">
    <w:name w:val="Rec Char"/>
    <w:link w:val="Rec"/>
    <w:rsid w:val="004D4E0A"/>
    <w:rPr>
      <w:rFonts w:ascii="Times New Roman" w:eastAsia="Times New Roman" w:hAnsi="Times New Roman" w:cs="Times New Roman"/>
      <w:b/>
      <w:i/>
      <w:sz w:val="26"/>
      <w:szCs w:val="20"/>
      <w:lang w:val="en-AU" w:eastAsia="en-AU"/>
    </w:rPr>
  </w:style>
  <w:style w:type="paragraph" w:styleId="BodyText">
    <w:name w:val="Body Text"/>
    <w:basedOn w:val="Normal"/>
    <w:link w:val="BodyTextChar"/>
    <w:uiPriority w:val="99"/>
    <w:semiHidden/>
    <w:unhideWhenUsed/>
    <w:rsid w:val="004D4E0A"/>
    <w:pPr>
      <w:spacing w:after="120"/>
    </w:pPr>
  </w:style>
  <w:style w:type="character" w:customStyle="1" w:styleId="BodyTextChar">
    <w:name w:val="Body Text Char"/>
    <w:basedOn w:val="DefaultParagraphFont"/>
    <w:link w:val="BodyText"/>
    <w:uiPriority w:val="99"/>
    <w:semiHidden/>
    <w:rsid w:val="004D4E0A"/>
    <w:rPr>
      <w:lang w:val="en-AU"/>
    </w:rPr>
  </w:style>
  <w:style w:type="paragraph" w:styleId="EndnoteText">
    <w:name w:val="endnote text"/>
    <w:basedOn w:val="Normal"/>
    <w:link w:val="EndnoteTextChar"/>
    <w:uiPriority w:val="99"/>
    <w:unhideWhenUsed/>
    <w:rsid w:val="00364617"/>
    <w:rPr>
      <w:rFonts w:eastAsiaTheme="minorHAnsi"/>
    </w:rPr>
  </w:style>
  <w:style w:type="character" w:customStyle="1" w:styleId="EndnoteTextChar">
    <w:name w:val="Endnote Text Char"/>
    <w:basedOn w:val="DefaultParagraphFont"/>
    <w:link w:val="EndnoteText"/>
    <w:uiPriority w:val="99"/>
    <w:rsid w:val="00364617"/>
    <w:rPr>
      <w:rFonts w:eastAsiaTheme="minorHAnsi"/>
      <w:lang w:val="en-AU"/>
    </w:rPr>
  </w:style>
  <w:style w:type="character" w:styleId="EndnoteReference">
    <w:name w:val="endnote reference"/>
    <w:basedOn w:val="DefaultParagraphFont"/>
    <w:uiPriority w:val="99"/>
    <w:semiHidden/>
    <w:unhideWhenUsed/>
    <w:rsid w:val="00364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A4E27"/>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E9"/>
    <w:pPr>
      <w:tabs>
        <w:tab w:val="center" w:pos="4320"/>
        <w:tab w:val="right" w:pos="8640"/>
      </w:tabs>
    </w:pPr>
  </w:style>
  <w:style w:type="character" w:customStyle="1" w:styleId="HeaderChar">
    <w:name w:val="Header Char"/>
    <w:basedOn w:val="DefaultParagraphFont"/>
    <w:link w:val="Header"/>
    <w:uiPriority w:val="99"/>
    <w:rsid w:val="00B450E9"/>
    <w:rPr>
      <w:lang w:val="en-AU"/>
    </w:rPr>
  </w:style>
  <w:style w:type="paragraph" w:styleId="Footer">
    <w:name w:val="footer"/>
    <w:basedOn w:val="Normal"/>
    <w:link w:val="FooterChar"/>
    <w:uiPriority w:val="99"/>
    <w:unhideWhenUsed/>
    <w:rsid w:val="00B450E9"/>
    <w:pPr>
      <w:tabs>
        <w:tab w:val="center" w:pos="4320"/>
        <w:tab w:val="right" w:pos="8640"/>
      </w:tabs>
    </w:pPr>
  </w:style>
  <w:style w:type="character" w:customStyle="1" w:styleId="FooterChar">
    <w:name w:val="Footer Char"/>
    <w:basedOn w:val="DefaultParagraphFont"/>
    <w:link w:val="Footer"/>
    <w:uiPriority w:val="99"/>
    <w:rsid w:val="00B450E9"/>
    <w:rPr>
      <w:lang w:val="en-AU"/>
    </w:rPr>
  </w:style>
  <w:style w:type="paragraph" w:styleId="BalloonText">
    <w:name w:val="Balloon Text"/>
    <w:basedOn w:val="Normal"/>
    <w:link w:val="BalloonTextChar"/>
    <w:uiPriority w:val="99"/>
    <w:semiHidden/>
    <w:unhideWhenUsed/>
    <w:rsid w:val="00B4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0E9"/>
    <w:rPr>
      <w:rFonts w:ascii="Lucida Grande" w:hAnsi="Lucida Grande" w:cs="Lucida Grande"/>
      <w:sz w:val="18"/>
      <w:szCs w:val="18"/>
      <w:lang w:val="en-AU"/>
    </w:rPr>
  </w:style>
  <w:style w:type="character" w:customStyle="1" w:styleId="apple-converted-space">
    <w:name w:val="apple-converted-space"/>
    <w:basedOn w:val="DefaultParagraphFont"/>
    <w:rsid w:val="00B14EC3"/>
  </w:style>
  <w:style w:type="character" w:customStyle="1" w:styleId="Heading1Char">
    <w:name w:val="Heading 1 Char"/>
    <w:basedOn w:val="DefaultParagraphFont"/>
    <w:link w:val="Heading1"/>
    <w:uiPriority w:val="9"/>
    <w:rsid w:val="004A4E2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qFormat/>
    <w:rsid w:val="004A4E27"/>
    <w:rPr>
      <w:lang w:val="en-US"/>
    </w:rPr>
  </w:style>
  <w:style w:type="character" w:customStyle="1" w:styleId="FootnoteTextChar">
    <w:name w:val="Footnote Text Char"/>
    <w:basedOn w:val="DefaultParagraphFont"/>
    <w:link w:val="FootnoteText"/>
    <w:uiPriority w:val="99"/>
    <w:rsid w:val="004A4E27"/>
  </w:style>
  <w:style w:type="paragraph" w:styleId="NormalWeb">
    <w:name w:val="Normal (Web)"/>
    <w:basedOn w:val="Normal"/>
    <w:uiPriority w:val="99"/>
    <w:semiHidden/>
    <w:unhideWhenUsed/>
    <w:rsid w:val="004A4E27"/>
    <w:rPr>
      <w:rFonts w:ascii="Times New Roman" w:hAnsi="Times New Roman" w:cs="Times New Roman"/>
      <w:lang w:val="en-US"/>
    </w:rPr>
  </w:style>
  <w:style w:type="character" w:styleId="FootnoteReference">
    <w:name w:val="footnote reference"/>
    <w:basedOn w:val="DefaultParagraphFont"/>
    <w:uiPriority w:val="99"/>
    <w:unhideWhenUsed/>
    <w:rsid w:val="004A4E27"/>
    <w:rPr>
      <w:vertAlign w:val="superscript"/>
    </w:rPr>
  </w:style>
  <w:style w:type="character" w:customStyle="1" w:styleId="Hyperlink1">
    <w:name w:val="Hyperlink1"/>
    <w:basedOn w:val="DefaultParagraphFont"/>
    <w:uiPriority w:val="99"/>
    <w:unhideWhenUsed/>
    <w:rsid w:val="004A4E27"/>
    <w:rPr>
      <w:color w:val="0000FF"/>
      <w:u w:val="single"/>
    </w:rPr>
  </w:style>
  <w:style w:type="character" w:styleId="HTMLCite">
    <w:name w:val="HTML Cite"/>
    <w:basedOn w:val="DefaultParagraphFont"/>
    <w:uiPriority w:val="99"/>
    <w:semiHidden/>
    <w:unhideWhenUsed/>
    <w:rsid w:val="004A4E27"/>
    <w:rPr>
      <w:i/>
      <w:iCs/>
    </w:rPr>
  </w:style>
  <w:style w:type="paragraph" w:styleId="ListParagraph">
    <w:name w:val="List Paragraph"/>
    <w:basedOn w:val="Normal"/>
    <w:uiPriority w:val="34"/>
    <w:qFormat/>
    <w:rsid w:val="004A4E27"/>
    <w:pPr>
      <w:ind w:left="720"/>
      <w:contextualSpacing/>
    </w:pPr>
    <w:rPr>
      <w:lang w:val="en-US"/>
    </w:rPr>
  </w:style>
  <w:style w:type="character" w:styleId="CommentReference">
    <w:name w:val="annotation reference"/>
    <w:basedOn w:val="DefaultParagraphFont"/>
    <w:uiPriority w:val="99"/>
    <w:semiHidden/>
    <w:unhideWhenUsed/>
    <w:rsid w:val="00FC7BAE"/>
    <w:rPr>
      <w:sz w:val="16"/>
      <w:szCs w:val="16"/>
    </w:rPr>
  </w:style>
  <w:style w:type="paragraph" w:styleId="CommentText">
    <w:name w:val="annotation text"/>
    <w:basedOn w:val="Normal"/>
    <w:link w:val="CommentTextChar"/>
    <w:uiPriority w:val="99"/>
    <w:semiHidden/>
    <w:unhideWhenUsed/>
    <w:rsid w:val="00FC7BAE"/>
    <w:rPr>
      <w:sz w:val="20"/>
      <w:szCs w:val="20"/>
    </w:rPr>
  </w:style>
  <w:style w:type="character" w:customStyle="1" w:styleId="CommentTextChar">
    <w:name w:val="Comment Text Char"/>
    <w:basedOn w:val="DefaultParagraphFont"/>
    <w:link w:val="CommentText"/>
    <w:uiPriority w:val="99"/>
    <w:semiHidden/>
    <w:rsid w:val="00FC7BAE"/>
    <w:rPr>
      <w:sz w:val="20"/>
      <w:szCs w:val="20"/>
      <w:lang w:val="en-AU"/>
    </w:rPr>
  </w:style>
  <w:style w:type="paragraph" w:styleId="CommentSubject">
    <w:name w:val="annotation subject"/>
    <w:basedOn w:val="CommentText"/>
    <w:next w:val="CommentText"/>
    <w:link w:val="CommentSubjectChar"/>
    <w:uiPriority w:val="99"/>
    <w:semiHidden/>
    <w:unhideWhenUsed/>
    <w:rsid w:val="00FC7BAE"/>
    <w:rPr>
      <w:b/>
      <w:bCs/>
    </w:rPr>
  </w:style>
  <w:style w:type="character" w:customStyle="1" w:styleId="CommentSubjectChar">
    <w:name w:val="Comment Subject Char"/>
    <w:basedOn w:val="CommentTextChar"/>
    <w:link w:val="CommentSubject"/>
    <w:uiPriority w:val="99"/>
    <w:semiHidden/>
    <w:rsid w:val="00FC7BAE"/>
    <w:rPr>
      <w:b/>
      <w:bCs/>
      <w:sz w:val="20"/>
      <w:szCs w:val="20"/>
      <w:lang w:val="en-AU"/>
    </w:rPr>
  </w:style>
  <w:style w:type="paragraph" w:customStyle="1" w:styleId="headingparagraph">
    <w:name w:val="headingparagraph"/>
    <w:basedOn w:val="Normal"/>
    <w:rsid w:val="00D6142A"/>
    <w:pPr>
      <w:spacing w:before="100" w:beforeAutospacing="1" w:after="100" w:afterAutospacing="1"/>
    </w:pPr>
    <w:rPr>
      <w:rFonts w:ascii="Times" w:hAnsi="Times"/>
      <w:sz w:val="20"/>
      <w:szCs w:val="20"/>
    </w:rPr>
  </w:style>
  <w:style w:type="paragraph" w:customStyle="1" w:styleId="Rec">
    <w:name w:val="Rec"/>
    <w:basedOn w:val="BodyText"/>
    <w:link w:val="RecChar"/>
    <w:rsid w:val="004D4E0A"/>
    <w:pPr>
      <w:keepLines/>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ullet">
    <w:name w:val="Rec Bullet"/>
    <w:basedOn w:val="Rec"/>
    <w:rsid w:val="004D4E0A"/>
    <w:pPr>
      <w:numPr>
        <w:numId w:val="6"/>
      </w:numPr>
      <w:tabs>
        <w:tab w:val="clear" w:pos="340"/>
        <w:tab w:val="num" w:pos="360"/>
      </w:tabs>
      <w:spacing w:before="80"/>
      <w:ind w:left="0" w:firstLine="0"/>
    </w:pPr>
  </w:style>
  <w:style w:type="character" w:customStyle="1" w:styleId="RecChar">
    <w:name w:val="Rec Char"/>
    <w:link w:val="Rec"/>
    <w:rsid w:val="004D4E0A"/>
    <w:rPr>
      <w:rFonts w:ascii="Times New Roman" w:eastAsia="Times New Roman" w:hAnsi="Times New Roman" w:cs="Times New Roman"/>
      <w:b/>
      <w:i/>
      <w:sz w:val="26"/>
      <w:szCs w:val="20"/>
      <w:lang w:val="en-AU" w:eastAsia="en-AU"/>
    </w:rPr>
  </w:style>
  <w:style w:type="paragraph" w:styleId="BodyText">
    <w:name w:val="Body Text"/>
    <w:basedOn w:val="Normal"/>
    <w:link w:val="BodyTextChar"/>
    <w:uiPriority w:val="99"/>
    <w:semiHidden/>
    <w:unhideWhenUsed/>
    <w:rsid w:val="004D4E0A"/>
    <w:pPr>
      <w:spacing w:after="120"/>
    </w:pPr>
  </w:style>
  <w:style w:type="character" w:customStyle="1" w:styleId="BodyTextChar">
    <w:name w:val="Body Text Char"/>
    <w:basedOn w:val="DefaultParagraphFont"/>
    <w:link w:val="BodyText"/>
    <w:uiPriority w:val="99"/>
    <w:semiHidden/>
    <w:rsid w:val="004D4E0A"/>
    <w:rPr>
      <w:lang w:val="en-AU"/>
    </w:rPr>
  </w:style>
  <w:style w:type="paragraph" w:styleId="EndnoteText">
    <w:name w:val="endnote text"/>
    <w:basedOn w:val="Normal"/>
    <w:link w:val="EndnoteTextChar"/>
    <w:uiPriority w:val="99"/>
    <w:unhideWhenUsed/>
    <w:rsid w:val="00364617"/>
    <w:rPr>
      <w:rFonts w:eastAsiaTheme="minorHAnsi"/>
    </w:rPr>
  </w:style>
  <w:style w:type="character" w:customStyle="1" w:styleId="EndnoteTextChar">
    <w:name w:val="Endnote Text Char"/>
    <w:basedOn w:val="DefaultParagraphFont"/>
    <w:link w:val="EndnoteText"/>
    <w:uiPriority w:val="99"/>
    <w:rsid w:val="00364617"/>
    <w:rPr>
      <w:rFonts w:eastAsiaTheme="minorHAnsi"/>
      <w:lang w:val="en-AU"/>
    </w:rPr>
  </w:style>
  <w:style w:type="character" w:styleId="EndnoteReference">
    <w:name w:val="endnote reference"/>
    <w:basedOn w:val="DefaultParagraphFont"/>
    <w:uiPriority w:val="99"/>
    <w:semiHidden/>
    <w:unhideWhenUsed/>
    <w:rsid w:val="00364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28932">
      <w:bodyDiv w:val="1"/>
      <w:marLeft w:val="0"/>
      <w:marRight w:val="0"/>
      <w:marTop w:val="0"/>
      <w:marBottom w:val="0"/>
      <w:divBdr>
        <w:top w:val="none" w:sz="0" w:space="0" w:color="auto"/>
        <w:left w:val="none" w:sz="0" w:space="0" w:color="auto"/>
        <w:bottom w:val="none" w:sz="0" w:space="0" w:color="auto"/>
        <w:right w:val="none" w:sz="0" w:space="0" w:color="auto"/>
      </w:divBdr>
    </w:div>
    <w:div w:id="1577125407">
      <w:bodyDiv w:val="1"/>
      <w:marLeft w:val="0"/>
      <w:marRight w:val="0"/>
      <w:marTop w:val="0"/>
      <w:marBottom w:val="0"/>
      <w:divBdr>
        <w:top w:val="none" w:sz="0" w:space="0" w:color="auto"/>
        <w:left w:val="none" w:sz="0" w:space="0" w:color="auto"/>
        <w:bottom w:val="none" w:sz="0" w:space="0" w:color="auto"/>
        <w:right w:val="none" w:sz="0" w:space="0" w:color="auto"/>
      </w:divBdr>
    </w:div>
    <w:div w:id="1743091805">
      <w:bodyDiv w:val="1"/>
      <w:marLeft w:val="0"/>
      <w:marRight w:val="0"/>
      <w:marTop w:val="0"/>
      <w:marBottom w:val="0"/>
      <w:divBdr>
        <w:top w:val="none" w:sz="0" w:space="0" w:color="auto"/>
        <w:left w:val="none" w:sz="0" w:space="0" w:color="auto"/>
        <w:bottom w:val="none" w:sz="0" w:space="0" w:color="auto"/>
        <w:right w:val="none" w:sz="0" w:space="0" w:color="auto"/>
      </w:divBdr>
      <w:divsChild>
        <w:div w:id="124810251">
          <w:marLeft w:val="0"/>
          <w:marRight w:val="0"/>
          <w:marTop w:val="0"/>
          <w:marBottom w:val="0"/>
          <w:divBdr>
            <w:top w:val="none" w:sz="0" w:space="0" w:color="auto"/>
            <w:left w:val="none" w:sz="0" w:space="0" w:color="auto"/>
            <w:bottom w:val="none" w:sz="0" w:space="0" w:color="auto"/>
            <w:right w:val="none" w:sz="0" w:space="0" w:color="auto"/>
          </w:divBdr>
        </w:div>
        <w:div w:id="1704549773">
          <w:marLeft w:val="0"/>
          <w:marRight w:val="0"/>
          <w:marTop w:val="0"/>
          <w:marBottom w:val="0"/>
          <w:divBdr>
            <w:top w:val="none" w:sz="0" w:space="0" w:color="auto"/>
            <w:left w:val="none" w:sz="0" w:space="0" w:color="auto"/>
            <w:bottom w:val="none" w:sz="0" w:space="0" w:color="auto"/>
            <w:right w:val="none" w:sz="0" w:space="0" w:color="auto"/>
          </w:divBdr>
        </w:div>
        <w:div w:id="414471313">
          <w:marLeft w:val="0"/>
          <w:marRight w:val="0"/>
          <w:marTop w:val="0"/>
          <w:marBottom w:val="0"/>
          <w:divBdr>
            <w:top w:val="none" w:sz="0" w:space="0" w:color="auto"/>
            <w:left w:val="none" w:sz="0" w:space="0" w:color="auto"/>
            <w:bottom w:val="none" w:sz="0" w:space="0" w:color="auto"/>
            <w:right w:val="none" w:sz="0" w:space="0" w:color="auto"/>
          </w:divBdr>
        </w:div>
        <w:div w:id="1358383392">
          <w:marLeft w:val="0"/>
          <w:marRight w:val="0"/>
          <w:marTop w:val="0"/>
          <w:marBottom w:val="0"/>
          <w:divBdr>
            <w:top w:val="none" w:sz="0" w:space="0" w:color="auto"/>
            <w:left w:val="none" w:sz="0" w:space="0" w:color="auto"/>
            <w:bottom w:val="none" w:sz="0" w:space="0" w:color="auto"/>
            <w:right w:val="none" w:sz="0" w:space="0" w:color="auto"/>
          </w:divBdr>
        </w:div>
        <w:div w:id="1941645009">
          <w:marLeft w:val="0"/>
          <w:marRight w:val="0"/>
          <w:marTop w:val="0"/>
          <w:marBottom w:val="0"/>
          <w:divBdr>
            <w:top w:val="none" w:sz="0" w:space="0" w:color="auto"/>
            <w:left w:val="none" w:sz="0" w:space="0" w:color="auto"/>
            <w:bottom w:val="none" w:sz="0" w:space="0" w:color="auto"/>
            <w:right w:val="none" w:sz="0" w:space="0" w:color="auto"/>
          </w:divBdr>
        </w:div>
        <w:div w:id="930629330">
          <w:marLeft w:val="0"/>
          <w:marRight w:val="0"/>
          <w:marTop w:val="0"/>
          <w:marBottom w:val="0"/>
          <w:divBdr>
            <w:top w:val="none" w:sz="0" w:space="0" w:color="auto"/>
            <w:left w:val="none" w:sz="0" w:space="0" w:color="auto"/>
            <w:bottom w:val="none" w:sz="0" w:space="0" w:color="auto"/>
            <w:right w:val="none" w:sz="0" w:space="0" w:color="auto"/>
          </w:divBdr>
        </w:div>
        <w:div w:id="2114738681">
          <w:marLeft w:val="0"/>
          <w:marRight w:val="0"/>
          <w:marTop w:val="0"/>
          <w:marBottom w:val="0"/>
          <w:divBdr>
            <w:top w:val="none" w:sz="0" w:space="0" w:color="auto"/>
            <w:left w:val="none" w:sz="0" w:space="0" w:color="auto"/>
            <w:bottom w:val="none" w:sz="0" w:space="0" w:color="auto"/>
            <w:right w:val="none" w:sz="0" w:space="0" w:color="auto"/>
          </w:divBdr>
        </w:div>
        <w:div w:id="1160735695">
          <w:marLeft w:val="0"/>
          <w:marRight w:val="0"/>
          <w:marTop w:val="0"/>
          <w:marBottom w:val="0"/>
          <w:divBdr>
            <w:top w:val="none" w:sz="0" w:space="0" w:color="auto"/>
            <w:left w:val="none" w:sz="0" w:space="0" w:color="auto"/>
            <w:bottom w:val="none" w:sz="0" w:space="0" w:color="auto"/>
            <w:right w:val="none" w:sz="0" w:space="0" w:color="auto"/>
          </w:divBdr>
        </w:div>
        <w:div w:id="132986758">
          <w:marLeft w:val="0"/>
          <w:marRight w:val="0"/>
          <w:marTop w:val="0"/>
          <w:marBottom w:val="0"/>
          <w:divBdr>
            <w:top w:val="none" w:sz="0" w:space="0" w:color="auto"/>
            <w:left w:val="none" w:sz="0" w:space="0" w:color="auto"/>
            <w:bottom w:val="none" w:sz="0" w:space="0" w:color="auto"/>
            <w:right w:val="none" w:sz="0" w:space="0" w:color="auto"/>
          </w:divBdr>
        </w:div>
        <w:div w:id="926571013">
          <w:marLeft w:val="0"/>
          <w:marRight w:val="0"/>
          <w:marTop w:val="0"/>
          <w:marBottom w:val="0"/>
          <w:divBdr>
            <w:top w:val="none" w:sz="0" w:space="0" w:color="auto"/>
            <w:left w:val="none" w:sz="0" w:space="0" w:color="auto"/>
            <w:bottom w:val="none" w:sz="0" w:space="0" w:color="auto"/>
            <w:right w:val="none" w:sz="0" w:space="0" w:color="auto"/>
          </w:divBdr>
        </w:div>
        <w:div w:id="330764945">
          <w:marLeft w:val="0"/>
          <w:marRight w:val="0"/>
          <w:marTop w:val="0"/>
          <w:marBottom w:val="0"/>
          <w:divBdr>
            <w:top w:val="none" w:sz="0" w:space="0" w:color="auto"/>
            <w:left w:val="none" w:sz="0" w:space="0" w:color="auto"/>
            <w:bottom w:val="none" w:sz="0" w:space="0" w:color="auto"/>
            <w:right w:val="none" w:sz="0" w:space="0" w:color="auto"/>
          </w:divBdr>
        </w:div>
        <w:div w:id="1571768745">
          <w:marLeft w:val="0"/>
          <w:marRight w:val="0"/>
          <w:marTop w:val="0"/>
          <w:marBottom w:val="0"/>
          <w:divBdr>
            <w:top w:val="none" w:sz="0" w:space="0" w:color="auto"/>
            <w:left w:val="none" w:sz="0" w:space="0" w:color="auto"/>
            <w:bottom w:val="none" w:sz="0" w:space="0" w:color="auto"/>
            <w:right w:val="none" w:sz="0" w:space="0" w:color="auto"/>
          </w:divBdr>
        </w:div>
        <w:div w:id="1745181620">
          <w:marLeft w:val="0"/>
          <w:marRight w:val="0"/>
          <w:marTop w:val="0"/>
          <w:marBottom w:val="0"/>
          <w:divBdr>
            <w:top w:val="none" w:sz="0" w:space="0" w:color="auto"/>
            <w:left w:val="none" w:sz="0" w:space="0" w:color="auto"/>
            <w:bottom w:val="none" w:sz="0" w:space="0" w:color="auto"/>
            <w:right w:val="none" w:sz="0" w:space="0" w:color="auto"/>
          </w:divBdr>
        </w:div>
        <w:div w:id="412514427">
          <w:marLeft w:val="0"/>
          <w:marRight w:val="0"/>
          <w:marTop w:val="0"/>
          <w:marBottom w:val="0"/>
          <w:divBdr>
            <w:top w:val="none" w:sz="0" w:space="0" w:color="auto"/>
            <w:left w:val="none" w:sz="0" w:space="0" w:color="auto"/>
            <w:bottom w:val="none" w:sz="0" w:space="0" w:color="auto"/>
            <w:right w:val="none" w:sz="0" w:space="0" w:color="auto"/>
          </w:divBdr>
        </w:div>
        <w:div w:id="628432960">
          <w:marLeft w:val="0"/>
          <w:marRight w:val="0"/>
          <w:marTop w:val="0"/>
          <w:marBottom w:val="0"/>
          <w:divBdr>
            <w:top w:val="none" w:sz="0" w:space="0" w:color="auto"/>
            <w:left w:val="none" w:sz="0" w:space="0" w:color="auto"/>
            <w:bottom w:val="none" w:sz="0" w:space="0" w:color="auto"/>
            <w:right w:val="none" w:sz="0" w:space="0" w:color="auto"/>
          </w:divBdr>
        </w:div>
        <w:div w:id="1276980426">
          <w:marLeft w:val="0"/>
          <w:marRight w:val="0"/>
          <w:marTop w:val="0"/>
          <w:marBottom w:val="0"/>
          <w:divBdr>
            <w:top w:val="none" w:sz="0" w:space="0" w:color="auto"/>
            <w:left w:val="none" w:sz="0" w:space="0" w:color="auto"/>
            <w:bottom w:val="none" w:sz="0" w:space="0" w:color="auto"/>
            <w:right w:val="none" w:sz="0" w:space="0" w:color="auto"/>
          </w:divBdr>
        </w:div>
        <w:div w:id="1164978373">
          <w:marLeft w:val="0"/>
          <w:marRight w:val="0"/>
          <w:marTop w:val="0"/>
          <w:marBottom w:val="0"/>
          <w:divBdr>
            <w:top w:val="none" w:sz="0" w:space="0" w:color="auto"/>
            <w:left w:val="none" w:sz="0" w:space="0" w:color="auto"/>
            <w:bottom w:val="none" w:sz="0" w:space="0" w:color="auto"/>
            <w:right w:val="none" w:sz="0" w:space="0" w:color="auto"/>
          </w:divBdr>
        </w:div>
        <w:div w:id="7337464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90D7-6CA0-44F7-86CD-E691FF5F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9751</Words>
  <Characters>53971</Characters>
  <Application>Microsoft Office Word</Application>
  <DocSecurity>0</DocSecurity>
  <Lines>1037</Lines>
  <Paragraphs>238</Paragraphs>
  <ScaleCrop>false</ScaleCrop>
  <HeadingPairs>
    <vt:vector size="2" baseType="variant">
      <vt:variant>
        <vt:lpstr>Title</vt:lpstr>
      </vt:variant>
      <vt:variant>
        <vt:i4>1</vt:i4>
      </vt:variant>
    </vt:vector>
  </HeadingPairs>
  <TitlesOfParts>
    <vt:vector size="1" baseType="lpstr">
      <vt:lpstr>Submission DR289 - University of New South Wales (UNSW) Law Society - Access to Justice Arrangements - Public inquiry</vt:lpstr>
    </vt:vector>
  </TitlesOfParts>
  <Company>University of New South Wales (UNSW) Law Society</Company>
  <LinksUpToDate>false</LinksUpToDate>
  <CharactersWithSpaces>63589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DR289 - University of New South Wales (UNSW) Law Society - Access to Justice Arrangements - Public inquiry</dc:title>
  <dc:creator>University of New South Wales (UNSW) Law Society</dc:creator>
  <cp:lastModifiedBy>Productivity Commission</cp:lastModifiedBy>
  <cp:revision>2</cp:revision>
  <cp:lastPrinted>2014-01-11T00:03:00Z</cp:lastPrinted>
  <dcterms:created xsi:type="dcterms:W3CDTF">2014-06-24T00:02:00Z</dcterms:created>
  <dcterms:modified xsi:type="dcterms:W3CDTF">2014-06-24T00:02:00Z</dcterms:modified>
</cp:coreProperties>
</file>