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55"/>
        <w:tblW w:w="0" w:type="auto"/>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43" w:type="dxa"/>
          <w:right w:w="115" w:type="dxa"/>
        </w:tblCellMar>
        <w:tblLook w:val="04A0" w:firstRow="1" w:lastRow="0" w:firstColumn="1" w:lastColumn="0" w:noHBand="0" w:noVBand="1"/>
      </w:tblPr>
      <w:tblGrid>
        <w:gridCol w:w="682"/>
        <w:gridCol w:w="8174"/>
      </w:tblGrid>
      <w:tr w:rsidR="003F0E6F">
        <w:trPr>
          <w:trHeight w:val="288"/>
        </w:trPr>
        <w:tc>
          <w:tcPr>
            <w:tcW w:w="8856" w:type="dxa"/>
            <w:gridSpan w:val="2"/>
            <w:tcBorders>
              <w:top w:val="nil"/>
              <w:bottom w:val="nil"/>
            </w:tcBorders>
          </w:tcPr>
          <w:bookmarkStart w:id="0" w:name="_GoBack"/>
          <w:bookmarkEnd w:id="0"/>
          <w:p w:rsidR="003F0E6F" w:rsidRDefault="00400219" w:rsidP="0060219A">
            <w:pPr>
              <w:pStyle w:val="FaxSubheading"/>
              <w:framePr w:hSpace="0" w:wrap="auto" w:vAnchor="margin" w:yAlign="inline"/>
            </w:pPr>
            <w:sdt>
              <w:sdtPr>
                <w:alias w:val="Company"/>
                <w:id w:val="77885041"/>
                <w:placeholder>
                  <w:docPart w:val="9DA29865DAC54327AAEADF4EFC0A6E32"/>
                </w:placeholder>
                <w:dataBinding w:prefixMappings="xmlns:ns0='http://schemas.openxmlformats.org/officeDocument/2006/extended-properties'" w:xpath="/ns0:Properties[1]/ns0:Company[1]" w:storeItemID="{6668398D-A668-4E3E-A5EB-62B293D839F1}"/>
                <w:text/>
              </w:sdtPr>
              <w:sdtEndPr/>
              <w:sdtContent>
                <w:r w:rsidR="0060219A">
                  <w:t>ADJ Consultancy Services</w:t>
                </w:r>
              </w:sdtContent>
            </w:sdt>
          </w:p>
        </w:tc>
      </w:tr>
      <w:tr w:rsidR="003F0E6F" w:rsidTr="0060219A">
        <w:trPr>
          <w:trHeight w:val="32"/>
        </w:trPr>
        <w:tc>
          <w:tcPr>
            <w:tcW w:w="682" w:type="dxa"/>
            <w:tcBorders>
              <w:top w:val="nil"/>
              <w:bottom w:val="nil"/>
            </w:tcBorders>
          </w:tcPr>
          <w:p w:rsidR="003F0E6F" w:rsidRDefault="005B5237">
            <w:pPr>
              <w:pStyle w:val="FaxBodyText"/>
              <w:framePr w:hSpace="0" w:wrap="auto" w:vAnchor="margin" w:yAlign="inline"/>
            </w:pPr>
            <w:r>
              <w:t>To:</w:t>
            </w:r>
          </w:p>
        </w:tc>
        <w:tc>
          <w:tcPr>
            <w:tcW w:w="8174" w:type="dxa"/>
            <w:tcBorders>
              <w:top w:val="nil"/>
              <w:bottom w:val="nil"/>
            </w:tcBorders>
          </w:tcPr>
          <w:p w:rsidR="003F0E6F" w:rsidRDefault="00B67A2A" w:rsidP="00B67A2A">
            <w:pPr>
              <w:pStyle w:val="FaxBodyText"/>
              <w:framePr w:hSpace="0" w:wrap="auto" w:vAnchor="margin" w:yAlign="inline"/>
            </w:pPr>
            <w:r>
              <w:t>The Productivity Commission, Access to Justice Inquiry</w:t>
            </w:r>
          </w:p>
        </w:tc>
      </w:tr>
      <w:tr w:rsidR="003F0E6F" w:rsidTr="0060219A">
        <w:trPr>
          <w:trHeight w:val="37"/>
        </w:trPr>
        <w:tc>
          <w:tcPr>
            <w:tcW w:w="682" w:type="dxa"/>
            <w:tcBorders>
              <w:top w:val="nil"/>
              <w:bottom w:val="nil"/>
            </w:tcBorders>
          </w:tcPr>
          <w:p w:rsidR="003F0E6F" w:rsidRDefault="005B5237">
            <w:pPr>
              <w:pStyle w:val="FaxBodyText"/>
              <w:framePr w:hSpace="0" w:wrap="auto" w:vAnchor="margin" w:yAlign="inline"/>
            </w:pPr>
            <w:r>
              <w:t>From:</w:t>
            </w:r>
          </w:p>
        </w:tc>
        <w:sdt>
          <w:sdtPr>
            <w:alias w:val="Author"/>
            <w:id w:val="19907975"/>
            <w:placeholder>
              <w:docPart w:val="475286CF3993461BA89AB1535FC7E723"/>
            </w:placeholder>
            <w:dataBinding w:prefixMappings="xmlns:ns0='http://schemas.openxmlformats.org/package/2006/metadata/core-properties' xmlns:ns1='http://purl.org/dc/elements/1.1/'" w:xpath="/ns0:coreProperties[1]/ns1:creator[1]" w:storeItemID="{6C3C8BC8-F283-45AE-878A-BAB7291924A1}"/>
            <w:text/>
          </w:sdtPr>
          <w:sdtEndPr/>
          <w:sdtContent>
            <w:tc>
              <w:tcPr>
                <w:tcW w:w="8174" w:type="dxa"/>
                <w:tcBorders>
                  <w:top w:val="nil"/>
                  <w:bottom w:val="nil"/>
                </w:tcBorders>
              </w:tcPr>
              <w:p w:rsidR="003F0E6F" w:rsidRDefault="00DF095E">
                <w:pPr>
                  <w:pStyle w:val="FaxBodyText"/>
                  <w:framePr w:hSpace="0" w:wrap="auto" w:vAnchor="margin" w:yAlign="inline"/>
                </w:pPr>
                <w:proofErr w:type="spellStart"/>
                <w:r>
                  <w:rPr>
                    <w:lang w:val="en-AU"/>
                  </w:rPr>
                  <w:t>ADJ</w:t>
                </w:r>
                <w:proofErr w:type="spellEnd"/>
                <w:r>
                  <w:rPr>
                    <w:lang w:val="en-AU"/>
                  </w:rPr>
                  <w:t xml:space="preserve"> Consulting Services</w:t>
                </w:r>
              </w:p>
            </w:tc>
          </w:sdtContent>
        </w:sdt>
      </w:tr>
      <w:tr w:rsidR="003F0E6F" w:rsidTr="0060219A">
        <w:trPr>
          <w:trHeight w:val="37"/>
        </w:trPr>
        <w:tc>
          <w:tcPr>
            <w:tcW w:w="682" w:type="dxa"/>
            <w:tcBorders>
              <w:top w:val="nil"/>
              <w:bottom w:val="nil"/>
            </w:tcBorders>
          </w:tcPr>
          <w:p w:rsidR="003F0E6F" w:rsidRDefault="005B5237">
            <w:pPr>
              <w:pStyle w:val="FaxBodyText"/>
              <w:framePr w:hSpace="0" w:wrap="auto" w:vAnchor="margin" w:yAlign="inline"/>
            </w:pPr>
            <w:r>
              <w:t>CC:</w:t>
            </w:r>
          </w:p>
        </w:tc>
        <w:tc>
          <w:tcPr>
            <w:tcW w:w="8174" w:type="dxa"/>
            <w:tcBorders>
              <w:top w:val="nil"/>
              <w:bottom w:val="nil"/>
            </w:tcBorders>
          </w:tcPr>
          <w:p w:rsidR="003F0E6F" w:rsidRDefault="00B67A2A" w:rsidP="00B67A2A">
            <w:pPr>
              <w:pStyle w:val="FaxBodyText"/>
              <w:framePr w:hSpace="0" w:wrap="auto" w:vAnchor="margin" w:yAlign="inline"/>
            </w:pPr>
            <w:r>
              <w:t>N/a</w:t>
            </w:r>
          </w:p>
        </w:tc>
      </w:tr>
      <w:tr w:rsidR="003F0E6F" w:rsidTr="0060219A">
        <w:trPr>
          <w:trHeight w:val="37"/>
        </w:trPr>
        <w:tc>
          <w:tcPr>
            <w:tcW w:w="682" w:type="dxa"/>
            <w:tcBorders>
              <w:top w:val="nil"/>
              <w:bottom w:val="nil"/>
            </w:tcBorders>
          </w:tcPr>
          <w:p w:rsidR="003F0E6F" w:rsidRDefault="005B5237">
            <w:pPr>
              <w:pStyle w:val="FaxBodyText"/>
              <w:framePr w:hSpace="0" w:wrap="auto" w:vAnchor="margin" w:yAlign="inline"/>
            </w:pPr>
            <w:r>
              <w:t>Date:</w:t>
            </w:r>
          </w:p>
        </w:tc>
        <w:tc>
          <w:tcPr>
            <w:tcW w:w="8174" w:type="dxa"/>
            <w:tcBorders>
              <w:top w:val="nil"/>
              <w:bottom w:val="nil"/>
            </w:tcBorders>
          </w:tcPr>
          <w:p w:rsidR="003F0E6F" w:rsidRDefault="004E0B53" w:rsidP="00B67A2A">
            <w:pPr>
              <w:pStyle w:val="FaxBodyText"/>
              <w:framePr w:hSpace="0" w:wrap="auto" w:vAnchor="margin" w:yAlign="inline"/>
            </w:pPr>
            <w:r>
              <w:t>10</w:t>
            </w:r>
            <w:r w:rsidR="00B67A2A">
              <w:t xml:space="preserve"> June 2014</w:t>
            </w:r>
          </w:p>
        </w:tc>
      </w:tr>
      <w:tr w:rsidR="003F0E6F" w:rsidTr="0060219A">
        <w:trPr>
          <w:trHeight w:val="288"/>
        </w:trPr>
        <w:tc>
          <w:tcPr>
            <w:tcW w:w="682" w:type="dxa"/>
            <w:tcBorders>
              <w:top w:val="nil"/>
              <w:bottom w:val="single" w:sz="4" w:space="0" w:color="A6A6A6" w:themeColor="background1" w:themeShade="A6"/>
            </w:tcBorders>
            <w:tcMar>
              <w:bottom w:w="576" w:type="dxa"/>
            </w:tcMar>
          </w:tcPr>
          <w:p w:rsidR="003F0E6F" w:rsidRDefault="005B5237">
            <w:pPr>
              <w:pStyle w:val="FaxBodyText"/>
              <w:framePr w:hSpace="0" w:wrap="auto" w:vAnchor="margin" w:yAlign="inline"/>
            </w:pPr>
            <w:r>
              <w:t>Re:</w:t>
            </w:r>
          </w:p>
        </w:tc>
        <w:tc>
          <w:tcPr>
            <w:tcW w:w="8174" w:type="dxa"/>
            <w:tcBorders>
              <w:top w:val="nil"/>
              <w:bottom w:val="single" w:sz="4" w:space="0" w:color="A6A6A6" w:themeColor="background1" w:themeShade="A6"/>
            </w:tcBorders>
            <w:tcMar>
              <w:bottom w:w="576" w:type="dxa"/>
            </w:tcMar>
          </w:tcPr>
          <w:p w:rsidR="003F0E6F" w:rsidRDefault="00B67A2A" w:rsidP="00B67A2A">
            <w:pPr>
              <w:pStyle w:val="FaxBodyText"/>
              <w:framePr w:hSpace="0" w:wrap="auto" w:vAnchor="margin" w:yAlign="inline"/>
            </w:pPr>
            <w:r>
              <w:t>Supplementary Submission</w:t>
            </w:r>
          </w:p>
        </w:tc>
      </w:tr>
      <w:tr w:rsidR="003F0E6F" w:rsidTr="0060219A">
        <w:trPr>
          <w:trHeight w:val="288"/>
        </w:trPr>
        <w:tc>
          <w:tcPr>
            <w:tcW w:w="682" w:type="dxa"/>
            <w:tcBorders>
              <w:top w:val="single" w:sz="4" w:space="0" w:color="A6A6A6" w:themeColor="background1" w:themeShade="A6"/>
            </w:tcBorders>
            <w:tcMar>
              <w:top w:w="144" w:type="dxa"/>
            </w:tcMar>
          </w:tcPr>
          <w:p w:rsidR="003F0E6F" w:rsidRDefault="003F0E6F">
            <w:pPr>
              <w:pStyle w:val="FaxBodyText"/>
              <w:framePr w:hSpace="0" w:wrap="auto" w:vAnchor="margin" w:yAlign="inline"/>
            </w:pPr>
          </w:p>
        </w:tc>
        <w:tc>
          <w:tcPr>
            <w:tcW w:w="8174" w:type="dxa"/>
            <w:tcBorders>
              <w:top w:val="single" w:sz="4" w:space="0" w:color="A6A6A6" w:themeColor="background1" w:themeShade="A6"/>
            </w:tcBorders>
            <w:tcMar>
              <w:top w:w="144" w:type="dxa"/>
            </w:tcMar>
          </w:tcPr>
          <w:p w:rsidR="003F0E6F" w:rsidRDefault="003F0E6F" w:rsidP="0060219A">
            <w:pPr>
              <w:pStyle w:val="FaxBodyText"/>
              <w:framePr w:hSpace="0" w:wrap="auto" w:vAnchor="margin" w:yAlign="inline"/>
            </w:pPr>
          </w:p>
        </w:tc>
      </w:tr>
    </w:tbl>
    <w:p w:rsidR="003F0E6F" w:rsidRDefault="00B67A2A">
      <w:pPr>
        <w:pStyle w:val="FaxBodyText"/>
        <w:framePr w:hSpace="0" w:wrap="auto" w:vAnchor="margin" w:yAlign="inline"/>
      </w:pPr>
      <w:r>
        <w:t>Dear Commissioners,</w:t>
      </w:r>
    </w:p>
    <w:p w:rsidR="00524B73" w:rsidRDefault="00524B73">
      <w:pPr>
        <w:pStyle w:val="FaxBodyText"/>
        <w:framePr w:hSpace="0" w:wrap="auto" w:vAnchor="margin" w:yAlign="inline"/>
      </w:pPr>
    </w:p>
    <w:p w:rsidR="00047E2B" w:rsidRDefault="00220B35">
      <w:pPr>
        <w:pStyle w:val="FaxBodyText"/>
        <w:framePr w:hSpace="0" w:wrap="auto" w:vAnchor="margin" w:yAlign="inline"/>
      </w:pPr>
      <w:r>
        <w:t>After my appearance 3 June 2014</w:t>
      </w:r>
      <w:r w:rsidR="00B67A2A">
        <w:t xml:space="preserve"> at the Sydney hearing, I think it would be useful to clarify a few points in writing. Firs</w:t>
      </w:r>
      <w:r w:rsidR="006E7380">
        <w:t>tly, there was much discussion with the witnesses who preceded my appearance, about “the public interest”. This is a phrase notoriously hard to define</w:t>
      </w:r>
      <w:r w:rsidR="00083B96">
        <w:t xml:space="preserve">. </w:t>
      </w:r>
      <w:r w:rsidR="00047E2B">
        <w:t>In his doctrinal thesis,</w:t>
      </w:r>
      <w:r w:rsidR="00047E2B">
        <w:rPr>
          <w:i/>
        </w:rPr>
        <w:t xml:space="preserve"> Defining the Public Interest</w:t>
      </w:r>
      <w:r w:rsidR="00047E2B">
        <w:t>, Geoffrey Edwards observes:</w:t>
      </w:r>
    </w:p>
    <w:p w:rsidR="00047E2B" w:rsidRDefault="00047E2B">
      <w:pPr>
        <w:pStyle w:val="FaxBodyText"/>
        <w:framePr w:hSpace="0" w:wrap="auto" w:vAnchor="margin" w:yAlign="inline"/>
      </w:pPr>
    </w:p>
    <w:p w:rsidR="00524B73" w:rsidRDefault="00857FA0" w:rsidP="000607D5">
      <w:pPr>
        <w:pStyle w:val="FaxBodyText"/>
        <w:framePr w:hSpace="0" w:wrap="auto" w:vAnchor="margin" w:yAlign="inline"/>
        <w:ind w:left="720"/>
      </w:pPr>
      <w:r>
        <w:t>‘Public interest’ is a term applying specifically in public affairs</w:t>
      </w:r>
      <w:r w:rsidR="00FC51AF">
        <w:t xml:space="preserve">. </w:t>
      </w:r>
      <w:r w:rsidR="00047E2B">
        <w:t xml:space="preserve"> </w:t>
      </w:r>
      <w:r w:rsidR="000607D5">
        <w:t>At any given time, rhetorical, current and normative meanings of the term coexist. Error arises from overlooking the distinctions, funding the rhetorical and current formations are inadequate as durable norms</w:t>
      </w:r>
      <w:r w:rsidR="004601AD">
        <w:t xml:space="preserve">, then discarding the term as meaningless... (Current) methods of policy analysis in Australia have been </w:t>
      </w:r>
      <w:proofErr w:type="spellStart"/>
      <w:r w:rsidR="004601AD">
        <w:t>politicised</w:t>
      </w:r>
      <w:proofErr w:type="spellEnd"/>
      <w:r w:rsidR="004601AD">
        <w:t xml:space="preserve"> and have not been conducive to discerning the public interest. For example, economic commentators are nearly unanimous that economic growth</w:t>
      </w:r>
      <w:r w:rsidR="003477B1">
        <w:t xml:space="preserve"> is a measure of a nation’s economic prosperity despite widely recognised logic and evidentiary deficiencies... Policy formulation by its very nature is goal-orientated, purposeful or problem-solving so it must be feasible to conduct it better.”</w:t>
      </w:r>
      <w:r w:rsidR="003477B1">
        <w:rPr>
          <w:rStyle w:val="EndnoteReference"/>
        </w:rPr>
        <w:endnoteReference w:id="1"/>
      </w:r>
    </w:p>
    <w:p w:rsidR="00524B73" w:rsidRDefault="00524B73">
      <w:pPr>
        <w:pStyle w:val="FaxBodyText"/>
        <w:framePr w:hSpace="0" w:wrap="auto" w:vAnchor="margin" w:yAlign="inline"/>
      </w:pPr>
    </w:p>
    <w:p w:rsidR="001663DA" w:rsidRDefault="00531EE1">
      <w:pPr>
        <w:pStyle w:val="FaxBodyText"/>
        <w:framePr w:hSpace="0" w:wrap="auto" w:vAnchor="margin" w:yAlign="inline"/>
      </w:pPr>
      <w:r>
        <w:t>While Dr Edwards is to be commended for the interesting criteria he argues for to resolve the conundrum,</w:t>
      </w:r>
      <w:r w:rsidR="002E23AB">
        <w:t xml:space="preserve"> even his attempt to fashion what he calls</w:t>
      </w:r>
      <w:r w:rsidR="001357DE">
        <w:t xml:space="preserve"> a </w:t>
      </w:r>
      <w:r w:rsidR="001357DE">
        <w:rPr>
          <w:i/>
        </w:rPr>
        <w:t>“</w:t>
      </w:r>
      <w:proofErr w:type="spellStart"/>
      <w:r w:rsidR="001357DE">
        <w:rPr>
          <w:i/>
        </w:rPr>
        <w:t>realisable</w:t>
      </w:r>
      <w:proofErr w:type="spellEnd"/>
      <w:r w:rsidR="001357DE">
        <w:rPr>
          <w:i/>
        </w:rPr>
        <w:t xml:space="preserve"> </w:t>
      </w:r>
      <w:r w:rsidR="001357DE" w:rsidRPr="001357DE">
        <w:t>formulation of the normative public interest</w:t>
      </w:r>
      <w:r w:rsidR="001357DE">
        <w:t>”</w:t>
      </w:r>
      <w:r>
        <w:rPr>
          <w:rStyle w:val="EndnoteReference"/>
        </w:rPr>
        <w:endnoteReference w:id="2"/>
      </w:r>
      <w:r w:rsidR="00C530EF">
        <w:t xml:space="preserve"> has to be qualified by his acknowledgement of the unlikelihood of “scholars (reaching) a consensus in the foreseeable future on how to </w:t>
      </w:r>
      <w:r w:rsidR="00134D29" w:rsidRPr="00134D29">
        <w:rPr>
          <w:lang w:val="en-AU"/>
        </w:rPr>
        <w:t>crystallise</w:t>
      </w:r>
      <w:r w:rsidR="00134D29">
        <w:rPr>
          <w:lang w:val="en-AU"/>
        </w:rPr>
        <w:t xml:space="preserve"> the notion of the public interest”.</w:t>
      </w:r>
      <w:r w:rsidR="00134D29">
        <w:rPr>
          <w:rStyle w:val="EndnoteReference"/>
          <w:lang w:val="en-AU"/>
        </w:rPr>
        <w:endnoteReference w:id="3"/>
      </w:r>
      <w:r w:rsidR="00134D29">
        <w:t xml:space="preserve"> </w:t>
      </w:r>
      <w:r w:rsidR="00C530EF">
        <w:t xml:space="preserve"> </w:t>
      </w:r>
      <w:r w:rsidR="00134D29">
        <w:t xml:space="preserve">But this is not just a question for scholars, </w:t>
      </w:r>
      <w:r w:rsidR="001663DA">
        <w:t>commentators or other select groups.  It should be a question for all Australians through the nation’s parliaments.</w:t>
      </w:r>
    </w:p>
    <w:p w:rsidR="001663DA" w:rsidRDefault="001663DA">
      <w:pPr>
        <w:pStyle w:val="FaxBodyText"/>
        <w:framePr w:hSpace="0" w:wrap="auto" w:vAnchor="margin" w:yAlign="inline"/>
      </w:pPr>
    </w:p>
    <w:p w:rsidR="00524B73" w:rsidRDefault="001663DA">
      <w:pPr>
        <w:pStyle w:val="FaxBodyText"/>
        <w:framePr w:hSpace="0" w:wrap="auto" w:vAnchor="margin" w:yAlign="inline"/>
      </w:pPr>
      <w:r>
        <w:t xml:space="preserve">In part, this is what motivated me to become involved in the Recall Elections Inquiry in NSW a few years ago. Sadly, the proposal </w:t>
      </w:r>
      <w:r w:rsidR="00E6091A">
        <w:t>lacked a popular groundswell, shown by the low number of submissions to the Expert Panel.</w:t>
      </w:r>
      <w:r w:rsidR="00E6091A">
        <w:rPr>
          <w:rStyle w:val="EndnoteReference"/>
        </w:rPr>
        <w:endnoteReference w:id="4"/>
      </w:r>
      <w:r>
        <w:t xml:space="preserve"> </w:t>
      </w:r>
      <w:r w:rsidR="00613E57">
        <w:t>This was</w:t>
      </w:r>
      <w:r w:rsidR="00ED4008">
        <w:t xml:space="preserve"> unfortunate, because I had</w:t>
      </w:r>
      <w:r w:rsidR="00613E57">
        <w:t xml:space="preserve"> hopes that NSW would test run some sort of model for citizen initiated legislation, recalls and referenda.</w:t>
      </w:r>
      <w:r w:rsidR="009C2114">
        <w:rPr>
          <w:rStyle w:val="EndnoteReference"/>
        </w:rPr>
        <w:endnoteReference w:id="5"/>
      </w:r>
      <w:r w:rsidR="009C2114">
        <w:t xml:space="preserve"> In my view, such procedures would be preferable to ‘public interest litigation’ in the courts. It reasserts the sovereignty of Parliament</w:t>
      </w:r>
      <w:r w:rsidR="00ED4008">
        <w:t xml:space="preserve">, which has arguably been undermined by the growth of the administrative state. This was certainly the </w:t>
      </w:r>
      <w:r w:rsidR="005D12D0">
        <w:t>view of former Victorian Attorney General Rob Hulls, when he told the Centennial Ceremonial Sitting of the High Court in Melbourne, in 2003, that:</w:t>
      </w:r>
    </w:p>
    <w:p w:rsidR="00524B73" w:rsidRDefault="00524B73">
      <w:pPr>
        <w:pStyle w:val="FaxBodyText"/>
        <w:framePr w:hSpace="0" w:wrap="auto" w:vAnchor="margin" w:yAlign="inline"/>
      </w:pPr>
    </w:p>
    <w:p w:rsidR="005D12D0" w:rsidRDefault="005D12D0" w:rsidP="003E091A">
      <w:pPr>
        <w:pStyle w:val="FaxBodyText"/>
        <w:framePr w:hSpace="0" w:wrap="auto" w:vAnchor="margin" w:yAlign="inline"/>
        <w:ind w:left="720"/>
      </w:pPr>
      <w:r w:rsidRPr="005D12D0">
        <w:t xml:space="preserve">In our </w:t>
      </w:r>
      <w:proofErr w:type="spellStart"/>
      <w:r w:rsidRPr="005D12D0">
        <w:t>defence</w:t>
      </w:r>
      <w:proofErr w:type="spellEnd"/>
      <w:r w:rsidRPr="005D12D0">
        <w:t xml:space="preserve"> of the rule of the law, we must also be alert to, and alarmed by, attempts to bypass judicial scrutiny, whether it be via privative clauses or the more insidious trend towards unenforceable guidelines. In my view, any suggestion that an Executive’s “non-binding guidelines” be accepted as authoritative is dangerous terrain. Yet it is increasingly the case that we are asked the accept the legitimacy of such guidelines, whether it be in Industrial Relations, decisions concerning grants of Legal Aid, or more poignantly in the immigration area.</w:t>
      </w:r>
      <w:r w:rsidR="003E091A">
        <w:rPr>
          <w:rStyle w:val="EndnoteReference"/>
        </w:rPr>
        <w:endnoteReference w:id="6"/>
      </w:r>
    </w:p>
    <w:p w:rsidR="00524B73" w:rsidRDefault="00524B73">
      <w:pPr>
        <w:pStyle w:val="FaxBodyText"/>
        <w:framePr w:hSpace="0" w:wrap="auto" w:vAnchor="margin" w:yAlign="inline"/>
      </w:pPr>
    </w:p>
    <w:p w:rsidR="00532774" w:rsidRDefault="00532774">
      <w:pPr>
        <w:pStyle w:val="FaxBodyText"/>
        <w:framePr w:hSpace="0" w:wrap="auto" w:vAnchor="margin" w:yAlign="inline"/>
        <w:rPr>
          <w:lang w:val="en-AU"/>
        </w:rPr>
      </w:pPr>
      <w:r w:rsidRPr="00532774">
        <w:rPr>
          <w:lang w:val="en-AU"/>
        </w:rPr>
        <w:lastRenderedPageBreak/>
        <w:t>This quote has inspired my personal advocacy for the past 11 years; it explains why, in my view, many of Australia’s most vulnerable people will never have true access to justice.</w:t>
      </w:r>
      <w:r w:rsidR="00334D47">
        <w:rPr>
          <w:lang w:val="en-AU"/>
        </w:rPr>
        <w:t xml:space="preserve"> Equally, after 20 years of study and job hunting, personally, the thought of more pro-bono work being an acceptable answer for anyone</w:t>
      </w:r>
      <w:r w:rsidR="0095110A">
        <w:rPr>
          <w:lang w:val="en-AU"/>
        </w:rPr>
        <w:t>,</w:t>
      </w:r>
      <w:r w:rsidR="00334D47">
        <w:rPr>
          <w:lang w:val="en-AU"/>
        </w:rPr>
        <w:t xml:space="preserve"> should be regarded as an insult.  Professional people delivering professional services should be paid; </w:t>
      </w:r>
      <w:r w:rsidR="001B09C3">
        <w:rPr>
          <w:lang w:val="en-AU"/>
        </w:rPr>
        <w:t>equally, it seems assumed without question that disabled and other disadvantage people should accept charity (or not-for-profits more generally) as our principal means of receiving goods and services.</w:t>
      </w:r>
    </w:p>
    <w:p w:rsidR="001B09C3" w:rsidRDefault="001B09C3">
      <w:pPr>
        <w:pStyle w:val="FaxBodyText"/>
        <w:framePr w:hSpace="0" w:wrap="auto" w:vAnchor="margin" w:yAlign="inline"/>
        <w:rPr>
          <w:lang w:val="en-AU"/>
        </w:rPr>
      </w:pPr>
    </w:p>
    <w:p w:rsidR="001B09C3" w:rsidRDefault="001B09C3">
      <w:pPr>
        <w:pStyle w:val="FaxBodyText"/>
        <w:framePr w:hSpace="0" w:wrap="auto" w:vAnchor="margin" w:yAlign="inline"/>
        <w:rPr>
          <w:lang w:val="en-AU"/>
        </w:rPr>
      </w:pPr>
      <w:r>
        <w:rPr>
          <w:lang w:val="en-AU"/>
        </w:rPr>
        <w:t>Any such assumption should be quickly challenged.  As a citizen with a disability, I am insulted</w:t>
      </w:r>
      <w:r w:rsidR="00EA75FA">
        <w:rPr>
          <w:lang w:val="en-AU"/>
        </w:rPr>
        <w:t>.</w:t>
      </w:r>
      <w:r w:rsidR="00EA75FA">
        <w:rPr>
          <w:rStyle w:val="EndnoteReference"/>
          <w:lang w:val="en-AU"/>
        </w:rPr>
        <w:endnoteReference w:id="7"/>
      </w:r>
      <w:r w:rsidR="0095110A">
        <w:rPr>
          <w:lang w:val="en-AU"/>
        </w:rPr>
        <w:t xml:space="preserve"> </w:t>
      </w:r>
      <w:r w:rsidR="00EA75FA">
        <w:rPr>
          <w:lang w:val="en-AU"/>
        </w:rPr>
        <w:t xml:space="preserve">One is also </w:t>
      </w:r>
      <w:r w:rsidR="0095110A">
        <w:rPr>
          <w:lang w:val="en-AU"/>
        </w:rPr>
        <w:t>professionally diminished</w:t>
      </w:r>
      <w:r w:rsidR="00EA75FA">
        <w:rPr>
          <w:lang w:val="en-AU"/>
        </w:rPr>
        <w:t xml:space="preserve"> by the thought that I, or those who might seek my services, should see themselves as ‘charity cases’.</w:t>
      </w:r>
      <w:r w:rsidR="00E85C9F">
        <w:rPr>
          <w:rStyle w:val="EndnoteReference"/>
          <w:lang w:val="en-AU"/>
        </w:rPr>
        <w:endnoteReference w:id="8"/>
      </w:r>
      <w:r w:rsidR="00EA75FA">
        <w:rPr>
          <w:lang w:val="en-AU"/>
        </w:rPr>
        <w:t xml:space="preserve"> </w:t>
      </w:r>
      <w:r w:rsidR="004D455D">
        <w:rPr>
          <w:lang w:val="en-AU"/>
        </w:rPr>
        <w:t>My resolution of this question (at least in part) is</w:t>
      </w:r>
      <w:r w:rsidR="002E11D2">
        <w:rPr>
          <w:lang w:val="en-AU"/>
        </w:rPr>
        <w:t xml:space="preserve"> answered by this:</w:t>
      </w:r>
    </w:p>
    <w:p w:rsidR="002E11D2" w:rsidRDefault="002E11D2">
      <w:pPr>
        <w:pStyle w:val="FaxBodyText"/>
        <w:framePr w:hSpace="0" w:wrap="auto" w:vAnchor="margin" w:yAlign="inline"/>
        <w:rPr>
          <w:lang w:val="en-AU"/>
        </w:rPr>
      </w:pPr>
    </w:p>
    <w:p w:rsidR="002E11D2" w:rsidRDefault="002E11D2" w:rsidP="002E11D2">
      <w:pPr>
        <w:pStyle w:val="FaxBodyText"/>
        <w:framePr w:wrap="around"/>
        <w:ind w:left="720"/>
      </w:pPr>
      <w:r>
        <w:t xml:space="preserve">If we think of all three indicia (dignity, independence and democracy), then requiring people to live under the </w:t>
      </w:r>
      <w:proofErr w:type="spellStart"/>
      <w:r>
        <w:t>spectre</w:t>
      </w:r>
      <w:proofErr w:type="spellEnd"/>
      <w:r>
        <w:t xml:space="preserve"> of guidelines which are technically unenforceable but practically immutable, while also having failed to come under any Parliamentary scrutiny,  should be (and be seen as) immediately unacceptable. Yet, if past </w:t>
      </w:r>
      <w:proofErr w:type="spellStart"/>
      <w:r>
        <w:t>practise</w:t>
      </w:r>
      <w:proofErr w:type="spellEnd"/>
      <w:r>
        <w:t xml:space="preserve"> is any indication, guidelines and </w:t>
      </w:r>
      <w:proofErr w:type="spellStart"/>
      <w:r>
        <w:t>MoUs</w:t>
      </w:r>
      <w:proofErr w:type="spellEnd"/>
      <w:r>
        <w:t xml:space="preserve"> will likely lay at the heart of devolution and outsourcing.  Thus, our political leaders, on all sides of politics, will be able to politely excuse themselves from addressing the detail of the difficulties faced by those who are living with housing stress, disabilities and other frailties of age.  However, just as</w:t>
      </w:r>
      <w:r w:rsidR="000320C3">
        <w:t xml:space="preserve"> the Right Hon. Pierre Trudeau </w:t>
      </w:r>
      <w:r>
        <w:t xml:space="preserve">sought to bring the British North America Act (the Canadian </w:t>
      </w:r>
      <w:r w:rsidR="000320C3">
        <w:t xml:space="preserve">Constitution) ‘home to Canada’ </w:t>
      </w:r>
      <w:r>
        <w:t xml:space="preserve">it is long overdue to </w:t>
      </w:r>
      <w:proofErr w:type="spellStart"/>
      <w:r>
        <w:t>Patriation</w:t>
      </w:r>
      <w:proofErr w:type="spellEnd"/>
      <w:r>
        <w:t xml:space="preserve"> agency guidelines back home to Parliament, as regulations. From here, our citizenship cannot be ignored or ‘devolved away’ by any Minster or Government. </w:t>
      </w:r>
    </w:p>
    <w:p w:rsidR="002E11D2" w:rsidRDefault="002E11D2" w:rsidP="002E11D2">
      <w:pPr>
        <w:pStyle w:val="FaxBodyText"/>
        <w:framePr w:wrap="around"/>
        <w:ind w:left="720"/>
      </w:pPr>
    </w:p>
    <w:p w:rsidR="002E11D2" w:rsidRDefault="002E11D2" w:rsidP="002E11D2">
      <w:pPr>
        <w:pStyle w:val="FaxBodyText"/>
        <w:framePr w:wrap="around"/>
        <w:ind w:left="720"/>
      </w:pPr>
      <w:r>
        <w:t>If parliamentarians still decline to follow the legitimate and (most importantly) justiciable route of approving regulations, then they should leave us free to set up our own Minder-style arrangements, liberated from the yoke of the not-for-profit/charitable sector and the bureaucracy’s guidelines. Perhaps Aeschylus (quoted at the beginning of this submission) had some more Nostradamus-like insights which he thought better of mentioning?</w:t>
      </w:r>
    </w:p>
    <w:p w:rsidR="002E11D2" w:rsidRDefault="002E11D2" w:rsidP="002E11D2">
      <w:pPr>
        <w:pStyle w:val="FaxBodyText"/>
        <w:framePr w:wrap="around"/>
        <w:ind w:left="720"/>
      </w:pPr>
      <w:r>
        <w:t xml:space="preserve"> </w:t>
      </w:r>
    </w:p>
    <w:p w:rsidR="002E11D2" w:rsidRDefault="002E11D2" w:rsidP="002E11D2">
      <w:pPr>
        <w:pStyle w:val="FaxBodyText"/>
        <w:framePr w:hSpace="0" w:wrap="auto" w:vAnchor="margin" w:yAlign="inline"/>
        <w:ind w:left="720"/>
      </w:pPr>
      <w:r>
        <w:t>Secondly, the importance of such a change in approach (that is: bringing guidelines back to Parliament) signifies one vital point: there is one Government in NSW</w:t>
      </w:r>
      <w:r w:rsidR="000320C3">
        <w:t xml:space="preserve"> (or Australia)</w:t>
      </w:r>
      <w:r>
        <w:t xml:space="preserve">. My own experience is that larger charities in particular, can feel and function more like miniature, self-contained governments; in this I concur with earlier cited comments of Hughes about charities becoming mere ‘silos of government,’   but go further to suggest some become Monaco-like, containing many “regal” egocentrics, absent the casinos and Grand Prix.    Meanwhile, many of the case workers in the same charitable </w:t>
      </w:r>
      <w:proofErr w:type="spellStart"/>
      <w:r>
        <w:t>organisations</w:t>
      </w:r>
      <w:proofErr w:type="spellEnd"/>
      <w:r>
        <w:t xml:space="preserve"> will conduct themselves in the lecturing manner observed by Aeschylus, but have neither the wit nor wisdom to ever perceive the chaos and pain they bring to other people’s lives</w:t>
      </w:r>
      <w:r w:rsidR="000320C3">
        <w:t>.</w:t>
      </w:r>
      <w:r w:rsidR="000320C3">
        <w:rPr>
          <w:rStyle w:val="EndnoteReference"/>
        </w:rPr>
        <w:endnoteReference w:id="9"/>
      </w:r>
    </w:p>
    <w:p w:rsidR="00524B73" w:rsidRDefault="00524B73">
      <w:pPr>
        <w:pStyle w:val="FaxBodyText"/>
        <w:framePr w:hSpace="0" w:wrap="auto" w:vAnchor="margin" w:yAlign="inline"/>
      </w:pPr>
    </w:p>
    <w:p w:rsidR="00524B73" w:rsidRDefault="00B82E88">
      <w:pPr>
        <w:pStyle w:val="FaxBodyText"/>
        <w:framePr w:hSpace="0" w:wrap="auto" w:vAnchor="margin" w:yAlign="inline"/>
      </w:pPr>
      <w:r>
        <w:t xml:space="preserve">In short, to think we can improve access to justice simply by looking at the justice system in isolation is wrong. The Parliament (or as in Westminster tradition the ‘High Court of Parliament’) should </w:t>
      </w:r>
      <w:r w:rsidR="00E11E66">
        <w:t>assume more direct responsibility. While appreciating that the Westminster model does not translate exactly in the Australian federated constitutional context, it should not be enti</w:t>
      </w:r>
      <w:r w:rsidR="004E0B53">
        <w:t>rely dismissed. In my view, if there is a discernable public interest at all, it is best expressed through Australia’s parliaments and not our Courts.</w:t>
      </w:r>
    </w:p>
    <w:p w:rsidR="004E0B53" w:rsidRDefault="004E0B53">
      <w:pPr>
        <w:pStyle w:val="FaxBodyText"/>
        <w:framePr w:hSpace="0" w:wrap="auto" w:vAnchor="margin" w:yAlign="inline"/>
      </w:pPr>
    </w:p>
    <w:p w:rsidR="004E0B53" w:rsidRDefault="004E0B53">
      <w:pPr>
        <w:pStyle w:val="FaxBodyText"/>
        <w:framePr w:hSpace="0" w:wrap="auto" w:vAnchor="margin" w:yAlign="inline"/>
      </w:pPr>
      <w:r>
        <w:t>Yours faithfully,</w:t>
      </w:r>
    </w:p>
    <w:p w:rsidR="004E0B53" w:rsidRDefault="004E0B53">
      <w:pPr>
        <w:pStyle w:val="FaxBodyText"/>
        <w:framePr w:hSpace="0" w:wrap="auto" w:vAnchor="margin" w:yAlign="inline"/>
      </w:pPr>
    </w:p>
    <w:p w:rsidR="004E0B53" w:rsidRDefault="004E0B53">
      <w:pPr>
        <w:pStyle w:val="FaxBodyText"/>
        <w:framePr w:hSpace="0" w:wrap="auto" w:vAnchor="margin" w:yAlign="inline"/>
      </w:pPr>
      <w:r>
        <w:t>Adam Johnston</w:t>
      </w:r>
    </w:p>
    <w:p w:rsidR="004E0B53" w:rsidRDefault="004E0B53">
      <w:pPr>
        <w:pStyle w:val="FaxBodyText"/>
        <w:framePr w:hSpace="0" w:wrap="auto" w:vAnchor="margin" w:yAlign="inline"/>
      </w:pPr>
    </w:p>
    <w:p w:rsidR="00524B73" w:rsidRDefault="00950BD0">
      <w:pPr>
        <w:pStyle w:val="FaxBodyText"/>
        <w:framePr w:hSpace="0" w:wrap="auto" w:vAnchor="margin" w:yAlign="inline"/>
      </w:pPr>
      <w:r>
        <w:t>Endnotes</w:t>
      </w:r>
    </w:p>
    <w:sectPr w:rsidR="00524B73" w:rsidSect="003F0E6F">
      <w:headerReference w:type="default" r:id="rId11"/>
      <w:footerReference w:type="default" r:id="rId12"/>
      <w:pgSz w:w="12240" w:h="15840"/>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84" w:rsidRDefault="00BE4184">
      <w:r>
        <w:separator/>
      </w:r>
    </w:p>
  </w:endnote>
  <w:endnote w:type="continuationSeparator" w:id="0">
    <w:p w:rsidR="00BE4184" w:rsidRDefault="00BE4184">
      <w:r>
        <w:continuationSeparator/>
      </w:r>
    </w:p>
  </w:endnote>
  <w:endnote w:id="1">
    <w:p w:rsidR="003477B1" w:rsidRPr="003477B1" w:rsidRDefault="003477B1">
      <w:pPr>
        <w:pStyle w:val="EndnoteText"/>
        <w:rPr>
          <w:lang w:val="en-AU"/>
        </w:rPr>
      </w:pPr>
      <w:r>
        <w:rPr>
          <w:rStyle w:val="EndnoteReference"/>
        </w:rPr>
        <w:endnoteRef/>
      </w:r>
      <w:r>
        <w:t xml:space="preserve"> </w:t>
      </w:r>
      <w:r>
        <w:rPr>
          <w:lang w:val="en-AU"/>
        </w:rPr>
        <w:t xml:space="preserve">Geoffrey Edwards, </w:t>
      </w:r>
      <w:r w:rsidRPr="00531EE1">
        <w:rPr>
          <w:i/>
          <w:lang w:val="en-AU"/>
        </w:rPr>
        <w:t xml:space="preserve">Defining the </w:t>
      </w:r>
      <w:r w:rsidR="00D37F96" w:rsidRPr="00531EE1">
        <w:rPr>
          <w:i/>
          <w:lang w:val="en-AU"/>
        </w:rPr>
        <w:t>‘</w:t>
      </w:r>
      <w:r w:rsidRPr="00531EE1">
        <w:rPr>
          <w:i/>
          <w:lang w:val="en-AU"/>
        </w:rPr>
        <w:t>Public Interest’</w:t>
      </w:r>
      <w:r w:rsidR="00D37F96">
        <w:rPr>
          <w:lang w:val="en-AU"/>
        </w:rPr>
        <w:t xml:space="preserve">- a thesis submitted in fulfilment of the requirements of a Doctor of Philosophy, Griffith Business School, Department of Politics and Public Policy, </w:t>
      </w:r>
      <w:r w:rsidR="00531EE1">
        <w:rPr>
          <w:lang w:val="en-AU"/>
        </w:rPr>
        <w:t xml:space="preserve">Griffith University, </w:t>
      </w:r>
      <w:r w:rsidR="00D37F96">
        <w:rPr>
          <w:lang w:val="en-AU"/>
        </w:rPr>
        <w:t>June 2007, pp. 254 – 255</w:t>
      </w:r>
      <w:r w:rsidR="00531EE1">
        <w:rPr>
          <w:lang w:val="en-AU"/>
        </w:rPr>
        <w:t xml:space="preserve">, </w:t>
      </w:r>
      <w:hyperlink r:id="rId1" w:history="1">
        <w:r w:rsidR="00531EE1" w:rsidRPr="0065278C">
          <w:rPr>
            <w:rStyle w:val="Hyperlink"/>
            <w:lang w:val="en-AU"/>
          </w:rPr>
          <w:t>http://www.griffith.edu.au//ins/collections/adt/</w:t>
        </w:r>
      </w:hyperlink>
      <w:r w:rsidR="00531EE1">
        <w:rPr>
          <w:lang w:val="en-AU"/>
        </w:rPr>
        <w:t xml:space="preserve"> as at </w:t>
      </w:r>
      <w:r w:rsidR="002E23AB">
        <w:rPr>
          <w:lang w:val="en-AU"/>
        </w:rPr>
        <w:t>16 November 2012</w:t>
      </w:r>
    </w:p>
  </w:endnote>
  <w:endnote w:id="2">
    <w:p w:rsidR="00531EE1" w:rsidRPr="00531EE1" w:rsidRDefault="00531EE1">
      <w:pPr>
        <w:pStyle w:val="EndnoteText"/>
        <w:rPr>
          <w:lang w:val="en-AU"/>
        </w:rPr>
      </w:pPr>
      <w:r>
        <w:rPr>
          <w:rStyle w:val="EndnoteReference"/>
        </w:rPr>
        <w:endnoteRef/>
      </w:r>
      <w:r>
        <w:t xml:space="preserve"> </w:t>
      </w:r>
      <w:r>
        <w:rPr>
          <w:lang w:val="en-AU"/>
        </w:rPr>
        <w:t xml:space="preserve">See ibid, </w:t>
      </w:r>
      <w:r w:rsidR="002E23AB">
        <w:rPr>
          <w:lang w:val="en-AU"/>
        </w:rPr>
        <w:t>p.</w:t>
      </w:r>
      <w:r w:rsidR="00C530EF">
        <w:rPr>
          <w:lang w:val="en-AU"/>
        </w:rPr>
        <w:t>255</w:t>
      </w:r>
    </w:p>
  </w:endnote>
  <w:endnote w:id="3">
    <w:p w:rsidR="00134D29" w:rsidRPr="00134D29" w:rsidRDefault="00134D29">
      <w:pPr>
        <w:pStyle w:val="EndnoteText"/>
        <w:rPr>
          <w:lang w:val="en-AU"/>
        </w:rPr>
      </w:pPr>
      <w:r>
        <w:rPr>
          <w:rStyle w:val="EndnoteReference"/>
        </w:rPr>
        <w:endnoteRef/>
      </w:r>
      <w:r>
        <w:t xml:space="preserve"> </w:t>
      </w:r>
      <w:r>
        <w:rPr>
          <w:lang w:val="en-AU"/>
        </w:rPr>
        <w:t>Ibid., p.252</w:t>
      </w:r>
    </w:p>
  </w:endnote>
  <w:endnote w:id="4">
    <w:p w:rsidR="00E6091A" w:rsidRPr="00E6091A" w:rsidRDefault="00E6091A">
      <w:pPr>
        <w:pStyle w:val="EndnoteText"/>
        <w:rPr>
          <w:lang w:val="en-AU"/>
        </w:rPr>
      </w:pPr>
      <w:r>
        <w:rPr>
          <w:rStyle w:val="EndnoteReference"/>
        </w:rPr>
        <w:endnoteRef/>
      </w:r>
      <w:r>
        <w:t xml:space="preserve"> </w:t>
      </w:r>
      <w:r>
        <w:rPr>
          <w:lang w:val="en-AU"/>
        </w:rPr>
        <w:t>See</w:t>
      </w:r>
      <w:r w:rsidR="00FD06BB">
        <w:rPr>
          <w:lang w:val="en-AU"/>
        </w:rPr>
        <w:t xml:space="preserve"> generally, </w:t>
      </w:r>
      <w:r w:rsidR="00FD06BB">
        <w:rPr>
          <w:i/>
          <w:lang w:val="en-AU"/>
        </w:rPr>
        <w:t xml:space="preserve">Recall Elections for New South Wales? Report of the Panel of Constitutional Experts, </w:t>
      </w:r>
      <w:r w:rsidR="00613E57">
        <w:rPr>
          <w:lang w:val="en-AU"/>
        </w:rPr>
        <w:t xml:space="preserve">NSW Department of Premier and Cabinet, September 2011, </w:t>
      </w:r>
      <w:hyperlink r:id="rId2" w:history="1">
        <w:r w:rsidR="00FD06BB" w:rsidRPr="0065278C">
          <w:rPr>
            <w:rStyle w:val="Hyperlink"/>
            <w:lang w:val="en-AU"/>
          </w:rPr>
          <w:t>http://www.gtcentre.unsw.edu.au/sites/gtcentre.unsw.edu.au/files/Recall%20Report_0.pdf</w:t>
        </w:r>
      </w:hyperlink>
      <w:r w:rsidR="00FD06BB">
        <w:rPr>
          <w:lang w:val="en-AU"/>
        </w:rPr>
        <w:t xml:space="preserve"> </w:t>
      </w:r>
      <w:r w:rsidR="00613E57">
        <w:rPr>
          <w:lang w:val="en-AU"/>
        </w:rPr>
        <w:t>as at 10 June 2014</w:t>
      </w:r>
    </w:p>
  </w:endnote>
  <w:endnote w:id="5">
    <w:p w:rsidR="009C2114" w:rsidRPr="009C2114" w:rsidRDefault="009C2114">
      <w:pPr>
        <w:pStyle w:val="EndnoteText"/>
        <w:rPr>
          <w:lang w:val="en-AU"/>
        </w:rPr>
      </w:pPr>
      <w:r>
        <w:rPr>
          <w:rStyle w:val="EndnoteReference"/>
        </w:rPr>
        <w:endnoteRef/>
      </w:r>
      <w:r>
        <w:t xml:space="preserve"> </w:t>
      </w:r>
      <w:r>
        <w:rPr>
          <w:lang w:val="en-AU"/>
        </w:rPr>
        <w:t xml:space="preserve">See my submission to the Expert Panel at </w:t>
      </w:r>
      <w:hyperlink r:id="rId3" w:history="1">
        <w:r w:rsidRPr="0065278C">
          <w:rPr>
            <w:rStyle w:val="Hyperlink"/>
            <w:lang w:val="en-AU"/>
          </w:rPr>
          <w:t>http://www.dpc.nsw.gov.au/__data/assets/pdf_file/0008/131120/06_Johnston.pdf</w:t>
        </w:r>
      </w:hyperlink>
      <w:r>
        <w:rPr>
          <w:lang w:val="en-AU"/>
        </w:rPr>
        <w:t xml:space="preserve"> as at 10 June 2014</w:t>
      </w:r>
    </w:p>
  </w:endnote>
  <w:endnote w:id="6">
    <w:p w:rsidR="003E091A" w:rsidRPr="003E091A" w:rsidRDefault="003E091A" w:rsidP="00EA75FA">
      <w:pPr>
        <w:pStyle w:val="FootnoteText"/>
      </w:pPr>
      <w:r>
        <w:rPr>
          <w:rStyle w:val="EndnoteReference"/>
        </w:rPr>
        <w:endnoteRef/>
      </w:r>
      <w:r>
        <w:t xml:space="preserve"> </w:t>
      </w:r>
      <w:r w:rsidRPr="003F027E">
        <w:rPr>
          <w:rFonts w:cs="Times New Roman"/>
          <w:color w:val="000000"/>
        </w:rPr>
        <w:t xml:space="preserve">The Hon. Rob Hulls MP, Ceremonial - </w:t>
      </w:r>
      <w:r w:rsidRPr="003F027E">
        <w:rPr>
          <w:rFonts w:cs="Times New Roman"/>
          <w:i/>
          <w:iCs/>
          <w:color w:val="000000"/>
        </w:rPr>
        <w:t>Special Sitting at Melbourne - Centenary of High Court of</w:t>
      </w:r>
      <w:r>
        <w:rPr>
          <w:rFonts w:cs="Times New Roman"/>
          <w:i/>
          <w:iCs/>
          <w:color w:val="000000"/>
        </w:rPr>
        <w:t xml:space="preserve"> </w:t>
      </w:r>
      <w:r w:rsidRPr="003F027E">
        <w:rPr>
          <w:rFonts w:cs="Times New Roman"/>
          <w:i/>
          <w:iCs/>
          <w:color w:val="000000"/>
        </w:rPr>
        <w:t>Australia</w:t>
      </w:r>
      <w:r w:rsidRPr="003F027E">
        <w:rPr>
          <w:rFonts w:cs="Times New Roman"/>
          <w:color w:val="000000"/>
        </w:rPr>
        <w:t xml:space="preserve"> [2003] </w:t>
      </w:r>
      <w:proofErr w:type="spellStart"/>
      <w:r w:rsidRPr="003F027E">
        <w:rPr>
          <w:rFonts w:cs="Times New Roman"/>
          <w:color w:val="000000"/>
        </w:rPr>
        <w:t>HCATrans</w:t>
      </w:r>
      <w:proofErr w:type="spellEnd"/>
      <w:r w:rsidRPr="003F027E">
        <w:rPr>
          <w:rFonts w:cs="Times New Roman"/>
          <w:color w:val="000000"/>
        </w:rPr>
        <w:t xml:space="preserve"> 406 (6 October 2003) Last Updated: 25 November 2003, [2003]</w:t>
      </w:r>
      <w:r>
        <w:rPr>
          <w:rFonts w:cs="Times New Roman"/>
          <w:color w:val="000000"/>
        </w:rPr>
        <w:t xml:space="preserve"> </w:t>
      </w:r>
      <w:proofErr w:type="spellStart"/>
      <w:r w:rsidRPr="003F027E">
        <w:rPr>
          <w:rFonts w:cs="Times New Roman"/>
          <w:color w:val="000000"/>
        </w:rPr>
        <w:t>HCATrans</w:t>
      </w:r>
      <w:proofErr w:type="spellEnd"/>
      <w:r w:rsidRPr="003F027E">
        <w:rPr>
          <w:rFonts w:cs="Times New Roman"/>
          <w:color w:val="000000"/>
        </w:rPr>
        <w:t xml:space="preserve"> 406, </w:t>
      </w:r>
      <w:hyperlink r:id="rId4" w:history="1">
        <w:r w:rsidRPr="003F027E">
          <w:rPr>
            <w:rStyle w:val="Hyperlink"/>
            <w:rFonts w:cs="Times New Roman"/>
          </w:rPr>
          <w:t>http://www.austlii.edu.au/cgibin/sinodisp/au/other/HCATrans/2003/406.html?stem=0&amp;synonyms=0&amp;query=^%20high%20court%20centenary</w:t>
        </w:r>
      </w:hyperlink>
      <w:r w:rsidRPr="003F027E">
        <w:rPr>
          <w:rFonts w:cs="Times New Roman"/>
          <w:color w:val="0000FF"/>
        </w:rPr>
        <w:t xml:space="preserve"> </w:t>
      </w:r>
      <w:r w:rsidRPr="003F027E">
        <w:rPr>
          <w:rFonts w:cs="Times New Roman"/>
          <w:color w:val="000000"/>
        </w:rPr>
        <w:t>as at 20 June 2010</w:t>
      </w:r>
    </w:p>
  </w:endnote>
  <w:endnote w:id="7">
    <w:p w:rsidR="00EA75FA" w:rsidRPr="00E85C9F" w:rsidRDefault="00EA75FA">
      <w:pPr>
        <w:pStyle w:val="EndnoteText"/>
        <w:rPr>
          <w:lang w:val="en-AU"/>
        </w:rPr>
      </w:pPr>
      <w:r>
        <w:rPr>
          <w:rStyle w:val="EndnoteReference"/>
        </w:rPr>
        <w:endnoteRef/>
      </w:r>
      <w:r>
        <w:t xml:space="preserve"> See for example</w:t>
      </w:r>
      <w:r w:rsidR="00E85C9F">
        <w:t>,</w:t>
      </w:r>
      <w:r>
        <w:t xml:space="preserve"> my </w:t>
      </w:r>
      <w:r w:rsidR="00E85C9F">
        <w:t xml:space="preserve">submission to the NSW Public Accounts Committee: </w:t>
      </w:r>
      <w:r w:rsidR="00E85C9F" w:rsidRPr="00E85C9F">
        <w:rPr>
          <w:i/>
        </w:rPr>
        <w:t>Efficiency and Effectiveness of the Audit Office of NSW (Inquiry)</w:t>
      </w:r>
      <w:r w:rsidR="00E85C9F">
        <w:rPr>
          <w:i/>
        </w:rPr>
        <w:t xml:space="preserve">, </w:t>
      </w:r>
      <w:r w:rsidR="00E85C9F">
        <w:t xml:space="preserve">available at </w:t>
      </w:r>
      <w:hyperlink r:id="rId5" w:history="1">
        <w:r w:rsidR="00E85C9F" w:rsidRPr="00E85C9F">
          <w:rPr>
            <w:rStyle w:val="Hyperlink"/>
          </w:rPr>
          <w:t>https://www.parliament.nsw.gov.au/prod/parlment/committee.nsf/0/bddedc83e0a9ff20ca257bcf000c442c/$FILE/Submission%20No%207.pdf</w:t>
        </w:r>
      </w:hyperlink>
      <w:r w:rsidR="00E85C9F" w:rsidRPr="00E85C9F">
        <w:t xml:space="preserve"> </w:t>
      </w:r>
      <w:r w:rsidR="00E85C9F">
        <w:t xml:space="preserve">as at 10 June 2014.  In this submission I ask whether the outsourcing of community services has denuded many people of their citizenship. </w:t>
      </w:r>
    </w:p>
  </w:endnote>
  <w:endnote w:id="8">
    <w:p w:rsidR="00E85C9F" w:rsidRPr="008F33D1" w:rsidRDefault="00E85C9F">
      <w:pPr>
        <w:pStyle w:val="EndnoteText"/>
        <w:rPr>
          <w:lang w:val="en-AU"/>
        </w:rPr>
      </w:pPr>
      <w:r>
        <w:rPr>
          <w:rStyle w:val="EndnoteReference"/>
        </w:rPr>
        <w:endnoteRef/>
      </w:r>
      <w:r>
        <w:t xml:space="preserve"> </w:t>
      </w:r>
      <w:r w:rsidR="000E7FA6">
        <w:t xml:space="preserve">It is worth noting how many negatives come with not-for-profit service provision.  In terms of employment, I would describe </w:t>
      </w:r>
      <w:r w:rsidR="002004CA">
        <w:t xml:space="preserve">many </w:t>
      </w:r>
      <w:r w:rsidR="000E7FA6">
        <w:t>disability employment scheme</w:t>
      </w:r>
      <w:r w:rsidR="002004CA">
        <w:t>s</w:t>
      </w:r>
      <w:r w:rsidR="000E7FA6">
        <w:t xml:space="preserve"> as appalling and indefensible</w:t>
      </w:r>
      <w:r w:rsidR="002004CA">
        <w:t>,</w:t>
      </w:r>
      <w:r w:rsidR="000E7FA6">
        <w:t xml:space="preserve"> in </w:t>
      </w:r>
      <w:r w:rsidR="002004CA">
        <w:t>regards of terms and conditions offered to employees</w:t>
      </w:r>
      <w:r w:rsidR="008F33D1">
        <w:t xml:space="preserve"> with disabilities</w:t>
      </w:r>
      <w:r w:rsidR="002004CA">
        <w:t>; see Appendix 1 and also my subsequent submission</w:t>
      </w:r>
      <w:r w:rsidR="003B746A">
        <w:t xml:space="preserve"> to the (Australian Law Reform Commission) ALRC’s </w:t>
      </w:r>
      <w:r w:rsidR="008F33D1">
        <w:t xml:space="preserve">Inquiry into </w:t>
      </w:r>
      <w:r w:rsidR="008F33D1">
        <w:rPr>
          <w:i/>
        </w:rPr>
        <w:t xml:space="preserve">Equity, Capacity and Disability in Commonwealth Laws </w:t>
      </w:r>
      <w:r w:rsidR="008F33D1">
        <w:t xml:space="preserve">at </w:t>
      </w:r>
      <w:hyperlink r:id="rId6" w:history="1">
        <w:r w:rsidR="008F33D1" w:rsidRPr="0065278C">
          <w:rPr>
            <w:rStyle w:val="Hyperlink"/>
          </w:rPr>
          <w:t>http://www.alrc.gov.au/sites/default/files/subs/12._a_johnston.pdf</w:t>
        </w:r>
      </w:hyperlink>
      <w:r w:rsidR="008F33D1">
        <w:t xml:space="preserve"> as at 10 June 2014</w:t>
      </w:r>
    </w:p>
  </w:endnote>
  <w:endnote w:id="9">
    <w:p w:rsidR="000320C3" w:rsidRPr="000320C3" w:rsidRDefault="000320C3">
      <w:pPr>
        <w:pStyle w:val="EndnoteText"/>
        <w:rPr>
          <w:lang w:val="en-AU"/>
        </w:rPr>
      </w:pPr>
      <w:r>
        <w:rPr>
          <w:rStyle w:val="EndnoteReference"/>
        </w:rPr>
        <w:endnoteRef/>
      </w:r>
      <w:r>
        <w:t xml:space="preserve"> Document ‘in confidence’ pp. 11-12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BF0" w:rsidRDefault="0060219A" w:rsidP="0060219A">
    <w:pPr>
      <w:jc w:val="center"/>
      <w:rPr>
        <w:rFonts w:ascii="Calibri" w:eastAsia="Calibri" w:hAnsi="Calibri" w:cs="Times New Roman"/>
        <w:b/>
        <w:bCs/>
        <w:i/>
        <w:caps/>
        <w:color w:val="7030A0"/>
        <w:sz w:val="14"/>
        <w:szCs w:val="24"/>
      </w:rPr>
    </w:pPr>
    <w:proofErr w:type="spellStart"/>
    <w:r w:rsidRPr="0004265A">
      <w:rPr>
        <w:rFonts w:ascii="Calibri" w:eastAsia="Calibri" w:hAnsi="Calibri" w:cs="Times New Roman"/>
        <w:b/>
        <w:bCs/>
        <w:color w:val="17365D"/>
        <w:sz w:val="22"/>
        <w:szCs w:val="40"/>
      </w:rPr>
      <w:t>ADJ</w:t>
    </w:r>
    <w:proofErr w:type="spellEnd"/>
    <w:r w:rsidRPr="0004265A">
      <w:rPr>
        <w:rFonts w:ascii="Calibri" w:eastAsia="Calibri" w:hAnsi="Calibri" w:cs="Times New Roman"/>
        <w:b/>
        <w:bCs/>
        <w:color w:val="17365D"/>
        <w:sz w:val="22"/>
        <w:szCs w:val="40"/>
      </w:rPr>
      <w:t xml:space="preserve"> Consultancy Services</w:t>
    </w:r>
    <w:r w:rsidRPr="0004265A">
      <w:rPr>
        <w:rFonts w:ascii="Calibri" w:eastAsia="Calibri" w:hAnsi="Calibri" w:cs="Times New Roman"/>
        <w:b/>
        <w:bCs/>
        <w:color w:val="17365D"/>
        <w:sz w:val="14"/>
        <w:szCs w:val="24"/>
        <w:vertAlign w:val="superscript"/>
      </w:rPr>
      <w:t>©</w:t>
    </w:r>
  </w:p>
  <w:p w:rsidR="0060219A" w:rsidRPr="0004265A" w:rsidRDefault="0060219A" w:rsidP="0060219A">
    <w:pPr>
      <w:jc w:val="center"/>
      <w:rPr>
        <w:rFonts w:ascii="Calibri" w:eastAsia="Calibri" w:hAnsi="Calibri" w:cs="Times New Roman"/>
        <w:b/>
        <w:bCs/>
        <w:color w:val="17365D"/>
        <w:sz w:val="22"/>
        <w:szCs w:val="40"/>
        <w:vertAlign w:val="superscript"/>
      </w:rPr>
    </w:pPr>
    <w:r w:rsidRPr="0004265A">
      <w:rPr>
        <w:rFonts w:ascii="Calibri" w:eastAsia="Calibri" w:hAnsi="Calibri" w:cs="Times New Roman"/>
        <w:b/>
        <w:bCs/>
        <w:i/>
        <w:caps/>
        <w:color w:val="7030A0"/>
        <w:sz w:val="14"/>
        <w:szCs w:val="24"/>
      </w:rPr>
      <w:t xml:space="preserve"> post: 35 Woolrych crescent davidson n.s.w 2085 australia</w:t>
    </w:r>
    <w:r>
      <w:rPr>
        <w:rFonts w:ascii="Calibri" w:eastAsia="Calibri" w:hAnsi="Calibri" w:cs="Times New Roman"/>
        <w:b/>
        <w:bCs/>
        <w:color w:val="17365D"/>
        <w:sz w:val="22"/>
        <w:szCs w:val="40"/>
        <w:vertAlign w:val="superscript"/>
      </w:rPr>
      <w:t xml:space="preserve"> </w:t>
    </w:r>
    <w:r w:rsidRPr="0004265A">
      <w:rPr>
        <w:rFonts w:ascii="Calibri" w:eastAsia="Calibri" w:hAnsi="Calibri" w:cs="Times New Roman"/>
        <w:b/>
        <w:bCs/>
        <w:i/>
        <w:caps/>
        <w:color w:val="7030A0"/>
        <w:sz w:val="14"/>
      </w:rPr>
      <w:t>ABN: 62 275 253 029 NSW LOBBYIST No.: 62 275 253 029 (ABN) Commonwealth lobbyist no.: LR2013000559</w:t>
    </w:r>
    <w:r w:rsidR="00303F72">
      <w:rPr>
        <w:rFonts w:ascii="Calibri" w:eastAsia="Calibri" w:hAnsi="Calibri" w:cs="Times New Roman"/>
        <w:b/>
        <w:bCs/>
        <w:i/>
        <w:caps/>
        <w:color w:val="7030A0"/>
        <w:sz w:val="14"/>
      </w:rPr>
      <w:t xml:space="preserve"> </w:t>
    </w:r>
    <w:r w:rsidR="00EE27D3">
      <w:rPr>
        <w:rFonts w:ascii="Calibri" w:eastAsia="Calibri" w:hAnsi="Calibri" w:cs="Times New Roman"/>
        <w:b/>
        <w:bCs/>
        <w:i/>
        <w:caps/>
        <w:color w:val="7030A0"/>
        <w:sz w:val="14"/>
      </w:rPr>
      <w:t>–</w:t>
    </w:r>
    <w:r w:rsidR="00303F72">
      <w:rPr>
        <w:rFonts w:ascii="Calibri" w:eastAsia="Calibri" w:hAnsi="Calibri" w:cs="Times New Roman"/>
        <w:b/>
        <w:bCs/>
        <w:i/>
        <w:caps/>
        <w:color w:val="7030A0"/>
        <w:sz w:val="14"/>
      </w:rPr>
      <w:t xml:space="preserve"> </w:t>
    </w:r>
    <w:r w:rsidR="00EE27D3">
      <w:rPr>
        <w:rFonts w:ascii="Calibri" w:eastAsia="Calibri" w:hAnsi="Calibri" w:cs="Times New Roman"/>
        <w:b/>
        <w:bCs/>
        <w:i/>
        <w:caps/>
        <w:color w:val="7030A0"/>
        <w:sz w:val="14"/>
      </w:rPr>
      <w:t>REGISTERED TRADE MARK No: 15292249</w:t>
    </w:r>
  </w:p>
  <w:p w:rsidR="0060219A" w:rsidRPr="00040BF0" w:rsidRDefault="0060219A" w:rsidP="00040BF0">
    <w:pPr>
      <w:jc w:val="center"/>
      <w:rPr>
        <w:rFonts w:ascii="Calibri" w:eastAsia="Calibri" w:hAnsi="Calibri" w:cs="Times New Roman"/>
        <w:b/>
        <w:bCs/>
        <w:sz w:val="6"/>
        <w:szCs w:val="8"/>
      </w:rPr>
    </w:pPr>
    <w:r w:rsidRPr="0004265A">
      <w:rPr>
        <w:rFonts w:ascii="Lucida Calligraphy" w:eastAsia="Calibri" w:hAnsi="Lucida Calligraphy" w:cs="Times New Roman"/>
        <w:b/>
        <w:bCs/>
        <w:i/>
        <w:iCs/>
        <w:color w:val="1F497D"/>
        <w:sz w:val="16"/>
        <w:szCs w:val="28"/>
      </w:rPr>
      <w:t xml:space="preserve">Your answer, when Government won’t! </w:t>
    </w:r>
    <w:r w:rsidRPr="0004265A">
      <w:rPr>
        <w:rFonts w:ascii="Lucida Calligraphy" w:eastAsia="Calibri" w:hAnsi="Lucida Calligraphy" w:cs="Times New Roman"/>
        <w:b/>
        <w:bCs/>
        <w:i/>
        <w:iCs/>
        <w:color w:val="1F497D"/>
        <w:sz w:val="16"/>
        <w:szCs w:val="28"/>
        <w:vertAlign w:val="superscript"/>
      </w:rPr>
      <w:t>©</w:t>
    </w:r>
  </w:p>
  <w:p w:rsidR="0060219A" w:rsidRDefault="006021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84" w:rsidRDefault="00BE4184">
      <w:r>
        <w:separator/>
      </w:r>
    </w:p>
  </w:footnote>
  <w:footnote w:type="continuationSeparator" w:id="0">
    <w:p w:rsidR="00BE4184" w:rsidRDefault="00BE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9A" w:rsidRDefault="0060219A" w:rsidP="0060219A">
    <w:pPr>
      <w:jc w:val="center"/>
      <w:rPr>
        <w:rFonts w:ascii="Calibri" w:eastAsia="Calibri" w:hAnsi="Calibri" w:cs="Times New Roman"/>
        <w:b/>
        <w:bCs/>
        <w:color w:val="17365D"/>
        <w:sz w:val="40"/>
        <w:szCs w:val="40"/>
        <w:lang w:eastAsia="en-AU"/>
      </w:rPr>
    </w:pPr>
    <w:r w:rsidRPr="00B81091">
      <w:rPr>
        <w:rFonts w:eastAsiaTheme="minorEastAsia"/>
        <w:noProof/>
        <w:lang w:val="en-AU" w:eastAsia="en-AU"/>
      </w:rPr>
      <w:drawing>
        <wp:inline distT="0" distB="0" distL="0" distR="0" wp14:anchorId="5F26611F" wp14:editId="5E68BC06">
          <wp:extent cx="2672715" cy="513715"/>
          <wp:effectExtent l="0" t="0" r="0" b="635"/>
          <wp:docPr id="1" name="Picture 1" descr="image0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72715" cy="513715"/>
                  </a:xfrm>
                  <a:prstGeom prst="rect">
                    <a:avLst/>
                  </a:prstGeom>
                  <a:noFill/>
                  <a:ln>
                    <a:noFill/>
                  </a:ln>
                </pic:spPr>
              </pic:pic>
            </a:graphicData>
          </a:graphic>
        </wp:inline>
      </w:drawing>
    </w:r>
  </w:p>
  <w:p w:rsidR="0060219A" w:rsidRPr="00B81091" w:rsidRDefault="0060219A" w:rsidP="0060219A">
    <w:pPr>
      <w:jc w:val="center"/>
      <w:rPr>
        <w:rFonts w:ascii="Calibri" w:eastAsia="Calibri" w:hAnsi="Calibri" w:cs="Times New Roman"/>
        <w:b/>
        <w:bCs/>
        <w:color w:val="17365D"/>
        <w:sz w:val="40"/>
        <w:szCs w:val="40"/>
        <w:vertAlign w:val="superscript"/>
        <w:lang w:eastAsia="en-AU"/>
      </w:rPr>
    </w:pPr>
    <w:r w:rsidRPr="00B81091">
      <w:rPr>
        <w:rFonts w:ascii="Calibri" w:eastAsia="Calibri" w:hAnsi="Calibri" w:cs="Times New Roman"/>
        <w:b/>
        <w:bCs/>
        <w:color w:val="17365D"/>
        <w:sz w:val="40"/>
        <w:szCs w:val="40"/>
        <w:lang w:eastAsia="en-AU"/>
      </w:rPr>
      <w:t>ADJ Consultancy Services</w:t>
    </w:r>
    <w:r w:rsidRPr="00B81091">
      <w:rPr>
        <w:rFonts w:ascii="Calibri" w:eastAsia="Calibri" w:hAnsi="Calibri" w:cs="Times New Roman"/>
        <w:b/>
        <w:bCs/>
        <w:color w:val="17365D"/>
        <w:sz w:val="24"/>
        <w:szCs w:val="24"/>
        <w:vertAlign w:val="superscript"/>
        <w:lang w:eastAsia="en-AU"/>
      </w:rPr>
      <w:t>©</w:t>
    </w:r>
  </w:p>
  <w:p w:rsidR="0060219A" w:rsidRDefault="0060219A" w:rsidP="0060219A">
    <w:pPr>
      <w:jc w:val="center"/>
      <w:rPr>
        <w:rFonts w:ascii="Lucida Calligraphy" w:eastAsia="Calibri" w:hAnsi="Lucida Calligraphy" w:cs="Times New Roman"/>
        <w:b/>
        <w:bCs/>
        <w:i/>
        <w:iCs/>
        <w:color w:val="1F497D"/>
        <w:sz w:val="28"/>
        <w:szCs w:val="28"/>
        <w:vertAlign w:val="superscript"/>
        <w:lang w:eastAsia="en-AU"/>
      </w:rPr>
    </w:pPr>
    <w:r w:rsidRPr="00B81091">
      <w:rPr>
        <w:rFonts w:ascii="Lucida Calligraphy" w:eastAsia="Calibri" w:hAnsi="Lucida Calligraphy" w:cs="Times New Roman"/>
        <w:b/>
        <w:bCs/>
        <w:i/>
        <w:iCs/>
        <w:color w:val="1F497D"/>
        <w:sz w:val="28"/>
        <w:szCs w:val="28"/>
        <w:lang w:eastAsia="en-AU"/>
      </w:rPr>
      <w:t xml:space="preserve">Your answer, when Government won’t! </w:t>
    </w:r>
    <w:r w:rsidRPr="00B81091">
      <w:rPr>
        <w:rFonts w:ascii="Lucida Calligraphy" w:eastAsia="Calibri" w:hAnsi="Lucida Calligraphy" w:cs="Times New Roman"/>
        <w:b/>
        <w:bCs/>
        <w:i/>
        <w:iCs/>
        <w:color w:val="1F497D"/>
        <w:sz w:val="28"/>
        <w:szCs w:val="28"/>
        <w:vertAlign w:val="superscript"/>
        <w:lang w:eastAsia="en-AU"/>
      </w:rPr>
      <w:t>©</w:t>
    </w:r>
  </w:p>
  <w:p w:rsidR="0060219A" w:rsidRPr="00C84428" w:rsidRDefault="0060219A" w:rsidP="0060219A">
    <w:pPr>
      <w:jc w:val="center"/>
      <w:rPr>
        <w:rFonts w:ascii="Lucida Calligraphy" w:eastAsia="Calibri" w:hAnsi="Lucida Calligraphy" w:cs="Times New Roman"/>
        <w:b/>
        <w:bCs/>
        <w:i/>
        <w:color w:val="0070C0"/>
        <w:sz w:val="20"/>
        <w:szCs w:val="8"/>
        <w:lang w:val="en-AU" w:eastAsia="en-AU"/>
      </w:rPr>
    </w:pPr>
    <w:r w:rsidRPr="00C84428">
      <w:rPr>
        <w:rFonts w:ascii="Lucida Calligraphy" w:eastAsia="Calibri" w:hAnsi="Lucida Calligraphy" w:cs="Times New Roman"/>
        <w:b/>
        <w:bCs/>
        <w:i/>
        <w:color w:val="1F497D" w:themeColor="text2"/>
        <w:sz w:val="20"/>
        <w:szCs w:val="8"/>
        <w:lang w:val="en-AU" w:eastAsia="en-AU"/>
      </w:rPr>
      <w:t>ABN: 62 275 253 029</w:t>
    </w:r>
  </w:p>
  <w:p w:rsidR="003F0E6F" w:rsidRPr="00E0276F" w:rsidRDefault="00EE27D3" w:rsidP="00E0276F">
    <w:pPr>
      <w:pStyle w:val="Header"/>
      <w:jc w:val="center"/>
      <w:rPr>
        <w:rFonts w:ascii="Times New Roman" w:hAnsi="Times New Roman" w:cs="Times New Roman"/>
        <w:b/>
        <w:color w:val="1F497D" w:themeColor="text2"/>
        <w:sz w:val="14"/>
      </w:rPr>
    </w:pPr>
    <w:r>
      <w:rPr>
        <w:rFonts w:ascii="Times New Roman" w:hAnsi="Times New Roman" w:cs="Times New Roman"/>
        <w:b/>
        <w:color w:val="1F497D" w:themeColor="text2"/>
        <w:sz w:val="14"/>
      </w:rPr>
      <w:t xml:space="preserve">REGISTERED </w:t>
    </w:r>
    <w:r w:rsidR="00E0276F">
      <w:rPr>
        <w:rFonts w:ascii="Times New Roman" w:hAnsi="Times New Roman" w:cs="Times New Roman"/>
        <w:b/>
        <w:color w:val="1F497D" w:themeColor="text2"/>
        <w:sz w:val="14"/>
      </w:rPr>
      <w:t xml:space="preserve">TRADE MARK </w:t>
    </w:r>
    <w:r>
      <w:rPr>
        <w:rFonts w:ascii="Times New Roman" w:hAnsi="Times New Roman" w:cs="Times New Roman"/>
        <w:b/>
        <w:color w:val="1F497D" w:themeColor="text2"/>
        <w:sz w:val="14"/>
      </w:rPr>
      <w:t>No: 15292249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D4683CC"/>
    <w:lvl w:ilvl="0">
      <w:start w:val="1"/>
      <w:numFmt w:val="decimal"/>
      <w:lvlText w:val="%1."/>
      <w:lvlJc w:val="left"/>
      <w:pPr>
        <w:tabs>
          <w:tab w:val="num" w:pos="720"/>
        </w:tabs>
        <w:ind w:left="720" w:hanging="360"/>
      </w:pPr>
    </w:lvl>
  </w:abstractNum>
  <w:abstractNum w:abstractNumId="1">
    <w:nsid w:val="FFFFFF83"/>
    <w:multiLevelType w:val="singleLevel"/>
    <w:tmpl w:val="4FF024B0"/>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009229D6"/>
    <w:lvl w:ilvl="0">
      <w:start w:val="1"/>
      <w:numFmt w:val="decimal"/>
      <w:lvlText w:val="%1."/>
      <w:lvlJc w:val="left"/>
      <w:pPr>
        <w:tabs>
          <w:tab w:val="num" w:pos="360"/>
        </w:tabs>
        <w:ind w:left="360" w:hanging="360"/>
      </w:pPr>
    </w:lvl>
  </w:abstractNum>
  <w:abstractNum w:abstractNumId="3">
    <w:nsid w:val="FFFFFF89"/>
    <w:multiLevelType w:val="singleLevel"/>
    <w:tmpl w:val="885213A6"/>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3F3E0B1-028F-4E7D-AC6A-10E43CF20168}"/>
    <w:docVar w:name="dgnword-eventsink" w:val="63344616"/>
  </w:docVars>
  <w:rsids>
    <w:rsidRoot w:val="0060219A"/>
    <w:rsid w:val="000320C3"/>
    <w:rsid w:val="00040BF0"/>
    <w:rsid w:val="00047E2B"/>
    <w:rsid w:val="000607D5"/>
    <w:rsid w:val="00083B96"/>
    <w:rsid w:val="000E7FA6"/>
    <w:rsid w:val="00131042"/>
    <w:rsid w:val="00134D29"/>
    <w:rsid w:val="001357DE"/>
    <w:rsid w:val="001663DA"/>
    <w:rsid w:val="001818CD"/>
    <w:rsid w:val="001A66EB"/>
    <w:rsid w:val="001B09C3"/>
    <w:rsid w:val="002004CA"/>
    <w:rsid w:val="00220B35"/>
    <w:rsid w:val="0026730E"/>
    <w:rsid w:val="002E11D2"/>
    <w:rsid w:val="002E23AB"/>
    <w:rsid w:val="00303F72"/>
    <w:rsid w:val="00334D47"/>
    <w:rsid w:val="003477B1"/>
    <w:rsid w:val="00375E08"/>
    <w:rsid w:val="003B746A"/>
    <w:rsid w:val="003E091A"/>
    <w:rsid w:val="003F0E6F"/>
    <w:rsid w:val="00400219"/>
    <w:rsid w:val="004601AD"/>
    <w:rsid w:val="004D455D"/>
    <w:rsid w:val="004E0B53"/>
    <w:rsid w:val="00524B73"/>
    <w:rsid w:val="00531EE1"/>
    <w:rsid w:val="00532774"/>
    <w:rsid w:val="005B5237"/>
    <w:rsid w:val="005C72F4"/>
    <w:rsid w:val="005D12D0"/>
    <w:rsid w:val="0060219A"/>
    <w:rsid w:val="00613E57"/>
    <w:rsid w:val="00625A4F"/>
    <w:rsid w:val="006429A7"/>
    <w:rsid w:val="006E7380"/>
    <w:rsid w:val="00857FA0"/>
    <w:rsid w:val="008E1DAA"/>
    <w:rsid w:val="008F33D1"/>
    <w:rsid w:val="008F403B"/>
    <w:rsid w:val="009346B2"/>
    <w:rsid w:val="00950BD0"/>
    <w:rsid w:val="0095110A"/>
    <w:rsid w:val="00964E3E"/>
    <w:rsid w:val="009A0EF3"/>
    <w:rsid w:val="009C2114"/>
    <w:rsid w:val="00B67A2A"/>
    <w:rsid w:val="00B82E88"/>
    <w:rsid w:val="00BE4184"/>
    <w:rsid w:val="00C32612"/>
    <w:rsid w:val="00C530EF"/>
    <w:rsid w:val="00D37F96"/>
    <w:rsid w:val="00DF095E"/>
    <w:rsid w:val="00E0276F"/>
    <w:rsid w:val="00E0557F"/>
    <w:rsid w:val="00E11E66"/>
    <w:rsid w:val="00E53C4F"/>
    <w:rsid w:val="00E6091A"/>
    <w:rsid w:val="00E85C9F"/>
    <w:rsid w:val="00EA75FA"/>
    <w:rsid w:val="00ED4008"/>
    <w:rsid w:val="00EE27D3"/>
    <w:rsid w:val="00EE299C"/>
    <w:rsid w:val="00FC51AF"/>
    <w:rsid w:val="00FD06BB"/>
    <w:rsid w:val="00FD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0E6F"/>
    <w:pPr>
      <w:spacing w:after="0" w:line="240" w:lineRule="auto"/>
    </w:pPr>
    <w:rPr>
      <w:sz w:val="18"/>
    </w:rPr>
  </w:style>
  <w:style w:type="paragraph" w:styleId="Heading1">
    <w:name w:val="heading 1"/>
    <w:basedOn w:val="Normal"/>
    <w:next w:val="Normal"/>
    <w:link w:val="Heading1Char"/>
    <w:uiPriority w:val="1"/>
    <w:semiHidden/>
    <w:qFormat/>
    <w:rsid w:val="003F0E6F"/>
    <w:pPr>
      <w:spacing w:after="400" w:line="360" w:lineRule="auto"/>
      <w:ind w:left="-86"/>
      <w:outlineLvl w:val="0"/>
    </w:pPr>
    <w:rPr>
      <w:color w:val="D9D9D9" w:themeColor="background1" w:themeShade="D9"/>
      <w:sz w:val="96"/>
    </w:rPr>
  </w:style>
  <w:style w:type="paragraph" w:styleId="Heading2">
    <w:name w:val="heading 2"/>
    <w:basedOn w:val="Normal"/>
    <w:next w:val="Normal"/>
    <w:link w:val="Heading2Char"/>
    <w:uiPriority w:val="1"/>
    <w:semiHidden/>
    <w:qFormat/>
    <w:rsid w:val="003F0E6F"/>
    <w:pPr>
      <w:framePr w:hSpace="180" w:wrap="around" w:vAnchor="text" w:hAnchor="text" w:y="55"/>
      <w:spacing w:after="2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E6F"/>
    <w:rPr>
      <w:color w:val="808080"/>
    </w:rPr>
  </w:style>
  <w:style w:type="paragraph" w:styleId="BalloonText">
    <w:name w:val="Balloon Text"/>
    <w:basedOn w:val="Normal"/>
    <w:link w:val="BalloonTextChar"/>
    <w:uiPriority w:val="99"/>
    <w:semiHidden/>
    <w:unhideWhenUsed/>
    <w:rsid w:val="003F0E6F"/>
    <w:rPr>
      <w:rFonts w:ascii="Tahoma" w:hAnsi="Tahoma" w:cs="Tahoma"/>
      <w:sz w:val="16"/>
      <w:szCs w:val="16"/>
    </w:rPr>
  </w:style>
  <w:style w:type="character" w:customStyle="1" w:styleId="BalloonTextChar">
    <w:name w:val="Balloon Text Char"/>
    <w:basedOn w:val="DefaultParagraphFont"/>
    <w:link w:val="BalloonText"/>
    <w:uiPriority w:val="99"/>
    <w:semiHidden/>
    <w:rsid w:val="003F0E6F"/>
    <w:rPr>
      <w:rFonts w:ascii="Tahoma" w:hAnsi="Tahoma" w:cs="Tahoma"/>
      <w:sz w:val="16"/>
      <w:szCs w:val="16"/>
    </w:rPr>
  </w:style>
  <w:style w:type="character" w:customStyle="1" w:styleId="Heading1Char">
    <w:name w:val="Heading 1 Char"/>
    <w:basedOn w:val="DefaultParagraphFont"/>
    <w:link w:val="Heading1"/>
    <w:uiPriority w:val="1"/>
    <w:semiHidden/>
    <w:rsid w:val="003F0E6F"/>
    <w:rPr>
      <w:color w:val="D9D9D9" w:themeColor="background1" w:themeShade="D9"/>
      <w:sz w:val="96"/>
    </w:rPr>
  </w:style>
  <w:style w:type="table" w:styleId="TableGrid">
    <w:name w:val="Table Grid"/>
    <w:basedOn w:val="TableNormal"/>
    <w:uiPriority w:val="1"/>
    <w:rsid w:val="003F0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0E6F"/>
    <w:pPr>
      <w:tabs>
        <w:tab w:val="center" w:pos="4680"/>
        <w:tab w:val="right" w:pos="9360"/>
      </w:tabs>
    </w:pPr>
  </w:style>
  <w:style w:type="character" w:customStyle="1" w:styleId="Heading2Char">
    <w:name w:val="Heading 2 Char"/>
    <w:basedOn w:val="DefaultParagraphFont"/>
    <w:link w:val="Heading2"/>
    <w:uiPriority w:val="1"/>
    <w:semiHidden/>
    <w:rsid w:val="003F0E6F"/>
    <w:rPr>
      <w:b/>
      <w:sz w:val="18"/>
    </w:rPr>
  </w:style>
  <w:style w:type="paragraph" w:customStyle="1" w:styleId="FaxHeading">
    <w:name w:val="Fax Heading"/>
    <w:basedOn w:val="Normal"/>
    <w:qFormat/>
    <w:rsid w:val="003F0E6F"/>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3F0E6F"/>
    <w:pPr>
      <w:framePr w:hSpace="180" w:wrap="around" w:vAnchor="text" w:hAnchor="text" w:y="55"/>
      <w:spacing w:after="200"/>
    </w:pPr>
    <w:rPr>
      <w:b/>
    </w:rPr>
  </w:style>
  <w:style w:type="paragraph" w:customStyle="1" w:styleId="FaxBodyText">
    <w:name w:val="Fax Body Text"/>
    <w:basedOn w:val="Normal"/>
    <w:qFormat/>
    <w:rsid w:val="003F0E6F"/>
    <w:pPr>
      <w:framePr w:hSpace="180" w:wrap="around" w:vAnchor="text" w:hAnchor="text" w:y="55"/>
    </w:pPr>
  </w:style>
  <w:style w:type="character" w:customStyle="1" w:styleId="HeaderChar">
    <w:name w:val="Header Char"/>
    <w:basedOn w:val="DefaultParagraphFont"/>
    <w:link w:val="Header"/>
    <w:uiPriority w:val="99"/>
    <w:rsid w:val="003F0E6F"/>
    <w:rPr>
      <w:sz w:val="18"/>
    </w:rPr>
  </w:style>
  <w:style w:type="paragraph" w:styleId="Footer">
    <w:name w:val="footer"/>
    <w:basedOn w:val="Normal"/>
    <w:link w:val="FooterChar"/>
    <w:uiPriority w:val="99"/>
    <w:unhideWhenUsed/>
    <w:rsid w:val="003F0E6F"/>
    <w:pPr>
      <w:tabs>
        <w:tab w:val="center" w:pos="4680"/>
        <w:tab w:val="right" w:pos="9360"/>
      </w:tabs>
    </w:pPr>
  </w:style>
  <w:style w:type="character" w:customStyle="1" w:styleId="FooterChar">
    <w:name w:val="Footer Char"/>
    <w:basedOn w:val="DefaultParagraphFont"/>
    <w:link w:val="Footer"/>
    <w:uiPriority w:val="99"/>
    <w:rsid w:val="003F0E6F"/>
    <w:rPr>
      <w:sz w:val="18"/>
    </w:rPr>
  </w:style>
  <w:style w:type="character" w:styleId="Hyperlink">
    <w:name w:val="Hyperlink"/>
    <w:basedOn w:val="DefaultParagraphFont"/>
    <w:uiPriority w:val="99"/>
    <w:unhideWhenUsed/>
    <w:rsid w:val="0060219A"/>
    <w:rPr>
      <w:color w:val="0000FF" w:themeColor="hyperlink"/>
      <w:u w:val="single"/>
    </w:rPr>
  </w:style>
  <w:style w:type="paragraph" w:styleId="EndnoteText">
    <w:name w:val="endnote text"/>
    <w:basedOn w:val="Normal"/>
    <w:link w:val="EndnoteTextChar"/>
    <w:uiPriority w:val="99"/>
    <w:semiHidden/>
    <w:unhideWhenUsed/>
    <w:rsid w:val="003477B1"/>
    <w:rPr>
      <w:sz w:val="20"/>
      <w:szCs w:val="20"/>
    </w:rPr>
  </w:style>
  <w:style w:type="character" w:customStyle="1" w:styleId="EndnoteTextChar">
    <w:name w:val="Endnote Text Char"/>
    <w:basedOn w:val="DefaultParagraphFont"/>
    <w:link w:val="EndnoteText"/>
    <w:uiPriority w:val="99"/>
    <w:semiHidden/>
    <w:rsid w:val="003477B1"/>
    <w:rPr>
      <w:sz w:val="20"/>
      <w:szCs w:val="20"/>
    </w:rPr>
  </w:style>
  <w:style w:type="character" w:styleId="EndnoteReference">
    <w:name w:val="endnote reference"/>
    <w:basedOn w:val="DefaultParagraphFont"/>
    <w:uiPriority w:val="99"/>
    <w:semiHidden/>
    <w:unhideWhenUsed/>
    <w:rsid w:val="003477B1"/>
    <w:rPr>
      <w:vertAlign w:val="superscript"/>
    </w:rPr>
  </w:style>
  <w:style w:type="paragraph" w:styleId="FootnoteText">
    <w:name w:val="footnote text"/>
    <w:basedOn w:val="Normal"/>
    <w:link w:val="FootnoteTextChar"/>
    <w:uiPriority w:val="99"/>
    <w:unhideWhenUsed/>
    <w:rsid w:val="003E091A"/>
    <w:rPr>
      <w:sz w:val="20"/>
      <w:szCs w:val="20"/>
      <w:lang w:val="en-AU"/>
    </w:rPr>
  </w:style>
  <w:style w:type="character" w:customStyle="1" w:styleId="FootnoteTextChar">
    <w:name w:val="Footnote Text Char"/>
    <w:basedOn w:val="DefaultParagraphFont"/>
    <w:link w:val="FootnoteText"/>
    <w:uiPriority w:val="99"/>
    <w:rsid w:val="003E091A"/>
    <w:rPr>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3F0E6F"/>
    <w:pPr>
      <w:spacing w:after="0" w:line="240" w:lineRule="auto"/>
    </w:pPr>
    <w:rPr>
      <w:sz w:val="18"/>
    </w:rPr>
  </w:style>
  <w:style w:type="paragraph" w:styleId="Heading1">
    <w:name w:val="heading 1"/>
    <w:basedOn w:val="Normal"/>
    <w:next w:val="Normal"/>
    <w:link w:val="Heading1Char"/>
    <w:uiPriority w:val="1"/>
    <w:semiHidden/>
    <w:qFormat/>
    <w:rsid w:val="003F0E6F"/>
    <w:pPr>
      <w:spacing w:after="400" w:line="360" w:lineRule="auto"/>
      <w:ind w:left="-86"/>
      <w:outlineLvl w:val="0"/>
    </w:pPr>
    <w:rPr>
      <w:color w:val="D9D9D9" w:themeColor="background1" w:themeShade="D9"/>
      <w:sz w:val="96"/>
    </w:rPr>
  </w:style>
  <w:style w:type="paragraph" w:styleId="Heading2">
    <w:name w:val="heading 2"/>
    <w:basedOn w:val="Normal"/>
    <w:next w:val="Normal"/>
    <w:link w:val="Heading2Char"/>
    <w:uiPriority w:val="1"/>
    <w:semiHidden/>
    <w:qFormat/>
    <w:rsid w:val="003F0E6F"/>
    <w:pPr>
      <w:framePr w:hSpace="180" w:wrap="around" w:vAnchor="text" w:hAnchor="text" w:y="55"/>
      <w:spacing w:after="2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E6F"/>
    <w:rPr>
      <w:color w:val="808080"/>
    </w:rPr>
  </w:style>
  <w:style w:type="paragraph" w:styleId="BalloonText">
    <w:name w:val="Balloon Text"/>
    <w:basedOn w:val="Normal"/>
    <w:link w:val="BalloonTextChar"/>
    <w:uiPriority w:val="99"/>
    <w:semiHidden/>
    <w:unhideWhenUsed/>
    <w:rsid w:val="003F0E6F"/>
    <w:rPr>
      <w:rFonts w:ascii="Tahoma" w:hAnsi="Tahoma" w:cs="Tahoma"/>
      <w:sz w:val="16"/>
      <w:szCs w:val="16"/>
    </w:rPr>
  </w:style>
  <w:style w:type="character" w:customStyle="1" w:styleId="BalloonTextChar">
    <w:name w:val="Balloon Text Char"/>
    <w:basedOn w:val="DefaultParagraphFont"/>
    <w:link w:val="BalloonText"/>
    <w:uiPriority w:val="99"/>
    <w:semiHidden/>
    <w:rsid w:val="003F0E6F"/>
    <w:rPr>
      <w:rFonts w:ascii="Tahoma" w:hAnsi="Tahoma" w:cs="Tahoma"/>
      <w:sz w:val="16"/>
      <w:szCs w:val="16"/>
    </w:rPr>
  </w:style>
  <w:style w:type="character" w:customStyle="1" w:styleId="Heading1Char">
    <w:name w:val="Heading 1 Char"/>
    <w:basedOn w:val="DefaultParagraphFont"/>
    <w:link w:val="Heading1"/>
    <w:uiPriority w:val="1"/>
    <w:semiHidden/>
    <w:rsid w:val="003F0E6F"/>
    <w:rPr>
      <w:color w:val="D9D9D9" w:themeColor="background1" w:themeShade="D9"/>
      <w:sz w:val="96"/>
    </w:rPr>
  </w:style>
  <w:style w:type="table" w:styleId="TableGrid">
    <w:name w:val="Table Grid"/>
    <w:basedOn w:val="TableNormal"/>
    <w:uiPriority w:val="1"/>
    <w:rsid w:val="003F0E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F0E6F"/>
    <w:pPr>
      <w:tabs>
        <w:tab w:val="center" w:pos="4680"/>
        <w:tab w:val="right" w:pos="9360"/>
      </w:tabs>
    </w:pPr>
  </w:style>
  <w:style w:type="character" w:customStyle="1" w:styleId="Heading2Char">
    <w:name w:val="Heading 2 Char"/>
    <w:basedOn w:val="DefaultParagraphFont"/>
    <w:link w:val="Heading2"/>
    <w:uiPriority w:val="1"/>
    <w:semiHidden/>
    <w:rsid w:val="003F0E6F"/>
    <w:rPr>
      <w:b/>
      <w:sz w:val="18"/>
    </w:rPr>
  </w:style>
  <w:style w:type="paragraph" w:customStyle="1" w:styleId="FaxHeading">
    <w:name w:val="Fax Heading"/>
    <w:basedOn w:val="Normal"/>
    <w:qFormat/>
    <w:rsid w:val="003F0E6F"/>
    <w:pPr>
      <w:spacing w:after="400" w:line="360" w:lineRule="auto"/>
      <w:ind w:left="-86"/>
      <w:outlineLvl w:val="0"/>
    </w:pPr>
    <w:rPr>
      <w:color w:val="D9D9D9" w:themeColor="background1" w:themeShade="D9"/>
      <w:sz w:val="96"/>
    </w:rPr>
  </w:style>
  <w:style w:type="paragraph" w:customStyle="1" w:styleId="FaxSubheading">
    <w:name w:val="Fax Subheading"/>
    <w:basedOn w:val="Normal"/>
    <w:qFormat/>
    <w:rsid w:val="003F0E6F"/>
    <w:pPr>
      <w:framePr w:hSpace="180" w:wrap="around" w:vAnchor="text" w:hAnchor="text" w:y="55"/>
      <w:spacing w:after="200"/>
    </w:pPr>
    <w:rPr>
      <w:b/>
    </w:rPr>
  </w:style>
  <w:style w:type="paragraph" w:customStyle="1" w:styleId="FaxBodyText">
    <w:name w:val="Fax Body Text"/>
    <w:basedOn w:val="Normal"/>
    <w:qFormat/>
    <w:rsid w:val="003F0E6F"/>
    <w:pPr>
      <w:framePr w:hSpace="180" w:wrap="around" w:vAnchor="text" w:hAnchor="text" w:y="55"/>
    </w:pPr>
  </w:style>
  <w:style w:type="character" w:customStyle="1" w:styleId="HeaderChar">
    <w:name w:val="Header Char"/>
    <w:basedOn w:val="DefaultParagraphFont"/>
    <w:link w:val="Header"/>
    <w:uiPriority w:val="99"/>
    <w:rsid w:val="003F0E6F"/>
    <w:rPr>
      <w:sz w:val="18"/>
    </w:rPr>
  </w:style>
  <w:style w:type="paragraph" w:styleId="Footer">
    <w:name w:val="footer"/>
    <w:basedOn w:val="Normal"/>
    <w:link w:val="FooterChar"/>
    <w:uiPriority w:val="99"/>
    <w:unhideWhenUsed/>
    <w:rsid w:val="003F0E6F"/>
    <w:pPr>
      <w:tabs>
        <w:tab w:val="center" w:pos="4680"/>
        <w:tab w:val="right" w:pos="9360"/>
      </w:tabs>
    </w:pPr>
  </w:style>
  <w:style w:type="character" w:customStyle="1" w:styleId="FooterChar">
    <w:name w:val="Footer Char"/>
    <w:basedOn w:val="DefaultParagraphFont"/>
    <w:link w:val="Footer"/>
    <w:uiPriority w:val="99"/>
    <w:rsid w:val="003F0E6F"/>
    <w:rPr>
      <w:sz w:val="18"/>
    </w:rPr>
  </w:style>
  <w:style w:type="character" w:styleId="Hyperlink">
    <w:name w:val="Hyperlink"/>
    <w:basedOn w:val="DefaultParagraphFont"/>
    <w:uiPriority w:val="99"/>
    <w:unhideWhenUsed/>
    <w:rsid w:val="0060219A"/>
    <w:rPr>
      <w:color w:val="0000FF" w:themeColor="hyperlink"/>
      <w:u w:val="single"/>
    </w:rPr>
  </w:style>
  <w:style w:type="paragraph" w:styleId="EndnoteText">
    <w:name w:val="endnote text"/>
    <w:basedOn w:val="Normal"/>
    <w:link w:val="EndnoteTextChar"/>
    <w:uiPriority w:val="99"/>
    <w:semiHidden/>
    <w:unhideWhenUsed/>
    <w:rsid w:val="003477B1"/>
    <w:rPr>
      <w:sz w:val="20"/>
      <w:szCs w:val="20"/>
    </w:rPr>
  </w:style>
  <w:style w:type="character" w:customStyle="1" w:styleId="EndnoteTextChar">
    <w:name w:val="Endnote Text Char"/>
    <w:basedOn w:val="DefaultParagraphFont"/>
    <w:link w:val="EndnoteText"/>
    <w:uiPriority w:val="99"/>
    <w:semiHidden/>
    <w:rsid w:val="003477B1"/>
    <w:rPr>
      <w:sz w:val="20"/>
      <w:szCs w:val="20"/>
    </w:rPr>
  </w:style>
  <w:style w:type="character" w:styleId="EndnoteReference">
    <w:name w:val="endnote reference"/>
    <w:basedOn w:val="DefaultParagraphFont"/>
    <w:uiPriority w:val="99"/>
    <w:semiHidden/>
    <w:unhideWhenUsed/>
    <w:rsid w:val="003477B1"/>
    <w:rPr>
      <w:vertAlign w:val="superscript"/>
    </w:rPr>
  </w:style>
  <w:style w:type="paragraph" w:styleId="FootnoteText">
    <w:name w:val="footnote text"/>
    <w:basedOn w:val="Normal"/>
    <w:link w:val="FootnoteTextChar"/>
    <w:uiPriority w:val="99"/>
    <w:unhideWhenUsed/>
    <w:rsid w:val="003E091A"/>
    <w:rPr>
      <w:sz w:val="20"/>
      <w:szCs w:val="20"/>
      <w:lang w:val="en-AU"/>
    </w:rPr>
  </w:style>
  <w:style w:type="character" w:customStyle="1" w:styleId="FootnoteTextChar">
    <w:name w:val="Footnote Text Char"/>
    <w:basedOn w:val="DefaultParagraphFont"/>
    <w:link w:val="FootnoteText"/>
    <w:uiPriority w:val="99"/>
    <w:rsid w:val="003E091A"/>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dpc.nsw.gov.au/__data/assets/pdf_file/0008/131120/06_Johnston.pdf" TargetMode="External"/><Relationship Id="rId2" Type="http://schemas.openxmlformats.org/officeDocument/2006/relationships/hyperlink" Target="http://www.gtcentre.unsw.edu.au/sites/gtcentre.unsw.edu.au/files/Recall%20Report_0.pdf" TargetMode="External"/><Relationship Id="rId1" Type="http://schemas.openxmlformats.org/officeDocument/2006/relationships/hyperlink" Target="http://www.griffith.edu.au//ins/collections/adt/" TargetMode="External"/><Relationship Id="rId6" Type="http://schemas.openxmlformats.org/officeDocument/2006/relationships/hyperlink" Target="http://www.alrc.gov.au/sites/default/files/subs/12._a_johnston.pdf" TargetMode="External"/><Relationship Id="rId5" Type="http://schemas.openxmlformats.org/officeDocument/2006/relationships/hyperlink" Target="https://www.parliament.nsw.gov.au/prod/parlment/committee.nsf/0/bddedc83e0a9ff20ca257bcf000c442c/$FILE/Submission%20No%207.pdf" TargetMode="External"/><Relationship Id="rId4" Type="http://schemas.openxmlformats.org/officeDocument/2006/relationships/hyperlink" Target="http://www.austlii.edu.au/cgibin/sinodisp/au/other/HCATrans/2003/406.html?stem=0&amp;synonyms=0&amp;query=%5e%20high%20court%20centen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A29865DAC54327AAEADF4EFC0A6E32"/>
        <w:category>
          <w:name w:val="General"/>
          <w:gallery w:val="placeholder"/>
        </w:category>
        <w:types>
          <w:type w:val="bbPlcHdr"/>
        </w:types>
        <w:behaviors>
          <w:behavior w:val="content"/>
        </w:behaviors>
        <w:guid w:val="{01A5FA81-6437-4677-8781-EB00F52A0C32}"/>
      </w:docPartPr>
      <w:docPartBody>
        <w:p w:rsidR="00B4072B" w:rsidRDefault="00522B6A">
          <w:pPr>
            <w:pStyle w:val="9DA29865DAC54327AAEADF4EFC0A6E32"/>
          </w:pPr>
          <w:r>
            <w:t>[Company name]</w:t>
          </w:r>
        </w:p>
      </w:docPartBody>
    </w:docPart>
    <w:docPart>
      <w:docPartPr>
        <w:name w:val="475286CF3993461BA89AB1535FC7E723"/>
        <w:category>
          <w:name w:val="General"/>
          <w:gallery w:val="placeholder"/>
        </w:category>
        <w:types>
          <w:type w:val="bbPlcHdr"/>
        </w:types>
        <w:behaviors>
          <w:behavior w:val="content"/>
        </w:behaviors>
        <w:guid w:val="{0B1C37BF-305C-4F85-AD8B-1FA3F4364639}"/>
      </w:docPartPr>
      <w:docPartBody>
        <w:p w:rsidR="00B4072B" w:rsidRDefault="00522B6A">
          <w:pPr>
            <w:pStyle w:val="475286CF3993461BA89AB1535FC7E723"/>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998"/>
    <w:rsid w:val="00185983"/>
    <w:rsid w:val="001F2293"/>
    <w:rsid w:val="00376AB8"/>
    <w:rsid w:val="00522B6A"/>
    <w:rsid w:val="005F1998"/>
    <w:rsid w:val="009405DA"/>
    <w:rsid w:val="009648E2"/>
    <w:rsid w:val="00B4072B"/>
    <w:rsid w:val="00DC67D4"/>
    <w:rsid w:val="00E8023E"/>
    <w:rsid w:val="00EB7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29865DAC54327AAEADF4EFC0A6E32">
    <w:name w:val="9DA29865DAC54327AAEADF4EFC0A6E32"/>
  </w:style>
  <w:style w:type="paragraph" w:customStyle="1" w:styleId="CFD4014A87844F3D98CB19C720A674FB">
    <w:name w:val="CFD4014A87844F3D98CB19C720A674FB"/>
  </w:style>
  <w:style w:type="paragraph" w:customStyle="1" w:styleId="475286CF3993461BA89AB1535FC7E723">
    <w:name w:val="475286CF3993461BA89AB1535FC7E723"/>
  </w:style>
  <w:style w:type="paragraph" w:customStyle="1" w:styleId="86CBDC51015449868C926A8F366F0D68">
    <w:name w:val="86CBDC51015449868C926A8F366F0D68"/>
  </w:style>
  <w:style w:type="paragraph" w:customStyle="1" w:styleId="FC373D49E121472EAD193E6348A9A459">
    <w:name w:val="FC373D49E121472EAD193E6348A9A459"/>
  </w:style>
  <w:style w:type="paragraph" w:customStyle="1" w:styleId="9F298C4DB90F45E4B98332A465D4BFB0">
    <w:name w:val="9F298C4DB90F45E4B98332A465D4BFB0"/>
  </w:style>
  <w:style w:type="paragraph" w:customStyle="1" w:styleId="C51109F123E24EB6857B5BA6C04E2EBA">
    <w:name w:val="C51109F123E24EB6857B5BA6C04E2EBA"/>
  </w:style>
  <w:style w:type="paragraph" w:customStyle="1" w:styleId="FC277D21846F48C6886C775D91B9F59A">
    <w:name w:val="FC277D21846F48C6886C775D91B9F59A"/>
    <w:rsid w:val="005F1998"/>
  </w:style>
  <w:style w:type="paragraph" w:customStyle="1" w:styleId="6E8BDA235BC4498C816EE6D052C43144">
    <w:name w:val="6E8BDA235BC4498C816EE6D052C43144"/>
    <w:rsid w:val="005F19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A29865DAC54327AAEADF4EFC0A6E32">
    <w:name w:val="9DA29865DAC54327AAEADF4EFC0A6E32"/>
  </w:style>
  <w:style w:type="paragraph" w:customStyle="1" w:styleId="CFD4014A87844F3D98CB19C720A674FB">
    <w:name w:val="CFD4014A87844F3D98CB19C720A674FB"/>
  </w:style>
  <w:style w:type="paragraph" w:customStyle="1" w:styleId="475286CF3993461BA89AB1535FC7E723">
    <w:name w:val="475286CF3993461BA89AB1535FC7E723"/>
  </w:style>
  <w:style w:type="paragraph" w:customStyle="1" w:styleId="86CBDC51015449868C926A8F366F0D68">
    <w:name w:val="86CBDC51015449868C926A8F366F0D68"/>
  </w:style>
  <w:style w:type="paragraph" w:customStyle="1" w:styleId="FC373D49E121472EAD193E6348A9A459">
    <w:name w:val="FC373D49E121472EAD193E6348A9A459"/>
  </w:style>
  <w:style w:type="paragraph" w:customStyle="1" w:styleId="9F298C4DB90F45E4B98332A465D4BFB0">
    <w:name w:val="9F298C4DB90F45E4B98332A465D4BFB0"/>
  </w:style>
  <w:style w:type="paragraph" w:customStyle="1" w:styleId="C51109F123E24EB6857B5BA6C04E2EBA">
    <w:name w:val="C51109F123E24EB6857B5BA6C04E2EBA"/>
  </w:style>
  <w:style w:type="paragraph" w:customStyle="1" w:styleId="FC277D21846F48C6886C775D91B9F59A">
    <w:name w:val="FC277D21846F48C6886C775D91B9F59A"/>
    <w:rsid w:val="005F1998"/>
  </w:style>
  <w:style w:type="paragraph" w:customStyle="1" w:styleId="6E8BDA235BC4498C816EE6D052C43144">
    <w:name w:val="6E8BDA235BC4498C816EE6D052C43144"/>
    <w:rsid w:val="005F1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customStreamsXsn.xml">
  <tns:showOnOpen>true</tns:showOnOpen>
  <tns:defaultPropertyEditorNamespace>Office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7199-2424-4E7F-9203-256E45805BCB}">
  <ds:schemaRefs>
    <ds:schemaRef ds:uri="customStreamsXsn.xml"/>
  </ds:schemaRefs>
</ds:datastoreItem>
</file>

<file path=customXml/itemProps2.xml><?xml version="1.0" encoding="utf-8"?>
<ds:datastoreItem xmlns:ds="http://schemas.openxmlformats.org/officeDocument/2006/customXml" ds:itemID="{CA788938-3F56-469F-B410-84E1B263967F}">
  <ds:schemaRefs>
    <ds:schemaRef ds:uri="http://schemas.microsoft.com/sharepoint/v3/contenttype/forms"/>
  </ds:schemaRefs>
</ds:datastoreItem>
</file>

<file path=customXml/itemProps3.xml><?xml version="1.0" encoding="utf-8"?>
<ds:datastoreItem xmlns:ds="http://schemas.openxmlformats.org/officeDocument/2006/customXml" ds:itemID="{53853976-6722-4D87-9275-A137ADC8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design).dotx</Template>
  <TotalTime>1</TotalTime>
  <Pages>3</Pages>
  <Words>1077</Words>
  <Characters>5892</Characters>
  <Application>Microsoft Office Word</Application>
  <DocSecurity>0</DocSecurity>
  <Lines>98</Lines>
  <Paragraphs>30</Paragraphs>
  <ScaleCrop>false</ScaleCrop>
  <HeadingPairs>
    <vt:vector size="2" baseType="variant">
      <vt:variant>
        <vt:lpstr>Title</vt:lpstr>
      </vt:variant>
      <vt:variant>
        <vt:i4>1</vt:i4>
      </vt:variant>
    </vt:vector>
  </HeadingPairs>
  <TitlesOfParts>
    <vt:vector size="1" baseType="lpstr">
      <vt:lpstr>Submission DR297 - ADJ Consulting Services - Access to Justice Arrangements</vt:lpstr>
    </vt:vector>
  </TitlesOfParts>
  <Company>ADJ Consultancy Services</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DR297 - ADJ Consulting Services - Access to Justice Arrangements</dc:title>
  <dc:creator>ADJ Consulting Services</dc:creator>
  <cp:lastModifiedBy>Productivity Commission</cp:lastModifiedBy>
  <cp:revision>3</cp:revision>
  <cp:lastPrinted>2006-08-01T17:47:00Z</cp:lastPrinted>
  <dcterms:created xsi:type="dcterms:W3CDTF">2014-06-27T05:42:00Z</dcterms:created>
  <dcterms:modified xsi:type="dcterms:W3CDTF">2014-06-27T05:43:00Z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ies>
</file>