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47D" w:rsidRDefault="00F46174" w:rsidP="005D2052">
      <w:pPr>
        <w:spacing w:after="200" w:line="276" w:lineRule="auto"/>
        <w:rPr>
          <w:sz w:val="48"/>
          <w:szCs w:val="48"/>
        </w:rPr>
      </w:pPr>
      <w:r>
        <w:rPr>
          <w:noProof/>
          <w:sz w:val="48"/>
          <w:szCs w:val="48"/>
          <w:lang w:eastAsia="en-AU"/>
        </w:rPr>
        <w:drawing>
          <wp:anchor distT="0" distB="0" distL="114300" distR="114300" simplePos="0" relativeHeight="251659264" behindDoc="0" locked="0" layoutInCell="1" allowOverlap="1">
            <wp:simplePos x="0" y="0"/>
            <wp:positionH relativeFrom="column">
              <wp:posOffset>140335</wp:posOffset>
            </wp:positionH>
            <wp:positionV relativeFrom="paragraph">
              <wp:posOffset>265430</wp:posOffset>
            </wp:positionV>
            <wp:extent cx="4860925" cy="424815"/>
            <wp:effectExtent l="19050" t="0" r="0" b="0"/>
            <wp:wrapSquare wrapText="bothSides"/>
            <wp:docPr id="8" name="Picture 7" descr="MMSGroup_logoInter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SGroup_logoInterim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0925" cy="424815"/>
                    </a:xfrm>
                    <a:prstGeom prst="rect">
                      <a:avLst/>
                    </a:prstGeom>
                  </pic:spPr>
                </pic:pic>
              </a:graphicData>
            </a:graphic>
          </wp:anchor>
        </w:drawing>
      </w:r>
    </w:p>
    <w:p w:rsidR="00F4347D" w:rsidRPr="001562A0" w:rsidRDefault="00F315E5" w:rsidP="00F46174">
      <w:pPr>
        <w:spacing w:after="0" w:line="240" w:lineRule="auto"/>
        <w:jc w:val="center"/>
        <w:rPr>
          <w:rFonts w:ascii="Arial" w:hAnsi="Arial" w:cs="Arial"/>
          <w:b/>
          <w:color w:val="1F497D" w:themeColor="text2"/>
          <w:sz w:val="48"/>
          <w:szCs w:val="48"/>
        </w:rPr>
      </w:pPr>
      <w:r>
        <w:rPr>
          <w:rFonts w:ascii="Arial" w:hAnsi="Arial" w:cs="Arial"/>
          <w:b/>
          <w:color w:val="1F497D" w:themeColor="text2"/>
          <w:sz w:val="48"/>
          <w:szCs w:val="48"/>
        </w:rPr>
        <w:t>Submission to the Productivity</w:t>
      </w:r>
      <w:r w:rsidR="00EB320F">
        <w:rPr>
          <w:rFonts w:ascii="Arial" w:hAnsi="Arial" w:cs="Arial"/>
          <w:b/>
          <w:color w:val="1F497D" w:themeColor="text2"/>
          <w:sz w:val="48"/>
          <w:szCs w:val="48"/>
        </w:rPr>
        <w:t xml:space="preserve"> Commission</w:t>
      </w:r>
      <w:r>
        <w:rPr>
          <w:rFonts w:ascii="Arial" w:hAnsi="Arial" w:cs="Arial"/>
          <w:b/>
          <w:color w:val="1F497D" w:themeColor="text2"/>
          <w:sz w:val="48"/>
          <w:szCs w:val="48"/>
        </w:rPr>
        <w:t>’s</w:t>
      </w:r>
      <w:r w:rsidR="00EB320F">
        <w:rPr>
          <w:rFonts w:ascii="Arial" w:hAnsi="Arial" w:cs="Arial"/>
          <w:b/>
          <w:color w:val="1F497D" w:themeColor="text2"/>
          <w:sz w:val="48"/>
          <w:szCs w:val="48"/>
        </w:rPr>
        <w:t xml:space="preserve"> Inquiry into Childcare and Early Childhood Learning</w:t>
      </w:r>
    </w:p>
    <w:p w:rsidR="00F4347D" w:rsidRPr="001562A0" w:rsidRDefault="00F4347D" w:rsidP="00F4347D">
      <w:pPr>
        <w:spacing w:after="0" w:line="240" w:lineRule="auto"/>
        <w:jc w:val="both"/>
        <w:rPr>
          <w:rFonts w:ascii="Arial" w:hAnsi="Arial" w:cs="Arial"/>
          <w:b/>
          <w:color w:val="1F497D" w:themeColor="text2"/>
          <w:sz w:val="22"/>
          <w:szCs w:val="22"/>
        </w:rPr>
      </w:pPr>
    </w:p>
    <w:p w:rsidR="006E0AFD" w:rsidRPr="001562A0" w:rsidRDefault="006E0AFD" w:rsidP="00F4347D">
      <w:pPr>
        <w:spacing w:after="0" w:line="240" w:lineRule="auto"/>
        <w:jc w:val="center"/>
        <w:rPr>
          <w:rFonts w:ascii="Arial" w:hAnsi="Arial" w:cs="Arial"/>
          <w:b/>
          <w:color w:val="1F497D" w:themeColor="text2"/>
          <w:sz w:val="40"/>
          <w:szCs w:val="40"/>
        </w:rPr>
      </w:pPr>
    </w:p>
    <w:p w:rsidR="00F4347D" w:rsidRDefault="00F4347D">
      <w:pPr>
        <w:spacing w:after="200" w:line="276" w:lineRule="auto"/>
        <w:rPr>
          <w:rFonts w:ascii="Arial" w:hAnsi="Arial" w:cs="Arial"/>
          <w:b/>
          <w:color w:val="1F497D" w:themeColor="text2"/>
          <w:sz w:val="40"/>
          <w:szCs w:val="40"/>
        </w:rPr>
      </w:pPr>
    </w:p>
    <w:p w:rsidR="00A17B9D" w:rsidRPr="001562A0" w:rsidRDefault="00A17B9D">
      <w:pPr>
        <w:spacing w:after="200" w:line="276" w:lineRule="auto"/>
        <w:rPr>
          <w:b/>
          <w:color w:val="1F497D" w:themeColor="text2"/>
          <w:sz w:val="48"/>
          <w:szCs w:val="48"/>
        </w:rPr>
      </w:pPr>
    </w:p>
    <w:tbl>
      <w:tblPr>
        <w:tblW w:w="9679" w:type="dxa"/>
        <w:jc w:val="center"/>
        <w:tblLook w:val="00A0" w:firstRow="1" w:lastRow="0" w:firstColumn="1" w:lastColumn="0" w:noHBand="0" w:noVBand="0"/>
      </w:tblPr>
      <w:tblGrid>
        <w:gridCol w:w="4222"/>
        <w:gridCol w:w="5457"/>
      </w:tblGrid>
      <w:tr w:rsidR="003E2753" w:rsidRPr="001562A0" w:rsidTr="006E0AFD">
        <w:trPr>
          <w:jc w:val="center"/>
        </w:trPr>
        <w:tc>
          <w:tcPr>
            <w:tcW w:w="4222" w:type="dxa"/>
          </w:tcPr>
          <w:p w:rsidR="003E2753" w:rsidRPr="001562A0" w:rsidRDefault="003E2753" w:rsidP="001C44AD">
            <w:pPr>
              <w:spacing w:before="120" w:after="120" w:line="240" w:lineRule="auto"/>
              <w:ind w:left="720"/>
              <w:jc w:val="center"/>
              <w:rPr>
                <w:rFonts w:eastAsia="Batang"/>
                <w:b/>
                <w:color w:val="1F497D" w:themeColor="text2"/>
              </w:rPr>
            </w:pPr>
            <w:r w:rsidRPr="001562A0">
              <w:rPr>
                <w:rFonts w:eastAsia="Batang"/>
                <w:b/>
                <w:color w:val="1F497D" w:themeColor="text2"/>
              </w:rPr>
              <w:t>Contact</w:t>
            </w:r>
          </w:p>
        </w:tc>
        <w:tc>
          <w:tcPr>
            <w:tcW w:w="5457" w:type="dxa"/>
          </w:tcPr>
          <w:p w:rsidR="003E2753" w:rsidRPr="001562A0" w:rsidRDefault="003E2753" w:rsidP="001C44AD">
            <w:pPr>
              <w:spacing w:before="120" w:after="120" w:line="240" w:lineRule="auto"/>
              <w:rPr>
                <w:rFonts w:eastAsia="Batang"/>
                <w:color w:val="1F497D" w:themeColor="text2"/>
              </w:rPr>
            </w:pPr>
            <w:proofErr w:type="spellStart"/>
            <w:r w:rsidRPr="001562A0">
              <w:rPr>
                <w:rFonts w:eastAsia="Batang"/>
                <w:color w:val="1F497D" w:themeColor="text2"/>
              </w:rPr>
              <w:t>Rohan</w:t>
            </w:r>
            <w:proofErr w:type="spellEnd"/>
            <w:r w:rsidRPr="001562A0">
              <w:rPr>
                <w:rFonts w:eastAsia="Batang"/>
                <w:color w:val="1F497D" w:themeColor="text2"/>
              </w:rPr>
              <w:t xml:space="preserve"> Martin</w:t>
            </w:r>
          </w:p>
          <w:p w:rsidR="003E2753" w:rsidRPr="001562A0" w:rsidRDefault="003E2753" w:rsidP="001C44AD">
            <w:pPr>
              <w:spacing w:before="120" w:after="120" w:line="240" w:lineRule="auto"/>
              <w:rPr>
                <w:rFonts w:eastAsia="Batang"/>
                <w:color w:val="1F497D" w:themeColor="text2"/>
              </w:rPr>
            </w:pPr>
            <w:r w:rsidRPr="001562A0">
              <w:rPr>
                <w:rFonts w:eastAsia="Batang"/>
                <w:color w:val="1F497D" w:themeColor="text2"/>
              </w:rPr>
              <w:t>Corporate Affairs Manager</w:t>
            </w:r>
          </w:p>
          <w:p w:rsidR="003E2753" w:rsidRPr="001562A0" w:rsidRDefault="003E2753" w:rsidP="001C44AD">
            <w:pPr>
              <w:spacing w:before="120" w:after="120" w:line="240" w:lineRule="auto"/>
              <w:rPr>
                <w:rFonts w:eastAsia="Batang"/>
                <w:color w:val="1F497D" w:themeColor="text2"/>
              </w:rPr>
            </w:pPr>
            <w:r w:rsidRPr="001562A0">
              <w:rPr>
                <w:rFonts w:eastAsia="Batang"/>
                <w:color w:val="1F497D" w:themeColor="text2"/>
              </w:rPr>
              <w:t xml:space="preserve">McMillan Shakespeare Limited </w:t>
            </w:r>
          </w:p>
          <w:p w:rsidR="003E2753" w:rsidRPr="001562A0" w:rsidRDefault="003E2753" w:rsidP="001C44AD">
            <w:pPr>
              <w:spacing w:before="120" w:after="120" w:line="240" w:lineRule="auto"/>
              <w:rPr>
                <w:rFonts w:eastAsia="Batang"/>
                <w:color w:val="1F497D" w:themeColor="text2"/>
              </w:rPr>
            </w:pPr>
            <w:r w:rsidRPr="001562A0">
              <w:rPr>
                <w:rFonts w:eastAsia="Batang"/>
                <w:color w:val="1F497D" w:themeColor="text2"/>
              </w:rPr>
              <w:t xml:space="preserve">Level 20, 360 Elizabeth Street </w:t>
            </w:r>
          </w:p>
          <w:p w:rsidR="003E2753" w:rsidRPr="001562A0" w:rsidRDefault="003E2753" w:rsidP="001C44AD">
            <w:pPr>
              <w:spacing w:before="120" w:after="120" w:line="240" w:lineRule="auto"/>
              <w:rPr>
                <w:rFonts w:eastAsia="Batang"/>
                <w:color w:val="1F497D" w:themeColor="text2"/>
              </w:rPr>
            </w:pPr>
            <w:r w:rsidRPr="001562A0">
              <w:rPr>
                <w:rFonts w:eastAsia="Batang"/>
                <w:color w:val="1F497D" w:themeColor="text2"/>
              </w:rPr>
              <w:t>Melbourne, Vic, 3000</w:t>
            </w:r>
          </w:p>
          <w:p w:rsidR="003E2753" w:rsidRPr="001562A0" w:rsidRDefault="003E2753" w:rsidP="001C44AD">
            <w:pPr>
              <w:spacing w:before="120" w:after="120" w:line="240" w:lineRule="auto"/>
              <w:rPr>
                <w:rFonts w:eastAsia="Batang"/>
                <w:color w:val="1F497D" w:themeColor="text2"/>
              </w:rPr>
            </w:pPr>
            <w:proofErr w:type="spellStart"/>
            <w:r w:rsidRPr="001562A0">
              <w:rPr>
                <w:rFonts w:eastAsia="Batang"/>
                <w:color w:val="1F497D" w:themeColor="text2"/>
              </w:rPr>
              <w:t>Ph</w:t>
            </w:r>
            <w:proofErr w:type="spellEnd"/>
            <w:r w:rsidRPr="001562A0">
              <w:rPr>
                <w:rFonts w:eastAsia="Batang"/>
                <w:color w:val="1F497D" w:themeColor="text2"/>
              </w:rPr>
              <w:t>: (03) 9097 3842</w:t>
            </w:r>
          </w:p>
          <w:p w:rsidR="003E2753" w:rsidRPr="001562A0" w:rsidRDefault="003E2753" w:rsidP="001C44AD">
            <w:pPr>
              <w:spacing w:before="120" w:after="120" w:line="240" w:lineRule="auto"/>
              <w:rPr>
                <w:rFonts w:eastAsia="Batang"/>
                <w:b/>
                <w:color w:val="1F497D" w:themeColor="text2"/>
              </w:rPr>
            </w:pPr>
            <w:bookmarkStart w:id="0" w:name="_GoBack"/>
            <w:bookmarkEnd w:id="0"/>
          </w:p>
        </w:tc>
      </w:tr>
      <w:tr w:rsidR="003E2753" w:rsidRPr="001562A0" w:rsidTr="006E0AFD">
        <w:tblPrEx>
          <w:tblLook w:val="01E0" w:firstRow="1" w:lastRow="1" w:firstColumn="1" w:lastColumn="1" w:noHBand="0" w:noVBand="0"/>
        </w:tblPrEx>
        <w:trPr>
          <w:trHeight w:val="279"/>
          <w:jc w:val="center"/>
        </w:trPr>
        <w:tc>
          <w:tcPr>
            <w:tcW w:w="4222" w:type="dxa"/>
          </w:tcPr>
          <w:p w:rsidR="003E2753" w:rsidRPr="001562A0" w:rsidRDefault="003E2753" w:rsidP="001C44AD">
            <w:pPr>
              <w:spacing w:before="120" w:after="120"/>
              <w:rPr>
                <w:rFonts w:eastAsia="Batang"/>
                <w:b/>
                <w:color w:val="1F497D" w:themeColor="text2"/>
              </w:rPr>
            </w:pPr>
          </w:p>
        </w:tc>
        <w:tc>
          <w:tcPr>
            <w:tcW w:w="5457" w:type="dxa"/>
          </w:tcPr>
          <w:p w:rsidR="003E2753" w:rsidRPr="001562A0" w:rsidRDefault="003E2753" w:rsidP="001C44AD">
            <w:pPr>
              <w:spacing w:before="120" w:after="120"/>
              <w:rPr>
                <w:rFonts w:eastAsia="Batang"/>
                <w:b/>
                <w:color w:val="1F497D" w:themeColor="text2"/>
              </w:rPr>
            </w:pPr>
          </w:p>
        </w:tc>
      </w:tr>
      <w:tr w:rsidR="003E2753" w:rsidRPr="001562A0" w:rsidTr="006E0AFD">
        <w:tblPrEx>
          <w:tblLook w:val="01E0" w:firstRow="1" w:lastRow="1" w:firstColumn="1" w:lastColumn="1" w:noHBand="0" w:noVBand="0"/>
        </w:tblPrEx>
        <w:trPr>
          <w:trHeight w:val="119"/>
          <w:jc w:val="center"/>
        </w:trPr>
        <w:tc>
          <w:tcPr>
            <w:tcW w:w="4222" w:type="dxa"/>
          </w:tcPr>
          <w:p w:rsidR="003E2753" w:rsidRPr="001562A0" w:rsidRDefault="003E2753" w:rsidP="001C44AD">
            <w:pPr>
              <w:spacing w:before="120" w:after="120" w:line="240" w:lineRule="auto"/>
              <w:ind w:left="2160"/>
              <w:rPr>
                <w:rFonts w:eastAsia="Batang"/>
                <w:b/>
                <w:bCs/>
                <w:color w:val="1F497D" w:themeColor="text2"/>
              </w:rPr>
            </w:pPr>
            <w:r w:rsidRPr="001562A0">
              <w:rPr>
                <w:rFonts w:eastAsia="Batang"/>
                <w:b/>
                <w:color w:val="1F497D" w:themeColor="text2"/>
              </w:rPr>
              <w:t>Date</w:t>
            </w:r>
          </w:p>
        </w:tc>
        <w:tc>
          <w:tcPr>
            <w:tcW w:w="5457" w:type="dxa"/>
          </w:tcPr>
          <w:p w:rsidR="003E2753" w:rsidRPr="001562A0" w:rsidRDefault="00E50BC7" w:rsidP="001C44AD">
            <w:pPr>
              <w:spacing w:before="120" w:after="120" w:line="240" w:lineRule="auto"/>
              <w:rPr>
                <w:rFonts w:eastAsia="Batang"/>
                <w:b/>
                <w:color w:val="1F497D" w:themeColor="text2"/>
              </w:rPr>
            </w:pPr>
            <w:r>
              <w:rPr>
                <w:rFonts w:eastAsia="Batang"/>
                <w:color w:val="1F497D" w:themeColor="text2"/>
              </w:rPr>
              <w:t>25</w:t>
            </w:r>
            <w:r w:rsidR="009F1E22">
              <w:rPr>
                <w:rFonts w:eastAsia="Batang"/>
                <w:color w:val="1F497D" w:themeColor="text2"/>
              </w:rPr>
              <w:t xml:space="preserve"> March </w:t>
            </w:r>
            <w:r w:rsidR="003E2753" w:rsidRPr="001562A0">
              <w:rPr>
                <w:rFonts w:eastAsia="Batang"/>
                <w:color w:val="1F497D" w:themeColor="text2"/>
              </w:rPr>
              <w:t>2014</w:t>
            </w:r>
          </w:p>
        </w:tc>
      </w:tr>
    </w:tbl>
    <w:p w:rsidR="005D2052" w:rsidRDefault="005D2052">
      <w:pPr>
        <w:spacing w:after="200" w:line="276" w:lineRule="auto"/>
        <w:rPr>
          <w:b/>
          <w:sz w:val="48"/>
          <w:szCs w:val="48"/>
        </w:rPr>
      </w:pPr>
    </w:p>
    <w:p w:rsidR="00F4347D" w:rsidRDefault="00F4347D" w:rsidP="006E0AFD">
      <w:pPr>
        <w:spacing w:after="200" w:line="276" w:lineRule="auto"/>
        <w:jc w:val="center"/>
        <w:rPr>
          <w:b/>
          <w:sz w:val="48"/>
          <w:szCs w:val="48"/>
        </w:rPr>
      </w:pPr>
      <w:r w:rsidRPr="00F4347D">
        <w:rPr>
          <w:b/>
          <w:noProof/>
          <w:sz w:val="48"/>
          <w:szCs w:val="48"/>
          <w:lang w:eastAsia="en-AU"/>
        </w:rPr>
        <w:drawing>
          <wp:inline distT="0" distB="0" distL="0" distR="0">
            <wp:extent cx="4860290" cy="702310"/>
            <wp:effectExtent l="19050" t="0" r="0" b="0"/>
            <wp:docPr id="1" name="Picture 9" descr="MMS Grou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S Group 4.jpg"/>
                    <pic:cNvPicPr/>
                  </pic:nvPicPr>
                  <pic:blipFill>
                    <a:blip r:embed="rId10" cstate="print"/>
                    <a:stretch>
                      <a:fillRect/>
                    </a:stretch>
                  </pic:blipFill>
                  <pic:spPr>
                    <a:xfrm>
                      <a:off x="0" y="0"/>
                      <a:ext cx="4860290" cy="702310"/>
                    </a:xfrm>
                    <a:prstGeom prst="rect">
                      <a:avLst/>
                    </a:prstGeom>
                  </pic:spPr>
                </pic:pic>
              </a:graphicData>
            </a:graphic>
          </wp:inline>
        </w:drawing>
      </w:r>
    </w:p>
    <w:p w:rsidR="00373A30" w:rsidRDefault="00373A30" w:rsidP="006F038E">
      <w:pPr>
        <w:spacing w:after="0" w:line="240" w:lineRule="auto"/>
        <w:jc w:val="center"/>
        <w:rPr>
          <w:b/>
          <w:color w:val="1F497D" w:themeColor="text2"/>
          <w:sz w:val="40"/>
          <w:szCs w:val="40"/>
        </w:rPr>
      </w:pPr>
    </w:p>
    <w:p w:rsidR="00373A30" w:rsidRDefault="00373A30" w:rsidP="006F038E">
      <w:pPr>
        <w:spacing w:after="0" w:line="240" w:lineRule="auto"/>
        <w:jc w:val="center"/>
        <w:rPr>
          <w:b/>
          <w:color w:val="1F497D" w:themeColor="text2"/>
          <w:sz w:val="40"/>
          <w:szCs w:val="40"/>
        </w:rPr>
      </w:pPr>
    </w:p>
    <w:p w:rsidR="006F038E" w:rsidRPr="007B7FCB" w:rsidRDefault="00764045" w:rsidP="006F038E">
      <w:pPr>
        <w:spacing w:after="0" w:line="240" w:lineRule="auto"/>
        <w:jc w:val="center"/>
        <w:rPr>
          <w:b/>
          <w:color w:val="1F497D" w:themeColor="text2"/>
          <w:sz w:val="40"/>
          <w:szCs w:val="40"/>
        </w:rPr>
      </w:pPr>
      <w:r w:rsidRPr="007B7FCB">
        <w:rPr>
          <w:b/>
          <w:color w:val="1F497D" w:themeColor="text2"/>
          <w:sz w:val="40"/>
          <w:szCs w:val="40"/>
        </w:rPr>
        <w:lastRenderedPageBreak/>
        <w:t>McMillan Shakespeare Group</w:t>
      </w:r>
    </w:p>
    <w:p w:rsidR="006F038E" w:rsidRPr="001562A0" w:rsidRDefault="006F038E" w:rsidP="006F038E">
      <w:pPr>
        <w:spacing w:after="0" w:line="240" w:lineRule="auto"/>
        <w:jc w:val="both"/>
        <w:rPr>
          <w:color w:val="1F497D" w:themeColor="text2"/>
          <w:sz w:val="22"/>
          <w:szCs w:val="22"/>
        </w:rPr>
      </w:pPr>
    </w:p>
    <w:p w:rsidR="006F038E" w:rsidRPr="007B7FCB" w:rsidRDefault="009D6E03" w:rsidP="006F038E">
      <w:pPr>
        <w:spacing w:after="0" w:line="240" w:lineRule="auto"/>
        <w:jc w:val="center"/>
        <w:rPr>
          <w:b/>
          <w:color w:val="1F497D" w:themeColor="text2"/>
          <w:sz w:val="36"/>
          <w:szCs w:val="36"/>
        </w:rPr>
      </w:pPr>
      <w:r w:rsidRPr="007B7FCB">
        <w:rPr>
          <w:b/>
          <w:color w:val="1F497D" w:themeColor="text2"/>
          <w:sz w:val="36"/>
          <w:szCs w:val="36"/>
        </w:rPr>
        <w:t>Submission to the Productivity Commission</w:t>
      </w:r>
      <w:r w:rsidR="00FE1CD6" w:rsidRPr="007B7FCB">
        <w:rPr>
          <w:b/>
          <w:color w:val="1F497D" w:themeColor="text2"/>
          <w:sz w:val="36"/>
          <w:szCs w:val="36"/>
        </w:rPr>
        <w:t>’s Inquiry into Childcare and Early Childhood Learning</w:t>
      </w:r>
    </w:p>
    <w:p w:rsidR="006F038E" w:rsidRPr="00402AFA" w:rsidRDefault="006F038E" w:rsidP="006F038E">
      <w:pPr>
        <w:spacing w:after="0" w:line="240" w:lineRule="auto"/>
        <w:jc w:val="both"/>
        <w:rPr>
          <w:sz w:val="22"/>
        </w:rPr>
      </w:pPr>
    </w:p>
    <w:p w:rsidR="006F038E" w:rsidRPr="001562A0" w:rsidRDefault="006F038E" w:rsidP="006F038E">
      <w:pPr>
        <w:spacing w:after="0" w:line="240" w:lineRule="auto"/>
        <w:jc w:val="both"/>
        <w:rPr>
          <w:b/>
          <w:color w:val="1F497D" w:themeColor="text2"/>
          <w:sz w:val="32"/>
          <w:szCs w:val="32"/>
        </w:rPr>
      </w:pPr>
      <w:r w:rsidRPr="001562A0">
        <w:rPr>
          <w:b/>
          <w:color w:val="1F497D" w:themeColor="text2"/>
          <w:sz w:val="32"/>
          <w:szCs w:val="32"/>
        </w:rPr>
        <w:t>Overview</w:t>
      </w:r>
    </w:p>
    <w:p w:rsidR="006F038E" w:rsidRPr="001562A0" w:rsidRDefault="006F038E" w:rsidP="006F038E">
      <w:pPr>
        <w:spacing w:after="0" w:line="240" w:lineRule="auto"/>
        <w:jc w:val="both"/>
        <w:rPr>
          <w:color w:val="595959" w:themeColor="text1" w:themeTint="A6"/>
          <w:sz w:val="22"/>
        </w:rPr>
      </w:pPr>
    </w:p>
    <w:p w:rsidR="00C41D06" w:rsidRDefault="00D74B48" w:rsidP="00B0174C">
      <w:pPr>
        <w:spacing w:after="0" w:line="240" w:lineRule="auto"/>
        <w:jc w:val="both"/>
        <w:rPr>
          <w:sz w:val="22"/>
        </w:rPr>
      </w:pPr>
      <w:r>
        <w:rPr>
          <w:sz w:val="22"/>
        </w:rPr>
        <w:t xml:space="preserve">This submission is to the Productivity Commission’s Inquiry into Childcare and Early Childhood Learning which was requested by the </w:t>
      </w:r>
      <w:r w:rsidR="007039BD">
        <w:rPr>
          <w:sz w:val="22"/>
        </w:rPr>
        <w:t xml:space="preserve">Federal </w:t>
      </w:r>
      <w:r>
        <w:rPr>
          <w:sz w:val="22"/>
        </w:rPr>
        <w:t xml:space="preserve">Treasurer </w:t>
      </w:r>
      <w:r w:rsidR="007039BD">
        <w:rPr>
          <w:sz w:val="22"/>
        </w:rPr>
        <w:t xml:space="preserve">and announced by the Federal Government </w:t>
      </w:r>
      <w:r>
        <w:rPr>
          <w:sz w:val="22"/>
        </w:rPr>
        <w:t>on 17 Novemb</w:t>
      </w:r>
      <w:r w:rsidR="004221E9">
        <w:rPr>
          <w:sz w:val="22"/>
        </w:rPr>
        <w:t>er 2013.</w:t>
      </w:r>
      <w:r w:rsidR="001B6B78">
        <w:rPr>
          <w:rStyle w:val="FootnoteReference"/>
        </w:rPr>
        <w:footnoteReference w:id="1"/>
      </w:r>
      <w:r w:rsidR="004657E6">
        <w:rPr>
          <w:sz w:val="22"/>
        </w:rPr>
        <w:t xml:space="preserve"> </w:t>
      </w:r>
    </w:p>
    <w:p w:rsidR="00C41D06" w:rsidRDefault="00C41D06" w:rsidP="00B0174C">
      <w:pPr>
        <w:spacing w:after="0" w:line="240" w:lineRule="auto"/>
        <w:jc w:val="both"/>
        <w:rPr>
          <w:sz w:val="22"/>
        </w:rPr>
      </w:pPr>
    </w:p>
    <w:p w:rsidR="0067534C" w:rsidRDefault="0067534C" w:rsidP="00B0174C">
      <w:pPr>
        <w:spacing w:after="0" w:line="240" w:lineRule="auto"/>
        <w:jc w:val="both"/>
        <w:rPr>
          <w:sz w:val="22"/>
        </w:rPr>
      </w:pPr>
      <w:r>
        <w:rPr>
          <w:sz w:val="22"/>
        </w:rPr>
        <w:t>The McMillan Shakespeare Group (</w:t>
      </w:r>
      <w:proofErr w:type="spellStart"/>
      <w:r>
        <w:rPr>
          <w:sz w:val="22"/>
        </w:rPr>
        <w:t>MMSG</w:t>
      </w:r>
      <w:proofErr w:type="spellEnd"/>
      <w:r>
        <w:rPr>
          <w:sz w:val="22"/>
        </w:rPr>
        <w:t xml:space="preserve">) </w:t>
      </w:r>
      <w:r w:rsidRPr="002D6FD0">
        <w:rPr>
          <w:sz w:val="22"/>
        </w:rPr>
        <w:t xml:space="preserve">has </w:t>
      </w:r>
      <w:r w:rsidR="00C41D06">
        <w:rPr>
          <w:sz w:val="22"/>
        </w:rPr>
        <w:t>a longstanding interest in the provision and sponsorship of childcare by employers arising from our position as Australia’s largest provider of salary sacrifice program and design</w:t>
      </w:r>
      <w:r w:rsidR="00BC54B8">
        <w:rPr>
          <w:sz w:val="22"/>
        </w:rPr>
        <w:t xml:space="preserve">. Employer-provided or sponsored childcare is a regular discussion topic with </w:t>
      </w:r>
      <w:r w:rsidR="002E03E9">
        <w:rPr>
          <w:sz w:val="22"/>
        </w:rPr>
        <w:t>our clients. We have also undertaken work in this area. For example,</w:t>
      </w:r>
      <w:r w:rsidR="00BC54B8">
        <w:rPr>
          <w:sz w:val="22"/>
        </w:rPr>
        <w:t xml:space="preserve"> in </w:t>
      </w:r>
      <w:r w:rsidR="00705BED">
        <w:rPr>
          <w:sz w:val="22"/>
        </w:rPr>
        <w:t xml:space="preserve">2007 </w:t>
      </w:r>
      <w:proofErr w:type="spellStart"/>
      <w:r w:rsidR="00705BED">
        <w:rPr>
          <w:sz w:val="22"/>
        </w:rPr>
        <w:t>MMSG</w:t>
      </w:r>
      <w:proofErr w:type="spellEnd"/>
      <w:r w:rsidR="00705BED">
        <w:rPr>
          <w:sz w:val="22"/>
        </w:rPr>
        <w:t xml:space="preserve"> signed a memorandum of understanding with the NSW Government to design and administer programs to deliver access to childcare for all NSW public service employees.</w:t>
      </w:r>
    </w:p>
    <w:p w:rsidR="0067534C" w:rsidRDefault="0067534C" w:rsidP="00B0174C">
      <w:pPr>
        <w:spacing w:after="0" w:line="240" w:lineRule="auto"/>
        <w:jc w:val="both"/>
        <w:rPr>
          <w:sz w:val="22"/>
        </w:rPr>
      </w:pPr>
    </w:p>
    <w:p w:rsidR="00F72F4B" w:rsidRDefault="00C853BD" w:rsidP="00C853BD">
      <w:pPr>
        <w:spacing w:after="0" w:line="240" w:lineRule="auto"/>
        <w:jc w:val="both"/>
        <w:rPr>
          <w:sz w:val="22"/>
        </w:rPr>
      </w:pPr>
      <w:r>
        <w:rPr>
          <w:sz w:val="22"/>
        </w:rPr>
        <w:t xml:space="preserve">Our submission responds to </w:t>
      </w:r>
      <w:r w:rsidR="005314FA">
        <w:rPr>
          <w:sz w:val="22"/>
        </w:rPr>
        <w:t>the Treasurer’s request that the Commission report on and make recommendations about</w:t>
      </w:r>
      <w:r w:rsidR="00D27CA7">
        <w:rPr>
          <w:sz w:val="22"/>
        </w:rPr>
        <w:t xml:space="preserve"> (among other things)</w:t>
      </w:r>
      <w:r>
        <w:rPr>
          <w:sz w:val="22"/>
        </w:rPr>
        <w:t xml:space="preserve"> </w:t>
      </w:r>
      <w:r w:rsidR="00FD3069" w:rsidRPr="00C853BD">
        <w:rPr>
          <w:sz w:val="22"/>
        </w:rPr>
        <w:t>o</w:t>
      </w:r>
      <w:r w:rsidR="005314FA" w:rsidRPr="00C853BD">
        <w:rPr>
          <w:sz w:val="22"/>
        </w:rPr>
        <w:t xml:space="preserve">ptions for </w:t>
      </w:r>
      <w:r w:rsidR="00FD3069" w:rsidRPr="00C853BD">
        <w:rPr>
          <w:sz w:val="22"/>
        </w:rPr>
        <w:t>enhancing the choices available to Australian families as to how they receive childcare support, including subsidi</w:t>
      </w:r>
      <w:r>
        <w:rPr>
          <w:sz w:val="22"/>
        </w:rPr>
        <w:t xml:space="preserve">es, rebates and tax deductions, </w:t>
      </w:r>
      <w:r w:rsidR="00FD3069" w:rsidRPr="00C853BD">
        <w:rPr>
          <w:sz w:val="22"/>
        </w:rPr>
        <w:t>and</w:t>
      </w:r>
      <w:r>
        <w:rPr>
          <w:sz w:val="22"/>
        </w:rPr>
        <w:t xml:space="preserve"> </w:t>
      </w:r>
      <w:r w:rsidR="00FD3069" w:rsidRPr="00C853BD">
        <w:rPr>
          <w:sz w:val="22"/>
        </w:rPr>
        <w:t>the role and potential for employer-provided childcare.</w:t>
      </w:r>
      <w:r w:rsidR="00FD3069">
        <w:rPr>
          <w:rStyle w:val="FootnoteReference"/>
        </w:rPr>
        <w:footnoteReference w:id="2"/>
      </w:r>
      <w:r w:rsidR="00F60884">
        <w:rPr>
          <w:sz w:val="22"/>
        </w:rPr>
        <w:t xml:space="preserve"> In particular, </w:t>
      </w:r>
      <w:proofErr w:type="spellStart"/>
      <w:r w:rsidR="00F60884">
        <w:rPr>
          <w:sz w:val="22"/>
        </w:rPr>
        <w:t>MMSG’s</w:t>
      </w:r>
      <w:proofErr w:type="spellEnd"/>
      <w:r w:rsidR="00F60884">
        <w:rPr>
          <w:sz w:val="22"/>
        </w:rPr>
        <w:t xml:space="preserve"> submission seeks to do the following:</w:t>
      </w:r>
    </w:p>
    <w:p w:rsidR="00F734D0" w:rsidRDefault="00F734D0" w:rsidP="00C853BD">
      <w:pPr>
        <w:spacing w:after="0" w:line="240" w:lineRule="auto"/>
        <w:jc w:val="both"/>
        <w:rPr>
          <w:sz w:val="22"/>
        </w:rPr>
      </w:pPr>
    </w:p>
    <w:p w:rsidR="00F734D0" w:rsidRDefault="00F734D0" w:rsidP="00957856">
      <w:pPr>
        <w:pStyle w:val="ListParagraph"/>
        <w:numPr>
          <w:ilvl w:val="0"/>
          <w:numId w:val="29"/>
        </w:numPr>
        <w:spacing w:after="0" w:line="240" w:lineRule="auto"/>
        <w:jc w:val="both"/>
        <w:rPr>
          <w:sz w:val="22"/>
        </w:rPr>
      </w:pPr>
      <w:r w:rsidRPr="00957856">
        <w:rPr>
          <w:sz w:val="22"/>
        </w:rPr>
        <w:t xml:space="preserve">Examine how the transfer system’s support of childcare can be improved to </w:t>
      </w:r>
      <w:r w:rsidR="005E117E" w:rsidRPr="00957856">
        <w:rPr>
          <w:sz w:val="22"/>
        </w:rPr>
        <w:t>augment and provide more effective childcare choices to Australian families without wholesale removal and replacement of workable elements of the current support mechanisms.</w:t>
      </w:r>
    </w:p>
    <w:p w:rsidR="00957856" w:rsidRPr="00957856" w:rsidRDefault="00957856" w:rsidP="00957856">
      <w:pPr>
        <w:spacing w:after="0" w:line="240" w:lineRule="auto"/>
        <w:jc w:val="both"/>
        <w:rPr>
          <w:sz w:val="22"/>
        </w:rPr>
      </w:pPr>
    </w:p>
    <w:p w:rsidR="005E117E" w:rsidRDefault="005E117E" w:rsidP="00957856">
      <w:pPr>
        <w:pStyle w:val="ListParagraph"/>
        <w:numPr>
          <w:ilvl w:val="0"/>
          <w:numId w:val="29"/>
        </w:numPr>
        <w:spacing w:after="0" w:line="240" w:lineRule="auto"/>
        <w:jc w:val="both"/>
        <w:rPr>
          <w:sz w:val="22"/>
        </w:rPr>
      </w:pPr>
      <w:r w:rsidRPr="00957856">
        <w:rPr>
          <w:sz w:val="22"/>
        </w:rPr>
        <w:t>Simplify the administration of childcare.</w:t>
      </w:r>
    </w:p>
    <w:p w:rsidR="00957856" w:rsidRPr="00957856" w:rsidRDefault="00957856" w:rsidP="00957856">
      <w:pPr>
        <w:spacing w:after="0" w:line="240" w:lineRule="auto"/>
        <w:jc w:val="both"/>
        <w:rPr>
          <w:sz w:val="22"/>
        </w:rPr>
      </w:pPr>
    </w:p>
    <w:p w:rsidR="005E117E" w:rsidRDefault="005E117E" w:rsidP="00957856">
      <w:pPr>
        <w:pStyle w:val="ListParagraph"/>
        <w:numPr>
          <w:ilvl w:val="0"/>
          <w:numId w:val="29"/>
        </w:numPr>
        <w:spacing w:after="0" w:line="240" w:lineRule="auto"/>
        <w:jc w:val="both"/>
        <w:rPr>
          <w:sz w:val="22"/>
        </w:rPr>
      </w:pPr>
      <w:r w:rsidRPr="00957856">
        <w:rPr>
          <w:sz w:val="22"/>
        </w:rPr>
        <w:t>Remove the disincentive for women to return to work</w:t>
      </w:r>
      <w:r w:rsidR="004A129F" w:rsidRPr="00957856">
        <w:rPr>
          <w:sz w:val="22"/>
        </w:rPr>
        <w:t xml:space="preserve"> currently due to the transfer system penalties imposed on income derivation and the consequent tax impacts.</w:t>
      </w:r>
    </w:p>
    <w:p w:rsidR="00957856" w:rsidRPr="00957856" w:rsidRDefault="00957856" w:rsidP="00957856">
      <w:pPr>
        <w:spacing w:after="0" w:line="240" w:lineRule="auto"/>
        <w:jc w:val="both"/>
        <w:rPr>
          <w:sz w:val="22"/>
        </w:rPr>
      </w:pPr>
    </w:p>
    <w:p w:rsidR="008C5F5E" w:rsidRDefault="00957856" w:rsidP="00957856">
      <w:pPr>
        <w:pStyle w:val="ListParagraph"/>
        <w:numPr>
          <w:ilvl w:val="0"/>
          <w:numId w:val="29"/>
        </w:numPr>
        <w:spacing w:after="0" w:line="240" w:lineRule="auto"/>
        <w:jc w:val="both"/>
        <w:rPr>
          <w:sz w:val="22"/>
        </w:rPr>
      </w:pPr>
      <w:r w:rsidRPr="00957856">
        <w:rPr>
          <w:sz w:val="22"/>
        </w:rPr>
        <w:t xml:space="preserve">Encourage greater employer involvement in childcare through </w:t>
      </w:r>
      <w:r>
        <w:rPr>
          <w:sz w:val="22"/>
        </w:rPr>
        <w:t>direct investment in infrastructure</w:t>
      </w:r>
      <w:r w:rsidR="008C5F5E">
        <w:rPr>
          <w:sz w:val="22"/>
        </w:rPr>
        <w:t>, administration of tax deduction-linked childcare payments, and education of employees as to childcare benefit entitlements.</w:t>
      </w:r>
    </w:p>
    <w:p w:rsidR="00F72F4B" w:rsidRDefault="00F72F4B" w:rsidP="006F038E">
      <w:pPr>
        <w:spacing w:after="0" w:line="240" w:lineRule="auto"/>
        <w:jc w:val="both"/>
        <w:rPr>
          <w:sz w:val="22"/>
        </w:rPr>
      </w:pPr>
    </w:p>
    <w:p w:rsidR="0067534C" w:rsidRDefault="000F7438" w:rsidP="006F038E">
      <w:pPr>
        <w:spacing w:after="0" w:line="240" w:lineRule="auto"/>
        <w:jc w:val="both"/>
        <w:rPr>
          <w:sz w:val="22"/>
        </w:rPr>
      </w:pPr>
      <w:r>
        <w:rPr>
          <w:sz w:val="22"/>
        </w:rPr>
        <w:t>We make th</w:t>
      </w:r>
      <w:r w:rsidR="00241313">
        <w:rPr>
          <w:sz w:val="22"/>
        </w:rPr>
        <w:t>e general observation</w:t>
      </w:r>
      <w:r w:rsidR="00A11DB4">
        <w:rPr>
          <w:sz w:val="22"/>
        </w:rPr>
        <w:t xml:space="preserve"> </w:t>
      </w:r>
      <w:r>
        <w:rPr>
          <w:sz w:val="22"/>
        </w:rPr>
        <w:t xml:space="preserve">that the stakeholder with the most </w:t>
      </w:r>
      <w:r w:rsidR="00241313">
        <w:rPr>
          <w:sz w:val="22"/>
        </w:rPr>
        <w:t>to gain in terms of lifting workforce participation</w:t>
      </w:r>
      <w:r w:rsidR="00C21F18">
        <w:rPr>
          <w:sz w:val="22"/>
        </w:rPr>
        <w:t xml:space="preserve"> is the employer. A</w:t>
      </w:r>
      <w:r w:rsidR="0068525F">
        <w:rPr>
          <w:sz w:val="22"/>
        </w:rPr>
        <w:t xml:space="preserve">ny </w:t>
      </w:r>
      <w:r w:rsidR="008C5F5E">
        <w:rPr>
          <w:sz w:val="22"/>
        </w:rPr>
        <w:t xml:space="preserve">reform that encourages employers </w:t>
      </w:r>
      <w:r w:rsidR="008C5F5E">
        <w:rPr>
          <w:sz w:val="22"/>
        </w:rPr>
        <w:lastRenderedPageBreak/>
        <w:t xml:space="preserve">to become more economically </w:t>
      </w:r>
      <w:r w:rsidR="0068525F">
        <w:rPr>
          <w:sz w:val="22"/>
        </w:rPr>
        <w:t xml:space="preserve">and structurally </w:t>
      </w:r>
      <w:r w:rsidR="008C5F5E">
        <w:rPr>
          <w:sz w:val="22"/>
        </w:rPr>
        <w:t>involved with the childcare system would be a significant benefit</w:t>
      </w:r>
      <w:r w:rsidR="00C21F18">
        <w:rPr>
          <w:sz w:val="22"/>
        </w:rPr>
        <w:t>, not just in terms of relevant employees with young children and their increased workforce participation but also in relation to meeting increased demands for childcare places within the general community</w:t>
      </w:r>
      <w:r w:rsidR="008C5F5E">
        <w:rPr>
          <w:sz w:val="22"/>
        </w:rPr>
        <w:t>.</w:t>
      </w:r>
    </w:p>
    <w:p w:rsidR="0067534C" w:rsidRDefault="0067534C" w:rsidP="006F038E">
      <w:pPr>
        <w:spacing w:after="0" w:line="240" w:lineRule="auto"/>
        <w:jc w:val="both"/>
        <w:rPr>
          <w:sz w:val="22"/>
        </w:rPr>
      </w:pPr>
    </w:p>
    <w:p w:rsidR="00241313" w:rsidRPr="006A365D" w:rsidRDefault="00241313" w:rsidP="00241313">
      <w:pPr>
        <w:spacing w:after="0" w:line="240" w:lineRule="auto"/>
        <w:jc w:val="both"/>
        <w:rPr>
          <w:b/>
          <w:i/>
          <w:color w:val="1F497D" w:themeColor="text2"/>
          <w:sz w:val="24"/>
        </w:rPr>
      </w:pPr>
      <w:r w:rsidRPr="006A365D">
        <w:rPr>
          <w:b/>
          <w:i/>
          <w:color w:val="1F497D" w:themeColor="text2"/>
          <w:sz w:val="24"/>
        </w:rPr>
        <w:t>Recommendations in summary</w:t>
      </w:r>
    </w:p>
    <w:p w:rsidR="00241313" w:rsidRDefault="00241313" w:rsidP="00241313">
      <w:pPr>
        <w:spacing w:after="0" w:line="240" w:lineRule="auto"/>
        <w:jc w:val="both"/>
        <w:rPr>
          <w:sz w:val="22"/>
        </w:rPr>
      </w:pPr>
    </w:p>
    <w:p w:rsidR="00241313" w:rsidRDefault="00241313" w:rsidP="00241313">
      <w:pPr>
        <w:spacing w:after="0" w:line="240" w:lineRule="auto"/>
        <w:jc w:val="both"/>
        <w:rPr>
          <w:sz w:val="22"/>
        </w:rPr>
      </w:pPr>
      <w:proofErr w:type="spellStart"/>
      <w:r w:rsidRPr="00FB1950">
        <w:rPr>
          <w:sz w:val="22"/>
        </w:rPr>
        <w:t>MMSG</w:t>
      </w:r>
      <w:proofErr w:type="spellEnd"/>
      <w:r w:rsidRPr="00FB1950">
        <w:rPr>
          <w:sz w:val="22"/>
        </w:rPr>
        <w:t xml:space="preserve"> submits that the following reforms will </w:t>
      </w:r>
      <w:r>
        <w:rPr>
          <w:sz w:val="22"/>
        </w:rPr>
        <w:t xml:space="preserve">enhance the childcare choices available to Australian families, </w:t>
      </w:r>
      <w:r w:rsidRPr="00FB1950">
        <w:rPr>
          <w:sz w:val="22"/>
        </w:rPr>
        <w:t>improve the level of participation of women in the workforce, and parents generally, whilst at the same time provide greater encouragement for employers to provide childcare benefits to their employees:</w:t>
      </w:r>
    </w:p>
    <w:p w:rsidR="00241313" w:rsidRPr="001562A0" w:rsidRDefault="00241313" w:rsidP="00241313">
      <w:pPr>
        <w:spacing w:after="0" w:line="240" w:lineRule="auto"/>
        <w:jc w:val="both"/>
        <w:rPr>
          <w:color w:val="595959" w:themeColor="text1" w:themeTint="A6"/>
          <w:sz w:val="22"/>
        </w:rPr>
      </w:pPr>
    </w:p>
    <w:p w:rsidR="00241313" w:rsidRPr="001763F9" w:rsidRDefault="00241313" w:rsidP="00241313">
      <w:pPr>
        <w:spacing w:after="0" w:line="240" w:lineRule="auto"/>
        <w:jc w:val="both"/>
        <w:rPr>
          <w:b/>
          <w:i/>
          <w:color w:val="1F497D" w:themeColor="text2"/>
          <w:sz w:val="22"/>
          <w:szCs w:val="22"/>
        </w:rPr>
      </w:pPr>
      <w:proofErr w:type="spellStart"/>
      <w:r w:rsidRPr="001763F9">
        <w:rPr>
          <w:b/>
          <w:i/>
          <w:color w:val="1F497D" w:themeColor="text2"/>
          <w:sz w:val="22"/>
          <w:szCs w:val="22"/>
        </w:rPr>
        <w:t>CCB</w:t>
      </w:r>
      <w:proofErr w:type="spellEnd"/>
      <w:r w:rsidRPr="001763F9">
        <w:rPr>
          <w:b/>
          <w:i/>
          <w:color w:val="1F497D" w:themeColor="text2"/>
          <w:sz w:val="22"/>
          <w:szCs w:val="22"/>
        </w:rPr>
        <w:t>/</w:t>
      </w:r>
      <w:proofErr w:type="spellStart"/>
      <w:r w:rsidRPr="001763F9">
        <w:rPr>
          <w:b/>
          <w:i/>
          <w:color w:val="1F497D" w:themeColor="text2"/>
          <w:sz w:val="22"/>
          <w:szCs w:val="22"/>
        </w:rPr>
        <w:t>CCR</w:t>
      </w:r>
      <w:proofErr w:type="spellEnd"/>
      <w:r w:rsidR="00AE0D7A">
        <w:rPr>
          <w:b/>
          <w:i/>
          <w:color w:val="1F497D" w:themeColor="text2"/>
          <w:sz w:val="22"/>
          <w:szCs w:val="22"/>
        </w:rPr>
        <w:t xml:space="preserve"> – see page 16</w:t>
      </w:r>
    </w:p>
    <w:p w:rsidR="00241313" w:rsidRPr="001F7C76" w:rsidRDefault="00241313" w:rsidP="00241313">
      <w:pPr>
        <w:spacing w:after="0" w:line="240" w:lineRule="auto"/>
        <w:jc w:val="both"/>
        <w:rPr>
          <w:sz w:val="22"/>
        </w:rPr>
      </w:pPr>
    </w:p>
    <w:p w:rsidR="00241313" w:rsidRPr="0062330C" w:rsidRDefault="00241313" w:rsidP="00241313">
      <w:pPr>
        <w:pStyle w:val="ListParagraph"/>
        <w:numPr>
          <w:ilvl w:val="0"/>
          <w:numId w:val="6"/>
        </w:numPr>
        <w:spacing w:after="0" w:line="240" w:lineRule="auto"/>
        <w:jc w:val="both"/>
        <w:rPr>
          <w:sz w:val="22"/>
        </w:rPr>
      </w:pPr>
      <w:r>
        <w:rPr>
          <w:sz w:val="22"/>
        </w:rPr>
        <w:t>The two-tiered system be combined</w:t>
      </w:r>
      <w:r w:rsidRPr="0062330C">
        <w:rPr>
          <w:sz w:val="22"/>
        </w:rPr>
        <w:t xml:space="preserve"> into a single-benefit system</w:t>
      </w:r>
    </w:p>
    <w:p w:rsidR="00241313" w:rsidRPr="0062330C" w:rsidRDefault="00241313" w:rsidP="00241313">
      <w:pPr>
        <w:pStyle w:val="ListParagraph"/>
        <w:numPr>
          <w:ilvl w:val="0"/>
          <w:numId w:val="6"/>
        </w:numPr>
        <w:spacing w:after="0" w:line="240" w:lineRule="auto"/>
        <w:jc w:val="both"/>
        <w:rPr>
          <w:sz w:val="22"/>
        </w:rPr>
      </w:pPr>
      <w:r>
        <w:rPr>
          <w:sz w:val="22"/>
        </w:rPr>
        <w:t>The amount of the combined benefit</w:t>
      </w:r>
      <w:r w:rsidRPr="0062330C">
        <w:rPr>
          <w:sz w:val="22"/>
        </w:rPr>
        <w:t xml:space="preserve"> be s</w:t>
      </w:r>
      <w:r>
        <w:rPr>
          <w:sz w:val="22"/>
        </w:rPr>
        <w:t>taggered according to single/</w:t>
      </w:r>
      <w:r w:rsidRPr="0062330C">
        <w:rPr>
          <w:sz w:val="22"/>
        </w:rPr>
        <w:t>family income</w:t>
      </w:r>
    </w:p>
    <w:p w:rsidR="00241313" w:rsidRDefault="00241313" w:rsidP="00241313">
      <w:pPr>
        <w:spacing w:after="0" w:line="240" w:lineRule="auto"/>
        <w:jc w:val="both"/>
        <w:rPr>
          <w:sz w:val="22"/>
        </w:rPr>
      </w:pPr>
    </w:p>
    <w:p w:rsidR="00241313" w:rsidRPr="001763F9" w:rsidRDefault="00241313" w:rsidP="00241313">
      <w:pPr>
        <w:spacing w:after="0" w:line="240" w:lineRule="auto"/>
        <w:jc w:val="both"/>
        <w:rPr>
          <w:b/>
          <w:i/>
          <w:color w:val="1F497D" w:themeColor="text2"/>
          <w:sz w:val="22"/>
          <w:szCs w:val="22"/>
        </w:rPr>
      </w:pPr>
      <w:r w:rsidRPr="001763F9">
        <w:rPr>
          <w:b/>
          <w:i/>
          <w:color w:val="1F497D" w:themeColor="text2"/>
          <w:sz w:val="22"/>
          <w:szCs w:val="22"/>
        </w:rPr>
        <w:t>Income tax/</w:t>
      </w:r>
      <w:proofErr w:type="spellStart"/>
      <w:r w:rsidRPr="001763F9">
        <w:rPr>
          <w:b/>
          <w:i/>
          <w:color w:val="1F497D" w:themeColor="text2"/>
          <w:sz w:val="22"/>
          <w:szCs w:val="22"/>
        </w:rPr>
        <w:t>FBT</w:t>
      </w:r>
      <w:proofErr w:type="spellEnd"/>
      <w:r w:rsidR="00AE0D7A">
        <w:rPr>
          <w:b/>
          <w:i/>
          <w:color w:val="1F497D" w:themeColor="text2"/>
          <w:sz w:val="22"/>
          <w:szCs w:val="22"/>
        </w:rPr>
        <w:t xml:space="preserve"> – see page 18</w:t>
      </w:r>
    </w:p>
    <w:p w:rsidR="00241313" w:rsidRDefault="00241313" w:rsidP="00241313">
      <w:pPr>
        <w:spacing w:after="0" w:line="240" w:lineRule="auto"/>
        <w:jc w:val="both"/>
        <w:rPr>
          <w:sz w:val="22"/>
        </w:rPr>
      </w:pPr>
    </w:p>
    <w:p w:rsidR="00241313" w:rsidRDefault="00241313" w:rsidP="00241313">
      <w:pPr>
        <w:pStyle w:val="ListParagraph"/>
        <w:numPr>
          <w:ilvl w:val="0"/>
          <w:numId w:val="8"/>
        </w:numPr>
        <w:spacing w:after="0" w:line="240" w:lineRule="auto"/>
        <w:jc w:val="both"/>
        <w:rPr>
          <w:sz w:val="22"/>
        </w:rPr>
      </w:pPr>
      <w:r w:rsidRPr="00BE03F8">
        <w:rPr>
          <w:b/>
          <w:i/>
          <w:sz w:val="22"/>
        </w:rPr>
        <w:t>Principal recommendation</w:t>
      </w:r>
      <w:r>
        <w:rPr>
          <w:sz w:val="22"/>
        </w:rPr>
        <w:t xml:space="preserve"> - Allow parents the option of claiming</w:t>
      </w:r>
      <w:r w:rsidRPr="009A3059">
        <w:rPr>
          <w:sz w:val="22"/>
        </w:rPr>
        <w:t xml:space="preserve"> an income tax deduction </w:t>
      </w:r>
      <w:r>
        <w:rPr>
          <w:sz w:val="22"/>
        </w:rPr>
        <w:t xml:space="preserve">under the </w:t>
      </w:r>
      <w:r w:rsidRPr="00BF491B">
        <w:rPr>
          <w:i/>
          <w:sz w:val="22"/>
        </w:rPr>
        <w:t>Income Tax Assessment Act 1997</w:t>
      </w:r>
      <w:r>
        <w:rPr>
          <w:sz w:val="22"/>
        </w:rPr>
        <w:t xml:space="preserve"> (the </w:t>
      </w:r>
      <w:proofErr w:type="spellStart"/>
      <w:r>
        <w:rPr>
          <w:sz w:val="22"/>
        </w:rPr>
        <w:t>ITAA</w:t>
      </w:r>
      <w:proofErr w:type="spellEnd"/>
      <w:r>
        <w:rPr>
          <w:sz w:val="22"/>
        </w:rPr>
        <w:t xml:space="preserve"> 1997) </w:t>
      </w:r>
      <w:r w:rsidRPr="009A3059">
        <w:rPr>
          <w:sz w:val="22"/>
        </w:rPr>
        <w:t>for childcare fees</w:t>
      </w:r>
      <w:r>
        <w:rPr>
          <w:sz w:val="22"/>
        </w:rPr>
        <w:t xml:space="preserve"> in lieu of claiming a combined </w:t>
      </w:r>
      <w:proofErr w:type="spellStart"/>
      <w:r>
        <w:rPr>
          <w:sz w:val="22"/>
        </w:rPr>
        <w:t>CCB</w:t>
      </w:r>
      <w:proofErr w:type="spellEnd"/>
      <w:r>
        <w:rPr>
          <w:sz w:val="22"/>
        </w:rPr>
        <w:t>/</w:t>
      </w:r>
      <w:proofErr w:type="spellStart"/>
      <w:r>
        <w:rPr>
          <w:sz w:val="22"/>
        </w:rPr>
        <w:t>CCR</w:t>
      </w:r>
      <w:proofErr w:type="spellEnd"/>
      <w:r>
        <w:rPr>
          <w:sz w:val="22"/>
        </w:rPr>
        <w:t xml:space="preserve"> entitlement.</w:t>
      </w:r>
    </w:p>
    <w:p w:rsidR="00241313" w:rsidRPr="003963A5" w:rsidRDefault="00241313" w:rsidP="00241313">
      <w:pPr>
        <w:spacing w:after="0" w:line="240" w:lineRule="auto"/>
        <w:jc w:val="both"/>
        <w:rPr>
          <w:b/>
          <w:sz w:val="22"/>
        </w:rPr>
      </w:pPr>
    </w:p>
    <w:p w:rsidR="00241313" w:rsidRPr="009A7335" w:rsidRDefault="00241313" w:rsidP="00241313">
      <w:pPr>
        <w:pStyle w:val="ListParagraph"/>
        <w:numPr>
          <w:ilvl w:val="0"/>
          <w:numId w:val="8"/>
        </w:numPr>
        <w:spacing w:after="0" w:line="240" w:lineRule="auto"/>
        <w:jc w:val="both"/>
        <w:rPr>
          <w:sz w:val="22"/>
        </w:rPr>
      </w:pPr>
      <w:r w:rsidRPr="00BE03F8">
        <w:rPr>
          <w:b/>
          <w:i/>
          <w:sz w:val="22"/>
        </w:rPr>
        <w:t>Alternate recommendation</w:t>
      </w:r>
      <w:r>
        <w:rPr>
          <w:sz w:val="22"/>
        </w:rPr>
        <w:t xml:space="preserve"> - Amend s 47(2) of the </w:t>
      </w:r>
      <w:r w:rsidRPr="00BF491B">
        <w:rPr>
          <w:i/>
          <w:sz w:val="22"/>
        </w:rPr>
        <w:t>Fringe Benefits Tax Assessment Act 1986</w:t>
      </w:r>
      <w:r>
        <w:rPr>
          <w:sz w:val="22"/>
        </w:rPr>
        <w:t xml:space="preserve"> (the </w:t>
      </w:r>
      <w:proofErr w:type="spellStart"/>
      <w:r>
        <w:rPr>
          <w:sz w:val="22"/>
        </w:rPr>
        <w:t>FBT</w:t>
      </w:r>
      <w:proofErr w:type="spellEnd"/>
      <w:r>
        <w:rPr>
          <w:sz w:val="22"/>
        </w:rPr>
        <w:t xml:space="preserve"> A</w:t>
      </w:r>
      <w:r w:rsidRPr="00F200AD">
        <w:rPr>
          <w:sz w:val="22"/>
        </w:rPr>
        <w:t>ct</w:t>
      </w:r>
      <w:r>
        <w:rPr>
          <w:sz w:val="22"/>
        </w:rPr>
        <w:t>)</w:t>
      </w:r>
      <w:r w:rsidRPr="00F200AD">
        <w:rPr>
          <w:sz w:val="22"/>
        </w:rPr>
        <w:t xml:space="preserve"> to lower the barriers against employers joining together to provide </w:t>
      </w:r>
      <w:proofErr w:type="spellStart"/>
      <w:r w:rsidRPr="00F200AD">
        <w:rPr>
          <w:sz w:val="22"/>
        </w:rPr>
        <w:t>FBT</w:t>
      </w:r>
      <w:proofErr w:type="spellEnd"/>
      <w:r w:rsidRPr="00F200AD">
        <w:rPr>
          <w:sz w:val="22"/>
        </w:rPr>
        <w:t>-exempt childcare facilities to employees.</w:t>
      </w:r>
    </w:p>
    <w:p w:rsidR="00241313" w:rsidRDefault="00241313" w:rsidP="006F038E">
      <w:pPr>
        <w:spacing w:after="0" w:line="240" w:lineRule="auto"/>
        <w:jc w:val="both"/>
        <w:rPr>
          <w:sz w:val="22"/>
        </w:rPr>
      </w:pPr>
    </w:p>
    <w:p w:rsidR="004B22C0" w:rsidRPr="00777899" w:rsidRDefault="004B22C0" w:rsidP="004B22C0">
      <w:pPr>
        <w:spacing w:after="0" w:line="240" w:lineRule="auto"/>
        <w:jc w:val="both"/>
        <w:rPr>
          <w:b/>
          <w:i/>
          <w:color w:val="1F497D" w:themeColor="text2"/>
          <w:sz w:val="24"/>
        </w:rPr>
      </w:pPr>
      <w:r w:rsidRPr="00777899">
        <w:rPr>
          <w:b/>
          <w:i/>
          <w:color w:val="1F497D" w:themeColor="text2"/>
          <w:sz w:val="24"/>
        </w:rPr>
        <w:t>The transfer system and childcare</w:t>
      </w:r>
    </w:p>
    <w:p w:rsidR="004B22C0" w:rsidRDefault="004B22C0" w:rsidP="004B22C0">
      <w:pPr>
        <w:spacing w:after="0" w:line="240" w:lineRule="auto"/>
        <w:jc w:val="both"/>
        <w:rPr>
          <w:sz w:val="22"/>
        </w:rPr>
      </w:pPr>
    </w:p>
    <w:p w:rsidR="004B22C0" w:rsidRPr="002D6FD0" w:rsidRDefault="004B22C0" w:rsidP="004B22C0">
      <w:pPr>
        <w:spacing w:after="0" w:line="240" w:lineRule="auto"/>
        <w:jc w:val="both"/>
        <w:rPr>
          <w:sz w:val="22"/>
        </w:rPr>
      </w:pPr>
      <w:r w:rsidRPr="002D6FD0">
        <w:rPr>
          <w:sz w:val="22"/>
        </w:rPr>
        <w:t>The transfer system as it relates to childcare support mainly consists of the mean</w:t>
      </w:r>
      <w:r>
        <w:rPr>
          <w:sz w:val="22"/>
        </w:rPr>
        <w:t xml:space="preserve">s </w:t>
      </w:r>
      <w:r w:rsidRPr="002D6FD0">
        <w:rPr>
          <w:sz w:val="22"/>
        </w:rPr>
        <w:t>tested Child Care Benefit (</w:t>
      </w:r>
      <w:proofErr w:type="spellStart"/>
      <w:r w:rsidRPr="002D6FD0">
        <w:rPr>
          <w:sz w:val="22"/>
        </w:rPr>
        <w:t>CCB</w:t>
      </w:r>
      <w:proofErr w:type="spellEnd"/>
      <w:r w:rsidRPr="002D6FD0">
        <w:rPr>
          <w:sz w:val="22"/>
        </w:rPr>
        <w:t>) and the non-means tested Child Care Rebate (</w:t>
      </w:r>
      <w:proofErr w:type="spellStart"/>
      <w:r w:rsidRPr="002D6FD0">
        <w:rPr>
          <w:sz w:val="22"/>
        </w:rPr>
        <w:t>CCR</w:t>
      </w:r>
      <w:proofErr w:type="spellEnd"/>
      <w:r w:rsidRPr="002D6FD0">
        <w:rPr>
          <w:sz w:val="22"/>
        </w:rPr>
        <w:t xml:space="preserve">). Although both essentially fund the same things, their basis of eligibility, calculation and level and mode of payment are different. Although the </w:t>
      </w:r>
      <w:proofErr w:type="spellStart"/>
      <w:r w:rsidRPr="002D6FD0">
        <w:rPr>
          <w:sz w:val="22"/>
        </w:rPr>
        <w:t>CCB</w:t>
      </w:r>
      <w:proofErr w:type="spellEnd"/>
      <w:r w:rsidRPr="002D6FD0">
        <w:rPr>
          <w:sz w:val="22"/>
        </w:rPr>
        <w:t xml:space="preserve"> and the </w:t>
      </w:r>
      <w:proofErr w:type="spellStart"/>
      <w:r w:rsidRPr="002D6FD0">
        <w:rPr>
          <w:sz w:val="22"/>
        </w:rPr>
        <w:t>CCR</w:t>
      </w:r>
      <w:proofErr w:type="spellEnd"/>
      <w:r w:rsidRPr="002D6FD0">
        <w:rPr>
          <w:sz w:val="22"/>
        </w:rPr>
        <w:t xml:space="preserve"> </w:t>
      </w:r>
      <w:r>
        <w:rPr>
          <w:sz w:val="22"/>
        </w:rPr>
        <w:t xml:space="preserve">reporting and payment processes are reasonably efficient and the payments </w:t>
      </w:r>
      <w:r w:rsidRPr="002D6FD0">
        <w:rPr>
          <w:sz w:val="22"/>
        </w:rPr>
        <w:t>do provide real support to many Australian</w:t>
      </w:r>
      <w:r>
        <w:rPr>
          <w:sz w:val="22"/>
        </w:rPr>
        <w:t xml:space="preserve"> parents, they are not easily understood</w:t>
      </w:r>
      <w:r w:rsidRPr="002D6FD0">
        <w:rPr>
          <w:sz w:val="22"/>
        </w:rPr>
        <w:t xml:space="preserve"> and, particula</w:t>
      </w:r>
      <w:r>
        <w:rPr>
          <w:sz w:val="22"/>
        </w:rPr>
        <w:t xml:space="preserve">rly in the case of the </w:t>
      </w:r>
      <w:proofErr w:type="spellStart"/>
      <w:r>
        <w:rPr>
          <w:sz w:val="22"/>
        </w:rPr>
        <w:t>CCR</w:t>
      </w:r>
      <w:proofErr w:type="spellEnd"/>
      <w:r>
        <w:rPr>
          <w:sz w:val="22"/>
        </w:rPr>
        <w:t xml:space="preserve">, </w:t>
      </w:r>
      <w:r w:rsidRPr="002D6FD0">
        <w:rPr>
          <w:sz w:val="22"/>
        </w:rPr>
        <w:t>difficult to access.</w:t>
      </w:r>
    </w:p>
    <w:p w:rsidR="004B22C0" w:rsidRPr="002D6FD0" w:rsidRDefault="004B22C0" w:rsidP="004B22C0">
      <w:pPr>
        <w:spacing w:after="0" w:line="240" w:lineRule="auto"/>
        <w:jc w:val="both"/>
        <w:rPr>
          <w:sz w:val="22"/>
        </w:rPr>
      </w:pPr>
    </w:p>
    <w:p w:rsidR="004B22C0" w:rsidRDefault="004B22C0" w:rsidP="004B22C0">
      <w:pPr>
        <w:spacing w:after="0" w:line="240" w:lineRule="auto"/>
        <w:jc w:val="both"/>
        <w:rPr>
          <w:sz w:val="22"/>
        </w:rPr>
      </w:pPr>
      <w:r w:rsidRPr="002D6FD0">
        <w:rPr>
          <w:sz w:val="22"/>
        </w:rPr>
        <w:t>Rather than provoking non-distortionary childcare choices by parents, the transfer system no</w:t>
      </w:r>
      <w:r>
        <w:rPr>
          <w:sz w:val="22"/>
        </w:rPr>
        <w:t>w dominates their cost support and has led to an environment which</w:t>
      </w:r>
      <w:r w:rsidRPr="002D6FD0">
        <w:rPr>
          <w:sz w:val="22"/>
        </w:rPr>
        <w:t xml:space="preserve"> does not adequately motivate women to enter or re-enter the workforce after childbirth</w:t>
      </w:r>
      <w:r>
        <w:rPr>
          <w:sz w:val="22"/>
        </w:rPr>
        <w:t>. This has resulted in ongoing under-utilisation of valuable human capital.</w:t>
      </w:r>
    </w:p>
    <w:p w:rsidR="004B22C0" w:rsidRDefault="004B22C0" w:rsidP="004B22C0">
      <w:pPr>
        <w:spacing w:after="0" w:line="240" w:lineRule="auto"/>
        <w:jc w:val="both"/>
        <w:rPr>
          <w:sz w:val="22"/>
        </w:rPr>
      </w:pPr>
    </w:p>
    <w:p w:rsidR="004B22C0" w:rsidRPr="002D6FD0" w:rsidRDefault="004B22C0" w:rsidP="004B22C0">
      <w:pPr>
        <w:spacing w:after="0" w:line="240" w:lineRule="auto"/>
        <w:jc w:val="both"/>
        <w:rPr>
          <w:sz w:val="22"/>
        </w:rPr>
      </w:pPr>
      <w:r>
        <w:rPr>
          <w:sz w:val="22"/>
        </w:rPr>
        <w:t xml:space="preserve">The transfer system </w:t>
      </w:r>
      <w:r w:rsidRPr="002D6FD0">
        <w:rPr>
          <w:sz w:val="22"/>
        </w:rPr>
        <w:t xml:space="preserve">has also </w:t>
      </w:r>
      <w:r>
        <w:rPr>
          <w:sz w:val="22"/>
        </w:rPr>
        <w:t>developed to the point where it actively provides</w:t>
      </w:r>
      <w:r w:rsidRPr="002D6FD0">
        <w:rPr>
          <w:sz w:val="22"/>
        </w:rPr>
        <w:t xml:space="preserve"> a disincentive to any parent other than those on high inc</w:t>
      </w:r>
      <w:r>
        <w:rPr>
          <w:sz w:val="22"/>
        </w:rPr>
        <w:t>omes to incur childcare costs on</w:t>
      </w:r>
      <w:r w:rsidRPr="002D6FD0">
        <w:rPr>
          <w:sz w:val="22"/>
        </w:rPr>
        <w:t xml:space="preserve"> a before-tax basis. </w:t>
      </w:r>
      <w:r>
        <w:rPr>
          <w:sz w:val="22"/>
        </w:rPr>
        <w:t>This is indicative of the disconnect between transfer system entitlements and the financial outcomes for parents receiving indirect or direct childcare support from their employers. The variables are so pronounced as to prevent any childcare decision-making by a ‘parent employee’ using a model of consistent or universal principles.</w:t>
      </w:r>
    </w:p>
    <w:p w:rsidR="004B22C0" w:rsidRDefault="004B22C0" w:rsidP="004B22C0">
      <w:pPr>
        <w:spacing w:after="0" w:line="240" w:lineRule="auto"/>
        <w:jc w:val="both"/>
        <w:rPr>
          <w:sz w:val="22"/>
        </w:rPr>
      </w:pPr>
    </w:p>
    <w:p w:rsidR="004B22C0" w:rsidRDefault="004B22C0" w:rsidP="004B22C0">
      <w:pPr>
        <w:spacing w:after="0" w:line="240" w:lineRule="auto"/>
        <w:jc w:val="both"/>
        <w:rPr>
          <w:sz w:val="22"/>
        </w:rPr>
      </w:pPr>
      <w:r>
        <w:rPr>
          <w:sz w:val="22"/>
        </w:rPr>
        <w:lastRenderedPageBreak/>
        <w:t xml:space="preserve">Our submission discusses in detail those issues with the transfer system as it impacts childcare costs and makes recommendations designed to overcome them. This is based on detailed modelling and analysis carried out by PricewaterhouseCoopers (PwC) on behalf of </w:t>
      </w:r>
      <w:proofErr w:type="spellStart"/>
      <w:r>
        <w:rPr>
          <w:sz w:val="22"/>
        </w:rPr>
        <w:t>MMSG</w:t>
      </w:r>
      <w:proofErr w:type="spellEnd"/>
      <w:r>
        <w:rPr>
          <w:sz w:val="22"/>
        </w:rPr>
        <w:t xml:space="preserve"> for the purposes of this submission.</w:t>
      </w:r>
    </w:p>
    <w:p w:rsidR="004B22C0" w:rsidRDefault="004B22C0" w:rsidP="006F038E">
      <w:pPr>
        <w:spacing w:after="0" w:line="240" w:lineRule="auto"/>
        <w:jc w:val="both"/>
        <w:rPr>
          <w:sz w:val="22"/>
        </w:rPr>
      </w:pPr>
    </w:p>
    <w:p w:rsidR="00AE39D1" w:rsidRPr="004B22C0" w:rsidRDefault="00AE39D1" w:rsidP="006F038E">
      <w:pPr>
        <w:spacing w:after="0" w:line="240" w:lineRule="auto"/>
        <w:jc w:val="both"/>
        <w:rPr>
          <w:b/>
          <w:i/>
          <w:color w:val="1F497D" w:themeColor="text2"/>
          <w:sz w:val="24"/>
        </w:rPr>
      </w:pPr>
      <w:r w:rsidRPr="004B22C0">
        <w:rPr>
          <w:b/>
          <w:i/>
          <w:color w:val="1F497D" w:themeColor="text2"/>
          <w:sz w:val="24"/>
        </w:rPr>
        <w:t xml:space="preserve">The </w:t>
      </w:r>
      <w:r w:rsidR="004B22C0" w:rsidRPr="004B22C0">
        <w:rPr>
          <w:b/>
          <w:i/>
          <w:color w:val="1F497D" w:themeColor="text2"/>
          <w:sz w:val="24"/>
        </w:rPr>
        <w:t xml:space="preserve">fringe benefits </w:t>
      </w:r>
      <w:r w:rsidRPr="004B22C0">
        <w:rPr>
          <w:b/>
          <w:i/>
          <w:color w:val="1F497D" w:themeColor="text2"/>
          <w:sz w:val="24"/>
        </w:rPr>
        <w:t>tax system and childcare</w:t>
      </w:r>
    </w:p>
    <w:p w:rsidR="00AE39D1" w:rsidRDefault="00AE39D1" w:rsidP="006F038E">
      <w:pPr>
        <w:spacing w:after="0" w:line="240" w:lineRule="auto"/>
        <w:jc w:val="both"/>
        <w:rPr>
          <w:sz w:val="22"/>
        </w:rPr>
      </w:pPr>
    </w:p>
    <w:p w:rsidR="00405502" w:rsidRDefault="00A26B89" w:rsidP="006F038E">
      <w:pPr>
        <w:spacing w:after="0" w:line="240" w:lineRule="auto"/>
        <w:jc w:val="both"/>
        <w:rPr>
          <w:sz w:val="22"/>
        </w:rPr>
      </w:pPr>
      <w:r w:rsidRPr="002D6FD0">
        <w:rPr>
          <w:sz w:val="22"/>
        </w:rPr>
        <w:t xml:space="preserve">The </w:t>
      </w:r>
      <w:r w:rsidR="004B22C0">
        <w:rPr>
          <w:sz w:val="22"/>
        </w:rPr>
        <w:t xml:space="preserve">fringe benefits </w:t>
      </w:r>
      <w:r w:rsidRPr="002D6FD0">
        <w:rPr>
          <w:sz w:val="22"/>
        </w:rPr>
        <w:t xml:space="preserve">tax </w:t>
      </w:r>
      <w:r w:rsidR="004B22C0">
        <w:rPr>
          <w:sz w:val="22"/>
        </w:rPr>
        <w:t>(</w:t>
      </w:r>
      <w:proofErr w:type="spellStart"/>
      <w:r w:rsidR="004B22C0">
        <w:rPr>
          <w:sz w:val="22"/>
        </w:rPr>
        <w:t>FBT</w:t>
      </w:r>
      <w:proofErr w:type="spellEnd"/>
      <w:r w:rsidR="004B22C0">
        <w:rPr>
          <w:sz w:val="22"/>
        </w:rPr>
        <w:t xml:space="preserve">) </w:t>
      </w:r>
      <w:r w:rsidRPr="002D6FD0">
        <w:rPr>
          <w:sz w:val="22"/>
        </w:rPr>
        <w:t>system’s support of childcare is inefficient and distortionary</w:t>
      </w:r>
      <w:r w:rsidR="00D35E5D">
        <w:rPr>
          <w:sz w:val="22"/>
        </w:rPr>
        <w:t>.</w:t>
      </w:r>
      <w:r w:rsidR="007C50EE">
        <w:rPr>
          <w:sz w:val="22"/>
        </w:rPr>
        <w:t xml:space="preserve"> Rather than provide </w:t>
      </w:r>
      <w:r w:rsidR="00610384">
        <w:rPr>
          <w:sz w:val="22"/>
        </w:rPr>
        <w:t xml:space="preserve">cost-efficient </w:t>
      </w:r>
      <w:r w:rsidR="007C50EE">
        <w:rPr>
          <w:sz w:val="22"/>
        </w:rPr>
        <w:t>incentives,</w:t>
      </w:r>
      <w:r w:rsidR="004B22C0">
        <w:rPr>
          <w:sz w:val="22"/>
        </w:rPr>
        <w:t xml:space="preserve"> the </w:t>
      </w:r>
      <w:proofErr w:type="spellStart"/>
      <w:r w:rsidR="004B22C0">
        <w:rPr>
          <w:sz w:val="22"/>
        </w:rPr>
        <w:t>FBT</w:t>
      </w:r>
      <w:proofErr w:type="spellEnd"/>
      <w:r w:rsidR="002C12FF" w:rsidRPr="002D6FD0">
        <w:rPr>
          <w:sz w:val="22"/>
        </w:rPr>
        <w:t xml:space="preserve"> exemption</w:t>
      </w:r>
      <w:r w:rsidR="006F3871">
        <w:rPr>
          <w:sz w:val="22"/>
        </w:rPr>
        <w:t>s</w:t>
      </w:r>
      <w:r w:rsidR="002C12FF" w:rsidRPr="002D6FD0">
        <w:rPr>
          <w:sz w:val="22"/>
        </w:rPr>
        <w:t xml:space="preserve"> for employer-provided childcare</w:t>
      </w:r>
      <w:r w:rsidR="006F3871">
        <w:rPr>
          <w:sz w:val="22"/>
        </w:rPr>
        <w:t xml:space="preserve"> </w:t>
      </w:r>
      <w:r w:rsidR="0057079C">
        <w:rPr>
          <w:sz w:val="22"/>
        </w:rPr>
        <w:t xml:space="preserve">and </w:t>
      </w:r>
      <w:r w:rsidR="006F3871">
        <w:rPr>
          <w:sz w:val="22"/>
        </w:rPr>
        <w:t>employer-sponsored childcare are</w:t>
      </w:r>
      <w:r w:rsidR="002C12FF" w:rsidRPr="002D6FD0">
        <w:rPr>
          <w:sz w:val="22"/>
        </w:rPr>
        <w:t xml:space="preserve"> </w:t>
      </w:r>
      <w:proofErr w:type="spellStart"/>
      <w:r w:rsidR="002C12FF" w:rsidRPr="002D6FD0">
        <w:rPr>
          <w:sz w:val="22"/>
        </w:rPr>
        <w:t>outdated</w:t>
      </w:r>
      <w:proofErr w:type="spellEnd"/>
      <w:r w:rsidR="002C12FF" w:rsidRPr="002D6FD0">
        <w:rPr>
          <w:sz w:val="22"/>
        </w:rPr>
        <w:t>, ove</w:t>
      </w:r>
      <w:r w:rsidR="00405502" w:rsidRPr="002D6FD0">
        <w:rPr>
          <w:sz w:val="22"/>
        </w:rPr>
        <w:t>rly restricti</w:t>
      </w:r>
      <w:r w:rsidR="00610384">
        <w:rPr>
          <w:sz w:val="22"/>
        </w:rPr>
        <w:t xml:space="preserve">ve, </w:t>
      </w:r>
      <w:r w:rsidR="001763F9">
        <w:rPr>
          <w:sz w:val="22"/>
        </w:rPr>
        <w:t xml:space="preserve">and </w:t>
      </w:r>
      <w:r w:rsidR="00610384">
        <w:rPr>
          <w:sz w:val="22"/>
        </w:rPr>
        <w:t>beset with uncertainty. These problems lead many employers to either not engage with childcare support or not be willing to incur the costs of compliance in obtaining exemption status, preferring inst</w:t>
      </w:r>
      <w:r w:rsidR="009525B7">
        <w:rPr>
          <w:sz w:val="22"/>
        </w:rPr>
        <w:t xml:space="preserve">ead to incur the </w:t>
      </w:r>
      <w:proofErr w:type="spellStart"/>
      <w:r w:rsidR="009525B7">
        <w:rPr>
          <w:sz w:val="22"/>
        </w:rPr>
        <w:t>FBT</w:t>
      </w:r>
      <w:proofErr w:type="spellEnd"/>
      <w:r w:rsidR="009525B7">
        <w:rPr>
          <w:sz w:val="22"/>
        </w:rPr>
        <w:t xml:space="preserve"> liability</w:t>
      </w:r>
      <w:r w:rsidR="00610384">
        <w:rPr>
          <w:sz w:val="22"/>
        </w:rPr>
        <w:t xml:space="preserve"> which </w:t>
      </w:r>
      <w:r w:rsidR="009525B7">
        <w:rPr>
          <w:sz w:val="22"/>
        </w:rPr>
        <w:t xml:space="preserve">is typically not </w:t>
      </w:r>
      <w:r w:rsidR="00610384">
        <w:rPr>
          <w:sz w:val="22"/>
        </w:rPr>
        <w:t>passed onto employees</w:t>
      </w:r>
      <w:r w:rsidR="006F3871">
        <w:rPr>
          <w:sz w:val="22"/>
        </w:rPr>
        <w:t>.</w:t>
      </w:r>
    </w:p>
    <w:p w:rsidR="006F3871" w:rsidRPr="002D6FD0" w:rsidRDefault="006F3871" w:rsidP="006F038E">
      <w:pPr>
        <w:spacing w:after="0" w:line="240" w:lineRule="auto"/>
        <w:jc w:val="both"/>
        <w:rPr>
          <w:sz w:val="22"/>
        </w:rPr>
      </w:pPr>
    </w:p>
    <w:p w:rsidR="009D6E03" w:rsidRDefault="00381F26" w:rsidP="006F038E">
      <w:pPr>
        <w:spacing w:after="0" w:line="240" w:lineRule="auto"/>
        <w:jc w:val="both"/>
        <w:rPr>
          <w:sz w:val="22"/>
        </w:rPr>
      </w:pPr>
      <w:r>
        <w:rPr>
          <w:sz w:val="22"/>
        </w:rPr>
        <w:t>Quantitative m</w:t>
      </w:r>
      <w:r w:rsidR="00B10A96">
        <w:rPr>
          <w:sz w:val="22"/>
        </w:rPr>
        <w:t xml:space="preserve">arket research performed by Sweeney Research on behalf of </w:t>
      </w:r>
      <w:proofErr w:type="spellStart"/>
      <w:r>
        <w:rPr>
          <w:sz w:val="22"/>
        </w:rPr>
        <w:t>M</w:t>
      </w:r>
      <w:r w:rsidR="001509A8">
        <w:rPr>
          <w:sz w:val="22"/>
        </w:rPr>
        <w:t>MSG</w:t>
      </w:r>
      <w:proofErr w:type="spellEnd"/>
      <w:r w:rsidR="00DA42D9">
        <w:rPr>
          <w:sz w:val="22"/>
        </w:rPr>
        <w:t xml:space="preserve"> </w:t>
      </w:r>
      <w:r w:rsidR="00F825E3">
        <w:rPr>
          <w:sz w:val="22"/>
        </w:rPr>
        <w:t xml:space="preserve">for the </w:t>
      </w:r>
      <w:r w:rsidR="0050470E">
        <w:rPr>
          <w:sz w:val="22"/>
        </w:rPr>
        <w:t>sole purpose</w:t>
      </w:r>
      <w:r w:rsidR="00DA42D9">
        <w:rPr>
          <w:sz w:val="22"/>
        </w:rPr>
        <w:t xml:space="preserve"> of this submission </w:t>
      </w:r>
      <w:r w:rsidR="00A12361">
        <w:rPr>
          <w:sz w:val="22"/>
        </w:rPr>
        <w:t xml:space="preserve">also </w:t>
      </w:r>
      <w:r w:rsidR="00F825E3">
        <w:rPr>
          <w:sz w:val="22"/>
        </w:rPr>
        <w:t xml:space="preserve">largely </w:t>
      </w:r>
      <w:r w:rsidR="00B10A96">
        <w:rPr>
          <w:sz w:val="22"/>
        </w:rPr>
        <w:t xml:space="preserve">confirms anecdotal evidence that despite </w:t>
      </w:r>
      <w:r w:rsidR="00DA42D9">
        <w:rPr>
          <w:sz w:val="22"/>
        </w:rPr>
        <w:t xml:space="preserve">many </w:t>
      </w:r>
      <w:r w:rsidR="00B10A96">
        <w:rPr>
          <w:sz w:val="22"/>
        </w:rPr>
        <w:t xml:space="preserve">employers viewing assisted childcare </w:t>
      </w:r>
      <w:r w:rsidR="00DA42D9">
        <w:rPr>
          <w:sz w:val="22"/>
        </w:rPr>
        <w:t xml:space="preserve">for their employees as an important factor in retaining staff and being perceived as an ‘employer of choice’, </w:t>
      </w:r>
      <w:r w:rsidR="00F825E3">
        <w:rPr>
          <w:sz w:val="22"/>
        </w:rPr>
        <w:t xml:space="preserve">the hurdles to qualify for </w:t>
      </w:r>
      <w:proofErr w:type="spellStart"/>
      <w:r w:rsidR="00F825E3">
        <w:rPr>
          <w:sz w:val="22"/>
        </w:rPr>
        <w:t>FBT</w:t>
      </w:r>
      <w:proofErr w:type="spellEnd"/>
      <w:r w:rsidR="00F825E3">
        <w:rPr>
          <w:sz w:val="22"/>
        </w:rPr>
        <w:t xml:space="preserve"> exemption are too high for all but the very largest companies in Australia.</w:t>
      </w:r>
    </w:p>
    <w:p w:rsidR="00F761EC" w:rsidRDefault="00F761EC" w:rsidP="006F038E">
      <w:pPr>
        <w:spacing w:after="0" w:line="240" w:lineRule="auto"/>
        <w:jc w:val="both"/>
        <w:rPr>
          <w:sz w:val="22"/>
        </w:rPr>
      </w:pPr>
    </w:p>
    <w:p w:rsidR="002D6FD0" w:rsidRDefault="00723FD3" w:rsidP="00A82A22">
      <w:pPr>
        <w:spacing w:after="0" w:line="240" w:lineRule="auto"/>
        <w:jc w:val="both"/>
        <w:rPr>
          <w:sz w:val="22"/>
        </w:rPr>
      </w:pPr>
      <w:r>
        <w:rPr>
          <w:noProof/>
          <w:sz w:val="22"/>
          <w:lang w:val="en-US" w:eastAsia="zh-TW"/>
        </w:rPr>
        <w:pict>
          <v:rect id="_x0000_s1026" style="position:absolute;left:0;text-align:left;margin-left:.15pt;margin-top:311.4pt;width:189.35pt;height:110.7pt;rotation:-360;z-index:251664384;mso-position-horizontal-relative:margin;mso-position-vertical-relative:page" o:allowincell="f" fillcolor="#a7bfde [1620]" stroked="f">
            <v:fill opacity="13107f"/>
            <v:imagedata embosscolor="shadow add(51)"/>
            <v:shadow on="t" color="#d4cfb3 [2734]" opacity=".5" offset="19pt,-21pt" offset2="26pt,-30pt"/>
            <v:textbox style="mso-next-textbox:#_x0000_s1026;mso-fit-shape-to-text:t" inset="28.8pt,7.2pt,14.4pt,28.8pt">
              <w:txbxContent>
                <w:p w:rsidR="00AE0D7A" w:rsidRDefault="00AE0D7A" w:rsidP="00AC0575">
                  <w:pPr>
                    <w:spacing w:after="0"/>
                    <w:rPr>
                      <w:sz w:val="22"/>
                      <w:szCs w:val="22"/>
                    </w:rPr>
                  </w:pPr>
                  <w:r w:rsidRPr="00A82A22">
                    <w:rPr>
                      <w:i/>
                      <w:sz w:val="22"/>
                      <w:szCs w:val="22"/>
                    </w:rPr>
                    <w:t>“We have a childcare facility close to our head office and staff see a great benefit.”</w:t>
                  </w:r>
                  <w:r w:rsidRPr="00A82A22">
                    <w:rPr>
                      <w:sz w:val="22"/>
                      <w:szCs w:val="22"/>
                    </w:rPr>
                    <w:t xml:space="preserve"> </w:t>
                  </w:r>
                </w:p>
                <w:p w:rsidR="00AE0D7A" w:rsidRPr="00A82A22" w:rsidRDefault="00AE0D7A" w:rsidP="00AC0575">
                  <w:pPr>
                    <w:spacing w:after="0"/>
                    <w:rPr>
                      <w:i/>
                      <w:iCs/>
                      <w:color w:val="1F497D" w:themeColor="text2"/>
                      <w:sz w:val="22"/>
                      <w:szCs w:val="22"/>
                    </w:rPr>
                  </w:pPr>
                  <w:r w:rsidRPr="00A82A22">
                    <w:rPr>
                      <w:sz w:val="18"/>
                      <w:szCs w:val="18"/>
                    </w:rPr>
                    <w:t>Source: Verbatim response, Sweeney Research</w:t>
                  </w:r>
                </w:p>
              </w:txbxContent>
            </v:textbox>
            <w10:wrap type="square" anchorx="margin" anchory="page"/>
          </v:rect>
        </w:pict>
      </w:r>
      <w:r w:rsidR="00F15C4F">
        <w:rPr>
          <w:sz w:val="22"/>
        </w:rPr>
        <w:t xml:space="preserve">Our submission reveals the </w:t>
      </w:r>
      <w:r w:rsidR="00C47535">
        <w:rPr>
          <w:sz w:val="22"/>
        </w:rPr>
        <w:t>outcomes of the Sweeney Research Repor</w:t>
      </w:r>
      <w:r w:rsidR="00393254">
        <w:rPr>
          <w:sz w:val="22"/>
        </w:rPr>
        <w:t xml:space="preserve">t and examines </w:t>
      </w:r>
      <w:r w:rsidR="00C47535">
        <w:rPr>
          <w:sz w:val="22"/>
        </w:rPr>
        <w:t xml:space="preserve">the major issues concerning </w:t>
      </w:r>
      <w:proofErr w:type="spellStart"/>
      <w:r w:rsidR="00C47535">
        <w:rPr>
          <w:sz w:val="22"/>
        </w:rPr>
        <w:t>FBT</w:t>
      </w:r>
      <w:proofErr w:type="spellEnd"/>
      <w:r w:rsidR="00C47535">
        <w:rPr>
          <w:sz w:val="22"/>
        </w:rPr>
        <w:t xml:space="preserve"> and childcare. Our recommendations on this issue are designed to encourage more employers to provide assisted childcare to their employees.</w:t>
      </w:r>
    </w:p>
    <w:p w:rsidR="002C3730" w:rsidRDefault="002C3730" w:rsidP="006F038E">
      <w:pPr>
        <w:spacing w:after="0" w:line="240" w:lineRule="auto"/>
        <w:jc w:val="both"/>
        <w:rPr>
          <w:sz w:val="22"/>
        </w:rPr>
      </w:pPr>
    </w:p>
    <w:p w:rsidR="002C3730" w:rsidRPr="00090E1F" w:rsidRDefault="003E3AC8" w:rsidP="002C3730">
      <w:pPr>
        <w:spacing w:after="0" w:line="240" w:lineRule="auto"/>
        <w:jc w:val="both"/>
        <w:rPr>
          <w:b/>
          <w:i/>
          <w:color w:val="1F497D" w:themeColor="text2"/>
          <w:sz w:val="24"/>
        </w:rPr>
      </w:pPr>
      <w:r w:rsidRPr="00090E1F">
        <w:rPr>
          <w:b/>
          <w:i/>
          <w:color w:val="1F497D" w:themeColor="text2"/>
          <w:sz w:val="24"/>
        </w:rPr>
        <w:t xml:space="preserve">Need for </w:t>
      </w:r>
      <w:r w:rsidR="002C3730" w:rsidRPr="00090E1F">
        <w:rPr>
          <w:b/>
          <w:i/>
          <w:color w:val="1F497D" w:themeColor="text2"/>
          <w:sz w:val="24"/>
        </w:rPr>
        <w:t>coherent connections between transfer system and tax system</w:t>
      </w:r>
    </w:p>
    <w:p w:rsidR="002C3730" w:rsidRDefault="002C3730" w:rsidP="002C3730">
      <w:pPr>
        <w:spacing w:after="0" w:line="240" w:lineRule="auto"/>
        <w:jc w:val="both"/>
        <w:rPr>
          <w:sz w:val="22"/>
        </w:rPr>
      </w:pPr>
    </w:p>
    <w:p w:rsidR="002F0DA0" w:rsidRDefault="00242CDA" w:rsidP="002C3730">
      <w:pPr>
        <w:spacing w:after="0" w:line="240" w:lineRule="auto"/>
        <w:jc w:val="both"/>
        <w:rPr>
          <w:sz w:val="22"/>
        </w:rPr>
      </w:pPr>
      <w:r>
        <w:rPr>
          <w:sz w:val="22"/>
        </w:rPr>
        <w:t>Overlaying the issues involving the transfer system support of childcare and the separate issues involving the tax system and childcare is the fact that there are no coherent connections</w:t>
      </w:r>
      <w:r w:rsidR="002C3730">
        <w:rPr>
          <w:sz w:val="22"/>
        </w:rPr>
        <w:t xml:space="preserve"> between the </w:t>
      </w:r>
      <w:r>
        <w:rPr>
          <w:sz w:val="22"/>
        </w:rPr>
        <w:t>two systems</w:t>
      </w:r>
      <w:r w:rsidR="002C3730">
        <w:rPr>
          <w:sz w:val="22"/>
        </w:rPr>
        <w:t xml:space="preserve"> as they relate to childcare. Moreover, the limits of one do not connect to the limits of the other.</w:t>
      </w:r>
      <w:r w:rsidR="002C3730">
        <w:rPr>
          <w:rStyle w:val="FootnoteReference"/>
        </w:rPr>
        <w:footnoteReference w:id="3"/>
      </w:r>
      <w:r>
        <w:rPr>
          <w:sz w:val="22"/>
        </w:rPr>
        <w:t xml:space="preserve"> This is an obstacle to achieving sustainable outcomes</w:t>
      </w:r>
      <w:r w:rsidR="007B72AE">
        <w:rPr>
          <w:sz w:val="22"/>
        </w:rPr>
        <w:t xml:space="preserve"> from the Inquiry because the concept of the “family unit” for the purposes of the transfer system is not the same as the tax system’s version.</w:t>
      </w:r>
      <w:r w:rsidR="00C1342A">
        <w:rPr>
          <w:sz w:val="22"/>
        </w:rPr>
        <w:t xml:space="preserve"> As noted by Stewart,</w:t>
      </w:r>
      <w:r w:rsidR="00C1342A">
        <w:rPr>
          <w:rStyle w:val="FootnoteReference"/>
        </w:rPr>
        <w:footnoteReference w:id="4"/>
      </w:r>
      <w:r w:rsidR="00C1342A">
        <w:rPr>
          <w:sz w:val="22"/>
        </w:rPr>
        <w:t xml:space="preserve"> this “is one reason why it is important to consider tax and transfer systems together.” </w:t>
      </w:r>
    </w:p>
    <w:p w:rsidR="002F0DA0" w:rsidRDefault="002F0DA0" w:rsidP="002C3730">
      <w:pPr>
        <w:spacing w:after="0" w:line="240" w:lineRule="auto"/>
        <w:jc w:val="both"/>
        <w:rPr>
          <w:sz w:val="22"/>
        </w:rPr>
      </w:pPr>
    </w:p>
    <w:p w:rsidR="002C3730" w:rsidRDefault="00C1342A" w:rsidP="002C3730">
      <w:pPr>
        <w:spacing w:after="0" w:line="240" w:lineRule="auto"/>
        <w:jc w:val="both"/>
        <w:rPr>
          <w:sz w:val="22"/>
        </w:rPr>
      </w:pPr>
      <w:r w:rsidRPr="00150630">
        <w:rPr>
          <w:sz w:val="22"/>
        </w:rPr>
        <w:t>T</w:t>
      </w:r>
      <w:r w:rsidR="00393254" w:rsidRPr="00150630">
        <w:rPr>
          <w:sz w:val="22"/>
        </w:rPr>
        <w:t>he fact t</w:t>
      </w:r>
      <w:r w:rsidRPr="00150630">
        <w:rPr>
          <w:sz w:val="22"/>
        </w:rPr>
        <w:t>hat the Inquiry is dealing with childca</w:t>
      </w:r>
      <w:r w:rsidR="00393254" w:rsidRPr="00150630">
        <w:rPr>
          <w:sz w:val="22"/>
        </w:rPr>
        <w:t>re and early childhood learning</w:t>
      </w:r>
      <w:r w:rsidRPr="00150630">
        <w:rPr>
          <w:sz w:val="22"/>
        </w:rPr>
        <w:t xml:space="preserve"> and </w:t>
      </w:r>
      <w:r w:rsidR="00150630">
        <w:rPr>
          <w:sz w:val="22"/>
        </w:rPr>
        <w:t xml:space="preserve">that </w:t>
      </w:r>
      <w:r w:rsidR="00C45D60">
        <w:rPr>
          <w:sz w:val="22"/>
        </w:rPr>
        <w:t>the Government’s belief that a “</w:t>
      </w:r>
      <w:r w:rsidR="00C45D60" w:rsidRPr="00150630">
        <w:rPr>
          <w:sz w:val="22"/>
          <w:szCs w:val="22"/>
        </w:rPr>
        <w:t>mor</w:t>
      </w:r>
      <w:r w:rsidR="00C45D60">
        <w:rPr>
          <w:sz w:val="22"/>
          <w:szCs w:val="22"/>
        </w:rPr>
        <w:t>e flexible and responsive child</w:t>
      </w:r>
      <w:r w:rsidR="00C45D60" w:rsidRPr="00150630">
        <w:rPr>
          <w:sz w:val="22"/>
          <w:szCs w:val="22"/>
        </w:rPr>
        <w:t xml:space="preserve">care system will lift </w:t>
      </w:r>
      <w:r w:rsidR="00C45D60" w:rsidRPr="00150630">
        <w:rPr>
          <w:sz w:val="22"/>
          <w:szCs w:val="22"/>
        </w:rPr>
        <w:lastRenderedPageBreak/>
        <w:t>workforce participation</w:t>
      </w:r>
      <w:r w:rsidR="00C45D60">
        <w:rPr>
          <w:sz w:val="22"/>
          <w:szCs w:val="22"/>
        </w:rPr>
        <w:t>”</w:t>
      </w:r>
      <w:r w:rsidRPr="00150630">
        <w:rPr>
          <w:sz w:val="22"/>
        </w:rPr>
        <w:t>, only serves to reinforce this need, which is addressed by our submission.</w:t>
      </w:r>
      <w:r w:rsidR="00C45D60">
        <w:rPr>
          <w:rStyle w:val="FootnoteReference"/>
        </w:rPr>
        <w:footnoteReference w:id="5"/>
      </w:r>
    </w:p>
    <w:p w:rsidR="00387861" w:rsidRPr="00946974" w:rsidRDefault="00387861" w:rsidP="006F038E">
      <w:pPr>
        <w:spacing w:after="0" w:line="240" w:lineRule="auto"/>
        <w:jc w:val="both"/>
        <w:rPr>
          <w:sz w:val="22"/>
        </w:rPr>
      </w:pPr>
    </w:p>
    <w:p w:rsidR="00612C0E" w:rsidRPr="00B82246" w:rsidRDefault="00612C0E" w:rsidP="00612C0E">
      <w:pPr>
        <w:spacing w:after="0" w:line="240" w:lineRule="auto"/>
        <w:jc w:val="both"/>
        <w:rPr>
          <w:b/>
          <w:color w:val="1F497D" w:themeColor="text2"/>
          <w:sz w:val="32"/>
          <w:szCs w:val="32"/>
        </w:rPr>
      </w:pPr>
      <w:r>
        <w:rPr>
          <w:b/>
          <w:color w:val="1F497D" w:themeColor="text2"/>
          <w:sz w:val="32"/>
          <w:szCs w:val="32"/>
        </w:rPr>
        <w:t>Market research into employers and childcare</w:t>
      </w:r>
    </w:p>
    <w:p w:rsidR="00612C0E" w:rsidRDefault="00612C0E" w:rsidP="00612C0E">
      <w:pPr>
        <w:spacing w:after="0" w:line="240" w:lineRule="auto"/>
        <w:jc w:val="both"/>
        <w:rPr>
          <w:sz w:val="22"/>
        </w:rPr>
      </w:pPr>
    </w:p>
    <w:p w:rsidR="00612C0E" w:rsidRDefault="00612C0E" w:rsidP="00612C0E">
      <w:pPr>
        <w:spacing w:after="0" w:line="240" w:lineRule="auto"/>
        <w:jc w:val="both"/>
        <w:rPr>
          <w:sz w:val="22"/>
        </w:rPr>
      </w:pPr>
      <w:r>
        <w:rPr>
          <w:sz w:val="22"/>
        </w:rPr>
        <w:t xml:space="preserve">The extent </w:t>
      </w:r>
      <w:r w:rsidR="00373F2E">
        <w:rPr>
          <w:sz w:val="22"/>
        </w:rPr>
        <w:t xml:space="preserve">to which employers are </w:t>
      </w:r>
      <w:r>
        <w:rPr>
          <w:sz w:val="22"/>
        </w:rPr>
        <w:t>providing benefits cannot be easily a</w:t>
      </w:r>
      <w:r w:rsidR="00373F2E">
        <w:rPr>
          <w:sz w:val="22"/>
        </w:rPr>
        <w:t>scertained. This is due in</w:t>
      </w:r>
      <w:r>
        <w:rPr>
          <w:sz w:val="22"/>
        </w:rPr>
        <w:t xml:space="preserve"> part to the </w:t>
      </w:r>
      <w:proofErr w:type="spellStart"/>
      <w:r>
        <w:rPr>
          <w:sz w:val="22"/>
        </w:rPr>
        <w:t>ATO</w:t>
      </w:r>
      <w:proofErr w:type="spellEnd"/>
      <w:r>
        <w:rPr>
          <w:sz w:val="22"/>
        </w:rPr>
        <w:t xml:space="preserve"> not requiring employers to particularise on annual </w:t>
      </w:r>
      <w:proofErr w:type="spellStart"/>
      <w:r>
        <w:rPr>
          <w:sz w:val="22"/>
        </w:rPr>
        <w:t>FBT</w:t>
      </w:r>
      <w:proofErr w:type="spellEnd"/>
      <w:r>
        <w:rPr>
          <w:sz w:val="22"/>
        </w:rPr>
        <w:t xml:space="preserve"> return forms which, if any, fringe benefits they provided during the relevant period were exempt from </w:t>
      </w:r>
      <w:proofErr w:type="spellStart"/>
      <w:r>
        <w:rPr>
          <w:sz w:val="22"/>
        </w:rPr>
        <w:t>FBT</w:t>
      </w:r>
      <w:proofErr w:type="spellEnd"/>
      <w:r>
        <w:rPr>
          <w:sz w:val="22"/>
        </w:rPr>
        <w:t xml:space="preserve">. In addition, it is not clear how many employers are providing childcare services or support </w:t>
      </w:r>
      <w:r w:rsidRPr="00AB4E69">
        <w:rPr>
          <w:i/>
          <w:sz w:val="22"/>
        </w:rPr>
        <w:t>regardless</w:t>
      </w:r>
      <w:r>
        <w:rPr>
          <w:sz w:val="22"/>
        </w:rPr>
        <w:t xml:space="preserve"> of whether or not such benefits are covered by an </w:t>
      </w:r>
      <w:proofErr w:type="spellStart"/>
      <w:r>
        <w:rPr>
          <w:sz w:val="22"/>
        </w:rPr>
        <w:t>FBT</w:t>
      </w:r>
      <w:proofErr w:type="spellEnd"/>
      <w:r>
        <w:rPr>
          <w:sz w:val="22"/>
        </w:rPr>
        <w:t xml:space="preserve"> exemption.</w:t>
      </w:r>
    </w:p>
    <w:p w:rsidR="00612C0E" w:rsidRDefault="00612C0E" w:rsidP="00612C0E">
      <w:pPr>
        <w:spacing w:after="0" w:line="240" w:lineRule="auto"/>
        <w:jc w:val="both"/>
        <w:rPr>
          <w:sz w:val="22"/>
        </w:rPr>
      </w:pPr>
    </w:p>
    <w:p w:rsidR="00612C0E" w:rsidRDefault="00612C0E" w:rsidP="00612C0E">
      <w:pPr>
        <w:spacing w:after="0" w:line="240" w:lineRule="auto"/>
        <w:jc w:val="both"/>
        <w:rPr>
          <w:sz w:val="22"/>
        </w:rPr>
      </w:pPr>
      <w:r>
        <w:rPr>
          <w:sz w:val="22"/>
        </w:rPr>
        <w:t>We note however that the Commission is seeking information on the nature of childcare services or assistance provided by employers and issues encountered in supporting employee use of childcare services.</w:t>
      </w:r>
      <w:r>
        <w:rPr>
          <w:rStyle w:val="FootnoteReference"/>
        </w:rPr>
        <w:footnoteReference w:id="6"/>
      </w:r>
    </w:p>
    <w:p w:rsidR="00612C0E" w:rsidRDefault="00612C0E" w:rsidP="00612C0E">
      <w:pPr>
        <w:spacing w:after="0" w:line="240" w:lineRule="auto"/>
        <w:jc w:val="both"/>
        <w:rPr>
          <w:sz w:val="22"/>
        </w:rPr>
      </w:pPr>
    </w:p>
    <w:p w:rsidR="00612C0E" w:rsidRDefault="00612C0E" w:rsidP="00612C0E">
      <w:pPr>
        <w:spacing w:after="0" w:line="240" w:lineRule="auto"/>
        <w:jc w:val="both"/>
        <w:rPr>
          <w:sz w:val="22"/>
        </w:rPr>
      </w:pPr>
      <w:r>
        <w:rPr>
          <w:sz w:val="22"/>
        </w:rPr>
        <w:t xml:space="preserve">Some of Australia’s largest companies promote the fact that they provide childcare facilities for their employees, for example Telstra, Qantas, and Optus. These facilities are mostly for the exclusive use of employees, however </w:t>
      </w:r>
      <w:proofErr w:type="spellStart"/>
      <w:r>
        <w:rPr>
          <w:sz w:val="22"/>
        </w:rPr>
        <w:t>CSL</w:t>
      </w:r>
      <w:proofErr w:type="spellEnd"/>
      <w:r>
        <w:rPr>
          <w:sz w:val="22"/>
        </w:rPr>
        <w:t xml:space="preserve">, for example, operate a facility that is also available to the public. Some other companies do not provide childcare facilities directly, but instead choose to provide financial assistance to eligible employees towards their childcare costs, for example </w:t>
      </w:r>
      <w:proofErr w:type="spellStart"/>
      <w:r>
        <w:rPr>
          <w:sz w:val="22"/>
        </w:rPr>
        <w:t>ANZ</w:t>
      </w:r>
      <w:proofErr w:type="spellEnd"/>
      <w:r>
        <w:rPr>
          <w:sz w:val="22"/>
        </w:rPr>
        <w:t xml:space="preserve"> Bank.</w:t>
      </w:r>
    </w:p>
    <w:p w:rsidR="00612C0E" w:rsidRDefault="00612C0E" w:rsidP="00612C0E">
      <w:pPr>
        <w:spacing w:after="0" w:line="240" w:lineRule="auto"/>
        <w:jc w:val="both"/>
        <w:rPr>
          <w:sz w:val="22"/>
        </w:rPr>
      </w:pPr>
    </w:p>
    <w:p w:rsidR="00612C0E" w:rsidRDefault="00612C0E" w:rsidP="00612C0E">
      <w:pPr>
        <w:spacing w:after="0" w:line="240" w:lineRule="auto"/>
        <w:jc w:val="both"/>
        <w:rPr>
          <w:sz w:val="22"/>
        </w:rPr>
      </w:pPr>
      <w:proofErr w:type="spellStart"/>
      <w:r>
        <w:rPr>
          <w:sz w:val="22"/>
        </w:rPr>
        <w:t>MMSG</w:t>
      </w:r>
      <w:proofErr w:type="spellEnd"/>
      <w:r>
        <w:rPr>
          <w:sz w:val="22"/>
        </w:rPr>
        <w:t xml:space="preserve"> commissioned Sweeney Research to undertake quantitative market research aimed at gaining an understanding of the extent that other, smaller, organisations provide childcare facilities or assistance to their employees, and the reasons why they do so (and in respect of organisations that do not provide such assistance – the reasons why not).</w:t>
      </w:r>
    </w:p>
    <w:p w:rsidR="00612C0E" w:rsidRDefault="00612C0E" w:rsidP="00612C0E">
      <w:pPr>
        <w:spacing w:after="0" w:line="240" w:lineRule="auto"/>
        <w:jc w:val="both"/>
        <w:rPr>
          <w:sz w:val="22"/>
        </w:rPr>
      </w:pPr>
    </w:p>
    <w:p w:rsidR="00612C0E" w:rsidRDefault="00612C0E" w:rsidP="00612C0E">
      <w:pPr>
        <w:spacing w:after="0" w:line="240" w:lineRule="auto"/>
        <w:jc w:val="both"/>
        <w:rPr>
          <w:sz w:val="22"/>
        </w:rPr>
      </w:pPr>
      <w:r>
        <w:rPr>
          <w:sz w:val="22"/>
        </w:rPr>
        <w:t xml:space="preserve">Sweeney Research is one of the largest Australian-owned research consultancies, with over 40 years of experience in conducting quantitative and qualitative research within the Australian economy. The firm conducts research for many of Australia’s largest organisations, including more than 20 of the </w:t>
      </w:r>
      <w:proofErr w:type="spellStart"/>
      <w:r>
        <w:rPr>
          <w:sz w:val="22"/>
        </w:rPr>
        <w:t>ASX</w:t>
      </w:r>
      <w:proofErr w:type="spellEnd"/>
      <w:r>
        <w:rPr>
          <w:sz w:val="22"/>
        </w:rPr>
        <w:t xml:space="preserve"> Top 100 listed companies.</w:t>
      </w:r>
    </w:p>
    <w:p w:rsidR="00612C0E" w:rsidRDefault="00612C0E" w:rsidP="00612C0E">
      <w:pPr>
        <w:spacing w:after="0" w:line="240" w:lineRule="auto"/>
        <w:jc w:val="both"/>
        <w:rPr>
          <w:sz w:val="22"/>
        </w:rPr>
      </w:pPr>
    </w:p>
    <w:p w:rsidR="00612C0E" w:rsidRDefault="00612C0E" w:rsidP="00612C0E">
      <w:pPr>
        <w:spacing w:after="0" w:line="240" w:lineRule="auto"/>
        <w:jc w:val="both"/>
        <w:rPr>
          <w:sz w:val="22"/>
        </w:rPr>
      </w:pPr>
      <w:r>
        <w:rPr>
          <w:sz w:val="22"/>
        </w:rPr>
        <w:t xml:space="preserve">On behalf of </w:t>
      </w:r>
      <w:proofErr w:type="spellStart"/>
      <w:r>
        <w:rPr>
          <w:sz w:val="22"/>
        </w:rPr>
        <w:t>MMSG</w:t>
      </w:r>
      <w:proofErr w:type="spellEnd"/>
      <w:r>
        <w:rPr>
          <w:sz w:val="22"/>
        </w:rPr>
        <w:t>, Sweeney conducted telephone interviews with the HR leadership of 100 large</w:t>
      </w:r>
      <w:r w:rsidRPr="0013768A">
        <w:rPr>
          <w:sz w:val="22"/>
        </w:rPr>
        <w:t xml:space="preserve"> organisations</w:t>
      </w:r>
      <w:r>
        <w:rPr>
          <w:sz w:val="22"/>
        </w:rPr>
        <w:t xml:space="preserve"> for this submission</w:t>
      </w:r>
      <w:r w:rsidRPr="0013768A">
        <w:rPr>
          <w:sz w:val="22"/>
        </w:rPr>
        <w:t xml:space="preserve">, </w:t>
      </w:r>
      <w:proofErr w:type="spellStart"/>
      <w:r>
        <w:rPr>
          <w:sz w:val="22"/>
        </w:rPr>
        <w:t>ie</w:t>
      </w:r>
      <w:proofErr w:type="spellEnd"/>
      <w:r>
        <w:rPr>
          <w:sz w:val="22"/>
        </w:rPr>
        <w:t xml:space="preserve"> </w:t>
      </w:r>
      <w:r w:rsidRPr="0013768A">
        <w:rPr>
          <w:sz w:val="22"/>
        </w:rPr>
        <w:t xml:space="preserve">those most likely to have given serious consideration to options for employee childcare. </w:t>
      </w:r>
      <w:r>
        <w:rPr>
          <w:sz w:val="22"/>
        </w:rPr>
        <w:t xml:space="preserve">Eighty </w:t>
      </w:r>
      <w:proofErr w:type="spellStart"/>
      <w:r>
        <w:rPr>
          <w:sz w:val="22"/>
        </w:rPr>
        <w:t>percent</w:t>
      </w:r>
      <w:proofErr w:type="spellEnd"/>
      <w:r>
        <w:rPr>
          <w:sz w:val="22"/>
        </w:rPr>
        <w:t xml:space="preserve"> </w:t>
      </w:r>
      <w:r w:rsidRPr="0013768A">
        <w:rPr>
          <w:sz w:val="22"/>
        </w:rPr>
        <w:t>of responding organisations employed over 500 staff and 95</w:t>
      </w:r>
      <w:r>
        <w:rPr>
          <w:sz w:val="22"/>
        </w:rPr>
        <w:t>% employed more than 200 staff.</w:t>
      </w:r>
      <w:r>
        <w:rPr>
          <w:rStyle w:val="FootnoteReference"/>
        </w:rPr>
        <w:footnoteReference w:id="7"/>
      </w:r>
    </w:p>
    <w:p w:rsidR="00612C0E" w:rsidRDefault="00612C0E" w:rsidP="00612C0E">
      <w:pPr>
        <w:spacing w:after="0" w:line="240" w:lineRule="auto"/>
        <w:jc w:val="both"/>
        <w:rPr>
          <w:sz w:val="22"/>
        </w:rPr>
      </w:pPr>
    </w:p>
    <w:p w:rsidR="001B17D1" w:rsidRDefault="001B17D1">
      <w:pPr>
        <w:spacing w:after="200" w:line="276" w:lineRule="auto"/>
        <w:rPr>
          <w:b/>
          <w:i/>
          <w:color w:val="1F497D" w:themeColor="text2"/>
          <w:sz w:val="24"/>
        </w:rPr>
      </w:pPr>
      <w:r>
        <w:rPr>
          <w:b/>
          <w:i/>
          <w:color w:val="1F497D" w:themeColor="text2"/>
          <w:sz w:val="24"/>
        </w:rPr>
        <w:br w:type="page"/>
      </w:r>
    </w:p>
    <w:p w:rsidR="00612C0E" w:rsidRPr="00B82246" w:rsidRDefault="00612C0E" w:rsidP="00612C0E">
      <w:pPr>
        <w:spacing w:after="0" w:line="240" w:lineRule="auto"/>
        <w:jc w:val="both"/>
        <w:rPr>
          <w:b/>
          <w:i/>
          <w:color w:val="1F497D" w:themeColor="text2"/>
          <w:sz w:val="24"/>
        </w:rPr>
      </w:pPr>
      <w:r w:rsidRPr="00B82246">
        <w:rPr>
          <w:b/>
          <w:i/>
          <w:color w:val="1F497D" w:themeColor="text2"/>
          <w:sz w:val="24"/>
        </w:rPr>
        <w:lastRenderedPageBreak/>
        <w:t>Key findings</w:t>
      </w:r>
    </w:p>
    <w:p w:rsidR="00612C0E" w:rsidRDefault="00612C0E" w:rsidP="00612C0E">
      <w:pPr>
        <w:spacing w:after="0" w:line="240" w:lineRule="auto"/>
        <w:jc w:val="both"/>
        <w:rPr>
          <w:sz w:val="22"/>
        </w:rPr>
      </w:pPr>
    </w:p>
    <w:p w:rsidR="00612C0E" w:rsidRDefault="00612C0E" w:rsidP="00612C0E">
      <w:pPr>
        <w:spacing w:after="0" w:line="240" w:lineRule="auto"/>
        <w:jc w:val="both"/>
        <w:rPr>
          <w:sz w:val="22"/>
        </w:rPr>
      </w:pPr>
      <w:r>
        <w:rPr>
          <w:sz w:val="22"/>
        </w:rPr>
        <w:t>The key findings of the Sweeney research were as follows:</w:t>
      </w:r>
    </w:p>
    <w:p w:rsidR="00612C0E" w:rsidRDefault="00612C0E" w:rsidP="00612C0E">
      <w:pPr>
        <w:spacing w:after="0" w:line="240" w:lineRule="auto"/>
        <w:jc w:val="both"/>
        <w:rPr>
          <w:sz w:val="22"/>
        </w:rPr>
      </w:pPr>
    </w:p>
    <w:p w:rsidR="00612C0E" w:rsidRPr="00A043D5" w:rsidRDefault="00612C0E" w:rsidP="00612C0E">
      <w:pPr>
        <w:pStyle w:val="ListParagraph"/>
        <w:numPr>
          <w:ilvl w:val="0"/>
          <w:numId w:val="17"/>
        </w:numPr>
        <w:spacing w:after="0" w:line="240" w:lineRule="auto"/>
        <w:jc w:val="both"/>
        <w:rPr>
          <w:sz w:val="22"/>
        </w:rPr>
      </w:pPr>
      <w:r w:rsidRPr="004B2F68">
        <w:rPr>
          <w:sz w:val="22"/>
        </w:rPr>
        <w:t>Whilst employees’ childcare is a significant issue for large scale employers, only 13% of those surveyed had established arrangements to respond to this need.</w:t>
      </w:r>
      <w:r>
        <w:rPr>
          <w:sz w:val="22"/>
        </w:rPr>
        <w:t xml:space="preserve"> The remaining 87% of employers do not provide any form of childcare support or services for their employees.</w:t>
      </w:r>
    </w:p>
    <w:p w:rsidR="00612C0E" w:rsidRDefault="00612C0E" w:rsidP="00612C0E">
      <w:pPr>
        <w:spacing w:after="0" w:line="240" w:lineRule="auto"/>
        <w:jc w:val="both"/>
        <w:rPr>
          <w:sz w:val="22"/>
        </w:rPr>
      </w:pPr>
    </w:p>
    <w:p w:rsidR="00612C0E" w:rsidRDefault="00612C0E" w:rsidP="00612C0E">
      <w:pPr>
        <w:numPr>
          <w:ilvl w:val="0"/>
          <w:numId w:val="17"/>
        </w:numPr>
        <w:spacing w:after="0" w:line="240" w:lineRule="auto"/>
        <w:jc w:val="both"/>
        <w:rPr>
          <w:sz w:val="22"/>
        </w:rPr>
      </w:pPr>
      <w:r>
        <w:rPr>
          <w:sz w:val="22"/>
        </w:rPr>
        <w:t>In relation to the 87% of employers not providing any form of childcare support to employees, w</w:t>
      </w:r>
      <w:r w:rsidRPr="0013768A">
        <w:rPr>
          <w:sz w:val="22"/>
        </w:rPr>
        <w:t>hen asked to identify the main barrier to providing their own childcare facil</w:t>
      </w:r>
      <w:r>
        <w:rPr>
          <w:sz w:val="22"/>
        </w:rPr>
        <w:t>ities, the two leading reasons were ‘i</w:t>
      </w:r>
      <w:r w:rsidRPr="0013768A">
        <w:rPr>
          <w:sz w:val="22"/>
        </w:rPr>
        <w:t xml:space="preserve">nsufficient employee </w:t>
      </w:r>
      <w:r>
        <w:rPr>
          <w:sz w:val="22"/>
        </w:rPr>
        <w:t xml:space="preserve">demand to justify a facility’ </w:t>
      </w:r>
      <w:r w:rsidRPr="0013768A">
        <w:rPr>
          <w:sz w:val="22"/>
        </w:rPr>
        <w:t>a</w:t>
      </w:r>
      <w:r>
        <w:rPr>
          <w:sz w:val="22"/>
        </w:rPr>
        <w:t>nd ‘costs to the organisation’.</w:t>
      </w:r>
      <w:r w:rsidR="001C6243">
        <w:rPr>
          <w:sz w:val="22"/>
        </w:rPr>
        <w:t xml:space="preserve"> Other main barriers included:</w:t>
      </w:r>
    </w:p>
    <w:p w:rsidR="001C6243" w:rsidRDefault="001C6243" w:rsidP="001C6243">
      <w:pPr>
        <w:pStyle w:val="ListParagraph"/>
        <w:numPr>
          <w:ilvl w:val="1"/>
          <w:numId w:val="17"/>
        </w:numPr>
        <w:spacing w:after="0" w:line="240" w:lineRule="auto"/>
        <w:jc w:val="both"/>
        <w:rPr>
          <w:sz w:val="22"/>
        </w:rPr>
      </w:pPr>
      <w:r>
        <w:rPr>
          <w:sz w:val="22"/>
        </w:rPr>
        <w:t xml:space="preserve">Unable to comply with </w:t>
      </w:r>
      <w:proofErr w:type="spellStart"/>
      <w:r>
        <w:rPr>
          <w:sz w:val="22"/>
        </w:rPr>
        <w:t>FBT</w:t>
      </w:r>
      <w:proofErr w:type="spellEnd"/>
      <w:r>
        <w:rPr>
          <w:sz w:val="22"/>
        </w:rPr>
        <w:t xml:space="preserve"> exemption</w:t>
      </w:r>
    </w:p>
    <w:p w:rsidR="001C6243" w:rsidRDefault="001C6243" w:rsidP="001C6243">
      <w:pPr>
        <w:pStyle w:val="ListParagraph"/>
        <w:numPr>
          <w:ilvl w:val="1"/>
          <w:numId w:val="17"/>
        </w:numPr>
        <w:spacing w:after="0" w:line="240" w:lineRule="auto"/>
        <w:jc w:val="both"/>
        <w:rPr>
          <w:sz w:val="22"/>
        </w:rPr>
      </w:pPr>
      <w:r>
        <w:rPr>
          <w:sz w:val="22"/>
        </w:rPr>
        <w:t>Legal liability associated with operation of a facility</w:t>
      </w:r>
    </w:p>
    <w:p w:rsidR="001C6243" w:rsidRDefault="001C6243" w:rsidP="001C6243">
      <w:pPr>
        <w:pStyle w:val="ListParagraph"/>
        <w:numPr>
          <w:ilvl w:val="1"/>
          <w:numId w:val="17"/>
        </w:numPr>
        <w:spacing w:after="0" w:line="240" w:lineRule="auto"/>
        <w:jc w:val="both"/>
        <w:rPr>
          <w:sz w:val="22"/>
        </w:rPr>
      </w:pPr>
      <w:r>
        <w:rPr>
          <w:sz w:val="22"/>
        </w:rPr>
        <w:t>Lack of suitable space</w:t>
      </w:r>
    </w:p>
    <w:p w:rsidR="001C6243" w:rsidRDefault="001C6243" w:rsidP="001C6243">
      <w:pPr>
        <w:pStyle w:val="ListParagraph"/>
        <w:numPr>
          <w:ilvl w:val="1"/>
          <w:numId w:val="17"/>
        </w:numPr>
        <w:spacing w:after="0" w:line="240" w:lineRule="auto"/>
        <w:jc w:val="both"/>
        <w:rPr>
          <w:sz w:val="22"/>
        </w:rPr>
      </w:pPr>
      <w:r>
        <w:rPr>
          <w:sz w:val="22"/>
        </w:rPr>
        <w:t>Cost of insurance</w:t>
      </w:r>
    </w:p>
    <w:p w:rsidR="001C6243" w:rsidRPr="001C6243" w:rsidRDefault="001C6243" w:rsidP="001C6243">
      <w:pPr>
        <w:pStyle w:val="ListParagraph"/>
        <w:numPr>
          <w:ilvl w:val="1"/>
          <w:numId w:val="17"/>
        </w:numPr>
        <w:spacing w:after="0" w:line="240" w:lineRule="auto"/>
        <w:jc w:val="both"/>
        <w:rPr>
          <w:sz w:val="22"/>
        </w:rPr>
      </w:pPr>
      <w:r>
        <w:rPr>
          <w:sz w:val="22"/>
        </w:rPr>
        <w:t>Not perceived as core business</w:t>
      </w:r>
      <w:r w:rsidR="00D97137">
        <w:rPr>
          <w:sz w:val="22"/>
        </w:rPr>
        <w:t>.</w:t>
      </w:r>
    </w:p>
    <w:p w:rsidR="00612C0E" w:rsidRDefault="00612C0E" w:rsidP="00612C0E">
      <w:pPr>
        <w:spacing w:after="0" w:line="240" w:lineRule="auto"/>
        <w:jc w:val="both"/>
        <w:rPr>
          <w:sz w:val="22"/>
        </w:rPr>
      </w:pPr>
    </w:p>
    <w:p w:rsidR="00612C0E" w:rsidRDefault="00612C0E" w:rsidP="00612C0E">
      <w:pPr>
        <w:pStyle w:val="ListParagraph"/>
        <w:numPr>
          <w:ilvl w:val="0"/>
          <w:numId w:val="17"/>
        </w:numPr>
        <w:spacing w:after="0" w:line="240" w:lineRule="auto"/>
        <w:jc w:val="both"/>
        <w:rPr>
          <w:sz w:val="22"/>
        </w:rPr>
      </w:pPr>
      <w:r w:rsidRPr="00A96D93">
        <w:rPr>
          <w:sz w:val="22"/>
        </w:rPr>
        <w:t xml:space="preserve">Two-thirds of those 87 employers not providing </w:t>
      </w:r>
      <w:r w:rsidR="00A96D93">
        <w:rPr>
          <w:sz w:val="22"/>
        </w:rPr>
        <w:t xml:space="preserve">any form of </w:t>
      </w:r>
      <w:r w:rsidRPr="00A96D93">
        <w:rPr>
          <w:sz w:val="22"/>
        </w:rPr>
        <w:t xml:space="preserve">childcare support attached importance to being unable to obtain </w:t>
      </w:r>
      <w:proofErr w:type="spellStart"/>
      <w:r w:rsidRPr="00A96D93">
        <w:rPr>
          <w:sz w:val="22"/>
        </w:rPr>
        <w:t>FBT</w:t>
      </w:r>
      <w:proofErr w:type="spellEnd"/>
      <w:r w:rsidRPr="00A96D93">
        <w:rPr>
          <w:sz w:val="22"/>
        </w:rPr>
        <w:t xml:space="preserve"> exemption as a barrier to providing childcare facilities</w:t>
      </w:r>
      <w:r w:rsidR="00A96D93">
        <w:rPr>
          <w:sz w:val="22"/>
        </w:rPr>
        <w:t>.</w:t>
      </w:r>
    </w:p>
    <w:p w:rsidR="00A96D93" w:rsidRPr="00A96D93" w:rsidRDefault="00A96D93" w:rsidP="00A96D93">
      <w:pPr>
        <w:spacing w:after="0" w:line="240" w:lineRule="auto"/>
        <w:jc w:val="both"/>
        <w:rPr>
          <w:sz w:val="22"/>
        </w:rPr>
      </w:pPr>
    </w:p>
    <w:p w:rsidR="00612C0E" w:rsidRPr="00911CF5" w:rsidRDefault="00612C0E" w:rsidP="00612C0E">
      <w:pPr>
        <w:pStyle w:val="ListParagraph"/>
        <w:numPr>
          <w:ilvl w:val="0"/>
          <w:numId w:val="17"/>
        </w:numPr>
        <w:spacing w:after="0" w:line="240" w:lineRule="auto"/>
        <w:jc w:val="both"/>
        <w:rPr>
          <w:sz w:val="22"/>
        </w:rPr>
      </w:pPr>
      <w:r w:rsidRPr="004B2F68">
        <w:rPr>
          <w:sz w:val="22"/>
        </w:rPr>
        <w:t xml:space="preserve">Five </w:t>
      </w:r>
      <w:proofErr w:type="spellStart"/>
      <w:r w:rsidRPr="004B2F68">
        <w:rPr>
          <w:sz w:val="22"/>
        </w:rPr>
        <w:t>percent</w:t>
      </w:r>
      <w:proofErr w:type="spellEnd"/>
      <w:r w:rsidRPr="004B2F68">
        <w:rPr>
          <w:sz w:val="22"/>
        </w:rPr>
        <w:t xml:space="preserve"> of employers provided their own childcare facility, and </w:t>
      </w:r>
      <w:r>
        <w:rPr>
          <w:sz w:val="22"/>
        </w:rPr>
        <w:t xml:space="preserve">a further </w:t>
      </w:r>
      <w:r w:rsidRPr="004B2F68">
        <w:rPr>
          <w:sz w:val="22"/>
        </w:rPr>
        <w:t>2% provide a facility shared with other employers.</w:t>
      </w:r>
      <w:r>
        <w:rPr>
          <w:sz w:val="22"/>
        </w:rPr>
        <w:t xml:space="preserve"> The leading motive of those 7 employers for providing this form of support was the desire to be ‘an employer of choice’. Other motives were as follows (in decreasing order of importance):</w:t>
      </w:r>
    </w:p>
    <w:p w:rsidR="00612C0E" w:rsidRDefault="00612C0E" w:rsidP="00612C0E">
      <w:pPr>
        <w:pStyle w:val="ListParagraph"/>
        <w:numPr>
          <w:ilvl w:val="1"/>
          <w:numId w:val="17"/>
        </w:numPr>
        <w:spacing w:after="0" w:line="240" w:lineRule="auto"/>
        <w:jc w:val="both"/>
        <w:rPr>
          <w:sz w:val="22"/>
        </w:rPr>
      </w:pPr>
      <w:r>
        <w:rPr>
          <w:sz w:val="22"/>
        </w:rPr>
        <w:t>To keep or attract valued staff</w:t>
      </w:r>
    </w:p>
    <w:p w:rsidR="00612C0E" w:rsidRDefault="00612C0E" w:rsidP="00612C0E">
      <w:pPr>
        <w:pStyle w:val="ListParagraph"/>
        <w:numPr>
          <w:ilvl w:val="1"/>
          <w:numId w:val="17"/>
        </w:numPr>
        <w:spacing w:after="0" w:line="240" w:lineRule="auto"/>
        <w:jc w:val="both"/>
        <w:rPr>
          <w:sz w:val="22"/>
        </w:rPr>
      </w:pPr>
      <w:r>
        <w:rPr>
          <w:sz w:val="22"/>
        </w:rPr>
        <w:t>To enhance employee engagement</w:t>
      </w:r>
    </w:p>
    <w:p w:rsidR="00612C0E" w:rsidRDefault="00612C0E" w:rsidP="00612C0E">
      <w:pPr>
        <w:pStyle w:val="ListParagraph"/>
        <w:numPr>
          <w:ilvl w:val="1"/>
          <w:numId w:val="17"/>
        </w:numPr>
        <w:spacing w:after="0" w:line="240" w:lineRule="auto"/>
        <w:jc w:val="both"/>
        <w:rPr>
          <w:sz w:val="22"/>
        </w:rPr>
      </w:pPr>
      <w:r>
        <w:rPr>
          <w:sz w:val="22"/>
        </w:rPr>
        <w:t>To retain high levels of focus at work</w:t>
      </w:r>
    </w:p>
    <w:p w:rsidR="00612C0E" w:rsidRDefault="00612C0E" w:rsidP="00612C0E">
      <w:pPr>
        <w:pStyle w:val="ListParagraph"/>
        <w:numPr>
          <w:ilvl w:val="1"/>
          <w:numId w:val="17"/>
        </w:numPr>
        <w:spacing w:after="0" w:line="240" w:lineRule="auto"/>
        <w:jc w:val="both"/>
        <w:rPr>
          <w:sz w:val="22"/>
        </w:rPr>
      </w:pPr>
      <w:r>
        <w:rPr>
          <w:sz w:val="22"/>
        </w:rPr>
        <w:t>To meet the operational requirements of the business</w:t>
      </w:r>
    </w:p>
    <w:p w:rsidR="00612C0E" w:rsidRDefault="00612C0E" w:rsidP="00612C0E">
      <w:pPr>
        <w:pStyle w:val="ListParagraph"/>
        <w:numPr>
          <w:ilvl w:val="1"/>
          <w:numId w:val="17"/>
        </w:numPr>
        <w:spacing w:after="0" w:line="240" w:lineRule="auto"/>
        <w:jc w:val="both"/>
        <w:rPr>
          <w:sz w:val="22"/>
        </w:rPr>
      </w:pPr>
      <w:r>
        <w:rPr>
          <w:sz w:val="22"/>
        </w:rPr>
        <w:t>Response to employee demand</w:t>
      </w:r>
    </w:p>
    <w:p w:rsidR="00612C0E" w:rsidRDefault="00612C0E" w:rsidP="00612C0E">
      <w:pPr>
        <w:pStyle w:val="ListParagraph"/>
        <w:numPr>
          <w:ilvl w:val="1"/>
          <w:numId w:val="17"/>
        </w:numPr>
        <w:spacing w:after="0" w:line="240" w:lineRule="auto"/>
        <w:jc w:val="both"/>
        <w:rPr>
          <w:sz w:val="22"/>
        </w:rPr>
      </w:pPr>
      <w:r>
        <w:rPr>
          <w:sz w:val="22"/>
        </w:rPr>
        <w:t>To increase efficiency</w:t>
      </w:r>
      <w:r w:rsidR="00D97137">
        <w:rPr>
          <w:sz w:val="22"/>
        </w:rPr>
        <w:t>.</w:t>
      </w:r>
    </w:p>
    <w:p w:rsidR="00612C0E" w:rsidRPr="0067413D" w:rsidRDefault="00612C0E" w:rsidP="00612C0E">
      <w:pPr>
        <w:pStyle w:val="ListParagraph"/>
        <w:spacing w:after="0" w:line="240" w:lineRule="auto"/>
        <w:ind w:left="1440"/>
        <w:jc w:val="both"/>
        <w:rPr>
          <w:sz w:val="22"/>
        </w:rPr>
      </w:pPr>
    </w:p>
    <w:p w:rsidR="00612C0E" w:rsidRDefault="00612C0E" w:rsidP="00612C0E">
      <w:pPr>
        <w:pStyle w:val="ListParagraph"/>
        <w:numPr>
          <w:ilvl w:val="0"/>
          <w:numId w:val="17"/>
        </w:numPr>
        <w:spacing w:after="0" w:line="240" w:lineRule="auto"/>
        <w:jc w:val="both"/>
        <w:rPr>
          <w:sz w:val="22"/>
        </w:rPr>
      </w:pPr>
      <w:r>
        <w:rPr>
          <w:sz w:val="22"/>
        </w:rPr>
        <w:t>Various perceived employee benefits of providing childcare facilities were identified by those 7 employers as follows (in decreasing order of importance):</w:t>
      </w:r>
    </w:p>
    <w:p w:rsidR="00612C0E" w:rsidRPr="00E36C42" w:rsidRDefault="00612C0E" w:rsidP="00612C0E">
      <w:pPr>
        <w:pStyle w:val="ListParagraph"/>
        <w:numPr>
          <w:ilvl w:val="1"/>
          <w:numId w:val="17"/>
        </w:numPr>
        <w:spacing w:after="0" w:line="240" w:lineRule="auto"/>
        <w:jc w:val="both"/>
        <w:rPr>
          <w:sz w:val="22"/>
        </w:rPr>
      </w:pPr>
      <w:r w:rsidRPr="00E36C42">
        <w:rPr>
          <w:sz w:val="22"/>
        </w:rPr>
        <w:t>Ability to check on their child</w:t>
      </w:r>
    </w:p>
    <w:p w:rsidR="00612C0E" w:rsidRPr="00E36C42" w:rsidRDefault="00612C0E" w:rsidP="00612C0E">
      <w:pPr>
        <w:pStyle w:val="ListParagraph"/>
        <w:numPr>
          <w:ilvl w:val="1"/>
          <w:numId w:val="17"/>
        </w:numPr>
        <w:spacing w:after="0" w:line="240" w:lineRule="auto"/>
        <w:jc w:val="both"/>
        <w:rPr>
          <w:sz w:val="22"/>
        </w:rPr>
      </w:pPr>
      <w:r w:rsidRPr="00E36C42">
        <w:rPr>
          <w:sz w:val="22"/>
        </w:rPr>
        <w:t>Accessibility and convenience</w:t>
      </w:r>
    </w:p>
    <w:p w:rsidR="00612C0E" w:rsidRPr="00E36C42" w:rsidRDefault="00612C0E" w:rsidP="00612C0E">
      <w:pPr>
        <w:pStyle w:val="ListParagraph"/>
        <w:numPr>
          <w:ilvl w:val="1"/>
          <w:numId w:val="17"/>
        </w:numPr>
        <w:spacing w:after="0" w:line="240" w:lineRule="auto"/>
        <w:jc w:val="both"/>
        <w:rPr>
          <w:sz w:val="22"/>
        </w:rPr>
      </w:pPr>
      <w:r w:rsidRPr="00E36C42">
        <w:rPr>
          <w:sz w:val="22"/>
        </w:rPr>
        <w:t>Ease of communication with carers</w:t>
      </w:r>
    </w:p>
    <w:p w:rsidR="00612C0E" w:rsidRPr="00E36C42" w:rsidRDefault="00612C0E" w:rsidP="00612C0E">
      <w:pPr>
        <w:pStyle w:val="ListParagraph"/>
        <w:numPr>
          <w:ilvl w:val="1"/>
          <w:numId w:val="17"/>
        </w:numPr>
        <w:spacing w:after="0" w:line="240" w:lineRule="auto"/>
        <w:jc w:val="both"/>
        <w:rPr>
          <w:sz w:val="22"/>
        </w:rPr>
      </w:pPr>
      <w:r w:rsidRPr="00E36C42">
        <w:rPr>
          <w:sz w:val="22"/>
        </w:rPr>
        <w:t>Reinforces employer’s support of employees with families</w:t>
      </w:r>
    </w:p>
    <w:p w:rsidR="00612C0E" w:rsidRPr="00E36C42" w:rsidRDefault="00612C0E" w:rsidP="00612C0E">
      <w:pPr>
        <w:pStyle w:val="ListParagraph"/>
        <w:numPr>
          <w:ilvl w:val="1"/>
          <w:numId w:val="17"/>
        </w:numPr>
        <w:spacing w:after="0" w:line="240" w:lineRule="auto"/>
        <w:jc w:val="both"/>
        <w:rPr>
          <w:sz w:val="22"/>
        </w:rPr>
      </w:pPr>
      <w:r w:rsidRPr="00E36C42">
        <w:rPr>
          <w:sz w:val="22"/>
        </w:rPr>
        <w:t>Lower cost of childcare</w:t>
      </w:r>
    </w:p>
    <w:p w:rsidR="00612C0E" w:rsidRPr="00E36C42" w:rsidRDefault="00612C0E" w:rsidP="00612C0E">
      <w:pPr>
        <w:pStyle w:val="ListParagraph"/>
        <w:numPr>
          <w:ilvl w:val="1"/>
          <w:numId w:val="17"/>
        </w:numPr>
        <w:spacing w:after="0" w:line="240" w:lineRule="auto"/>
        <w:jc w:val="both"/>
        <w:rPr>
          <w:sz w:val="22"/>
        </w:rPr>
      </w:pPr>
      <w:r w:rsidRPr="00E36C42">
        <w:rPr>
          <w:sz w:val="22"/>
        </w:rPr>
        <w:t>Access to a high quality facility</w:t>
      </w:r>
    </w:p>
    <w:p w:rsidR="00612C0E" w:rsidRPr="00E36C42" w:rsidRDefault="00612C0E" w:rsidP="00612C0E">
      <w:pPr>
        <w:pStyle w:val="ListParagraph"/>
        <w:numPr>
          <w:ilvl w:val="1"/>
          <w:numId w:val="17"/>
        </w:numPr>
        <w:spacing w:after="0" w:line="240" w:lineRule="auto"/>
        <w:jc w:val="both"/>
        <w:rPr>
          <w:sz w:val="22"/>
        </w:rPr>
      </w:pPr>
      <w:r w:rsidRPr="00E36C42">
        <w:rPr>
          <w:sz w:val="22"/>
        </w:rPr>
        <w:t>Closer, feels safer</w:t>
      </w:r>
    </w:p>
    <w:p w:rsidR="00612C0E" w:rsidRPr="00E36C42" w:rsidRDefault="00612C0E" w:rsidP="00612C0E">
      <w:pPr>
        <w:pStyle w:val="ListParagraph"/>
        <w:numPr>
          <w:ilvl w:val="1"/>
          <w:numId w:val="17"/>
        </w:numPr>
        <w:spacing w:after="0" w:line="240" w:lineRule="auto"/>
        <w:jc w:val="both"/>
        <w:rPr>
          <w:sz w:val="22"/>
        </w:rPr>
      </w:pPr>
      <w:r w:rsidRPr="00E36C42">
        <w:rPr>
          <w:sz w:val="22"/>
        </w:rPr>
        <w:t>High quality learning and development</w:t>
      </w:r>
    </w:p>
    <w:p w:rsidR="00612C0E" w:rsidRPr="00E36C42" w:rsidRDefault="00612C0E" w:rsidP="00612C0E">
      <w:pPr>
        <w:pStyle w:val="ListParagraph"/>
        <w:numPr>
          <w:ilvl w:val="1"/>
          <w:numId w:val="17"/>
        </w:numPr>
        <w:spacing w:after="0" w:line="240" w:lineRule="auto"/>
        <w:jc w:val="both"/>
        <w:rPr>
          <w:sz w:val="22"/>
        </w:rPr>
      </w:pPr>
      <w:r w:rsidRPr="00E36C42">
        <w:rPr>
          <w:sz w:val="22"/>
        </w:rPr>
        <w:t>Access for breastfeeding</w:t>
      </w:r>
      <w:r w:rsidR="00D97137">
        <w:rPr>
          <w:sz w:val="22"/>
        </w:rPr>
        <w:t>.</w:t>
      </w:r>
    </w:p>
    <w:p w:rsidR="00612C0E" w:rsidRDefault="00612C0E" w:rsidP="00612C0E">
      <w:pPr>
        <w:spacing w:after="0" w:line="240" w:lineRule="auto"/>
        <w:jc w:val="both"/>
        <w:rPr>
          <w:sz w:val="22"/>
        </w:rPr>
      </w:pPr>
    </w:p>
    <w:p w:rsidR="00612C0E" w:rsidRDefault="00612C0E" w:rsidP="00612C0E">
      <w:pPr>
        <w:pStyle w:val="ListParagraph"/>
        <w:numPr>
          <w:ilvl w:val="0"/>
          <w:numId w:val="17"/>
        </w:numPr>
        <w:spacing w:after="0" w:line="240" w:lineRule="auto"/>
        <w:jc w:val="both"/>
        <w:rPr>
          <w:sz w:val="22"/>
        </w:rPr>
      </w:pPr>
      <w:r>
        <w:rPr>
          <w:sz w:val="22"/>
        </w:rPr>
        <w:lastRenderedPageBreak/>
        <w:t xml:space="preserve">Of the 7 employers providing either exclusive or shared childcare facilities for their employees, 2 had obtained </w:t>
      </w:r>
      <w:proofErr w:type="spellStart"/>
      <w:r>
        <w:rPr>
          <w:sz w:val="22"/>
        </w:rPr>
        <w:t>FBT</w:t>
      </w:r>
      <w:proofErr w:type="spellEnd"/>
      <w:r>
        <w:rPr>
          <w:sz w:val="22"/>
        </w:rPr>
        <w:t xml:space="preserve"> exemption for their childcare facility, 2 had not obtained </w:t>
      </w:r>
      <w:proofErr w:type="spellStart"/>
      <w:r>
        <w:rPr>
          <w:sz w:val="22"/>
        </w:rPr>
        <w:t>FBT</w:t>
      </w:r>
      <w:proofErr w:type="spellEnd"/>
      <w:r>
        <w:rPr>
          <w:sz w:val="22"/>
        </w:rPr>
        <w:t xml:space="preserve"> exemption, and 3 ‘did not know’.</w:t>
      </w:r>
      <w:r>
        <w:rPr>
          <w:rStyle w:val="FootnoteReference"/>
        </w:rPr>
        <w:footnoteReference w:id="8"/>
      </w:r>
    </w:p>
    <w:p w:rsidR="007C3B4B" w:rsidRPr="00B8268E" w:rsidRDefault="007C3B4B" w:rsidP="007C3B4B">
      <w:pPr>
        <w:pStyle w:val="ListParagraph"/>
        <w:spacing w:after="0" w:line="240" w:lineRule="auto"/>
        <w:jc w:val="both"/>
        <w:rPr>
          <w:sz w:val="22"/>
        </w:rPr>
      </w:pPr>
    </w:p>
    <w:p w:rsidR="00612C0E" w:rsidRDefault="00612C0E" w:rsidP="00612C0E">
      <w:pPr>
        <w:pStyle w:val="ListParagraph"/>
        <w:numPr>
          <w:ilvl w:val="0"/>
          <w:numId w:val="17"/>
        </w:numPr>
        <w:spacing w:after="0" w:line="240" w:lineRule="auto"/>
        <w:jc w:val="both"/>
        <w:rPr>
          <w:sz w:val="22"/>
        </w:rPr>
      </w:pPr>
      <w:r w:rsidRPr="000011E3">
        <w:rPr>
          <w:sz w:val="22"/>
        </w:rPr>
        <w:t>Of those 7 employers, 5 recovered their costs from employees, at varying levels between 30% and 100%. Three of those 5 employers allowed their employees to salary sacrifice the recovery of childcare costs.</w:t>
      </w:r>
    </w:p>
    <w:p w:rsidR="00612C0E" w:rsidRDefault="00612C0E" w:rsidP="00612C0E">
      <w:pPr>
        <w:spacing w:after="0" w:line="240" w:lineRule="auto"/>
        <w:jc w:val="both"/>
        <w:rPr>
          <w:sz w:val="22"/>
        </w:rPr>
      </w:pPr>
    </w:p>
    <w:p w:rsidR="00612C0E" w:rsidRPr="004B2F68" w:rsidRDefault="00612C0E" w:rsidP="00612C0E">
      <w:pPr>
        <w:pStyle w:val="ListParagraph"/>
        <w:numPr>
          <w:ilvl w:val="0"/>
          <w:numId w:val="17"/>
        </w:numPr>
        <w:spacing w:after="0" w:line="240" w:lineRule="auto"/>
        <w:jc w:val="both"/>
        <w:rPr>
          <w:sz w:val="22"/>
        </w:rPr>
      </w:pPr>
      <w:r>
        <w:rPr>
          <w:sz w:val="22"/>
        </w:rPr>
        <w:t>The other 6% of employers providing</w:t>
      </w:r>
      <w:r w:rsidRPr="004B2F68">
        <w:rPr>
          <w:sz w:val="22"/>
        </w:rPr>
        <w:t xml:space="preserve"> </w:t>
      </w:r>
      <w:r>
        <w:rPr>
          <w:sz w:val="22"/>
        </w:rPr>
        <w:t xml:space="preserve">childcare </w:t>
      </w:r>
      <w:r w:rsidRPr="004B2F68">
        <w:rPr>
          <w:sz w:val="22"/>
        </w:rPr>
        <w:t xml:space="preserve">support </w:t>
      </w:r>
      <w:r>
        <w:rPr>
          <w:sz w:val="22"/>
        </w:rPr>
        <w:t xml:space="preserve">did so </w:t>
      </w:r>
      <w:r w:rsidRPr="004B2F68">
        <w:rPr>
          <w:sz w:val="22"/>
        </w:rPr>
        <w:t>by funding places in 3</w:t>
      </w:r>
      <w:r w:rsidRPr="004B2F68">
        <w:rPr>
          <w:sz w:val="22"/>
          <w:vertAlign w:val="superscript"/>
        </w:rPr>
        <w:t>rd</w:t>
      </w:r>
      <w:r w:rsidRPr="004B2F68">
        <w:rPr>
          <w:sz w:val="22"/>
        </w:rPr>
        <w:t xml:space="preserve"> party childcare centres or by providing financial assistance to employees making their own childcare arrangements.</w:t>
      </w:r>
      <w:r>
        <w:rPr>
          <w:sz w:val="22"/>
        </w:rPr>
        <w:t xml:space="preserve"> To be ‘an employer of choice’ was also a leading motive for employers proving this form of support, but slightly less important than responding to employee demand.</w:t>
      </w:r>
    </w:p>
    <w:p w:rsidR="00612C0E" w:rsidRDefault="00612C0E" w:rsidP="00612C0E">
      <w:pPr>
        <w:spacing w:after="0" w:line="240" w:lineRule="auto"/>
        <w:jc w:val="both"/>
        <w:rPr>
          <w:sz w:val="22"/>
        </w:rPr>
      </w:pPr>
    </w:p>
    <w:p w:rsidR="00612C0E" w:rsidRPr="00E23F22" w:rsidRDefault="00612C0E" w:rsidP="00612C0E">
      <w:pPr>
        <w:spacing w:after="0" w:line="240" w:lineRule="auto"/>
        <w:jc w:val="both"/>
        <w:rPr>
          <w:b/>
          <w:i/>
          <w:color w:val="1F497D" w:themeColor="text2"/>
          <w:sz w:val="24"/>
        </w:rPr>
      </w:pPr>
      <w:r>
        <w:rPr>
          <w:b/>
          <w:i/>
          <w:color w:val="1F497D" w:themeColor="text2"/>
          <w:sz w:val="24"/>
        </w:rPr>
        <w:t>Conclusion</w:t>
      </w:r>
      <w:r w:rsidRPr="00E23F22">
        <w:rPr>
          <w:b/>
          <w:i/>
          <w:color w:val="1F497D" w:themeColor="text2"/>
          <w:sz w:val="24"/>
        </w:rPr>
        <w:t>s</w:t>
      </w:r>
      <w:r w:rsidR="005D526A">
        <w:rPr>
          <w:b/>
          <w:i/>
          <w:color w:val="1F497D" w:themeColor="text2"/>
          <w:sz w:val="24"/>
        </w:rPr>
        <w:t xml:space="preserve"> on employers</w:t>
      </w:r>
      <w:r w:rsidR="003777E6">
        <w:rPr>
          <w:b/>
          <w:i/>
          <w:color w:val="1F497D" w:themeColor="text2"/>
          <w:sz w:val="24"/>
        </w:rPr>
        <w:t xml:space="preserve"> and childcare</w:t>
      </w:r>
    </w:p>
    <w:p w:rsidR="00612C0E" w:rsidRDefault="00612C0E" w:rsidP="00612C0E">
      <w:pPr>
        <w:spacing w:after="0" w:line="240" w:lineRule="auto"/>
        <w:jc w:val="both"/>
        <w:rPr>
          <w:sz w:val="22"/>
        </w:rPr>
      </w:pPr>
    </w:p>
    <w:p w:rsidR="000877ED" w:rsidRDefault="003777E6" w:rsidP="00612C0E">
      <w:pPr>
        <w:spacing w:after="0" w:line="240" w:lineRule="auto"/>
        <w:jc w:val="both"/>
        <w:rPr>
          <w:sz w:val="22"/>
        </w:rPr>
      </w:pPr>
      <w:r>
        <w:rPr>
          <w:sz w:val="22"/>
        </w:rPr>
        <w:t>Several key conclusions can b</w:t>
      </w:r>
      <w:r w:rsidR="000877ED">
        <w:rPr>
          <w:sz w:val="22"/>
        </w:rPr>
        <w:t>e drawn from the Sweeney Research about employers and childcare:</w:t>
      </w:r>
    </w:p>
    <w:p w:rsidR="000877ED" w:rsidRDefault="000877ED" w:rsidP="00612C0E">
      <w:pPr>
        <w:spacing w:after="0" w:line="240" w:lineRule="auto"/>
        <w:jc w:val="both"/>
        <w:rPr>
          <w:sz w:val="22"/>
        </w:rPr>
      </w:pPr>
    </w:p>
    <w:p w:rsidR="000877ED" w:rsidRPr="000877ED" w:rsidRDefault="000877ED" w:rsidP="000877ED">
      <w:pPr>
        <w:pStyle w:val="ListParagraph"/>
        <w:numPr>
          <w:ilvl w:val="0"/>
          <w:numId w:val="31"/>
        </w:numPr>
        <w:spacing w:after="0" w:line="240" w:lineRule="auto"/>
        <w:jc w:val="both"/>
        <w:rPr>
          <w:sz w:val="22"/>
        </w:rPr>
      </w:pPr>
      <w:r w:rsidRPr="000877ED">
        <w:rPr>
          <w:sz w:val="22"/>
        </w:rPr>
        <w:t>A</w:t>
      </w:r>
      <w:r w:rsidR="00612C0E" w:rsidRPr="000877ED">
        <w:rPr>
          <w:sz w:val="22"/>
        </w:rPr>
        <w:t xml:space="preserve">necdotal information that the level of engagement of employers in Australia with their employees’ childcare needs is </w:t>
      </w:r>
      <w:r w:rsidR="003777E6" w:rsidRPr="000877ED">
        <w:rPr>
          <w:sz w:val="22"/>
        </w:rPr>
        <w:t>very low</w:t>
      </w:r>
      <w:r w:rsidRPr="000877ED">
        <w:rPr>
          <w:sz w:val="22"/>
        </w:rPr>
        <w:t xml:space="preserve"> was confirmed</w:t>
      </w:r>
      <w:r w:rsidR="003777E6" w:rsidRPr="000877ED">
        <w:rPr>
          <w:sz w:val="22"/>
        </w:rPr>
        <w:t xml:space="preserve">. </w:t>
      </w:r>
    </w:p>
    <w:p w:rsidR="000877ED" w:rsidRDefault="000877ED" w:rsidP="00612C0E">
      <w:pPr>
        <w:spacing w:after="0" w:line="240" w:lineRule="auto"/>
        <w:jc w:val="both"/>
        <w:rPr>
          <w:sz w:val="22"/>
        </w:rPr>
      </w:pPr>
    </w:p>
    <w:p w:rsidR="00612C0E" w:rsidRPr="000877ED" w:rsidRDefault="000877ED" w:rsidP="000877ED">
      <w:pPr>
        <w:pStyle w:val="ListParagraph"/>
        <w:numPr>
          <w:ilvl w:val="0"/>
          <w:numId w:val="31"/>
        </w:numPr>
        <w:spacing w:after="0" w:line="240" w:lineRule="auto"/>
        <w:jc w:val="both"/>
        <w:rPr>
          <w:sz w:val="22"/>
        </w:rPr>
      </w:pPr>
      <w:r w:rsidRPr="000877ED">
        <w:rPr>
          <w:sz w:val="22"/>
        </w:rPr>
        <w:t>With o</w:t>
      </w:r>
      <w:r w:rsidR="003777E6" w:rsidRPr="000877ED">
        <w:rPr>
          <w:sz w:val="22"/>
        </w:rPr>
        <w:t>nly 13% of surveyed</w:t>
      </w:r>
      <w:r w:rsidR="00612C0E" w:rsidRPr="000877ED">
        <w:rPr>
          <w:sz w:val="22"/>
        </w:rPr>
        <w:t xml:space="preserve"> organisations providing some form of childcare support, it can arguably be assumed an even smaller percentage of small to m</w:t>
      </w:r>
      <w:r w:rsidR="003777E6" w:rsidRPr="000877ED">
        <w:rPr>
          <w:sz w:val="22"/>
        </w:rPr>
        <w:t>edium-sized organisations do so</w:t>
      </w:r>
      <w:r w:rsidR="00612C0E" w:rsidRPr="000877ED">
        <w:rPr>
          <w:sz w:val="22"/>
        </w:rPr>
        <w:t>.</w:t>
      </w:r>
    </w:p>
    <w:p w:rsidR="00612C0E" w:rsidRDefault="00612C0E" w:rsidP="00612C0E">
      <w:pPr>
        <w:spacing w:after="0" w:line="240" w:lineRule="auto"/>
        <w:jc w:val="both"/>
        <w:rPr>
          <w:sz w:val="22"/>
        </w:rPr>
      </w:pPr>
    </w:p>
    <w:p w:rsidR="00D97137" w:rsidRDefault="00612C0E" w:rsidP="00D97137">
      <w:pPr>
        <w:pStyle w:val="ListParagraph"/>
        <w:numPr>
          <w:ilvl w:val="0"/>
          <w:numId w:val="31"/>
        </w:numPr>
        <w:spacing w:after="0" w:line="240" w:lineRule="auto"/>
        <w:jc w:val="both"/>
        <w:rPr>
          <w:sz w:val="22"/>
        </w:rPr>
      </w:pPr>
      <w:r w:rsidRPr="00D97137">
        <w:rPr>
          <w:sz w:val="22"/>
        </w:rPr>
        <w:t xml:space="preserve">Whilst only a small number of organisations interviewed by Sweeney Research identified the inability to obtain </w:t>
      </w:r>
      <w:proofErr w:type="spellStart"/>
      <w:r w:rsidRPr="00D97137">
        <w:rPr>
          <w:sz w:val="22"/>
        </w:rPr>
        <w:t>FBT</w:t>
      </w:r>
      <w:proofErr w:type="spellEnd"/>
      <w:r w:rsidRPr="00D97137">
        <w:rPr>
          <w:sz w:val="22"/>
        </w:rPr>
        <w:t xml:space="preserve"> exemption as the </w:t>
      </w:r>
      <w:r w:rsidRPr="00D97137">
        <w:rPr>
          <w:i/>
          <w:sz w:val="22"/>
        </w:rPr>
        <w:t>main</w:t>
      </w:r>
      <w:r w:rsidRPr="00D97137">
        <w:rPr>
          <w:sz w:val="22"/>
        </w:rPr>
        <w:t xml:space="preserve"> barrier to providing childcare facilities, other verbatim responses, such as “we are not big enough” and “we are spread across a lot of sites”, indicate a level of frustration at the </w:t>
      </w:r>
      <w:r w:rsidRPr="00D97137">
        <w:rPr>
          <w:i/>
          <w:sz w:val="22"/>
        </w:rPr>
        <w:t>current</w:t>
      </w:r>
      <w:r w:rsidRPr="00D97137">
        <w:rPr>
          <w:sz w:val="22"/>
        </w:rPr>
        <w:t xml:space="preserve"> limited parameters of the </w:t>
      </w:r>
      <w:proofErr w:type="spellStart"/>
      <w:r w:rsidRPr="00D97137">
        <w:rPr>
          <w:sz w:val="22"/>
        </w:rPr>
        <w:t>FBT</w:t>
      </w:r>
      <w:proofErr w:type="spellEnd"/>
      <w:r w:rsidRPr="00D97137">
        <w:rPr>
          <w:sz w:val="22"/>
        </w:rPr>
        <w:t xml:space="preserve"> concessions. </w:t>
      </w:r>
    </w:p>
    <w:p w:rsidR="00AE43B1" w:rsidRPr="00AE43B1" w:rsidRDefault="00AE43B1" w:rsidP="00AE43B1">
      <w:pPr>
        <w:pStyle w:val="ListParagraph"/>
        <w:rPr>
          <w:sz w:val="22"/>
        </w:rPr>
      </w:pPr>
    </w:p>
    <w:p w:rsidR="00AE43B1" w:rsidRDefault="00AE43B1" w:rsidP="00D97137">
      <w:pPr>
        <w:pStyle w:val="ListParagraph"/>
        <w:numPr>
          <w:ilvl w:val="0"/>
          <w:numId w:val="31"/>
        </w:numPr>
        <w:spacing w:after="0" w:line="240" w:lineRule="auto"/>
        <w:jc w:val="both"/>
        <w:rPr>
          <w:sz w:val="22"/>
        </w:rPr>
      </w:pPr>
      <w:r>
        <w:rPr>
          <w:sz w:val="22"/>
        </w:rPr>
        <w:t xml:space="preserve">That perception of the limits of the </w:t>
      </w:r>
      <w:proofErr w:type="spellStart"/>
      <w:r>
        <w:rPr>
          <w:sz w:val="22"/>
        </w:rPr>
        <w:t>FBT</w:t>
      </w:r>
      <w:proofErr w:type="spellEnd"/>
      <w:r>
        <w:rPr>
          <w:sz w:val="22"/>
        </w:rPr>
        <w:t xml:space="preserve"> concession is reinforced by one of the main barriers identified by the 87% of employers not providing any form of childcare support – insufficient demand to justify a facility.</w:t>
      </w:r>
    </w:p>
    <w:p w:rsidR="00FE26CB" w:rsidRDefault="00FE26CB" w:rsidP="00FE26CB">
      <w:pPr>
        <w:spacing w:after="0" w:line="240" w:lineRule="auto"/>
        <w:jc w:val="both"/>
        <w:rPr>
          <w:sz w:val="22"/>
          <w:lang w:val="en-GB" w:eastAsia="en-GB"/>
        </w:rPr>
      </w:pPr>
    </w:p>
    <w:p w:rsidR="00AE43B1" w:rsidRPr="00FE26CB" w:rsidRDefault="00AE0D7A" w:rsidP="00FE26CB">
      <w:pPr>
        <w:spacing w:after="0" w:line="240" w:lineRule="auto"/>
        <w:jc w:val="both"/>
        <w:rPr>
          <w:sz w:val="22"/>
        </w:rPr>
      </w:pPr>
      <w:r>
        <w:rPr>
          <w:sz w:val="22"/>
        </w:rPr>
        <w:t>As we discuss on pages 18 to 21</w:t>
      </w:r>
      <w:r w:rsidR="00FE26CB">
        <w:rPr>
          <w:sz w:val="22"/>
        </w:rPr>
        <w:t>, b</w:t>
      </w:r>
      <w:r w:rsidR="00FE26CB" w:rsidRPr="00FE26CB">
        <w:rPr>
          <w:sz w:val="22"/>
        </w:rPr>
        <w:t>oth our principal and alternate recommendations seek to remove those barriers</w:t>
      </w:r>
      <w:r w:rsidR="00FE26CB">
        <w:rPr>
          <w:sz w:val="22"/>
        </w:rPr>
        <w:t xml:space="preserve"> by opening up the scope for employers to be involved in childcare – by </w:t>
      </w:r>
      <w:r w:rsidR="00EA4235">
        <w:rPr>
          <w:sz w:val="22"/>
        </w:rPr>
        <w:t xml:space="preserve">virtue of the </w:t>
      </w:r>
      <w:proofErr w:type="spellStart"/>
      <w:r w:rsidR="00EA4235">
        <w:rPr>
          <w:sz w:val="22"/>
        </w:rPr>
        <w:t>FBT</w:t>
      </w:r>
      <w:proofErr w:type="spellEnd"/>
      <w:r w:rsidR="00EA4235">
        <w:rPr>
          <w:sz w:val="22"/>
        </w:rPr>
        <w:t xml:space="preserve"> ‘otherwise deductible rule’ (principal recommendation) or by virtue of allowing several employers to join together to provide childcare facilities and otherwise not be subject to t</w:t>
      </w:r>
      <w:r w:rsidR="004C78EB">
        <w:rPr>
          <w:sz w:val="22"/>
        </w:rPr>
        <w:t>h</w:t>
      </w:r>
      <w:r w:rsidR="00EA4235">
        <w:rPr>
          <w:sz w:val="22"/>
        </w:rPr>
        <w:t>e strict ‘control’ requirements (alternate recommendation).</w:t>
      </w:r>
    </w:p>
    <w:p w:rsidR="00163F04" w:rsidRPr="00163F04" w:rsidRDefault="00163F04" w:rsidP="006F038E">
      <w:pPr>
        <w:spacing w:after="0" w:line="240" w:lineRule="auto"/>
        <w:jc w:val="both"/>
        <w:rPr>
          <w:sz w:val="22"/>
          <w:szCs w:val="22"/>
        </w:rPr>
      </w:pPr>
    </w:p>
    <w:p w:rsidR="006F038E" w:rsidRPr="001562A0" w:rsidRDefault="00042639" w:rsidP="006F038E">
      <w:pPr>
        <w:spacing w:after="0" w:line="240" w:lineRule="auto"/>
        <w:jc w:val="both"/>
        <w:rPr>
          <w:b/>
          <w:color w:val="1F497D" w:themeColor="text2"/>
          <w:sz w:val="32"/>
          <w:szCs w:val="32"/>
        </w:rPr>
      </w:pPr>
      <w:r>
        <w:rPr>
          <w:b/>
          <w:color w:val="1F497D" w:themeColor="text2"/>
          <w:sz w:val="32"/>
          <w:szCs w:val="32"/>
        </w:rPr>
        <w:lastRenderedPageBreak/>
        <w:t>Transfer and</w:t>
      </w:r>
      <w:r w:rsidR="00CD565F">
        <w:rPr>
          <w:b/>
          <w:color w:val="1F497D" w:themeColor="text2"/>
          <w:sz w:val="32"/>
          <w:szCs w:val="32"/>
        </w:rPr>
        <w:t xml:space="preserve"> tax system</w:t>
      </w:r>
      <w:r>
        <w:rPr>
          <w:b/>
          <w:color w:val="1F497D" w:themeColor="text2"/>
          <w:sz w:val="32"/>
          <w:szCs w:val="32"/>
        </w:rPr>
        <w:t>s’</w:t>
      </w:r>
      <w:r w:rsidR="00CD565F">
        <w:rPr>
          <w:b/>
          <w:color w:val="1F497D" w:themeColor="text2"/>
          <w:sz w:val="32"/>
          <w:szCs w:val="32"/>
        </w:rPr>
        <w:t xml:space="preserve"> support of childcare</w:t>
      </w:r>
      <w:r>
        <w:rPr>
          <w:b/>
          <w:color w:val="1F497D" w:themeColor="text2"/>
          <w:sz w:val="32"/>
          <w:szCs w:val="32"/>
        </w:rPr>
        <w:t xml:space="preserve"> – current issues</w:t>
      </w:r>
    </w:p>
    <w:p w:rsidR="006F038E" w:rsidRDefault="006F038E" w:rsidP="006F038E">
      <w:pPr>
        <w:spacing w:after="0" w:line="240" w:lineRule="auto"/>
        <w:jc w:val="both"/>
        <w:rPr>
          <w:sz w:val="22"/>
        </w:rPr>
      </w:pPr>
    </w:p>
    <w:p w:rsidR="00B05016" w:rsidRDefault="00387861" w:rsidP="006F038E">
      <w:pPr>
        <w:spacing w:after="0" w:line="240" w:lineRule="auto"/>
        <w:jc w:val="both"/>
        <w:rPr>
          <w:sz w:val="22"/>
        </w:rPr>
      </w:pPr>
      <w:r>
        <w:rPr>
          <w:sz w:val="22"/>
        </w:rPr>
        <w:t xml:space="preserve">As raised in the </w:t>
      </w:r>
      <w:r w:rsidRPr="00387861">
        <w:rPr>
          <w:color w:val="1F497D" w:themeColor="text2"/>
          <w:sz w:val="22"/>
        </w:rPr>
        <w:t>Overview</w:t>
      </w:r>
      <w:r>
        <w:rPr>
          <w:sz w:val="22"/>
        </w:rPr>
        <w:t>, t</w:t>
      </w:r>
      <w:r w:rsidR="00B05016">
        <w:rPr>
          <w:sz w:val="22"/>
        </w:rPr>
        <w:t xml:space="preserve">here are a number of current issues associated with the transfer and tax systems’ support of childcare. Some of these issues overlap, but </w:t>
      </w:r>
      <w:r>
        <w:rPr>
          <w:sz w:val="22"/>
        </w:rPr>
        <w:t xml:space="preserve">as the following discussions demonstrate, they </w:t>
      </w:r>
      <w:r w:rsidR="00B05016">
        <w:rPr>
          <w:sz w:val="22"/>
        </w:rPr>
        <w:t xml:space="preserve">all combine to produce inefficient and inconsistent outcomes for parents seeking quality childcare options. </w:t>
      </w:r>
    </w:p>
    <w:p w:rsidR="00387861" w:rsidRDefault="00387861" w:rsidP="006F038E">
      <w:pPr>
        <w:spacing w:after="0" w:line="240" w:lineRule="auto"/>
        <w:jc w:val="both"/>
        <w:rPr>
          <w:sz w:val="22"/>
        </w:rPr>
      </w:pPr>
    </w:p>
    <w:p w:rsidR="00B05016" w:rsidRPr="00BE17ED" w:rsidRDefault="002B0899" w:rsidP="006F038E">
      <w:pPr>
        <w:spacing w:after="0" w:line="240" w:lineRule="auto"/>
        <w:jc w:val="both"/>
        <w:rPr>
          <w:b/>
          <w:i/>
          <w:color w:val="1F497D" w:themeColor="text2"/>
          <w:sz w:val="24"/>
        </w:rPr>
      </w:pPr>
      <w:r w:rsidRPr="00BE17ED">
        <w:rPr>
          <w:b/>
          <w:i/>
          <w:color w:val="1F497D" w:themeColor="text2"/>
          <w:sz w:val="24"/>
        </w:rPr>
        <w:t>Child Care Benefit and Child Care Rebate</w:t>
      </w:r>
      <w:r w:rsidR="00BE17ED" w:rsidRPr="00BE17ED">
        <w:rPr>
          <w:b/>
          <w:i/>
          <w:color w:val="1F497D" w:themeColor="text2"/>
          <w:sz w:val="24"/>
        </w:rPr>
        <w:t xml:space="preserve"> – confusing, </w:t>
      </w:r>
      <w:r w:rsidR="007C0018" w:rsidRPr="00BE17ED">
        <w:rPr>
          <w:b/>
          <w:i/>
          <w:color w:val="1F497D" w:themeColor="text2"/>
          <w:sz w:val="24"/>
        </w:rPr>
        <w:t>complex</w:t>
      </w:r>
      <w:r w:rsidR="00BE17ED" w:rsidRPr="00BE17ED">
        <w:rPr>
          <w:b/>
          <w:i/>
          <w:color w:val="1F497D" w:themeColor="text2"/>
          <w:sz w:val="24"/>
        </w:rPr>
        <w:t xml:space="preserve"> and a disincentive</w:t>
      </w:r>
    </w:p>
    <w:p w:rsidR="002B0899" w:rsidRDefault="002B0899" w:rsidP="006F038E">
      <w:pPr>
        <w:spacing w:after="0" w:line="240" w:lineRule="auto"/>
        <w:jc w:val="both"/>
        <w:rPr>
          <w:sz w:val="22"/>
        </w:rPr>
      </w:pPr>
    </w:p>
    <w:p w:rsidR="009C6E56" w:rsidRDefault="009C6E56" w:rsidP="006F038E">
      <w:pPr>
        <w:spacing w:after="0" w:line="240" w:lineRule="auto"/>
        <w:jc w:val="both"/>
        <w:rPr>
          <w:sz w:val="22"/>
        </w:rPr>
      </w:pPr>
      <w:r>
        <w:rPr>
          <w:sz w:val="22"/>
        </w:rPr>
        <w:t xml:space="preserve">In February 2012 the previous Federal Government estimated that “up to 100,000 Australian families” may have been eligible for </w:t>
      </w:r>
      <w:proofErr w:type="spellStart"/>
      <w:r>
        <w:rPr>
          <w:sz w:val="22"/>
        </w:rPr>
        <w:t>CCB</w:t>
      </w:r>
      <w:proofErr w:type="spellEnd"/>
      <w:r>
        <w:rPr>
          <w:sz w:val="22"/>
        </w:rPr>
        <w:t xml:space="preserve"> or </w:t>
      </w:r>
      <w:proofErr w:type="spellStart"/>
      <w:r>
        <w:rPr>
          <w:sz w:val="22"/>
        </w:rPr>
        <w:t>CCR</w:t>
      </w:r>
      <w:proofErr w:type="spellEnd"/>
      <w:r>
        <w:rPr>
          <w:sz w:val="22"/>
        </w:rPr>
        <w:t xml:space="preserve"> payments but were not claiming their entitlements.</w:t>
      </w:r>
      <w:r>
        <w:rPr>
          <w:rStyle w:val="FootnoteReference"/>
        </w:rPr>
        <w:footnoteReference w:id="9"/>
      </w:r>
      <w:r w:rsidR="002836AC">
        <w:rPr>
          <w:sz w:val="22"/>
        </w:rPr>
        <w:t xml:space="preserve"> This </w:t>
      </w:r>
      <w:r w:rsidR="008B77C8">
        <w:rPr>
          <w:sz w:val="22"/>
        </w:rPr>
        <w:t xml:space="preserve">gap in potential claims </w:t>
      </w:r>
      <w:r w:rsidR="002836AC">
        <w:rPr>
          <w:sz w:val="22"/>
        </w:rPr>
        <w:t xml:space="preserve">was despite the fact that in 2008 the Government had increased the </w:t>
      </w:r>
      <w:proofErr w:type="spellStart"/>
      <w:r w:rsidR="002836AC">
        <w:rPr>
          <w:sz w:val="22"/>
        </w:rPr>
        <w:t>CCR</w:t>
      </w:r>
      <w:proofErr w:type="spellEnd"/>
      <w:r w:rsidR="002836AC">
        <w:rPr>
          <w:sz w:val="22"/>
        </w:rPr>
        <w:t xml:space="preserve"> from 30% to 50% of out-of-pocket childcare costs and the maximum amount of the rebate from $4,354 to $7,500 per year, and in 2011 had introduced the option of receiving </w:t>
      </w:r>
      <w:proofErr w:type="spellStart"/>
      <w:r w:rsidR="002836AC">
        <w:rPr>
          <w:sz w:val="22"/>
        </w:rPr>
        <w:t>CCR</w:t>
      </w:r>
      <w:proofErr w:type="spellEnd"/>
      <w:r w:rsidR="002836AC">
        <w:rPr>
          <w:sz w:val="22"/>
        </w:rPr>
        <w:t xml:space="preserve"> payments fortnightly instead of annually.</w:t>
      </w:r>
    </w:p>
    <w:p w:rsidR="008B77C8" w:rsidRDefault="008B77C8" w:rsidP="006F038E">
      <w:pPr>
        <w:spacing w:after="0" w:line="240" w:lineRule="auto"/>
        <w:jc w:val="both"/>
        <w:rPr>
          <w:sz w:val="22"/>
        </w:rPr>
      </w:pPr>
    </w:p>
    <w:p w:rsidR="00B0137C" w:rsidRDefault="008B77C8" w:rsidP="006F038E">
      <w:pPr>
        <w:spacing w:after="0" w:line="240" w:lineRule="auto"/>
        <w:jc w:val="both"/>
        <w:rPr>
          <w:sz w:val="22"/>
        </w:rPr>
      </w:pPr>
      <w:r>
        <w:rPr>
          <w:sz w:val="22"/>
        </w:rPr>
        <w:t xml:space="preserve">A possible reason for the maximum amount of </w:t>
      </w:r>
      <w:r w:rsidR="00B839F0">
        <w:rPr>
          <w:sz w:val="22"/>
        </w:rPr>
        <w:t xml:space="preserve">potential </w:t>
      </w:r>
      <w:proofErr w:type="spellStart"/>
      <w:r>
        <w:rPr>
          <w:sz w:val="22"/>
        </w:rPr>
        <w:t>CCB</w:t>
      </w:r>
      <w:proofErr w:type="spellEnd"/>
      <w:r>
        <w:rPr>
          <w:sz w:val="22"/>
        </w:rPr>
        <w:t>/</w:t>
      </w:r>
      <w:proofErr w:type="spellStart"/>
      <w:r>
        <w:rPr>
          <w:sz w:val="22"/>
        </w:rPr>
        <w:t>CCR</w:t>
      </w:r>
      <w:proofErr w:type="spellEnd"/>
      <w:r>
        <w:rPr>
          <w:sz w:val="22"/>
        </w:rPr>
        <w:t xml:space="preserve"> claims</w:t>
      </w:r>
      <w:r w:rsidR="00B839F0">
        <w:rPr>
          <w:sz w:val="22"/>
        </w:rPr>
        <w:t xml:space="preserve"> not being made can be attributed to </w:t>
      </w:r>
      <w:r w:rsidR="003D77D9">
        <w:rPr>
          <w:sz w:val="22"/>
        </w:rPr>
        <w:t xml:space="preserve">the </w:t>
      </w:r>
      <w:r w:rsidR="00387861">
        <w:rPr>
          <w:sz w:val="22"/>
        </w:rPr>
        <w:t>issues i</w:t>
      </w:r>
      <w:r w:rsidR="003D77D9">
        <w:rPr>
          <w:sz w:val="22"/>
        </w:rPr>
        <w:t>dentified by the Henry Review in 2009.</w:t>
      </w:r>
      <w:r w:rsidR="004A2502">
        <w:rPr>
          <w:sz w:val="22"/>
        </w:rPr>
        <w:t xml:space="preserve"> In its Final Report to the Treasurer, the Review labelled the calculation of the </w:t>
      </w:r>
      <w:proofErr w:type="spellStart"/>
      <w:r w:rsidR="004A2502">
        <w:rPr>
          <w:sz w:val="22"/>
        </w:rPr>
        <w:t>CCB</w:t>
      </w:r>
      <w:proofErr w:type="spellEnd"/>
      <w:r w:rsidR="004A2502">
        <w:rPr>
          <w:sz w:val="22"/>
        </w:rPr>
        <w:t xml:space="preserve"> as “particularly complicated” and the existence of the two childcare transfer payments and the way they interacted as adding to </w:t>
      </w:r>
      <w:r w:rsidR="00B0137C">
        <w:rPr>
          <w:sz w:val="22"/>
        </w:rPr>
        <w:t xml:space="preserve">that </w:t>
      </w:r>
      <w:r w:rsidR="004A2502">
        <w:rPr>
          <w:sz w:val="22"/>
        </w:rPr>
        <w:t>complexity – for parents, providers and administrators.</w:t>
      </w:r>
      <w:r w:rsidR="004B0760">
        <w:rPr>
          <w:rStyle w:val="FootnoteReference"/>
        </w:rPr>
        <w:footnoteReference w:id="10"/>
      </w:r>
    </w:p>
    <w:p w:rsidR="00B0137C" w:rsidRDefault="00B0137C" w:rsidP="006F038E">
      <w:pPr>
        <w:spacing w:after="0" w:line="240" w:lineRule="auto"/>
        <w:jc w:val="both"/>
        <w:rPr>
          <w:sz w:val="22"/>
        </w:rPr>
      </w:pPr>
    </w:p>
    <w:p w:rsidR="002B0899" w:rsidRDefault="00B0137C" w:rsidP="006F038E">
      <w:pPr>
        <w:spacing w:after="0" w:line="240" w:lineRule="auto"/>
        <w:jc w:val="both"/>
        <w:rPr>
          <w:sz w:val="22"/>
        </w:rPr>
      </w:pPr>
      <w:r>
        <w:rPr>
          <w:sz w:val="22"/>
        </w:rPr>
        <w:t>Several</w:t>
      </w:r>
      <w:r w:rsidR="00592445">
        <w:rPr>
          <w:sz w:val="22"/>
        </w:rPr>
        <w:t xml:space="preserve"> submissions to the Inquiry have </w:t>
      </w:r>
      <w:r w:rsidR="00825FDB">
        <w:rPr>
          <w:sz w:val="22"/>
        </w:rPr>
        <w:t xml:space="preserve">also labelled the current transfer system relating to childcare as “complex”. </w:t>
      </w:r>
      <w:r w:rsidR="00592445">
        <w:rPr>
          <w:sz w:val="22"/>
        </w:rPr>
        <w:t xml:space="preserve">For example, </w:t>
      </w:r>
      <w:r w:rsidR="00825FDB">
        <w:rPr>
          <w:sz w:val="22"/>
        </w:rPr>
        <w:t xml:space="preserve">we note that </w:t>
      </w:r>
      <w:r w:rsidR="002B0899">
        <w:rPr>
          <w:sz w:val="22"/>
        </w:rPr>
        <w:t>Early Childhood Australia</w:t>
      </w:r>
      <w:r w:rsidR="00B94622">
        <w:rPr>
          <w:sz w:val="22"/>
        </w:rPr>
        <w:t xml:space="preserve"> (</w:t>
      </w:r>
      <w:proofErr w:type="spellStart"/>
      <w:r w:rsidR="00B94622">
        <w:rPr>
          <w:sz w:val="22"/>
        </w:rPr>
        <w:t>ECA</w:t>
      </w:r>
      <w:proofErr w:type="spellEnd"/>
      <w:r w:rsidR="00B94622">
        <w:rPr>
          <w:sz w:val="22"/>
        </w:rPr>
        <w:t>)</w:t>
      </w:r>
      <w:r w:rsidR="00F261A5">
        <w:rPr>
          <w:rStyle w:val="FootnoteReference"/>
        </w:rPr>
        <w:footnoteReference w:id="11"/>
      </w:r>
      <w:r w:rsidR="002B0899">
        <w:rPr>
          <w:sz w:val="22"/>
        </w:rPr>
        <w:t xml:space="preserve"> </w:t>
      </w:r>
      <w:r w:rsidR="00825FDB">
        <w:rPr>
          <w:sz w:val="22"/>
        </w:rPr>
        <w:t>gave the following reasons for that complexity</w:t>
      </w:r>
      <w:r w:rsidR="002B0899">
        <w:rPr>
          <w:sz w:val="22"/>
        </w:rPr>
        <w:t>:</w:t>
      </w:r>
    </w:p>
    <w:p w:rsidR="002B0899" w:rsidRDefault="002B0899" w:rsidP="006F038E">
      <w:pPr>
        <w:spacing w:after="0" w:line="240" w:lineRule="auto"/>
        <w:jc w:val="both"/>
        <w:rPr>
          <w:sz w:val="22"/>
        </w:rPr>
      </w:pPr>
    </w:p>
    <w:p w:rsidR="002B0899" w:rsidRPr="000B1A65" w:rsidRDefault="000B1A65" w:rsidP="000B1A65">
      <w:pPr>
        <w:pStyle w:val="ListParagraph"/>
        <w:numPr>
          <w:ilvl w:val="0"/>
          <w:numId w:val="8"/>
        </w:numPr>
        <w:spacing w:after="0" w:line="240" w:lineRule="auto"/>
        <w:jc w:val="both"/>
        <w:rPr>
          <w:sz w:val="22"/>
        </w:rPr>
      </w:pPr>
      <w:r>
        <w:rPr>
          <w:sz w:val="22"/>
        </w:rPr>
        <w:t>T</w:t>
      </w:r>
      <w:r w:rsidR="002A3A3E" w:rsidRPr="000B1A65">
        <w:rPr>
          <w:sz w:val="22"/>
        </w:rPr>
        <w:t>here are differing work training stud</w:t>
      </w:r>
      <w:r>
        <w:rPr>
          <w:sz w:val="22"/>
        </w:rPr>
        <w:t xml:space="preserve">y tests for the </w:t>
      </w:r>
      <w:proofErr w:type="spellStart"/>
      <w:r>
        <w:rPr>
          <w:sz w:val="22"/>
        </w:rPr>
        <w:t>CCB</w:t>
      </w:r>
      <w:proofErr w:type="spellEnd"/>
      <w:r>
        <w:rPr>
          <w:sz w:val="22"/>
        </w:rPr>
        <w:t xml:space="preserve"> and the </w:t>
      </w:r>
      <w:proofErr w:type="spellStart"/>
      <w:r>
        <w:rPr>
          <w:sz w:val="22"/>
        </w:rPr>
        <w:t>CCR</w:t>
      </w:r>
      <w:proofErr w:type="spellEnd"/>
      <w:r>
        <w:rPr>
          <w:sz w:val="22"/>
        </w:rPr>
        <w:t>.</w:t>
      </w:r>
    </w:p>
    <w:p w:rsidR="002A3A3E" w:rsidRPr="000B1A65" w:rsidRDefault="000B1A65" w:rsidP="000B1A65">
      <w:pPr>
        <w:pStyle w:val="ListParagraph"/>
        <w:numPr>
          <w:ilvl w:val="0"/>
          <w:numId w:val="8"/>
        </w:numPr>
        <w:spacing w:after="0" w:line="240" w:lineRule="auto"/>
        <w:jc w:val="both"/>
        <w:rPr>
          <w:sz w:val="22"/>
        </w:rPr>
      </w:pPr>
      <w:r>
        <w:rPr>
          <w:sz w:val="22"/>
        </w:rPr>
        <w:t>P</w:t>
      </w:r>
      <w:r w:rsidR="002A3A3E" w:rsidRPr="000B1A65">
        <w:rPr>
          <w:sz w:val="22"/>
        </w:rPr>
        <w:t>arents on different inc</w:t>
      </w:r>
      <w:r>
        <w:rPr>
          <w:sz w:val="22"/>
        </w:rPr>
        <w:t xml:space="preserve">omes are on different </w:t>
      </w:r>
      <w:proofErr w:type="spellStart"/>
      <w:r>
        <w:rPr>
          <w:sz w:val="22"/>
        </w:rPr>
        <w:t>CCB</w:t>
      </w:r>
      <w:proofErr w:type="spellEnd"/>
      <w:r>
        <w:rPr>
          <w:sz w:val="22"/>
        </w:rPr>
        <w:t xml:space="preserve"> rates.</w:t>
      </w:r>
    </w:p>
    <w:p w:rsidR="002A3A3E" w:rsidRPr="000B1A65" w:rsidRDefault="000B1A65" w:rsidP="000B1A65">
      <w:pPr>
        <w:pStyle w:val="ListParagraph"/>
        <w:numPr>
          <w:ilvl w:val="0"/>
          <w:numId w:val="8"/>
        </w:numPr>
        <w:spacing w:after="0" w:line="240" w:lineRule="auto"/>
        <w:jc w:val="both"/>
        <w:rPr>
          <w:sz w:val="22"/>
        </w:rPr>
      </w:pPr>
      <w:r>
        <w:rPr>
          <w:sz w:val="22"/>
        </w:rPr>
        <w:t>T</w:t>
      </w:r>
      <w:r w:rsidR="002A3A3E" w:rsidRPr="000B1A65">
        <w:rPr>
          <w:sz w:val="22"/>
        </w:rPr>
        <w:t xml:space="preserve">he </w:t>
      </w:r>
      <w:proofErr w:type="spellStart"/>
      <w:r w:rsidR="002A3A3E" w:rsidRPr="000B1A65">
        <w:rPr>
          <w:sz w:val="22"/>
        </w:rPr>
        <w:t>CCB</w:t>
      </w:r>
      <w:proofErr w:type="spellEnd"/>
      <w:r>
        <w:rPr>
          <w:sz w:val="22"/>
        </w:rPr>
        <w:t xml:space="preserve"> has multiple income thresholds.</w:t>
      </w:r>
    </w:p>
    <w:p w:rsidR="002A3A3E" w:rsidRPr="000B1A65" w:rsidRDefault="000B1A65" w:rsidP="000B1A65">
      <w:pPr>
        <w:pStyle w:val="ListParagraph"/>
        <w:numPr>
          <w:ilvl w:val="0"/>
          <w:numId w:val="8"/>
        </w:numPr>
        <w:spacing w:after="0" w:line="240" w:lineRule="auto"/>
        <w:jc w:val="both"/>
        <w:rPr>
          <w:sz w:val="22"/>
        </w:rPr>
      </w:pPr>
      <w:r>
        <w:rPr>
          <w:sz w:val="22"/>
        </w:rPr>
        <w:t>T</w:t>
      </w:r>
      <w:r w:rsidR="002A3A3E" w:rsidRPr="000B1A65">
        <w:rPr>
          <w:sz w:val="22"/>
        </w:rPr>
        <w:t xml:space="preserve">he rate of </w:t>
      </w:r>
      <w:proofErr w:type="spellStart"/>
      <w:r w:rsidR="002A3A3E" w:rsidRPr="000B1A65">
        <w:rPr>
          <w:sz w:val="22"/>
        </w:rPr>
        <w:t>CCB</w:t>
      </w:r>
      <w:proofErr w:type="spellEnd"/>
      <w:r>
        <w:rPr>
          <w:sz w:val="22"/>
        </w:rPr>
        <w:t xml:space="preserve"> and its thresholds are indexed.</w:t>
      </w:r>
    </w:p>
    <w:p w:rsidR="002A3A3E" w:rsidRPr="000B1A65" w:rsidRDefault="000B1A65" w:rsidP="000B1A65">
      <w:pPr>
        <w:pStyle w:val="ListParagraph"/>
        <w:numPr>
          <w:ilvl w:val="0"/>
          <w:numId w:val="8"/>
        </w:numPr>
        <w:spacing w:after="0" w:line="240" w:lineRule="auto"/>
        <w:jc w:val="both"/>
        <w:rPr>
          <w:sz w:val="22"/>
        </w:rPr>
      </w:pPr>
      <w:r>
        <w:rPr>
          <w:sz w:val="22"/>
        </w:rPr>
        <w:t>T</w:t>
      </w:r>
      <w:r w:rsidR="002A3A3E" w:rsidRPr="000B1A65">
        <w:rPr>
          <w:sz w:val="22"/>
        </w:rPr>
        <w:t xml:space="preserve">he </w:t>
      </w:r>
      <w:proofErr w:type="spellStart"/>
      <w:r w:rsidR="002A3A3E" w:rsidRPr="000B1A65">
        <w:rPr>
          <w:sz w:val="22"/>
        </w:rPr>
        <w:t>CCR</w:t>
      </w:r>
      <w:proofErr w:type="spellEnd"/>
      <w:r w:rsidR="002A3A3E" w:rsidRPr="000B1A65">
        <w:rPr>
          <w:sz w:val="22"/>
        </w:rPr>
        <w:t xml:space="preserve"> is a</w:t>
      </w:r>
      <w:r>
        <w:rPr>
          <w:sz w:val="22"/>
        </w:rPr>
        <w:t>pplied to a percentage of costs.</w:t>
      </w:r>
    </w:p>
    <w:p w:rsidR="002A3A3E" w:rsidRPr="000B1A65" w:rsidRDefault="000B1A65" w:rsidP="000B1A65">
      <w:pPr>
        <w:pStyle w:val="ListParagraph"/>
        <w:numPr>
          <w:ilvl w:val="0"/>
          <w:numId w:val="8"/>
        </w:numPr>
        <w:spacing w:after="0" w:line="240" w:lineRule="auto"/>
        <w:jc w:val="both"/>
        <w:rPr>
          <w:sz w:val="22"/>
        </w:rPr>
      </w:pPr>
      <w:r>
        <w:rPr>
          <w:sz w:val="22"/>
        </w:rPr>
        <w:t>P</w:t>
      </w:r>
      <w:r w:rsidR="002A3A3E" w:rsidRPr="000B1A65">
        <w:rPr>
          <w:sz w:val="22"/>
        </w:rPr>
        <w:t>arents are often not entitled to an</w:t>
      </w:r>
      <w:r>
        <w:rPr>
          <w:sz w:val="22"/>
        </w:rPr>
        <w:t>y</w:t>
      </w:r>
      <w:r w:rsidR="002A3A3E" w:rsidRPr="000B1A65">
        <w:rPr>
          <w:sz w:val="22"/>
        </w:rPr>
        <w:t xml:space="preserve"> amount of </w:t>
      </w:r>
      <w:proofErr w:type="spellStart"/>
      <w:r w:rsidR="002A3A3E" w:rsidRPr="000B1A65">
        <w:rPr>
          <w:sz w:val="22"/>
        </w:rPr>
        <w:t>CCB</w:t>
      </w:r>
      <w:proofErr w:type="spellEnd"/>
      <w:r w:rsidR="002A3A3E" w:rsidRPr="000B1A65">
        <w:rPr>
          <w:sz w:val="22"/>
        </w:rPr>
        <w:t xml:space="preserve"> but entitled to the full</w:t>
      </w:r>
      <w:r w:rsidR="00F261A5" w:rsidRPr="000B1A65">
        <w:rPr>
          <w:sz w:val="22"/>
        </w:rPr>
        <w:t xml:space="preserve"> </w:t>
      </w:r>
      <w:proofErr w:type="spellStart"/>
      <w:r w:rsidR="00F261A5" w:rsidRPr="000B1A65">
        <w:rPr>
          <w:sz w:val="22"/>
        </w:rPr>
        <w:t>C</w:t>
      </w:r>
      <w:r>
        <w:rPr>
          <w:sz w:val="22"/>
        </w:rPr>
        <w:t>CR</w:t>
      </w:r>
      <w:proofErr w:type="spellEnd"/>
      <w:r>
        <w:rPr>
          <w:sz w:val="22"/>
        </w:rPr>
        <w:t xml:space="preserve"> amount.</w:t>
      </w:r>
    </w:p>
    <w:p w:rsidR="00F261A5" w:rsidRPr="000B1A65" w:rsidRDefault="000B1A65" w:rsidP="000B1A65">
      <w:pPr>
        <w:pStyle w:val="ListParagraph"/>
        <w:numPr>
          <w:ilvl w:val="0"/>
          <w:numId w:val="8"/>
        </w:numPr>
        <w:spacing w:after="0" w:line="240" w:lineRule="auto"/>
        <w:jc w:val="both"/>
        <w:rPr>
          <w:sz w:val="22"/>
        </w:rPr>
      </w:pPr>
      <w:r>
        <w:rPr>
          <w:sz w:val="22"/>
        </w:rPr>
        <w:t>T</w:t>
      </w:r>
      <w:r w:rsidR="0033762E" w:rsidRPr="000B1A65">
        <w:rPr>
          <w:sz w:val="22"/>
        </w:rPr>
        <w:t xml:space="preserve">he </w:t>
      </w:r>
      <w:proofErr w:type="spellStart"/>
      <w:r w:rsidR="0033762E" w:rsidRPr="000B1A65">
        <w:rPr>
          <w:sz w:val="22"/>
        </w:rPr>
        <w:t>CCR</w:t>
      </w:r>
      <w:proofErr w:type="spellEnd"/>
      <w:r w:rsidR="0033762E" w:rsidRPr="000B1A65">
        <w:rPr>
          <w:sz w:val="22"/>
        </w:rPr>
        <w:t xml:space="preserve"> has a</w:t>
      </w:r>
      <w:r w:rsidR="00ED14AD" w:rsidRPr="000B1A65">
        <w:rPr>
          <w:sz w:val="22"/>
        </w:rPr>
        <w:t xml:space="preserve"> cap, which is indexed, whereas the </w:t>
      </w:r>
      <w:proofErr w:type="spellStart"/>
      <w:r w:rsidR="00ED14AD" w:rsidRPr="000B1A65">
        <w:rPr>
          <w:sz w:val="22"/>
        </w:rPr>
        <w:t>CCB</w:t>
      </w:r>
      <w:proofErr w:type="spellEnd"/>
      <w:r w:rsidR="00ED14AD" w:rsidRPr="000B1A65">
        <w:rPr>
          <w:sz w:val="22"/>
        </w:rPr>
        <w:t xml:space="preserve"> has an hourly cap.</w:t>
      </w:r>
    </w:p>
    <w:p w:rsidR="00C6025C" w:rsidRDefault="00C6025C" w:rsidP="006F038E">
      <w:pPr>
        <w:spacing w:after="0" w:line="240" w:lineRule="auto"/>
        <w:jc w:val="both"/>
        <w:rPr>
          <w:sz w:val="22"/>
        </w:rPr>
      </w:pPr>
    </w:p>
    <w:p w:rsidR="00A23D23" w:rsidRDefault="000A50E9" w:rsidP="00A23D23">
      <w:pPr>
        <w:spacing w:after="0" w:line="240" w:lineRule="auto"/>
        <w:jc w:val="both"/>
        <w:rPr>
          <w:sz w:val="22"/>
        </w:rPr>
      </w:pPr>
      <w:proofErr w:type="spellStart"/>
      <w:r>
        <w:rPr>
          <w:sz w:val="22"/>
        </w:rPr>
        <w:lastRenderedPageBreak/>
        <w:t>MMSG</w:t>
      </w:r>
      <w:proofErr w:type="spellEnd"/>
      <w:r>
        <w:rPr>
          <w:sz w:val="22"/>
        </w:rPr>
        <w:t xml:space="preserve"> also notes</w:t>
      </w:r>
      <w:r w:rsidR="00825FDB">
        <w:rPr>
          <w:sz w:val="22"/>
        </w:rPr>
        <w:t xml:space="preserve"> that a</w:t>
      </w:r>
      <w:r w:rsidR="00B94622">
        <w:rPr>
          <w:sz w:val="22"/>
        </w:rPr>
        <w:t xml:space="preserve"> study by the University of New South Wales’ Social Policy Research C</w:t>
      </w:r>
      <w:r w:rsidR="00342248">
        <w:rPr>
          <w:sz w:val="22"/>
        </w:rPr>
        <w:t>entre</w:t>
      </w:r>
      <w:r w:rsidR="00825FDB">
        <w:rPr>
          <w:sz w:val="22"/>
        </w:rPr>
        <w:t xml:space="preserve"> (</w:t>
      </w:r>
      <w:r w:rsidR="00D14B42">
        <w:rPr>
          <w:sz w:val="22"/>
        </w:rPr>
        <w:t xml:space="preserve">the </w:t>
      </w:r>
      <w:proofErr w:type="spellStart"/>
      <w:r w:rsidR="00825FDB">
        <w:rPr>
          <w:sz w:val="22"/>
        </w:rPr>
        <w:t>SPRC</w:t>
      </w:r>
      <w:proofErr w:type="spellEnd"/>
      <w:r w:rsidR="00825FDB">
        <w:rPr>
          <w:sz w:val="22"/>
        </w:rPr>
        <w:t>)</w:t>
      </w:r>
      <w:r w:rsidR="00342248">
        <w:rPr>
          <w:rStyle w:val="FootnoteReference"/>
        </w:rPr>
        <w:footnoteReference w:id="12"/>
      </w:r>
      <w:r w:rsidR="00B94622">
        <w:rPr>
          <w:sz w:val="22"/>
        </w:rPr>
        <w:t xml:space="preserve"> commissioned by</w:t>
      </w:r>
      <w:r w:rsidR="0073332D">
        <w:rPr>
          <w:sz w:val="22"/>
        </w:rPr>
        <w:t xml:space="preserve"> </w:t>
      </w:r>
      <w:proofErr w:type="spellStart"/>
      <w:r w:rsidR="0073332D">
        <w:rPr>
          <w:sz w:val="22"/>
        </w:rPr>
        <w:t>ECA</w:t>
      </w:r>
      <w:proofErr w:type="spellEnd"/>
      <w:r w:rsidR="0073332D">
        <w:rPr>
          <w:sz w:val="22"/>
        </w:rPr>
        <w:t xml:space="preserve"> for </w:t>
      </w:r>
      <w:r w:rsidR="009E19D3">
        <w:rPr>
          <w:sz w:val="22"/>
        </w:rPr>
        <w:t xml:space="preserve">the purposes of its submission to </w:t>
      </w:r>
      <w:r w:rsidR="00825FDB">
        <w:rPr>
          <w:sz w:val="22"/>
        </w:rPr>
        <w:t xml:space="preserve">the Inquiry </w:t>
      </w:r>
      <w:r w:rsidR="0073332D">
        <w:rPr>
          <w:sz w:val="22"/>
        </w:rPr>
        <w:t>concluded</w:t>
      </w:r>
      <w:r w:rsidR="00ED14AD">
        <w:rPr>
          <w:sz w:val="22"/>
        </w:rPr>
        <w:t xml:space="preserve"> </w:t>
      </w:r>
      <w:r w:rsidR="00342248">
        <w:rPr>
          <w:sz w:val="22"/>
        </w:rPr>
        <w:t>that</w:t>
      </w:r>
      <w:r w:rsidR="00ED14AD">
        <w:rPr>
          <w:sz w:val="22"/>
        </w:rPr>
        <w:t>:</w:t>
      </w:r>
    </w:p>
    <w:p w:rsidR="00B94622" w:rsidRDefault="00B94622" w:rsidP="00A23D23">
      <w:pPr>
        <w:spacing w:after="0" w:line="240" w:lineRule="auto"/>
        <w:jc w:val="both"/>
        <w:rPr>
          <w:sz w:val="22"/>
        </w:rPr>
      </w:pPr>
    </w:p>
    <w:p w:rsidR="00B94622" w:rsidRDefault="00B94622" w:rsidP="001C0656">
      <w:pPr>
        <w:spacing w:after="0" w:line="240" w:lineRule="auto"/>
        <w:ind w:left="720"/>
        <w:jc w:val="both"/>
        <w:rPr>
          <w:sz w:val="22"/>
          <w:szCs w:val="22"/>
        </w:rPr>
      </w:pPr>
      <w:r w:rsidRPr="00342248">
        <w:rPr>
          <w:sz w:val="22"/>
          <w:szCs w:val="22"/>
        </w:rPr>
        <w:t xml:space="preserve">“The current combination of a capped, means-tested subsidy (Child Care Benefit) with a non-means-tested rebate (Child Care Rebate) ... is not only confusing for parents, its distributional impacts push and pull in different directions. </w:t>
      </w:r>
      <w:proofErr w:type="spellStart"/>
      <w:r w:rsidRPr="00342248">
        <w:rPr>
          <w:sz w:val="22"/>
          <w:szCs w:val="22"/>
        </w:rPr>
        <w:t>CCB</w:t>
      </w:r>
      <w:proofErr w:type="spellEnd"/>
      <w:r w:rsidRPr="00342248">
        <w:rPr>
          <w:sz w:val="22"/>
          <w:szCs w:val="22"/>
        </w:rPr>
        <w:t xml:space="preserve"> delivers maximum assistance to lower income families while </w:t>
      </w:r>
      <w:proofErr w:type="spellStart"/>
      <w:r w:rsidRPr="00342248">
        <w:rPr>
          <w:sz w:val="22"/>
          <w:szCs w:val="22"/>
        </w:rPr>
        <w:t>CCR</w:t>
      </w:r>
      <w:proofErr w:type="spellEnd"/>
      <w:r w:rsidRPr="00342248">
        <w:rPr>
          <w:sz w:val="22"/>
          <w:szCs w:val="22"/>
        </w:rPr>
        <w:t xml:space="preserve">, being tied to actual fees paid, delivers the greatest </w:t>
      </w:r>
      <w:r w:rsidR="00342248" w:rsidRPr="00342248">
        <w:rPr>
          <w:sz w:val="22"/>
          <w:szCs w:val="22"/>
        </w:rPr>
        <w:t>benefits to families who pay the most for child care – families at the higher end of the income scale.”</w:t>
      </w:r>
    </w:p>
    <w:p w:rsidR="00ED14AD" w:rsidRDefault="00ED14AD" w:rsidP="00342248">
      <w:pPr>
        <w:spacing w:after="0" w:line="240" w:lineRule="auto"/>
        <w:ind w:left="360"/>
        <w:jc w:val="both"/>
        <w:rPr>
          <w:sz w:val="22"/>
          <w:szCs w:val="22"/>
        </w:rPr>
      </w:pPr>
    </w:p>
    <w:p w:rsidR="00D14B42" w:rsidRDefault="00825FDB" w:rsidP="00ED14AD">
      <w:pPr>
        <w:spacing w:after="0" w:line="240" w:lineRule="auto"/>
        <w:jc w:val="both"/>
        <w:rPr>
          <w:sz w:val="22"/>
          <w:szCs w:val="22"/>
        </w:rPr>
      </w:pPr>
      <w:r>
        <w:rPr>
          <w:sz w:val="22"/>
          <w:szCs w:val="22"/>
        </w:rPr>
        <w:t xml:space="preserve">The </w:t>
      </w:r>
      <w:proofErr w:type="spellStart"/>
      <w:r w:rsidR="000A50E9">
        <w:rPr>
          <w:sz w:val="22"/>
          <w:szCs w:val="22"/>
        </w:rPr>
        <w:t>SPRC</w:t>
      </w:r>
      <w:proofErr w:type="spellEnd"/>
      <w:r w:rsidR="000A50E9">
        <w:rPr>
          <w:sz w:val="22"/>
          <w:szCs w:val="22"/>
        </w:rPr>
        <w:t xml:space="preserve"> also found</w:t>
      </w:r>
      <w:r w:rsidR="00D14B42">
        <w:rPr>
          <w:sz w:val="22"/>
          <w:szCs w:val="22"/>
        </w:rPr>
        <w:t xml:space="preserve"> that considerable confusion particularly surrounds the interaction between the </w:t>
      </w:r>
      <w:proofErr w:type="spellStart"/>
      <w:r w:rsidR="00D14B42">
        <w:rPr>
          <w:sz w:val="22"/>
          <w:szCs w:val="22"/>
        </w:rPr>
        <w:t>CCB</w:t>
      </w:r>
      <w:proofErr w:type="spellEnd"/>
      <w:r w:rsidR="00D14B42">
        <w:rPr>
          <w:sz w:val="22"/>
          <w:szCs w:val="22"/>
        </w:rPr>
        <w:t xml:space="preserve"> and </w:t>
      </w:r>
      <w:proofErr w:type="spellStart"/>
      <w:r w:rsidR="00D14B42">
        <w:rPr>
          <w:sz w:val="22"/>
          <w:szCs w:val="22"/>
        </w:rPr>
        <w:t>CCR</w:t>
      </w:r>
      <w:proofErr w:type="spellEnd"/>
      <w:r w:rsidR="00D14B42">
        <w:rPr>
          <w:sz w:val="22"/>
          <w:szCs w:val="22"/>
        </w:rPr>
        <w:t>:</w:t>
      </w:r>
    </w:p>
    <w:p w:rsidR="00D14B42" w:rsidRDefault="00D14B42" w:rsidP="00ED14AD">
      <w:pPr>
        <w:spacing w:after="0" w:line="240" w:lineRule="auto"/>
        <w:jc w:val="both"/>
        <w:rPr>
          <w:sz w:val="22"/>
          <w:szCs w:val="22"/>
        </w:rPr>
      </w:pPr>
    </w:p>
    <w:p w:rsidR="00D14B42" w:rsidRDefault="00D14B42" w:rsidP="001C0656">
      <w:pPr>
        <w:spacing w:after="0" w:line="240" w:lineRule="auto"/>
        <w:ind w:left="720"/>
        <w:jc w:val="both"/>
        <w:rPr>
          <w:sz w:val="22"/>
          <w:szCs w:val="22"/>
        </w:rPr>
      </w:pPr>
      <w:r>
        <w:rPr>
          <w:sz w:val="22"/>
          <w:szCs w:val="22"/>
        </w:rPr>
        <w:t xml:space="preserve">“The distinction between ‘approved’ and ‘registered’ care is also not well understood. The term ‘approved’ implies a service that meets government regulations and services. Parents are thus often surprised to discover that their preschool, for example, which meets all required </w:t>
      </w:r>
      <w:r w:rsidR="001C0656">
        <w:rPr>
          <w:sz w:val="22"/>
          <w:szCs w:val="22"/>
        </w:rPr>
        <w:t>quality standards, is not ‘appro</w:t>
      </w:r>
      <w:r>
        <w:rPr>
          <w:sz w:val="22"/>
          <w:szCs w:val="22"/>
        </w:rPr>
        <w:t xml:space="preserve">ved’ for </w:t>
      </w:r>
      <w:proofErr w:type="spellStart"/>
      <w:r>
        <w:rPr>
          <w:sz w:val="22"/>
          <w:szCs w:val="22"/>
        </w:rPr>
        <w:t>CCB</w:t>
      </w:r>
      <w:proofErr w:type="spellEnd"/>
      <w:r>
        <w:rPr>
          <w:sz w:val="22"/>
          <w:szCs w:val="22"/>
        </w:rPr>
        <w:t xml:space="preserve"> because the </w:t>
      </w:r>
      <w:r w:rsidR="001C0656">
        <w:rPr>
          <w:sz w:val="22"/>
          <w:szCs w:val="22"/>
        </w:rPr>
        <w:t>Commonwealth</w:t>
      </w:r>
      <w:r>
        <w:rPr>
          <w:sz w:val="22"/>
          <w:szCs w:val="22"/>
        </w:rPr>
        <w:t xml:space="preserve"> requires approved services to be open for a minimum number of hours per day and weeks per year. While this may make sense from a bureaucratic and administrative perspective, it makes no sense to families.”</w:t>
      </w:r>
      <w:r w:rsidR="001C0656">
        <w:rPr>
          <w:rStyle w:val="FootnoteReference"/>
          <w:szCs w:val="22"/>
        </w:rPr>
        <w:footnoteReference w:id="13"/>
      </w:r>
    </w:p>
    <w:p w:rsidR="00D14B42" w:rsidRDefault="00D14B42" w:rsidP="00ED14AD">
      <w:pPr>
        <w:spacing w:after="0" w:line="240" w:lineRule="auto"/>
        <w:jc w:val="both"/>
        <w:rPr>
          <w:sz w:val="22"/>
          <w:szCs w:val="22"/>
        </w:rPr>
      </w:pPr>
    </w:p>
    <w:p w:rsidR="00ED14AD" w:rsidRDefault="00E31ECE" w:rsidP="00ED14AD">
      <w:pPr>
        <w:spacing w:after="0" w:line="240" w:lineRule="auto"/>
        <w:jc w:val="both"/>
        <w:rPr>
          <w:sz w:val="22"/>
          <w:szCs w:val="22"/>
        </w:rPr>
      </w:pPr>
      <w:r>
        <w:rPr>
          <w:sz w:val="22"/>
          <w:szCs w:val="22"/>
        </w:rPr>
        <w:t xml:space="preserve">Notwithstanding the Government’s estimate (discussed above) that 100,000 families are entitled to the </w:t>
      </w:r>
      <w:proofErr w:type="spellStart"/>
      <w:r>
        <w:rPr>
          <w:sz w:val="22"/>
          <w:szCs w:val="22"/>
        </w:rPr>
        <w:t>CCR</w:t>
      </w:r>
      <w:proofErr w:type="spellEnd"/>
      <w:r>
        <w:rPr>
          <w:sz w:val="22"/>
          <w:szCs w:val="22"/>
        </w:rPr>
        <w:t xml:space="preserve"> but are not claiming it, other families are receiving the rebate </w:t>
      </w:r>
      <w:r w:rsidR="00022DFB">
        <w:rPr>
          <w:sz w:val="22"/>
          <w:szCs w:val="22"/>
        </w:rPr>
        <w:t>but wit</w:t>
      </w:r>
      <w:r w:rsidR="00B26069">
        <w:rPr>
          <w:sz w:val="22"/>
          <w:szCs w:val="22"/>
        </w:rPr>
        <w:t>hout knowing why. These confusing outcomes arise</w:t>
      </w:r>
      <w:r w:rsidR="00022DFB">
        <w:rPr>
          <w:sz w:val="22"/>
          <w:szCs w:val="22"/>
        </w:rPr>
        <w:t xml:space="preserve"> </w:t>
      </w:r>
      <w:r w:rsidR="001E46E1">
        <w:rPr>
          <w:sz w:val="22"/>
          <w:szCs w:val="22"/>
        </w:rPr>
        <w:t xml:space="preserve">despite the intrinsically fluid and efficient reporting and payment processes now in place. They arise </w:t>
      </w:r>
      <w:r w:rsidR="00022DFB">
        <w:rPr>
          <w:sz w:val="22"/>
          <w:szCs w:val="22"/>
        </w:rPr>
        <w:t xml:space="preserve">because whilst </w:t>
      </w:r>
      <w:proofErr w:type="spellStart"/>
      <w:r w:rsidR="00022DFB">
        <w:rPr>
          <w:sz w:val="22"/>
          <w:szCs w:val="22"/>
        </w:rPr>
        <w:t>CCR</w:t>
      </w:r>
      <w:proofErr w:type="spellEnd"/>
      <w:r w:rsidR="00022DFB">
        <w:rPr>
          <w:sz w:val="22"/>
          <w:szCs w:val="22"/>
        </w:rPr>
        <w:t xml:space="preserve"> entitlement depends on whether or not the family is eligible for the </w:t>
      </w:r>
      <w:proofErr w:type="spellStart"/>
      <w:r w:rsidR="00022DFB">
        <w:rPr>
          <w:sz w:val="22"/>
          <w:szCs w:val="22"/>
        </w:rPr>
        <w:t>CCB</w:t>
      </w:r>
      <w:proofErr w:type="spellEnd"/>
      <w:r w:rsidR="00022DFB">
        <w:rPr>
          <w:sz w:val="22"/>
          <w:szCs w:val="22"/>
        </w:rPr>
        <w:t xml:space="preserve">, that requirement is satisfied even if the entitlement to the </w:t>
      </w:r>
      <w:proofErr w:type="spellStart"/>
      <w:r w:rsidR="00022DFB">
        <w:rPr>
          <w:sz w:val="22"/>
          <w:szCs w:val="22"/>
        </w:rPr>
        <w:t>CCB</w:t>
      </w:r>
      <w:proofErr w:type="spellEnd"/>
      <w:r w:rsidR="00022DFB">
        <w:rPr>
          <w:sz w:val="22"/>
          <w:szCs w:val="22"/>
        </w:rPr>
        <w:t xml:space="preserve"> is at the zero rate of payment, but </w:t>
      </w:r>
      <w:r w:rsidR="002A28A8">
        <w:rPr>
          <w:sz w:val="22"/>
          <w:szCs w:val="22"/>
        </w:rPr>
        <w:t xml:space="preserve">the </w:t>
      </w:r>
      <w:proofErr w:type="spellStart"/>
      <w:r w:rsidR="002A28A8">
        <w:rPr>
          <w:sz w:val="22"/>
          <w:szCs w:val="22"/>
        </w:rPr>
        <w:t>CCR</w:t>
      </w:r>
      <w:proofErr w:type="spellEnd"/>
      <w:r w:rsidR="002A28A8">
        <w:rPr>
          <w:sz w:val="22"/>
          <w:szCs w:val="22"/>
        </w:rPr>
        <w:t xml:space="preserve"> can only be paid if the family has applied for the </w:t>
      </w:r>
      <w:proofErr w:type="spellStart"/>
      <w:r w:rsidR="002A28A8">
        <w:rPr>
          <w:sz w:val="22"/>
          <w:szCs w:val="22"/>
        </w:rPr>
        <w:t>CCB</w:t>
      </w:r>
      <w:proofErr w:type="spellEnd"/>
      <w:r w:rsidR="002A28A8">
        <w:rPr>
          <w:sz w:val="22"/>
          <w:szCs w:val="22"/>
        </w:rPr>
        <w:t>, in which case payment occurs automatically.</w:t>
      </w:r>
    </w:p>
    <w:p w:rsidR="00DE63FF" w:rsidRDefault="00DE63FF" w:rsidP="00ED14AD">
      <w:pPr>
        <w:spacing w:after="0" w:line="240" w:lineRule="auto"/>
        <w:jc w:val="both"/>
        <w:rPr>
          <w:sz w:val="22"/>
          <w:szCs w:val="22"/>
        </w:rPr>
      </w:pPr>
    </w:p>
    <w:p w:rsidR="00DF0890" w:rsidRPr="00BE17ED" w:rsidRDefault="00DF0890" w:rsidP="00DF0890">
      <w:pPr>
        <w:spacing w:after="0" w:line="240" w:lineRule="auto"/>
        <w:jc w:val="both"/>
        <w:rPr>
          <w:i/>
          <w:color w:val="1F497D" w:themeColor="text2"/>
          <w:sz w:val="22"/>
        </w:rPr>
      </w:pPr>
      <w:r w:rsidRPr="00BE17ED">
        <w:rPr>
          <w:i/>
          <w:color w:val="1F497D" w:themeColor="text2"/>
          <w:sz w:val="22"/>
        </w:rPr>
        <w:t>Primary carers have little incentive to resume work</w:t>
      </w:r>
    </w:p>
    <w:p w:rsidR="00DF0890" w:rsidRDefault="00DF0890" w:rsidP="00DF0890">
      <w:pPr>
        <w:spacing w:after="0" w:line="240" w:lineRule="auto"/>
        <w:jc w:val="both"/>
        <w:rPr>
          <w:sz w:val="22"/>
        </w:rPr>
      </w:pPr>
    </w:p>
    <w:p w:rsidR="00DF0890" w:rsidRDefault="00DF0890" w:rsidP="00DF0890">
      <w:pPr>
        <w:spacing w:after="0" w:line="240" w:lineRule="auto"/>
        <w:jc w:val="both"/>
        <w:rPr>
          <w:sz w:val="22"/>
        </w:rPr>
      </w:pPr>
      <w:r>
        <w:rPr>
          <w:sz w:val="22"/>
        </w:rPr>
        <w:t xml:space="preserve">The disconnect between the transfer system and the tax system in relation to childcare support results in primary carers of young children having little incentive to return to work. </w:t>
      </w:r>
    </w:p>
    <w:p w:rsidR="00DF0890" w:rsidRDefault="00DF0890" w:rsidP="00DF0890">
      <w:pPr>
        <w:spacing w:after="0" w:line="240" w:lineRule="auto"/>
        <w:jc w:val="both"/>
        <w:rPr>
          <w:sz w:val="22"/>
        </w:rPr>
      </w:pPr>
    </w:p>
    <w:p w:rsidR="00DF0890" w:rsidRDefault="00DF0890" w:rsidP="00DF0890">
      <w:pPr>
        <w:spacing w:after="0" w:line="240" w:lineRule="auto"/>
        <w:jc w:val="both"/>
        <w:rPr>
          <w:sz w:val="22"/>
        </w:rPr>
      </w:pPr>
      <w:r>
        <w:rPr>
          <w:sz w:val="22"/>
        </w:rPr>
        <w:t>Analysis by PwC for the purposes of this submission demonstrates that a couple deriving Average Weekly Ordinary Time Earnings incurs incrementally less gains in disposable income for every extra half day worked by the primary care giver and increased effective tax rates up to 68.24%, as per the following table:</w:t>
      </w:r>
    </w:p>
    <w:p w:rsidR="00DF0890" w:rsidRDefault="00DF0890" w:rsidP="00DF0890">
      <w:pPr>
        <w:spacing w:after="0" w:line="240" w:lineRule="auto"/>
        <w:jc w:val="both"/>
        <w:rPr>
          <w:sz w:val="22"/>
        </w:rPr>
      </w:pPr>
    </w:p>
    <w:p w:rsidR="00DF0890" w:rsidRDefault="00DF0890">
      <w:pPr>
        <w:spacing w:after="200" w:line="276" w:lineRule="auto"/>
        <w:rPr>
          <w:sz w:val="22"/>
        </w:rPr>
      </w:pPr>
      <w:r>
        <w:rPr>
          <w:sz w:val="22"/>
        </w:rPr>
        <w:br w:type="page"/>
      </w:r>
    </w:p>
    <w:p w:rsidR="00544666" w:rsidRDefault="00544666" w:rsidP="00544666">
      <w:pPr>
        <w:spacing w:after="0" w:line="240" w:lineRule="auto"/>
        <w:jc w:val="center"/>
        <w:rPr>
          <w:b/>
          <w:color w:val="800000"/>
          <w:sz w:val="20"/>
          <w:szCs w:val="20"/>
        </w:rPr>
      </w:pPr>
      <w:r w:rsidRPr="00544666">
        <w:rPr>
          <w:b/>
          <w:color w:val="800000"/>
          <w:sz w:val="20"/>
          <w:szCs w:val="20"/>
        </w:rPr>
        <w:lastRenderedPageBreak/>
        <w:t xml:space="preserve">Effective tax rates for couple earning </w:t>
      </w:r>
      <w:proofErr w:type="spellStart"/>
      <w:r w:rsidRPr="00544666">
        <w:rPr>
          <w:b/>
          <w:color w:val="800000"/>
          <w:sz w:val="20"/>
          <w:szCs w:val="20"/>
        </w:rPr>
        <w:t>AWOTE</w:t>
      </w:r>
      <w:proofErr w:type="spellEnd"/>
    </w:p>
    <w:p w:rsidR="0027631E" w:rsidRPr="00544666" w:rsidRDefault="0027631E" w:rsidP="00544666">
      <w:pPr>
        <w:spacing w:after="0" w:line="240" w:lineRule="auto"/>
        <w:jc w:val="center"/>
        <w:rPr>
          <w:sz w:val="20"/>
          <w:szCs w:val="20"/>
        </w:rPr>
      </w:pPr>
    </w:p>
    <w:p w:rsidR="00520F8D" w:rsidRDefault="00455847" w:rsidP="00544666">
      <w:pPr>
        <w:spacing w:after="0" w:line="240" w:lineRule="auto"/>
        <w:jc w:val="center"/>
        <w:rPr>
          <w:sz w:val="22"/>
        </w:rPr>
      </w:pPr>
      <w:r w:rsidRPr="00455847">
        <w:rPr>
          <w:noProof/>
          <w:lang w:eastAsia="en-AU"/>
        </w:rPr>
        <w:drawing>
          <wp:inline distT="0" distB="0" distL="0" distR="0">
            <wp:extent cx="3800475" cy="3052445"/>
            <wp:effectExtent l="19050" t="19050" r="28575" b="1460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t="1978" r="1437" b="1978"/>
                    <a:stretch>
                      <a:fillRect/>
                    </a:stretch>
                  </pic:blipFill>
                  <pic:spPr bwMode="auto">
                    <a:xfrm>
                      <a:off x="0" y="0"/>
                      <a:ext cx="3800475" cy="3052445"/>
                    </a:xfrm>
                    <a:prstGeom prst="rect">
                      <a:avLst/>
                    </a:prstGeom>
                    <a:noFill/>
                    <a:ln w="12700">
                      <a:solidFill>
                        <a:schemeClr val="tx1"/>
                      </a:solidFill>
                      <a:miter lim="800000"/>
                      <a:headEnd/>
                      <a:tailEnd/>
                    </a:ln>
                  </pic:spPr>
                </pic:pic>
              </a:graphicData>
            </a:graphic>
          </wp:inline>
        </w:drawing>
      </w:r>
    </w:p>
    <w:p w:rsidR="00DF0890" w:rsidRDefault="00DF0890" w:rsidP="00DF0890">
      <w:pPr>
        <w:spacing w:after="0" w:line="240" w:lineRule="auto"/>
        <w:jc w:val="both"/>
        <w:rPr>
          <w:sz w:val="22"/>
        </w:rPr>
      </w:pPr>
    </w:p>
    <w:p w:rsidR="00AE0D7A" w:rsidRDefault="00AE0D7A" w:rsidP="00DF0890">
      <w:pPr>
        <w:spacing w:after="0" w:line="240" w:lineRule="auto"/>
        <w:jc w:val="both"/>
        <w:rPr>
          <w:sz w:val="22"/>
        </w:rPr>
      </w:pPr>
    </w:p>
    <w:p w:rsidR="00DF0890" w:rsidRDefault="00DF0890" w:rsidP="00DF0890">
      <w:pPr>
        <w:spacing w:after="0" w:line="240" w:lineRule="auto"/>
        <w:jc w:val="both"/>
        <w:rPr>
          <w:sz w:val="22"/>
        </w:rPr>
      </w:pPr>
      <w:r>
        <w:rPr>
          <w:sz w:val="22"/>
        </w:rPr>
        <w:t xml:space="preserve">Those financial outcomes for parents deciding to return to work are derived from the resulting loss of </w:t>
      </w:r>
      <w:proofErr w:type="spellStart"/>
      <w:r>
        <w:rPr>
          <w:sz w:val="22"/>
        </w:rPr>
        <w:t>CCB</w:t>
      </w:r>
      <w:proofErr w:type="spellEnd"/>
      <w:r>
        <w:rPr>
          <w:sz w:val="22"/>
        </w:rPr>
        <w:t xml:space="preserve"> and </w:t>
      </w:r>
      <w:proofErr w:type="spellStart"/>
      <w:r>
        <w:rPr>
          <w:sz w:val="22"/>
        </w:rPr>
        <w:t>CCR</w:t>
      </w:r>
      <w:proofErr w:type="spellEnd"/>
      <w:r>
        <w:rPr>
          <w:sz w:val="22"/>
        </w:rPr>
        <w:t xml:space="preserve"> entitlements combined with the marginal tax rates applying to the extra income derived, and the increase in childcare costs for each extra half-day worked.</w:t>
      </w:r>
    </w:p>
    <w:p w:rsidR="00DF0890" w:rsidRDefault="00DF0890" w:rsidP="00ED14AD">
      <w:pPr>
        <w:spacing w:after="0" w:line="240" w:lineRule="auto"/>
        <w:jc w:val="both"/>
        <w:rPr>
          <w:sz w:val="22"/>
          <w:szCs w:val="22"/>
        </w:rPr>
      </w:pPr>
    </w:p>
    <w:p w:rsidR="00DE63FF" w:rsidRPr="00DE63FF" w:rsidRDefault="00DE63FF" w:rsidP="00ED14AD">
      <w:pPr>
        <w:spacing w:after="0" w:line="240" w:lineRule="auto"/>
        <w:jc w:val="both"/>
        <w:rPr>
          <w:i/>
          <w:color w:val="1F497D" w:themeColor="text2"/>
          <w:sz w:val="22"/>
          <w:szCs w:val="22"/>
        </w:rPr>
      </w:pPr>
      <w:r w:rsidRPr="00DE63FF">
        <w:rPr>
          <w:i/>
          <w:color w:val="1F497D" w:themeColor="text2"/>
          <w:sz w:val="22"/>
          <w:szCs w:val="22"/>
        </w:rPr>
        <w:t xml:space="preserve">The </w:t>
      </w:r>
      <w:proofErr w:type="spellStart"/>
      <w:r w:rsidRPr="00DE63FF">
        <w:rPr>
          <w:i/>
          <w:color w:val="1F497D" w:themeColor="text2"/>
          <w:sz w:val="22"/>
          <w:szCs w:val="22"/>
        </w:rPr>
        <w:t>CCR</w:t>
      </w:r>
      <w:proofErr w:type="spellEnd"/>
      <w:r w:rsidRPr="00DE63FF">
        <w:rPr>
          <w:i/>
          <w:color w:val="1F497D" w:themeColor="text2"/>
          <w:sz w:val="22"/>
          <w:szCs w:val="22"/>
        </w:rPr>
        <w:t xml:space="preserve"> and the cost of childcare</w:t>
      </w:r>
    </w:p>
    <w:p w:rsidR="00DE63FF" w:rsidRDefault="00DE63FF" w:rsidP="00ED14AD">
      <w:pPr>
        <w:spacing w:after="0" w:line="240" w:lineRule="auto"/>
        <w:jc w:val="both"/>
        <w:rPr>
          <w:sz w:val="22"/>
          <w:szCs w:val="22"/>
        </w:rPr>
      </w:pPr>
    </w:p>
    <w:p w:rsidR="00BE312B" w:rsidRDefault="00DE63FF" w:rsidP="00ED14AD">
      <w:pPr>
        <w:spacing w:after="0" w:line="240" w:lineRule="auto"/>
        <w:jc w:val="both"/>
        <w:rPr>
          <w:sz w:val="22"/>
          <w:szCs w:val="22"/>
        </w:rPr>
      </w:pPr>
      <w:r>
        <w:rPr>
          <w:sz w:val="22"/>
          <w:szCs w:val="22"/>
        </w:rPr>
        <w:t xml:space="preserve">According to the analysis performed by PwC for this submission, childcare fees have recently been growing “significantly faster” than inflation or even average wages, as shown in the following </w:t>
      </w:r>
      <w:r w:rsidR="00BE312B">
        <w:rPr>
          <w:sz w:val="22"/>
          <w:szCs w:val="22"/>
        </w:rPr>
        <w:t>graph:</w:t>
      </w:r>
    </w:p>
    <w:p w:rsidR="00373A30" w:rsidRDefault="00373A30" w:rsidP="00ED14AD">
      <w:pPr>
        <w:spacing w:after="0" w:line="240" w:lineRule="auto"/>
        <w:jc w:val="both"/>
        <w:rPr>
          <w:sz w:val="22"/>
          <w:szCs w:val="22"/>
        </w:rPr>
      </w:pPr>
    </w:p>
    <w:p w:rsidR="00532145" w:rsidRPr="00D71F36" w:rsidRDefault="00532145" w:rsidP="002B127B">
      <w:pPr>
        <w:spacing w:after="0" w:line="240" w:lineRule="auto"/>
        <w:jc w:val="center"/>
        <w:rPr>
          <w:b/>
          <w:color w:val="800000"/>
          <w:sz w:val="20"/>
          <w:szCs w:val="20"/>
        </w:rPr>
      </w:pPr>
      <w:r w:rsidRPr="00D71F36">
        <w:rPr>
          <w:b/>
          <w:color w:val="800000"/>
          <w:sz w:val="20"/>
          <w:szCs w:val="20"/>
        </w:rPr>
        <w:t xml:space="preserve">Average and annual percentage change to long day care hourly fees, </w:t>
      </w:r>
    </w:p>
    <w:p w:rsidR="00C86428" w:rsidRPr="00D71F36" w:rsidRDefault="00532145" w:rsidP="002B127B">
      <w:pPr>
        <w:spacing w:after="0" w:line="240" w:lineRule="auto"/>
        <w:jc w:val="center"/>
        <w:rPr>
          <w:b/>
          <w:color w:val="800000"/>
          <w:sz w:val="20"/>
          <w:szCs w:val="20"/>
        </w:rPr>
      </w:pPr>
      <w:r w:rsidRPr="00D71F36">
        <w:rPr>
          <w:b/>
          <w:color w:val="800000"/>
          <w:sz w:val="20"/>
          <w:szCs w:val="20"/>
        </w:rPr>
        <w:t>September quarter 2004 to September quarter 2012</w:t>
      </w:r>
    </w:p>
    <w:p w:rsidR="002B74D7" w:rsidRDefault="006E16E0" w:rsidP="006E16E0">
      <w:pPr>
        <w:spacing w:after="0" w:line="240" w:lineRule="auto"/>
        <w:jc w:val="center"/>
        <w:rPr>
          <w:sz w:val="22"/>
          <w:szCs w:val="22"/>
        </w:rPr>
      </w:pPr>
      <w:r w:rsidRPr="006E16E0">
        <w:rPr>
          <w:noProof/>
          <w:szCs w:val="22"/>
          <w:lang w:eastAsia="en-AU"/>
        </w:rPr>
        <w:drawing>
          <wp:inline distT="0" distB="0" distL="0" distR="0">
            <wp:extent cx="4833069" cy="2717320"/>
            <wp:effectExtent l="19050" t="19050" r="24681" b="258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l="9405" t="9860" r="7734" b="1401"/>
                    <a:stretch>
                      <a:fillRect/>
                    </a:stretch>
                  </pic:blipFill>
                  <pic:spPr bwMode="auto">
                    <a:xfrm>
                      <a:off x="0" y="0"/>
                      <a:ext cx="4833069" cy="2717320"/>
                    </a:xfrm>
                    <a:prstGeom prst="rect">
                      <a:avLst/>
                    </a:prstGeom>
                    <a:solidFill>
                      <a:srgbClr val="800000"/>
                    </a:solidFill>
                    <a:ln w="12700">
                      <a:solidFill>
                        <a:srgbClr val="800000"/>
                      </a:solidFill>
                      <a:miter lim="800000"/>
                      <a:headEnd/>
                      <a:tailEnd/>
                    </a:ln>
                  </pic:spPr>
                </pic:pic>
              </a:graphicData>
            </a:graphic>
          </wp:inline>
        </w:drawing>
      </w:r>
    </w:p>
    <w:p w:rsidR="00181676" w:rsidRDefault="00181676" w:rsidP="00ED14AD">
      <w:pPr>
        <w:spacing w:after="0" w:line="240" w:lineRule="auto"/>
        <w:jc w:val="both"/>
        <w:rPr>
          <w:sz w:val="22"/>
          <w:szCs w:val="22"/>
        </w:rPr>
      </w:pPr>
    </w:p>
    <w:p w:rsidR="00532145" w:rsidRDefault="00DE63FF" w:rsidP="00ED14AD">
      <w:pPr>
        <w:spacing w:after="0" w:line="240" w:lineRule="auto"/>
        <w:jc w:val="both"/>
        <w:rPr>
          <w:sz w:val="22"/>
          <w:szCs w:val="22"/>
        </w:rPr>
      </w:pPr>
      <w:r>
        <w:rPr>
          <w:sz w:val="22"/>
          <w:szCs w:val="22"/>
        </w:rPr>
        <w:lastRenderedPageBreak/>
        <w:t>PwC has attributed some of</w:t>
      </w:r>
      <w:r w:rsidR="00BE312B">
        <w:rPr>
          <w:sz w:val="22"/>
          <w:szCs w:val="22"/>
        </w:rPr>
        <w:t xml:space="preserve"> the cause of this spike in pric</w:t>
      </w:r>
      <w:r>
        <w:rPr>
          <w:sz w:val="22"/>
          <w:szCs w:val="22"/>
        </w:rPr>
        <w:t xml:space="preserve">e growth to the increase in the rate of the </w:t>
      </w:r>
      <w:proofErr w:type="spellStart"/>
      <w:r>
        <w:rPr>
          <w:sz w:val="22"/>
          <w:szCs w:val="22"/>
        </w:rPr>
        <w:t>CCR</w:t>
      </w:r>
      <w:proofErr w:type="spellEnd"/>
      <w:r>
        <w:rPr>
          <w:sz w:val="22"/>
          <w:szCs w:val="22"/>
        </w:rPr>
        <w:t xml:space="preserve"> from 30% to 50% in 2008</w:t>
      </w:r>
      <w:r w:rsidR="00BE312B">
        <w:rPr>
          <w:sz w:val="22"/>
          <w:szCs w:val="22"/>
        </w:rPr>
        <w:t>, along with the proportional rise in the cap on the entitlement.</w:t>
      </w:r>
      <w:r w:rsidR="007075BE">
        <w:rPr>
          <w:sz w:val="22"/>
          <w:szCs w:val="22"/>
        </w:rPr>
        <w:t xml:space="preserve"> </w:t>
      </w:r>
    </w:p>
    <w:p w:rsidR="00532145" w:rsidRDefault="00532145" w:rsidP="00ED14AD">
      <w:pPr>
        <w:spacing w:after="0" w:line="240" w:lineRule="auto"/>
        <w:jc w:val="both"/>
        <w:rPr>
          <w:sz w:val="22"/>
          <w:szCs w:val="22"/>
        </w:rPr>
      </w:pPr>
    </w:p>
    <w:p w:rsidR="00DE63FF" w:rsidRDefault="007075BE" w:rsidP="00ED14AD">
      <w:pPr>
        <w:spacing w:after="0" w:line="240" w:lineRule="auto"/>
        <w:jc w:val="both"/>
        <w:rPr>
          <w:sz w:val="22"/>
          <w:szCs w:val="22"/>
        </w:rPr>
      </w:pPr>
      <w:r>
        <w:rPr>
          <w:sz w:val="22"/>
          <w:szCs w:val="22"/>
        </w:rPr>
        <w:t>The unfortunate cost outcome of this effect is that, again according to PwC’s analysis:</w:t>
      </w:r>
    </w:p>
    <w:p w:rsidR="007075BE" w:rsidRDefault="007075BE" w:rsidP="00ED14AD">
      <w:pPr>
        <w:spacing w:after="0" w:line="240" w:lineRule="auto"/>
        <w:jc w:val="both"/>
        <w:rPr>
          <w:sz w:val="22"/>
          <w:szCs w:val="22"/>
        </w:rPr>
      </w:pPr>
    </w:p>
    <w:p w:rsidR="007075BE" w:rsidRDefault="007075BE" w:rsidP="0056102C">
      <w:pPr>
        <w:spacing w:after="0" w:line="240" w:lineRule="auto"/>
        <w:ind w:left="720"/>
        <w:jc w:val="both"/>
        <w:rPr>
          <w:sz w:val="22"/>
          <w:szCs w:val="22"/>
        </w:rPr>
      </w:pPr>
      <w:r>
        <w:rPr>
          <w:sz w:val="22"/>
          <w:szCs w:val="22"/>
        </w:rPr>
        <w:t>“Families receiving a nil rate of [</w:t>
      </w:r>
      <w:proofErr w:type="spellStart"/>
      <w:r>
        <w:rPr>
          <w:sz w:val="22"/>
          <w:szCs w:val="22"/>
        </w:rPr>
        <w:t>CCB</w:t>
      </w:r>
      <w:proofErr w:type="spellEnd"/>
      <w:r>
        <w:rPr>
          <w:sz w:val="22"/>
          <w:szCs w:val="22"/>
        </w:rPr>
        <w:t>] and paying the average child care price in certain jurisdictions, such as NSW and the ACT, will have reached their maximum entitlement of [</w:t>
      </w:r>
      <w:proofErr w:type="spellStart"/>
      <w:r>
        <w:rPr>
          <w:sz w:val="22"/>
          <w:szCs w:val="22"/>
        </w:rPr>
        <w:t>CCR</w:t>
      </w:r>
      <w:proofErr w:type="spellEnd"/>
      <w:r>
        <w:rPr>
          <w:sz w:val="22"/>
          <w:szCs w:val="22"/>
        </w:rPr>
        <w:t>] when utilising only four days of care per week. This means that certain families would not be eligible for any additional child care assistance if they were to increase their workforce participation (and subsequent childcare needs) from four to five days per week.”</w:t>
      </w:r>
    </w:p>
    <w:p w:rsidR="00F261A5" w:rsidRDefault="00F261A5" w:rsidP="00A23D23">
      <w:pPr>
        <w:spacing w:after="0" w:line="240" w:lineRule="auto"/>
        <w:jc w:val="both"/>
        <w:rPr>
          <w:sz w:val="22"/>
        </w:rPr>
      </w:pPr>
    </w:p>
    <w:p w:rsidR="0056102C" w:rsidRDefault="0056102C" w:rsidP="00A23D23">
      <w:pPr>
        <w:spacing w:after="0" w:line="240" w:lineRule="auto"/>
        <w:jc w:val="both"/>
        <w:rPr>
          <w:sz w:val="22"/>
        </w:rPr>
      </w:pPr>
      <w:r>
        <w:rPr>
          <w:sz w:val="22"/>
        </w:rPr>
        <w:t xml:space="preserve">Of course, those families paying </w:t>
      </w:r>
      <w:r w:rsidRPr="0056102C">
        <w:rPr>
          <w:i/>
          <w:sz w:val="22"/>
        </w:rPr>
        <w:t>more</w:t>
      </w:r>
      <w:r>
        <w:rPr>
          <w:sz w:val="22"/>
        </w:rPr>
        <w:t xml:space="preserve"> than the average child care price reach their maximum </w:t>
      </w:r>
      <w:proofErr w:type="spellStart"/>
      <w:r>
        <w:rPr>
          <w:sz w:val="22"/>
        </w:rPr>
        <w:t>CCR</w:t>
      </w:r>
      <w:proofErr w:type="spellEnd"/>
      <w:r>
        <w:rPr>
          <w:sz w:val="22"/>
        </w:rPr>
        <w:t xml:space="preserve"> entitlement </w:t>
      </w:r>
      <w:r w:rsidRPr="0056102C">
        <w:rPr>
          <w:i/>
          <w:sz w:val="22"/>
        </w:rPr>
        <w:t>before</w:t>
      </w:r>
      <w:r>
        <w:rPr>
          <w:sz w:val="22"/>
        </w:rPr>
        <w:t xml:space="preserve"> four days per week.</w:t>
      </w:r>
    </w:p>
    <w:p w:rsidR="0056102C" w:rsidRDefault="0056102C" w:rsidP="00A23D23">
      <w:pPr>
        <w:spacing w:after="0" w:line="240" w:lineRule="auto"/>
        <w:jc w:val="both"/>
        <w:rPr>
          <w:sz w:val="22"/>
        </w:rPr>
      </w:pPr>
    </w:p>
    <w:p w:rsidR="00F33913" w:rsidRPr="0022172D" w:rsidRDefault="00F33913" w:rsidP="00F33913">
      <w:pPr>
        <w:spacing w:after="0" w:line="240" w:lineRule="auto"/>
        <w:jc w:val="both"/>
        <w:rPr>
          <w:b/>
          <w:i/>
          <w:color w:val="1F497D" w:themeColor="text2"/>
          <w:sz w:val="24"/>
        </w:rPr>
      </w:pPr>
      <w:proofErr w:type="spellStart"/>
      <w:r w:rsidRPr="0022172D">
        <w:rPr>
          <w:b/>
          <w:i/>
          <w:color w:val="1F497D" w:themeColor="text2"/>
          <w:sz w:val="24"/>
        </w:rPr>
        <w:t>FBT</w:t>
      </w:r>
      <w:proofErr w:type="spellEnd"/>
      <w:r w:rsidRPr="0022172D">
        <w:rPr>
          <w:b/>
          <w:i/>
          <w:color w:val="1F497D" w:themeColor="text2"/>
          <w:sz w:val="24"/>
        </w:rPr>
        <w:t>-exempt childcare benefits</w:t>
      </w:r>
    </w:p>
    <w:p w:rsidR="00F33913" w:rsidRDefault="00F33913" w:rsidP="00F33913">
      <w:pPr>
        <w:spacing w:after="0" w:line="240" w:lineRule="auto"/>
        <w:jc w:val="both"/>
        <w:rPr>
          <w:sz w:val="22"/>
        </w:rPr>
      </w:pPr>
    </w:p>
    <w:p w:rsidR="00F33913" w:rsidRDefault="00373F2E" w:rsidP="00F33913">
      <w:pPr>
        <w:spacing w:after="0" w:line="240" w:lineRule="auto"/>
        <w:jc w:val="both"/>
        <w:rPr>
          <w:sz w:val="22"/>
        </w:rPr>
      </w:pPr>
      <w:r>
        <w:rPr>
          <w:sz w:val="22"/>
        </w:rPr>
        <w:t xml:space="preserve">There are </w:t>
      </w:r>
      <w:r w:rsidR="00F33913">
        <w:rPr>
          <w:sz w:val="22"/>
        </w:rPr>
        <w:t xml:space="preserve">two </w:t>
      </w:r>
      <w:r>
        <w:rPr>
          <w:sz w:val="22"/>
        </w:rPr>
        <w:t xml:space="preserve">separate </w:t>
      </w:r>
      <w:r w:rsidR="00F33913">
        <w:rPr>
          <w:sz w:val="22"/>
        </w:rPr>
        <w:t xml:space="preserve">statutory exemptions from </w:t>
      </w:r>
      <w:proofErr w:type="spellStart"/>
      <w:r w:rsidR="00F33913">
        <w:rPr>
          <w:sz w:val="22"/>
        </w:rPr>
        <w:t>FBT</w:t>
      </w:r>
      <w:proofErr w:type="spellEnd"/>
      <w:r w:rsidR="00F33913">
        <w:rPr>
          <w:sz w:val="22"/>
        </w:rPr>
        <w:t xml:space="preserve"> for benefits provided to employees by their employers that are related to childcare, subs 47(2) </w:t>
      </w:r>
      <w:r>
        <w:rPr>
          <w:sz w:val="22"/>
        </w:rPr>
        <w:t xml:space="preserve">and subs 47(8) </w:t>
      </w:r>
      <w:r w:rsidR="00F33913">
        <w:rPr>
          <w:sz w:val="22"/>
        </w:rPr>
        <w:t xml:space="preserve">of the </w:t>
      </w:r>
      <w:proofErr w:type="spellStart"/>
      <w:r w:rsidR="00F33913">
        <w:rPr>
          <w:sz w:val="22"/>
        </w:rPr>
        <w:t>FBT</w:t>
      </w:r>
      <w:proofErr w:type="spellEnd"/>
      <w:r w:rsidR="00F33913">
        <w:rPr>
          <w:sz w:val="22"/>
        </w:rPr>
        <w:t xml:space="preserve"> Act. Both exemptions have major practical issues for employers which are discussed below.</w:t>
      </w:r>
    </w:p>
    <w:p w:rsidR="00F33913" w:rsidRDefault="00F33913" w:rsidP="00F33913">
      <w:pPr>
        <w:spacing w:after="0" w:line="240" w:lineRule="auto"/>
        <w:jc w:val="both"/>
        <w:rPr>
          <w:sz w:val="22"/>
        </w:rPr>
      </w:pPr>
    </w:p>
    <w:p w:rsidR="00F33913" w:rsidRPr="000119E4" w:rsidRDefault="00F33913" w:rsidP="00F33913">
      <w:pPr>
        <w:spacing w:after="0" w:line="240" w:lineRule="auto"/>
        <w:jc w:val="both"/>
        <w:rPr>
          <w:b/>
          <w:i/>
          <w:color w:val="1F497D" w:themeColor="text2"/>
          <w:sz w:val="22"/>
        </w:rPr>
      </w:pPr>
      <w:r w:rsidRPr="000119E4">
        <w:rPr>
          <w:b/>
          <w:i/>
          <w:color w:val="1F497D" w:themeColor="text2"/>
          <w:sz w:val="22"/>
        </w:rPr>
        <w:t>Subsection 47(2) – provision of childcare facility</w:t>
      </w:r>
    </w:p>
    <w:p w:rsidR="00F33913" w:rsidRDefault="00F33913" w:rsidP="00F33913">
      <w:pPr>
        <w:spacing w:after="0" w:line="240" w:lineRule="auto"/>
        <w:jc w:val="both"/>
        <w:rPr>
          <w:sz w:val="22"/>
        </w:rPr>
      </w:pPr>
    </w:p>
    <w:p w:rsidR="00F33913" w:rsidRDefault="00A723BF" w:rsidP="00F33913">
      <w:pPr>
        <w:spacing w:after="0" w:line="240" w:lineRule="auto"/>
        <w:jc w:val="both"/>
        <w:rPr>
          <w:sz w:val="22"/>
        </w:rPr>
      </w:pPr>
      <w:r>
        <w:rPr>
          <w:sz w:val="22"/>
        </w:rPr>
        <w:t xml:space="preserve">The broad purpose of subs 47(2) is to exempt from </w:t>
      </w:r>
      <w:proofErr w:type="spellStart"/>
      <w:r>
        <w:rPr>
          <w:sz w:val="22"/>
        </w:rPr>
        <w:t>FBT</w:t>
      </w:r>
      <w:proofErr w:type="spellEnd"/>
      <w:r>
        <w:rPr>
          <w:sz w:val="22"/>
        </w:rPr>
        <w:t xml:space="preserve"> childcare facilities provided by employers for employees. </w:t>
      </w:r>
      <w:r w:rsidR="00F33913">
        <w:rPr>
          <w:sz w:val="22"/>
        </w:rPr>
        <w:t xml:space="preserve">The overriding practical requirement of </w:t>
      </w:r>
      <w:proofErr w:type="spellStart"/>
      <w:r w:rsidR="00F33913">
        <w:rPr>
          <w:sz w:val="22"/>
        </w:rPr>
        <w:t>FBT</w:t>
      </w:r>
      <w:proofErr w:type="spellEnd"/>
      <w:r w:rsidR="00F33913">
        <w:rPr>
          <w:sz w:val="22"/>
        </w:rPr>
        <w:t xml:space="preserve"> exemption employer-provided childcare is that the facility must be “located on the business premises of the employer”.</w:t>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 xml:space="preserve">That requirement has led to the perception that employers providing “off-site” childcare facilities are not entitled to the </w:t>
      </w:r>
      <w:proofErr w:type="spellStart"/>
      <w:r>
        <w:rPr>
          <w:sz w:val="22"/>
        </w:rPr>
        <w:t>FBT</w:t>
      </w:r>
      <w:proofErr w:type="spellEnd"/>
      <w:r>
        <w:rPr>
          <w:sz w:val="22"/>
        </w:rPr>
        <w:t xml:space="preserve"> exemption. It is our understanding that some employers have decided not to provide “off-site” childcare facilities for this reason. In turn, we note that several submissions to the Inquiry have recommended that subs 47(2) be amended to allow “off-site” childcare facilities to be exempt from </w:t>
      </w:r>
      <w:proofErr w:type="spellStart"/>
      <w:r>
        <w:rPr>
          <w:sz w:val="22"/>
        </w:rPr>
        <w:t>FBT</w:t>
      </w:r>
      <w:proofErr w:type="spellEnd"/>
      <w:r>
        <w:rPr>
          <w:sz w:val="22"/>
        </w:rPr>
        <w:t xml:space="preserve"> as a means of encouraging more employers to provide more childcare support to employees.</w:t>
      </w:r>
      <w:r>
        <w:rPr>
          <w:rStyle w:val="FootnoteReference"/>
        </w:rPr>
        <w:footnoteReference w:id="14"/>
      </w:r>
      <w:r>
        <w:rPr>
          <w:sz w:val="22"/>
        </w:rPr>
        <w:t xml:space="preserve"> </w:t>
      </w:r>
      <w:proofErr w:type="spellStart"/>
      <w:r>
        <w:rPr>
          <w:sz w:val="22"/>
        </w:rPr>
        <w:t>MMSG</w:t>
      </w:r>
      <w:proofErr w:type="spellEnd"/>
      <w:r>
        <w:rPr>
          <w:sz w:val="22"/>
        </w:rPr>
        <w:t xml:space="preserve"> also notes that allowing </w:t>
      </w:r>
      <w:proofErr w:type="spellStart"/>
      <w:r>
        <w:rPr>
          <w:sz w:val="22"/>
        </w:rPr>
        <w:t>FBT</w:t>
      </w:r>
      <w:proofErr w:type="spellEnd"/>
      <w:r>
        <w:rPr>
          <w:sz w:val="22"/>
        </w:rPr>
        <w:t>-exempt off-site childcare facilities has the support of the Federal Government.</w:t>
      </w:r>
      <w:r>
        <w:rPr>
          <w:rStyle w:val="FootnoteReference"/>
        </w:rPr>
        <w:footnoteReference w:id="15"/>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lastRenderedPageBreak/>
        <w:t xml:space="preserve">However, we believe it is unnecessary for the Inquiry to examine extending subs 47(2) to allow “off-site” childcare facilities. </w:t>
      </w:r>
      <w:r w:rsidRPr="00622669">
        <w:rPr>
          <w:i/>
          <w:sz w:val="22"/>
        </w:rPr>
        <w:t>This is because such facilities have always been exempt</w:t>
      </w:r>
      <w:r>
        <w:rPr>
          <w:i/>
          <w:sz w:val="22"/>
        </w:rPr>
        <w:t xml:space="preserve"> from </w:t>
      </w:r>
      <w:proofErr w:type="spellStart"/>
      <w:r>
        <w:rPr>
          <w:i/>
          <w:sz w:val="22"/>
        </w:rPr>
        <w:t>FBT</w:t>
      </w:r>
      <w:proofErr w:type="spellEnd"/>
      <w:r>
        <w:rPr>
          <w:i/>
          <w:sz w:val="22"/>
        </w:rPr>
        <w:t xml:space="preserve"> under subs 47(2)</w:t>
      </w:r>
      <w:r w:rsidRPr="00622669">
        <w:rPr>
          <w:i/>
          <w:sz w:val="22"/>
        </w:rPr>
        <w:t>.</w:t>
      </w:r>
      <w:r>
        <w:rPr>
          <w:i/>
          <w:sz w:val="22"/>
        </w:rPr>
        <w:t xml:space="preserve"> </w:t>
      </w:r>
    </w:p>
    <w:p w:rsidR="00F33913" w:rsidRDefault="00F33913" w:rsidP="00F33913">
      <w:pPr>
        <w:spacing w:after="0" w:line="240" w:lineRule="auto"/>
        <w:jc w:val="both"/>
        <w:rPr>
          <w:sz w:val="22"/>
        </w:rPr>
      </w:pPr>
    </w:p>
    <w:p w:rsidR="00F33913" w:rsidRPr="0081591F" w:rsidRDefault="00F33913" w:rsidP="00F33913">
      <w:pPr>
        <w:spacing w:after="0" w:line="240" w:lineRule="auto"/>
        <w:jc w:val="both"/>
        <w:rPr>
          <w:sz w:val="22"/>
        </w:rPr>
      </w:pPr>
      <w:r w:rsidRPr="00622669">
        <w:rPr>
          <w:sz w:val="22"/>
        </w:rPr>
        <w:t>The Feder</w:t>
      </w:r>
      <w:r>
        <w:rPr>
          <w:sz w:val="22"/>
        </w:rPr>
        <w:t>al Court made that clear in its 1998 decision in Esso.</w:t>
      </w:r>
      <w:r>
        <w:rPr>
          <w:rStyle w:val="FootnoteReference"/>
        </w:rPr>
        <w:footnoteReference w:id="16"/>
      </w:r>
      <w:r>
        <w:rPr>
          <w:sz w:val="22"/>
        </w:rPr>
        <w:t xml:space="preserve"> Moreover, the </w:t>
      </w:r>
      <w:proofErr w:type="spellStart"/>
      <w:r>
        <w:rPr>
          <w:sz w:val="22"/>
        </w:rPr>
        <w:t>ATO</w:t>
      </w:r>
      <w:proofErr w:type="spellEnd"/>
      <w:r>
        <w:rPr>
          <w:sz w:val="22"/>
        </w:rPr>
        <w:t xml:space="preserve"> has been routinely making private rulings granting exempt status for “off-site” childcare facilities.</w:t>
      </w:r>
      <w:r>
        <w:rPr>
          <w:rStyle w:val="FootnoteReference"/>
        </w:rPr>
        <w:footnoteReference w:id="17"/>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 xml:space="preserve">We contend that the </w:t>
      </w:r>
      <w:r w:rsidRPr="003D4015">
        <w:rPr>
          <w:i/>
          <w:sz w:val="22"/>
        </w:rPr>
        <w:t>real</w:t>
      </w:r>
      <w:r>
        <w:rPr>
          <w:sz w:val="22"/>
        </w:rPr>
        <w:t xml:space="preserve"> issues with the subs 47(2) exemption is that many employers have either struggled to convince the </w:t>
      </w:r>
      <w:proofErr w:type="spellStart"/>
      <w:r>
        <w:rPr>
          <w:sz w:val="22"/>
        </w:rPr>
        <w:t>ATO</w:t>
      </w:r>
      <w:proofErr w:type="spellEnd"/>
      <w:r>
        <w:rPr>
          <w:sz w:val="22"/>
        </w:rPr>
        <w:t xml:space="preserve"> they control the childcare facility they are providing or have been unable to provide childcare facilities jointly with other employers.</w:t>
      </w:r>
    </w:p>
    <w:p w:rsidR="00F33913" w:rsidRDefault="00F33913" w:rsidP="00F33913">
      <w:pPr>
        <w:spacing w:after="0" w:line="240" w:lineRule="auto"/>
        <w:jc w:val="both"/>
        <w:rPr>
          <w:sz w:val="22"/>
        </w:rPr>
      </w:pPr>
    </w:p>
    <w:p w:rsidR="00F33913" w:rsidRPr="00CE638A" w:rsidRDefault="00F33913" w:rsidP="00F33913">
      <w:pPr>
        <w:spacing w:after="0" w:line="240" w:lineRule="auto"/>
        <w:jc w:val="both"/>
        <w:rPr>
          <w:i/>
          <w:color w:val="1F497D" w:themeColor="text2"/>
          <w:sz w:val="22"/>
        </w:rPr>
      </w:pPr>
      <w:r w:rsidRPr="00CE638A">
        <w:rPr>
          <w:i/>
          <w:color w:val="1F497D" w:themeColor="text2"/>
          <w:sz w:val="22"/>
        </w:rPr>
        <w:t>Control of childcare facilities</w:t>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 xml:space="preserve">The problem for employers in not being accepted as being in control of their childcare facility arises when a third-party professional childcare operator is engaged to manage the facility. To be granted </w:t>
      </w:r>
      <w:proofErr w:type="spellStart"/>
      <w:r>
        <w:rPr>
          <w:sz w:val="22"/>
        </w:rPr>
        <w:t>FBT</w:t>
      </w:r>
      <w:proofErr w:type="spellEnd"/>
      <w:r>
        <w:rPr>
          <w:sz w:val="22"/>
        </w:rPr>
        <w:t xml:space="preserve">-exempt status, the employer needs to ensure they comply with stringent requirements demonstrating control when establishing relevant management agreements and site rental agreements, as prescribed by the </w:t>
      </w:r>
      <w:proofErr w:type="spellStart"/>
      <w:r>
        <w:rPr>
          <w:sz w:val="22"/>
        </w:rPr>
        <w:t>ATO</w:t>
      </w:r>
      <w:proofErr w:type="spellEnd"/>
      <w:r>
        <w:rPr>
          <w:sz w:val="22"/>
        </w:rPr>
        <w:t xml:space="preserve"> in Taxation Ruling </w:t>
      </w:r>
      <w:proofErr w:type="spellStart"/>
      <w:r>
        <w:rPr>
          <w:sz w:val="22"/>
        </w:rPr>
        <w:t>TR</w:t>
      </w:r>
      <w:proofErr w:type="spellEnd"/>
      <w:r>
        <w:rPr>
          <w:sz w:val="22"/>
        </w:rPr>
        <w:t xml:space="preserve"> 2000/4, and supply to the </w:t>
      </w:r>
      <w:proofErr w:type="spellStart"/>
      <w:r>
        <w:rPr>
          <w:sz w:val="22"/>
        </w:rPr>
        <w:t>ATO</w:t>
      </w:r>
      <w:proofErr w:type="spellEnd"/>
      <w:r>
        <w:rPr>
          <w:sz w:val="22"/>
        </w:rPr>
        <w:t xml:space="preserve"> all relevant documents and contracts for the </w:t>
      </w:r>
      <w:proofErr w:type="spellStart"/>
      <w:r>
        <w:rPr>
          <w:sz w:val="22"/>
        </w:rPr>
        <w:t>ATO’s</w:t>
      </w:r>
      <w:proofErr w:type="spellEnd"/>
      <w:r>
        <w:rPr>
          <w:sz w:val="22"/>
        </w:rPr>
        <w:t xml:space="preserve"> consideration of any private ruling seeking confirmation of </w:t>
      </w:r>
      <w:proofErr w:type="spellStart"/>
      <w:r>
        <w:rPr>
          <w:sz w:val="22"/>
        </w:rPr>
        <w:t>FBT</w:t>
      </w:r>
      <w:proofErr w:type="spellEnd"/>
      <w:r>
        <w:rPr>
          <w:sz w:val="22"/>
        </w:rPr>
        <w:t xml:space="preserve"> exemption status.</w:t>
      </w:r>
      <w:r>
        <w:rPr>
          <w:rStyle w:val="FootnoteReference"/>
        </w:rPr>
        <w:footnoteReference w:id="18"/>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Regardless of whether their childcare facility is “</w:t>
      </w:r>
      <w:proofErr w:type="spellStart"/>
      <w:r>
        <w:rPr>
          <w:sz w:val="22"/>
        </w:rPr>
        <w:t>on-site</w:t>
      </w:r>
      <w:proofErr w:type="spellEnd"/>
      <w:r>
        <w:rPr>
          <w:sz w:val="22"/>
        </w:rPr>
        <w:t xml:space="preserve">” or “off-site”, many employers have failed to obtain </w:t>
      </w:r>
      <w:proofErr w:type="spellStart"/>
      <w:r>
        <w:rPr>
          <w:sz w:val="22"/>
        </w:rPr>
        <w:t>FBT</w:t>
      </w:r>
      <w:proofErr w:type="spellEnd"/>
      <w:r>
        <w:rPr>
          <w:sz w:val="22"/>
        </w:rPr>
        <w:t xml:space="preserve">-exempt status because the </w:t>
      </w:r>
      <w:proofErr w:type="spellStart"/>
      <w:r>
        <w:rPr>
          <w:sz w:val="22"/>
        </w:rPr>
        <w:t>ATO</w:t>
      </w:r>
      <w:proofErr w:type="spellEnd"/>
      <w:r>
        <w:rPr>
          <w:sz w:val="22"/>
        </w:rPr>
        <w:t xml:space="preserve"> is not convinced they control the facility.</w:t>
      </w:r>
      <w:r>
        <w:rPr>
          <w:rStyle w:val="FootnoteReference"/>
        </w:rPr>
        <w:footnoteReference w:id="19"/>
      </w:r>
    </w:p>
    <w:p w:rsidR="00F33913" w:rsidRDefault="00F33913" w:rsidP="00F33913">
      <w:pPr>
        <w:spacing w:after="0" w:line="240" w:lineRule="auto"/>
        <w:jc w:val="both"/>
        <w:rPr>
          <w:sz w:val="22"/>
        </w:rPr>
      </w:pPr>
    </w:p>
    <w:p w:rsidR="00F33913" w:rsidRPr="0035155D" w:rsidRDefault="00F33913" w:rsidP="00F33913">
      <w:pPr>
        <w:spacing w:after="0" w:line="240" w:lineRule="auto"/>
        <w:jc w:val="both"/>
        <w:rPr>
          <w:i/>
          <w:color w:val="1F497D" w:themeColor="text2"/>
          <w:sz w:val="22"/>
        </w:rPr>
      </w:pPr>
      <w:r w:rsidRPr="0035155D">
        <w:rPr>
          <w:i/>
          <w:color w:val="1F497D" w:themeColor="text2"/>
          <w:sz w:val="22"/>
        </w:rPr>
        <w:t>Joint venture childcare facilities</w:t>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 xml:space="preserve">The </w:t>
      </w:r>
      <w:r w:rsidRPr="00F20293">
        <w:rPr>
          <w:i/>
          <w:sz w:val="22"/>
        </w:rPr>
        <w:t>Esso</w:t>
      </w:r>
      <w:r>
        <w:rPr>
          <w:sz w:val="22"/>
        </w:rPr>
        <w:t xml:space="preserve"> case involved a joint venture of three arms-length employers providing a single “off-site” childcare facility. The Federal Court held that Esso was entitled to the exemption because the fact that the premises were also leased by Lend Lease and BP for the same purpose did not have the consequence that the premises were not business premises of each of the three employers.</w:t>
      </w:r>
      <w:r>
        <w:rPr>
          <w:rStyle w:val="FootnoteReference"/>
        </w:rPr>
        <w:footnoteReference w:id="20"/>
      </w:r>
    </w:p>
    <w:p w:rsidR="00F33913" w:rsidRDefault="00F33913" w:rsidP="00F33913">
      <w:pPr>
        <w:spacing w:after="0" w:line="240" w:lineRule="auto"/>
        <w:jc w:val="both"/>
        <w:rPr>
          <w:sz w:val="22"/>
        </w:rPr>
      </w:pPr>
    </w:p>
    <w:p w:rsidR="00F33913" w:rsidRPr="0039103A" w:rsidRDefault="00F33913" w:rsidP="00F33913">
      <w:pPr>
        <w:spacing w:after="0" w:line="240" w:lineRule="auto"/>
        <w:jc w:val="both"/>
        <w:rPr>
          <w:sz w:val="22"/>
        </w:rPr>
      </w:pPr>
      <w:r>
        <w:rPr>
          <w:sz w:val="22"/>
        </w:rPr>
        <w:t xml:space="preserve">However, in any instance of more than one employer joining together to provide the one childcare facility, the Court warned that </w:t>
      </w:r>
      <w:r w:rsidRPr="00DF445D">
        <w:rPr>
          <w:sz w:val="22"/>
          <w:szCs w:val="22"/>
        </w:rPr>
        <w:t xml:space="preserve">“the issue of whether premises are premises </w:t>
      </w:r>
      <w:r w:rsidRPr="00DF445D">
        <w:rPr>
          <w:i/>
          <w:iCs/>
          <w:sz w:val="22"/>
          <w:szCs w:val="22"/>
        </w:rPr>
        <w:t>of</w:t>
      </w:r>
      <w:r w:rsidRPr="00DF445D">
        <w:rPr>
          <w:sz w:val="22"/>
          <w:szCs w:val="22"/>
        </w:rPr>
        <w:t xml:space="preserve"> a particular person involves</w:t>
      </w:r>
      <w:r>
        <w:rPr>
          <w:sz w:val="22"/>
          <w:szCs w:val="22"/>
        </w:rPr>
        <w:t xml:space="preserve"> questions of fact and degree”.</w:t>
      </w:r>
      <w:r>
        <w:rPr>
          <w:rStyle w:val="FootnoteReference"/>
          <w:szCs w:val="22"/>
        </w:rPr>
        <w:footnoteReference w:id="21"/>
      </w:r>
      <w:r>
        <w:rPr>
          <w:sz w:val="22"/>
          <w:szCs w:val="22"/>
        </w:rPr>
        <w:t xml:space="preserve"> At some point, multiple employers would fail to gain exemption, and any joint venture of more than employers risks not gaining exemption.</w:t>
      </w:r>
    </w:p>
    <w:p w:rsidR="00F33913" w:rsidRPr="00CB733D" w:rsidRDefault="00F33913" w:rsidP="00F33913">
      <w:pPr>
        <w:spacing w:after="0" w:line="240" w:lineRule="auto"/>
        <w:jc w:val="both"/>
        <w:rPr>
          <w:sz w:val="22"/>
        </w:rPr>
      </w:pPr>
    </w:p>
    <w:p w:rsidR="00F33913" w:rsidRPr="006C56E0" w:rsidRDefault="00F33913" w:rsidP="00F33913">
      <w:pPr>
        <w:spacing w:after="0" w:line="240" w:lineRule="auto"/>
        <w:jc w:val="both"/>
        <w:rPr>
          <w:i/>
          <w:color w:val="1F497D" w:themeColor="text2"/>
          <w:sz w:val="22"/>
        </w:rPr>
      </w:pPr>
      <w:r w:rsidRPr="006C56E0">
        <w:rPr>
          <w:i/>
          <w:color w:val="1F497D" w:themeColor="text2"/>
          <w:sz w:val="22"/>
        </w:rPr>
        <w:lastRenderedPageBreak/>
        <w:t>The reality of employer-provided childcare facilities</w:t>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 xml:space="preserve">The practical outcome of the subs 47(2) exemption is that it is only available to employers of sufficient size to justify establishing a childcare facility on their own. Most employers simply do not have the critical mass of employee need to do so. In addition, satisfying the ‘control’ aspect of any facility simply in order to obtain </w:t>
      </w:r>
      <w:proofErr w:type="spellStart"/>
      <w:r>
        <w:rPr>
          <w:sz w:val="22"/>
        </w:rPr>
        <w:t>FBT</w:t>
      </w:r>
      <w:proofErr w:type="spellEnd"/>
      <w:r>
        <w:rPr>
          <w:sz w:val="22"/>
        </w:rPr>
        <w:t xml:space="preserve"> exemption can become a deterrent to any employer not wishing to be exposed to the risk and regulatory compliance regime inherent with any childcare facility when the conduct of such a facility is not within the scope of their core business operations.</w:t>
      </w:r>
    </w:p>
    <w:p w:rsidR="00F33913" w:rsidRDefault="00F33913" w:rsidP="00F33913">
      <w:pPr>
        <w:spacing w:after="0" w:line="240" w:lineRule="auto"/>
        <w:jc w:val="both"/>
        <w:rPr>
          <w:sz w:val="22"/>
        </w:rPr>
      </w:pPr>
    </w:p>
    <w:p w:rsidR="00F33913" w:rsidRPr="00F00752" w:rsidRDefault="00F33913" w:rsidP="00F33913">
      <w:pPr>
        <w:spacing w:after="0" w:line="240" w:lineRule="auto"/>
        <w:jc w:val="both"/>
        <w:rPr>
          <w:b/>
          <w:i/>
          <w:color w:val="1F497D" w:themeColor="text2"/>
          <w:sz w:val="22"/>
        </w:rPr>
      </w:pPr>
      <w:r w:rsidRPr="00F00752">
        <w:rPr>
          <w:b/>
          <w:i/>
          <w:color w:val="1F497D" w:themeColor="text2"/>
          <w:sz w:val="22"/>
        </w:rPr>
        <w:t>Subsection 47(8) – priority of childcare access contributions</w:t>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 xml:space="preserve">The purpose of subs 47(8) is to bestow </w:t>
      </w:r>
      <w:proofErr w:type="spellStart"/>
      <w:r>
        <w:rPr>
          <w:sz w:val="22"/>
        </w:rPr>
        <w:t>FBT</w:t>
      </w:r>
      <w:proofErr w:type="spellEnd"/>
      <w:r>
        <w:rPr>
          <w:sz w:val="22"/>
        </w:rPr>
        <w:t>-exempt status on contributions made by employers to approved programs to obtain priority of access for children of employees at a childcare facility. Unfortunately, a Federal Parliamentary inquiry in 2006 found that employers were not using the exemption because it was poorly understood and complicated, as evidenced by a survey conducted of 599 employers which found that not a single employer had taken advantage of it.</w:t>
      </w:r>
      <w:r>
        <w:rPr>
          <w:rStyle w:val="FootnoteReference"/>
        </w:rPr>
        <w:footnoteReference w:id="22"/>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 xml:space="preserve">Even the </w:t>
      </w:r>
      <w:proofErr w:type="spellStart"/>
      <w:r>
        <w:rPr>
          <w:sz w:val="22"/>
        </w:rPr>
        <w:t>ATO</w:t>
      </w:r>
      <w:proofErr w:type="spellEnd"/>
      <w:r>
        <w:rPr>
          <w:sz w:val="22"/>
        </w:rPr>
        <w:t xml:space="preserve"> has acknowledged that it is a difficult process for any employer to be certain a contribution for priority access is exempt from </w:t>
      </w:r>
      <w:proofErr w:type="spellStart"/>
      <w:r>
        <w:rPr>
          <w:sz w:val="22"/>
        </w:rPr>
        <w:t>FBT</w:t>
      </w:r>
      <w:proofErr w:type="spellEnd"/>
      <w:r w:rsidR="00A723BF">
        <w:rPr>
          <w:sz w:val="22"/>
        </w:rPr>
        <w:t xml:space="preserve"> under subs 47(8)</w:t>
      </w:r>
      <w:r>
        <w:rPr>
          <w:sz w:val="22"/>
        </w:rPr>
        <w:t>.</w:t>
      </w:r>
      <w:r>
        <w:rPr>
          <w:rStyle w:val="FootnoteReference"/>
        </w:rPr>
        <w:footnoteReference w:id="23"/>
      </w:r>
    </w:p>
    <w:p w:rsidR="00F33913" w:rsidRDefault="00F33913" w:rsidP="00F33913">
      <w:pPr>
        <w:spacing w:after="0" w:line="240" w:lineRule="auto"/>
        <w:jc w:val="both"/>
        <w:rPr>
          <w:sz w:val="22"/>
        </w:rPr>
      </w:pPr>
    </w:p>
    <w:p w:rsidR="00F33913" w:rsidRPr="00AE56E5" w:rsidRDefault="00F33913" w:rsidP="00F33913">
      <w:pPr>
        <w:spacing w:after="0" w:line="240" w:lineRule="auto"/>
        <w:jc w:val="both"/>
        <w:rPr>
          <w:b/>
          <w:i/>
          <w:color w:val="1F497D" w:themeColor="text2"/>
          <w:sz w:val="22"/>
        </w:rPr>
      </w:pPr>
      <w:proofErr w:type="spellStart"/>
      <w:r w:rsidRPr="00AE56E5">
        <w:rPr>
          <w:b/>
          <w:i/>
          <w:color w:val="1F497D" w:themeColor="text2"/>
          <w:sz w:val="22"/>
        </w:rPr>
        <w:t>FBT</w:t>
      </w:r>
      <w:proofErr w:type="spellEnd"/>
      <w:r w:rsidRPr="00AE56E5">
        <w:rPr>
          <w:b/>
          <w:i/>
          <w:color w:val="1F497D" w:themeColor="text2"/>
          <w:sz w:val="22"/>
        </w:rPr>
        <w:t>-exempt childcare benefits - summary</w:t>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 xml:space="preserve">In summary, the exemption from </w:t>
      </w:r>
      <w:proofErr w:type="spellStart"/>
      <w:r>
        <w:rPr>
          <w:sz w:val="22"/>
        </w:rPr>
        <w:t>FBT</w:t>
      </w:r>
      <w:proofErr w:type="spellEnd"/>
      <w:r>
        <w:rPr>
          <w:sz w:val="22"/>
        </w:rPr>
        <w:t xml:space="preserve"> of certain childcare benefits is often misunderstood, and for good reason. This includes misunderstanding the limits of the exemptions.</w:t>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 xml:space="preserve">The requirements for </w:t>
      </w:r>
      <w:proofErr w:type="spellStart"/>
      <w:r>
        <w:rPr>
          <w:sz w:val="22"/>
        </w:rPr>
        <w:t>FBT</w:t>
      </w:r>
      <w:proofErr w:type="spellEnd"/>
      <w:r>
        <w:rPr>
          <w:sz w:val="22"/>
        </w:rPr>
        <w:t xml:space="preserve"> exemption are also in practice not easily complied with due to inherent uncertainties, thus obliging employers to seek certainty as to their particular exempt status by the costly (and at times unsuccessful) process of seeking favourable private rulings from the </w:t>
      </w:r>
      <w:proofErr w:type="spellStart"/>
      <w:r>
        <w:rPr>
          <w:sz w:val="22"/>
        </w:rPr>
        <w:t>ATO</w:t>
      </w:r>
      <w:proofErr w:type="spellEnd"/>
      <w:r>
        <w:rPr>
          <w:sz w:val="22"/>
        </w:rPr>
        <w:t>.</w:t>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 xml:space="preserve">In particular, and as has already been noted, the subs 47(2) exemption for childcare facilities is in practice not available to most Australian employers. This has been the case for some period of time. The only other </w:t>
      </w:r>
      <w:proofErr w:type="spellStart"/>
      <w:r>
        <w:rPr>
          <w:sz w:val="22"/>
        </w:rPr>
        <w:t>FBT</w:t>
      </w:r>
      <w:proofErr w:type="spellEnd"/>
      <w:r>
        <w:rPr>
          <w:sz w:val="22"/>
        </w:rPr>
        <w:t xml:space="preserve"> concession, provided by subs 47(8), is simply not being utilised because of its inherent complexity.</w:t>
      </w:r>
    </w:p>
    <w:p w:rsidR="00F33913" w:rsidRDefault="00F33913" w:rsidP="00F33913">
      <w:pPr>
        <w:spacing w:after="0" w:line="240" w:lineRule="auto"/>
        <w:jc w:val="both"/>
        <w:rPr>
          <w:sz w:val="22"/>
        </w:rPr>
      </w:pPr>
    </w:p>
    <w:p w:rsidR="00F33913" w:rsidRDefault="00F33913" w:rsidP="00F33913">
      <w:pPr>
        <w:spacing w:after="0" w:line="240" w:lineRule="auto"/>
        <w:jc w:val="both"/>
        <w:rPr>
          <w:sz w:val="22"/>
        </w:rPr>
      </w:pPr>
      <w:r>
        <w:rPr>
          <w:sz w:val="22"/>
        </w:rPr>
        <w:t xml:space="preserve">As a consequence, and despite calls for it to be reinvigorated, the </w:t>
      </w:r>
      <w:proofErr w:type="spellStart"/>
      <w:r>
        <w:rPr>
          <w:sz w:val="22"/>
        </w:rPr>
        <w:t>FBT</w:t>
      </w:r>
      <w:proofErr w:type="spellEnd"/>
      <w:r>
        <w:rPr>
          <w:sz w:val="22"/>
        </w:rPr>
        <w:t xml:space="preserve"> system’s support of childcare has been left languishing for two decades.</w:t>
      </w:r>
    </w:p>
    <w:p w:rsidR="00FF4340" w:rsidRDefault="00FF4340" w:rsidP="00A23D23">
      <w:pPr>
        <w:spacing w:after="0" w:line="240" w:lineRule="auto"/>
        <w:jc w:val="both"/>
        <w:rPr>
          <w:sz w:val="22"/>
        </w:rPr>
      </w:pPr>
    </w:p>
    <w:p w:rsidR="00275ECF" w:rsidRPr="00275ECF" w:rsidRDefault="00275ECF" w:rsidP="006F038E">
      <w:pPr>
        <w:spacing w:after="0" w:line="240" w:lineRule="auto"/>
        <w:jc w:val="both"/>
        <w:rPr>
          <w:b/>
          <w:i/>
          <w:color w:val="1F497D" w:themeColor="text2"/>
          <w:sz w:val="24"/>
        </w:rPr>
      </w:pPr>
      <w:r w:rsidRPr="00275ECF">
        <w:rPr>
          <w:b/>
          <w:i/>
          <w:color w:val="1F497D" w:themeColor="text2"/>
          <w:sz w:val="24"/>
        </w:rPr>
        <w:lastRenderedPageBreak/>
        <w:t xml:space="preserve">Salary sacrificing and the </w:t>
      </w:r>
      <w:proofErr w:type="spellStart"/>
      <w:r w:rsidRPr="00275ECF">
        <w:rPr>
          <w:b/>
          <w:i/>
          <w:color w:val="1F497D" w:themeColor="text2"/>
          <w:sz w:val="24"/>
        </w:rPr>
        <w:t>CCR</w:t>
      </w:r>
      <w:proofErr w:type="spellEnd"/>
    </w:p>
    <w:p w:rsidR="00275ECF" w:rsidRDefault="00275ECF" w:rsidP="006F038E">
      <w:pPr>
        <w:spacing w:after="0" w:line="240" w:lineRule="auto"/>
        <w:jc w:val="both"/>
        <w:rPr>
          <w:sz w:val="22"/>
        </w:rPr>
      </w:pPr>
    </w:p>
    <w:p w:rsidR="00B9445C" w:rsidRDefault="00A06F82" w:rsidP="006F038E">
      <w:pPr>
        <w:spacing w:after="0" w:line="240" w:lineRule="auto"/>
        <w:jc w:val="both"/>
        <w:rPr>
          <w:sz w:val="22"/>
        </w:rPr>
      </w:pPr>
      <w:r>
        <w:rPr>
          <w:sz w:val="22"/>
        </w:rPr>
        <w:t xml:space="preserve">As we noted earlier, in 2008 the Government had increased the </w:t>
      </w:r>
      <w:proofErr w:type="spellStart"/>
      <w:r>
        <w:rPr>
          <w:sz w:val="22"/>
        </w:rPr>
        <w:t>CCR</w:t>
      </w:r>
      <w:proofErr w:type="spellEnd"/>
      <w:r>
        <w:rPr>
          <w:sz w:val="22"/>
        </w:rPr>
        <w:t xml:space="preserve"> from 30% to 50% of out-of-pocket childcare costs and the maximum amount of the rebate from $4,354 to $7,500 per year.</w:t>
      </w:r>
      <w:r w:rsidR="000C670D">
        <w:rPr>
          <w:sz w:val="22"/>
        </w:rPr>
        <w:t xml:space="preserve"> This prompted the Henry Review in 2009 to conclude that:</w:t>
      </w:r>
    </w:p>
    <w:p w:rsidR="000C670D" w:rsidRPr="00381A96" w:rsidRDefault="000C670D" w:rsidP="00381A96">
      <w:pPr>
        <w:spacing w:after="0" w:line="240" w:lineRule="auto"/>
        <w:jc w:val="both"/>
        <w:rPr>
          <w:rFonts w:asciiTheme="minorHAnsi" w:hAnsiTheme="minorHAnsi"/>
          <w:sz w:val="22"/>
          <w:szCs w:val="22"/>
        </w:rPr>
      </w:pPr>
    </w:p>
    <w:p w:rsidR="00F33913" w:rsidRDefault="00F33913" w:rsidP="006439EF">
      <w:pPr>
        <w:pStyle w:val="NormalWeb"/>
        <w:numPr>
          <w:ilvl w:val="0"/>
          <w:numId w:val="32"/>
        </w:numPr>
        <w:shd w:val="clear" w:color="auto" w:fill="FFFFFF"/>
        <w:spacing w:before="0" w:beforeAutospacing="0" w:after="0" w:afterAutospacing="0"/>
        <w:ind w:left="720"/>
        <w:jc w:val="both"/>
        <w:rPr>
          <w:rFonts w:asciiTheme="minorHAnsi" w:hAnsiTheme="minorHAnsi"/>
          <w:sz w:val="22"/>
          <w:szCs w:val="22"/>
        </w:rPr>
      </w:pPr>
      <w:r>
        <w:rPr>
          <w:rFonts w:asciiTheme="minorHAnsi" w:hAnsiTheme="minorHAnsi"/>
          <w:sz w:val="22"/>
          <w:szCs w:val="22"/>
        </w:rPr>
        <w:t xml:space="preserve">The </w:t>
      </w:r>
      <w:proofErr w:type="spellStart"/>
      <w:r>
        <w:rPr>
          <w:rFonts w:asciiTheme="minorHAnsi" w:hAnsiTheme="minorHAnsi"/>
          <w:sz w:val="22"/>
          <w:szCs w:val="22"/>
        </w:rPr>
        <w:t>FBT</w:t>
      </w:r>
      <w:proofErr w:type="spellEnd"/>
      <w:r>
        <w:rPr>
          <w:rFonts w:asciiTheme="minorHAnsi" w:hAnsiTheme="minorHAnsi"/>
          <w:sz w:val="22"/>
          <w:szCs w:val="22"/>
        </w:rPr>
        <w:t xml:space="preserve"> exemption provided</w:t>
      </w:r>
      <w:r w:rsidR="00381A96" w:rsidRPr="00381A96">
        <w:rPr>
          <w:rFonts w:asciiTheme="minorHAnsi" w:hAnsiTheme="minorHAnsi"/>
          <w:sz w:val="22"/>
          <w:szCs w:val="22"/>
        </w:rPr>
        <w:t xml:space="preserve"> a greater level of assistance only for families with very high child care costs on either the top marginal tax rate or second top marginal tax rate.</w:t>
      </w:r>
      <w:r w:rsidR="00381A96">
        <w:rPr>
          <w:rFonts w:asciiTheme="minorHAnsi" w:hAnsiTheme="minorHAnsi"/>
          <w:sz w:val="22"/>
          <w:szCs w:val="22"/>
        </w:rPr>
        <w:t xml:space="preserve"> </w:t>
      </w:r>
    </w:p>
    <w:p w:rsidR="00F33913" w:rsidRDefault="00F33913" w:rsidP="006439EF">
      <w:pPr>
        <w:pStyle w:val="NormalWeb"/>
        <w:shd w:val="clear" w:color="auto" w:fill="FFFFFF"/>
        <w:spacing w:before="0" w:beforeAutospacing="0" w:after="0" w:afterAutospacing="0"/>
        <w:jc w:val="both"/>
        <w:rPr>
          <w:rFonts w:asciiTheme="minorHAnsi" w:hAnsiTheme="minorHAnsi"/>
          <w:sz w:val="22"/>
          <w:szCs w:val="22"/>
        </w:rPr>
      </w:pPr>
    </w:p>
    <w:p w:rsidR="00F33913" w:rsidRDefault="00381A96" w:rsidP="006439EF">
      <w:pPr>
        <w:pStyle w:val="NormalWeb"/>
        <w:numPr>
          <w:ilvl w:val="0"/>
          <w:numId w:val="32"/>
        </w:numPr>
        <w:shd w:val="clear" w:color="auto" w:fill="FFFFFF"/>
        <w:spacing w:before="0" w:beforeAutospacing="0" w:after="0" w:afterAutospacing="0"/>
        <w:ind w:left="720"/>
        <w:jc w:val="both"/>
        <w:rPr>
          <w:rFonts w:asciiTheme="minorHAnsi" w:hAnsiTheme="minorHAnsi"/>
          <w:sz w:val="22"/>
          <w:szCs w:val="22"/>
        </w:rPr>
      </w:pPr>
      <w:r w:rsidRPr="00381A96">
        <w:rPr>
          <w:rFonts w:asciiTheme="minorHAnsi" w:hAnsiTheme="minorHAnsi"/>
          <w:sz w:val="22"/>
          <w:szCs w:val="22"/>
        </w:rPr>
        <w:t xml:space="preserve">The </w:t>
      </w:r>
      <w:proofErr w:type="spellStart"/>
      <w:r w:rsidRPr="00381A96">
        <w:rPr>
          <w:rFonts w:asciiTheme="minorHAnsi" w:hAnsiTheme="minorHAnsi"/>
          <w:sz w:val="22"/>
          <w:szCs w:val="22"/>
        </w:rPr>
        <w:t>FBT</w:t>
      </w:r>
      <w:proofErr w:type="spellEnd"/>
      <w:r w:rsidRPr="00381A96">
        <w:rPr>
          <w:rFonts w:asciiTheme="minorHAnsi" w:hAnsiTheme="minorHAnsi"/>
          <w:sz w:val="22"/>
          <w:szCs w:val="22"/>
        </w:rPr>
        <w:t xml:space="preserve"> e</w:t>
      </w:r>
      <w:r w:rsidR="00F33913">
        <w:rPr>
          <w:rFonts w:asciiTheme="minorHAnsi" w:hAnsiTheme="minorHAnsi"/>
          <w:sz w:val="22"/>
          <w:szCs w:val="22"/>
        </w:rPr>
        <w:t>xemption for child care provided</w:t>
      </w:r>
      <w:r w:rsidRPr="00381A96">
        <w:rPr>
          <w:rFonts w:asciiTheme="minorHAnsi" w:hAnsiTheme="minorHAnsi"/>
          <w:sz w:val="22"/>
          <w:szCs w:val="22"/>
        </w:rPr>
        <w:t xml:space="preserve"> a higher rate of assistance for taxpayers earning over $180,000 and incurring child care costs over $16,727 ($64.33 per day in full-time care). </w:t>
      </w:r>
    </w:p>
    <w:p w:rsidR="00F33913" w:rsidRDefault="00F33913" w:rsidP="006439EF">
      <w:pPr>
        <w:pStyle w:val="NormalWeb"/>
        <w:shd w:val="clear" w:color="auto" w:fill="FFFFFF"/>
        <w:spacing w:before="0" w:beforeAutospacing="0" w:after="0" w:afterAutospacing="0"/>
        <w:jc w:val="both"/>
        <w:rPr>
          <w:rFonts w:asciiTheme="minorHAnsi" w:hAnsiTheme="minorHAnsi"/>
          <w:sz w:val="22"/>
          <w:szCs w:val="22"/>
        </w:rPr>
      </w:pPr>
    </w:p>
    <w:p w:rsidR="00381A96" w:rsidRPr="00381A96" w:rsidRDefault="00381A96" w:rsidP="006439EF">
      <w:pPr>
        <w:pStyle w:val="NormalWeb"/>
        <w:numPr>
          <w:ilvl w:val="0"/>
          <w:numId w:val="32"/>
        </w:numPr>
        <w:shd w:val="clear" w:color="auto" w:fill="FFFFFF"/>
        <w:spacing w:before="0" w:beforeAutospacing="0" w:after="0" w:afterAutospacing="0"/>
        <w:ind w:left="720"/>
        <w:jc w:val="both"/>
        <w:rPr>
          <w:rFonts w:asciiTheme="minorHAnsi" w:hAnsiTheme="minorHAnsi"/>
          <w:sz w:val="22"/>
          <w:szCs w:val="22"/>
        </w:rPr>
      </w:pPr>
      <w:r w:rsidRPr="00381A96">
        <w:rPr>
          <w:rFonts w:asciiTheme="minorHAnsi" w:hAnsiTheme="minorHAnsi"/>
          <w:sz w:val="22"/>
          <w:szCs w:val="22"/>
        </w:rPr>
        <w:t xml:space="preserve">Taxpayers with incomes lower than $180,000 would </w:t>
      </w:r>
      <w:r w:rsidR="00F33913">
        <w:rPr>
          <w:rFonts w:asciiTheme="minorHAnsi" w:hAnsiTheme="minorHAnsi"/>
          <w:sz w:val="22"/>
          <w:szCs w:val="22"/>
        </w:rPr>
        <w:t xml:space="preserve">have </w:t>
      </w:r>
      <w:r w:rsidRPr="00381A96">
        <w:rPr>
          <w:rFonts w:asciiTheme="minorHAnsi" w:hAnsiTheme="minorHAnsi"/>
          <w:sz w:val="22"/>
          <w:szCs w:val="22"/>
        </w:rPr>
        <w:t>need</w:t>
      </w:r>
      <w:r w:rsidR="00F33913">
        <w:rPr>
          <w:rFonts w:asciiTheme="minorHAnsi" w:hAnsiTheme="minorHAnsi"/>
          <w:sz w:val="22"/>
          <w:szCs w:val="22"/>
        </w:rPr>
        <w:t>ed</w:t>
      </w:r>
      <w:r w:rsidRPr="00381A96">
        <w:rPr>
          <w:rFonts w:asciiTheme="minorHAnsi" w:hAnsiTheme="minorHAnsi"/>
          <w:sz w:val="22"/>
          <w:szCs w:val="22"/>
        </w:rPr>
        <w:t xml:space="preserve"> to be incurring costs in excess of $19,691 to receive a higher rate of ass</w:t>
      </w:r>
      <w:r w:rsidR="006439EF">
        <w:rPr>
          <w:rFonts w:asciiTheme="minorHAnsi" w:hAnsiTheme="minorHAnsi"/>
          <w:sz w:val="22"/>
          <w:szCs w:val="22"/>
        </w:rPr>
        <w:t xml:space="preserve">istance from the </w:t>
      </w:r>
      <w:proofErr w:type="spellStart"/>
      <w:r w:rsidR="006439EF">
        <w:rPr>
          <w:rFonts w:asciiTheme="minorHAnsi" w:hAnsiTheme="minorHAnsi"/>
          <w:sz w:val="22"/>
          <w:szCs w:val="22"/>
        </w:rPr>
        <w:t>FBT</w:t>
      </w:r>
      <w:proofErr w:type="spellEnd"/>
      <w:r w:rsidR="006439EF">
        <w:rPr>
          <w:rFonts w:asciiTheme="minorHAnsi" w:hAnsiTheme="minorHAnsi"/>
          <w:sz w:val="22"/>
          <w:szCs w:val="22"/>
        </w:rPr>
        <w:t xml:space="preserve"> exemption </w:t>
      </w:r>
      <w:r w:rsidRPr="00381A96">
        <w:rPr>
          <w:rFonts w:asciiTheme="minorHAnsi" w:hAnsiTheme="minorHAnsi"/>
          <w:sz w:val="22"/>
          <w:szCs w:val="22"/>
        </w:rPr>
        <w:t>although that figure is accurate only for those taxpayers with incomes close to</w:t>
      </w:r>
      <w:r w:rsidR="00F33913">
        <w:rPr>
          <w:rFonts w:asciiTheme="minorHAnsi" w:hAnsiTheme="minorHAnsi"/>
          <w:sz w:val="22"/>
          <w:szCs w:val="22"/>
        </w:rPr>
        <w:t xml:space="preserve"> $180,000 because as a taxpayer’</w:t>
      </w:r>
      <w:r w:rsidRPr="00381A96">
        <w:rPr>
          <w:rFonts w:asciiTheme="minorHAnsi" w:hAnsiTheme="minorHAnsi"/>
          <w:sz w:val="22"/>
          <w:szCs w:val="22"/>
        </w:rPr>
        <w:t xml:space="preserve">s income begins to fall below $180,000, any benefit from the </w:t>
      </w:r>
      <w:proofErr w:type="spellStart"/>
      <w:r w:rsidRPr="00381A96">
        <w:rPr>
          <w:rFonts w:asciiTheme="minorHAnsi" w:hAnsiTheme="minorHAnsi"/>
          <w:sz w:val="22"/>
          <w:szCs w:val="22"/>
        </w:rPr>
        <w:t>FBT</w:t>
      </w:r>
      <w:proofErr w:type="spellEnd"/>
      <w:r w:rsidRPr="00381A96">
        <w:rPr>
          <w:rFonts w:asciiTheme="minorHAnsi" w:hAnsiTheme="minorHAnsi"/>
          <w:sz w:val="22"/>
          <w:szCs w:val="22"/>
        </w:rPr>
        <w:t xml:space="preserve"> exemption falls exponentially due to lower marginal tax rates and higher entitlement to the means tested </w:t>
      </w:r>
      <w:proofErr w:type="spellStart"/>
      <w:r w:rsidRPr="00381A96">
        <w:rPr>
          <w:rFonts w:asciiTheme="minorHAnsi" w:hAnsiTheme="minorHAnsi"/>
          <w:sz w:val="22"/>
          <w:szCs w:val="22"/>
        </w:rPr>
        <w:t>CCB</w:t>
      </w:r>
      <w:proofErr w:type="spellEnd"/>
      <w:r w:rsidRPr="00381A96">
        <w:rPr>
          <w:rFonts w:asciiTheme="minorHAnsi" w:hAnsiTheme="minorHAnsi"/>
          <w:sz w:val="22"/>
          <w:szCs w:val="22"/>
        </w:rPr>
        <w:t>.</w:t>
      </w:r>
    </w:p>
    <w:p w:rsidR="000C670D" w:rsidRPr="00381A96" w:rsidRDefault="000C670D" w:rsidP="00381A96">
      <w:pPr>
        <w:spacing w:after="0" w:line="240" w:lineRule="auto"/>
        <w:jc w:val="both"/>
        <w:rPr>
          <w:rFonts w:asciiTheme="minorHAnsi" w:hAnsiTheme="minorHAnsi"/>
          <w:sz w:val="22"/>
          <w:szCs w:val="22"/>
        </w:rPr>
      </w:pPr>
    </w:p>
    <w:p w:rsidR="007B0A4D" w:rsidRDefault="000E6E8B" w:rsidP="00F22E03">
      <w:pPr>
        <w:spacing w:after="0" w:line="240" w:lineRule="auto"/>
        <w:jc w:val="both"/>
        <w:rPr>
          <w:sz w:val="22"/>
        </w:rPr>
      </w:pPr>
      <w:proofErr w:type="spellStart"/>
      <w:r>
        <w:rPr>
          <w:sz w:val="22"/>
        </w:rPr>
        <w:t>MMSG</w:t>
      </w:r>
      <w:proofErr w:type="spellEnd"/>
      <w:r>
        <w:rPr>
          <w:sz w:val="22"/>
        </w:rPr>
        <w:t xml:space="preserve"> agrees that the increase in the </w:t>
      </w:r>
      <w:proofErr w:type="spellStart"/>
      <w:r>
        <w:rPr>
          <w:sz w:val="22"/>
        </w:rPr>
        <w:t>CCR</w:t>
      </w:r>
      <w:proofErr w:type="spellEnd"/>
      <w:r>
        <w:rPr>
          <w:sz w:val="22"/>
        </w:rPr>
        <w:t xml:space="preserve"> in 2008 meant that it was </w:t>
      </w:r>
      <w:r w:rsidR="00E76979" w:rsidRPr="00E76979">
        <w:rPr>
          <w:i/>
          <w:sz w:val="22"/>
        </w:rPr>
        <w:t>potentially</w:t>
      </w:r>
      <w:r w:rsidR="00E76979">
        <w:rPr>
          <w:sz w:val="22"/>
        </w:rPr>
        <w:t xml:space="preserve"> </w:t>
      </w:r>
      <w:r>
        <w:rPr>
          <w:sz w:val="22"/>
        </w:rPr>
        <w:t xml:space="preserve">no longer viable for employees earning </w:t>
      </w:r>
      <w:r w:rsidR="00E76979">
        <w:rPr>
          <w:sz w:val="22"/>
        </w:rPr>
        <w:t>a high income</w:t>
      </w:r>
      <w:r>
        <w:rPr>
          <w:sz w:val="22"/>
        </w:rPr>
        <w:t xml:space="preserve"> to salary sacrifice their childcare costs. However, </w:t>
      </w:r>
      <w:r w:rsidR="004330AE">
        <w:rPr>
          <w:sz w:val="22"/>
        </w:rPr>
        <w:t xml:space="preserve">in our view </w:t>
      </w:r>
      <w:r>
        <w:rPr>
          <w:sz w:val="22"/>
        </w:rPr>
        <w:t>the He</w:t>
      </w:r>
      <w:r w:rsidR="004330AE">
        <w:rPr>
          <w:sz w:val="22"/>
        </w:rPr>
        <w:t>nry Review was incorrect</w:t>
      </w:r>
      <w:r>
        <w:rPr>
          <w:sz w:val="22"/>
        </w:rPr>
        <w:t xml:space="preserve"> to equate salary sacrificing as being only permissible in respect of </w:t>
      </w:r>
      <w:r w:rsidR="00B66A20">
        <w:rPr>
          <w:sz w:val="22"/>
        </w:rPr>
        <w:t>childcare being provided by the employer and only if that childcare constituted an exempt fringe benefit.</w:t>
      </w:r>
      <w:r w:rsidR="007B0A4D">
        <w:rPr>
          <w:sz w:val="22"/>
        </w:rPr>
        <w:t xml:space="preserve"> </w:t>
      </w:r>
    </w:p>
    <w:p w:rsidR="007B0A4D" w:rsidRDefault="007B0A4D" w:rsidP="00F22E03">
      <w:pPr>
        <w:spacing w:after="0" w:line="240" w:lineRule="auto"/>
        <w:jc w:val="both"/>
        <w:rPr>
          <w:sz w:val="22"/>
        </w:rPr>
      </w:pPr>
    </w:p>
    <w:p w:rsidR="004330AE" w:rsidRDefault="007B0A4D" w:rsidP="00F22E03">
      <w:pPr>
        <w:spacing w:after="0" w:line="240" w:lineRule="auto"/>
        <w:jc w:val="both"/>
        <w:rPr>
          <w:sz w:val="22"/>
        </w:rPr>
      </w:pPr>
      <w:r>
        <w:rPr>
          <w:sz w:val="22"/>
        </w:rPr>
        <w:t>This is because t</w:t>
      </w:r>
      <w:r w:rsidR="00B52950">
        <w:rPr>
          <w:sz w:val="22"/>
        </w:rPr>
        <w:t xml:space="preserve">he </w:t>
      </w:r>
      <w:proofErr w:type="spellStart"/>
      <w:r w:rsidR="00B52950">
        <w:rPr>
          <w:sz w:val="22"/>
        </w:rPr>
        <w:t>ATO</w:t>
      </w:r>
      <w:proofErr w:type="spellEnd"/>
      <w:r w:rsidR="00B52950">
        <w:rPr>
          <w:sz w:val="22"/>
        </w:rPr>
        <w:t xml:space="preserve"> </w:t>
      </w:r>
      <w:r w:rsidR="001E294D">
        <w:rPr>
          <w:sz w:val="22"/>
        </w:rPr>
        <w:t xml:space="preserve">also </w:t>
      </w:r>
      <w:r w:rsidR="00B52950">
        <w:rPr>
          <w:sz w:val="22"/>
        </w:rPr>
        <w:t xml:space="preserve">accepts salary sacrificing arrangements for childcare that is </w:t>
      </w:r>
      <w:r w:rsidR="00B52950" w:rsidRPr="007B0A4D">
        <w:rPr>
          <w:i/>
          <w:sz w:val="22"/>
        </w:rPr>
        <w:t>not</w:t>
      </w:r>
      <w:r w:rsidR="00B52950">
        <w:rPr>
          <w:sz w:val="22"/>
        </w:rPr>
        <w:t xml:space="preserve"> provided by the employer, and this is on the assumption that the employer pays a childcare liability incurred by the parent and is thus subject to </w:t>
      </w:r>
      <w:proofErr w:type="spellStart"/>
      <w:r w:rsidR="00B52950">
        <w:rPr>
          <w:sz w:val="22"/>
        </w:rPr>
        <w:t>FBT</w:t>
      </w:r>
      <w:proofErr w:type="spellEnd"/>
      <w:r w:rsidR="00B52950">
        <w:rPr>
          <w:sz w:val="22"/>
        </w:rPr>
        <w:t xml:space="preserve"> as it represents an expense payment fringe benefit.</w:t>
      </w:r>
      <w:r>
        <w:rPr>
          <w:rStyle w:val="FootnoteReference"/>
        </w:rPr>
        <w:footnoteReference w:id="24"/>
      </w:r>
      <w:r>
        <w:rPr>
          <w:sz w:val="22"/>
        </w:rPr>
        <w:t xml:space="preserve"> In fact, the </w:t>
      </w:r>
      <w:proofErr w:type="spellStart"/>
      <w:r>
        <w:rPr>
          <w:sz w:val="22"/>
        </w:rPr>
        <w:t>ATO’s</w:t>
      </w:r>
      <w:proofErr w:type="spellEnd"/>
      <w:r>
        <w:rPr>
          <w:sz w:val="22"/>
        </w:rPr>
        <w:t xml:space="preserve"> policy on acceptable salary sacrificing arrangements is predicated on the assumption they relate to expense payment fringe benefits and not on resi</w:t>
      </w:r>
      <w:r w:rsidR="00D910AF">
        <w:rPr>
          <w:sz w:val="22"/>
        </w:rPr>
        <w:t>d</w:t>
      </w:r>
      <w:r>
        <w:rPr>
          <w:sz w:val="22"/>
        </w:rPr>
        <w:t>ual benefits as required under s 47(2).</w:t>
      </w:r>
      <w:r w:rsidR="00D910AF">
        <w:rPr>
          <w:rStyle w:val="FootnoteReference"/>
        </w:rPr>
        <w:footnoteReference w:id="25"/>
      </w:r>
    </w:p>
    <w:p w:rsidR="004330AE" w:rsidRDefault="004330AE" w:rsidP="00F22E03">
      <w:pPr>
        <w:spacing w:after="0" w:line="240" w:lineRule="auto"/>
        <w:jc w:val="both"/>
        <w:rPr>
          <w:sz w:val="22"/>
        </w:rPr>
      </w:pPr>
    </w:p>
    <w:p w:rsidR="007F0DDF" w:rsidRDefault="001E294D" w:rsidP="007F0DDF">
      <w:pPr>
        <w:spacing w:after="0" w:line="240" w:lineRule="auto"/>
        <w:jc w:val="both"/>
        <w:rPr>
          <w:sz w:val="22"/>
        </w:rPr>
      </w:pPr>
      <w:r>
        <w:rPr>
          <w:sz w:val="22"/>
        </w:rPr>
        <w:t>Thus, the net result of a parent salary sacrificing the costs of childcare provided by their employer will either be:</w:t>
      </w:r>
    </w:p>
    <w:p w:rsidR="007F0DDF" w:rsidRDefault="007F0DDF" w:rsidP="007F0DDF">
      <w:pPr>
        <w:spacing w:after="0" w:line="240" w:lineRule="auto"/>
        <w:jc w:val="both"/>
        <w:rPr>
          <w:sz w:val="22"/>
        </w:rPr>
      </w:pPr>
    </w:p>
    <w:p w:rsidR="007F0DDF" w:rsidRPr="00C22DDD" w:rsidRDefault="007F0DDF" w:rsidP="007F0DDF">
      <w:pPr>
        <w:pStyle w:val="ListParagraph"/>
        <w:numPr>
          <w:ilvl w:val="0"/>
          <w:numId w:val="25"/>
        </w:numPr>
        <w:spacing w:after="0" w:line="240" w:lineRule="auto"/>
        <w:jc w:val="both"/>
        <w:rPr>
          <w:sz w:val="22"/>
        </w:rPr>
      </w:pPr>
      <w:r w:rsidRPr="00C22DDD">
        <w:rPr>
          <w:sz w:val="22"/>
        </w:rPr>
        <w:t xml:space="preserve">the employer is exempt from </w:t>
      </w:r>
      <w:proofErr w:type="spellStart"/>
      <w:r w:rsidRPr="00C22DDD">
        <w:rPr>
          <w:sz w:val="22"/>
        </w:rPr>
        <w:t>FBT</w:t>
      </w:r>
      <w:proofErr w:type="spellEnd"/>
      <w:r w:rsidRPr="00C22DDD">
        <w:rPr>
          <w:sz w:val="22"/>
        </w:rPr>
        <w:t xml:space="preserve"> but the employee is not entitled to the </w:t>
      </w:r>
      <w:proofErr w:type="spellStart"/>
      <w:r w:rsidRPr="00C22DDD">
        <w:rPr>
          <w:sz w:val="22"/>
        </w:rPr>
        <w:t>CCB</w:t>
      </w:r>
      <w:proofErr w:type="spellEnd"/>
      <w:r w:rsidRPr="00C22DDD">
        <w:rPr>
          <w:sz w:val="22"/>
        </w:rPr>
        <w:t>/</w:t>
      </w:r>
      <w:proofErr w:type="spellStart"/>
      <w:r w:rsidRPr="00C22DDD">
        <w:rPr>
          <w:sz w:val="22"/>
        </w:rPr>
        <w:t>CCR</w:t>
      </w:r>
      <w:proofErr w:type="spellEnd"/>
      <w:r w:rsidRPr="00C22DDD">
        <w:rPr>
          <w:sz w:val="22"/>
        </w:rPr>
        <w:t>;</w:t>
      </w:r>
      <w:r>
        <w:rPr>
          <w:sz w:val="22"/>
        </w:rPr>
        <w:t xml:space="preserve"> or</w:t>
      </w:r>
    </w:p>
    <w:p w:rsidR="007F0DDF" w:rsidRDefault="007F0DDF" w:rsidP="007F0DDF">
      <w:pPr>
        <w:pStyle w:val="ListParagraph"/>
        <w:numPr>
          <w:ilvl w:val="0"/>
          <w:numId w:val="25"/>
        </w:numPr>
        <w:spacing w:after="0" w:line="240" w:lineRule="auto"/>
        <w:jc w:val="both"/>
        <w:rPr>
          <w:sz w:val="22"/>
        </w:rPr>
      </w:pPr>
      <w:r w:rsidRPr="00C22DDD">
        <w:rPr>
          <w:sz w:val="22"/>
        </w:rPr>
        <w:t xml:space="preserve">the employer is not exempt from </w:t>
      </w:r>
      <w:proofErr w:type="spellStart"/>
      <w:r w:rsidRPr="00C22DDD">
        <w:rPr>
          <w:sz w:val="22"/>
        </w:rPr>
        <w:t>FBT</w:t>
      </w:r>
      <w:proofErr w:type="spellEnd"/>
      <w:r w:rsidRPr="00C22DDD">
        <w:rPr>
          <w:sz w:val="22"/>
        </w:rPr>
        <w:t xml:space="preserve"> but the employee is entitled to the </w:t>
      </w:r>
      <w:proofErr w:type="spellStart"/>
      <w:r w:rsidRPr="00C22DDD">
        <w:rPr>
          <w:sz w:val="22"/>
        </w:rPr>
        <w:t>CCB</w:t>
      </w:r>
      <w:proofErr w:type="spellEnd"/>
      <w:r w:rsidRPr="00C22DDD">
        <w:rPr>
          <w:sz w:val="22"/>
        </w:rPr>
        <w:t>/</w:t>
      </w:r>
      <w:proofErr w:type="spellStart"/>
      <w:r w:rsidRPr="00C22DDD">
        <w:rPr>
          <w:sz w:val="22"/>
        </w:rPr>
        <w:t>CCR</w:t>
      </w:r>
      <w:proofErr w:type="spellEnd"/>
      <w:r w:rsidRPr="00C22DDD">
        <w:rPr>
          <w:sz w:val="22"/>
        </w:rPr>
        <w:t>.</w:t>
      </w:r>
    </w:p>
    <w:p w:rsidR="007F0DDF" w:rsidRDefault="007F0DDF" w:rsidP="007F0DDF">
      <w:pPr>
        <w:spacing w:after="0" w:line="240" w:lineRule="auto"/>
        <w:jc w:val="both"/>
        <w:rPr>
          <w:sz w:val="22"/>
        </w:rPr>
      </w:pPr>
    </w:p>
    <w:p w:rsidR="007F0DDF" w:rsidRDefault="007F0DDF" w:rsidP="007F0DDF">
      <w:pPr>
        <w:spacing w:after="0" w:line="240" w:lineRule="auto"/>
        <w:jc w:val="both"/>
        <w:rPr>
          <w:sz w:val="22"/>
        </w:rPr>
      </w:pPr>
      <w:r>
        <w:rPr>
          <w:sz w:val="22"/>
        </w:rPr>
        <w:t xml:space="preserve">The determining factor as to which outcome will apply in any given situation will usually be the exact terms of the particular salary sacrifice arrangement as to whether or not the parent retains the liability to the childcare fees. The employer’s </w:t>
      </w:r>
      <w:proofErr w:type="spellStart"/>
      <w:r>
        <w:rPr>
          <w:sz w:val="22"/>
        </w:rPr>
        <w:t>FBT</w:t>
      </w:r>
      <w:proofErr w:type="spellEnd"/>
      <w:r>
        <w:rPr>
          <w:sz w:val="22"/>
        </w:rPr>
        <w:t xml:space="preserve"> status flows from the same thing. </w:t>
      </w:r>
      <w:proofErr w:type="spellStart"/>
      <w:r>
        <w:rPr>
          <w:sz w:val="22"/>
        </w:rPr>
        <w:t>MMSG</w:t>
      </w:r>
      <w:proofErr w:type="spellEnd"/>
      <w:r>
        <w:rPr>
          <w:sz w:val="22"/>
        </w:rPr>
        <w:t xml:space="preserve"> submits that apart from being confusing for parents, it is </w:t>
      </w:r>
      <w:r>
        <w:rPr>
          <w:sz w:val="22"/>
        </w:rPr>
        <w:lastRenderedPageBreak/>
        <w:t>not justifiable to elevate differing outcomes under the transfer system and the tax system in this manner.</w:t>
      </w:r>
    </w:p>
    <w:p w:rsidR="007F0DDF" w:rsidRDefault="007F0DDF" w:rsidP="00F22E03">
      <w:pPr>
        <w:spacing w:after="0" w:line="240" w:lineRule="auto"/>
        <w:jc w:val="both"/>
        <w:rPr>
          <w:sz w:val="22"/>
        </w:rPr>
      </w:pPr>
    </w:p>
    <w:p w:rsidR="00F22E03" w:rsidRPr="006B18FF" w:rsidRDefault="00F22E03" w:rsidP="00F22E03">
      <w:pPr>
        <w:spacing w:after="0" w:line="240" w:lineRule="auto"/>
        <w:jc w:val="both"/>
        <w:rPr>
          <w:sz w:val="22"/>
          <w:szCs w:val="22"/>
        </w:rPr>
      </w:pPr>
      <w:r>
        <w:rPr>
          <w:sz w:val="22"/>
        </w:rPr>
        <w:t xml:space="preserve">In addition, </w:t>
      </w:r>
      <w:r w:rsidR="004330AE">
        <w:rPr>
          <w:sz w:val="22"/>
        </w:rPr>
        <w:t xml:space="preserve">it would appear that </w:t>
      </w:r>
      <w:r>
        <w:rPr>
          <w:sz w:val="22"/>
        </w:rPr>
        <w:t xml:space="preserve">the Henry Review based its conclusions on the unstated assumption that employers only provide childcare facilities to employees </w:t>
      </w:r>
      <w:r w:rsidRPr="004330AE">
        <w:rPr>
          <w:i/>
          <w:sz w:val="22"/>
        </w:rPr>
        <w:t>on</w:t>
      </w:r>
      <w:r w:rsidR="00356237" w:rsidRPr="004330AE">
        <w:rPr>
          <w:i/>
          <w:sz w:val="22"/>
        </w:rPr>
        <w:t xml:space="preserve"> a full-cost recovery basis</w:t>
      </w:r>
      <w:r w:rsidR="00356237">
        <w:rPr>
          <w:sz w:val="22"/>
        </w:rPr>
        <w:t>, but</w:t>
      </w:r>
      <w:r w:rsidR="00B52950">
        <w:rPr>
          <w:sz w:val="22"/>
        </w:rPr>
        <w:t xml:space="preserve"> as the earlier</w:t>
      </w:r>
      <w:r>
        <w:rPr>
          <w:sz w:val="22"/>
        </w:rPr>
        <w:t xml:space="preserve"> discussion under the heading </w:t>
      </w:r>
      <w:r w:rsidRPr="00764B46">
        <w:rPr>
          <w:color w:val="1F497D" w:themeColor="text2"/>
          <w:sz w:val="22"/>
          <w:szCs w:val="22"/>
        </w:rPr>
        <w:t>Market research into employers and childcare</w:t>
      </w:r>
      <w:r w:rsidR="00764B46">
        <w:rPr>
          <w:color w:val="1F497D" w:themeColor="text2"/>
          <w:sz w:val="22"/>
          <w:szCs w:val="22"/>
        </w:rPr>
        <w:t xml:space="preserve"> </w:t>
      </w:r>
      <w:r w:rsidR="00764B46">
        <w:rPr>
          <w:sz w:val="22"/>
          <w:szCs w:val="22"/>
        </w:rPr>
        <w:t>demons</w:t>
      </w:r>
      <w:r w:rsidR="00356237">
        <w:rPr>
          <w:sz w:val="22"/>
          <w:szCs w:val="22"/>
        </w:rPr>
        <w:t>trates, this is simply not the case</w:t>
      </w:r>
      <w:r w:rsidR="00764B46">
        <w:rPr>
          <w:sz w:val="22"/>
          <w:szCs w:val="22"/>
        </w:rPr>
        <w:t>.</w:t>
      </w:r>
    </w:p>
    <w:p w:rsidR="00B9445C" w:rsidRDefault="00B9445C" w:rsidP="006F038E">
      <w:pPr>
        <w:spacing w:after="0" w:line="240" w:lineRule="auto"/>
        <w:jc w:val="both"/>
        <w:rPr>
          <w:sz w:val="22"/>
        </w:rPr>
      </w:pPr>
    </w:p>
    <w:p w:rsidR="00275ECF" w:rsidRPr="001B56E8" w:rsidRDefault="00275ECF" w:rsidP="006F038E">
      <w:pPr>
        <w:spacing w:after="0" w:line="240" w:lineRule="auto"/>
        <w:jc w:val="both"/>
        <w:rPr>
          <w:b/>
          <w:i/>
          <w:color w:val="1F497D" w:themeColor="text2"/>
          <w:sz w:val="24"/>
        </w:rPr>
      </w:pPr>
      <w:r w:rsidRPr="001B56E8">
        <w:rPr>
          <w:b/>
          <w:i/>
          <w:color w:val="1F497D" w:themeColor="text2"/>
          <w:sz w:val="24"/>
        </w:rPr>
        <w:t>Tipping point</w:t>
      </w:r>
    </w:p>
    <w:p w:rsidR="0043407F" w:rsidRDefault="0043407F" w:rsidP="00B9445C">
      <w:pPr>
        <w:spacing w:after="0" w:line="240" w:lineRule="auto"/>
        <w:jc w:val="both"/>
        <w:rPr>
          <w:sz w:val="22"/>
        </w:rPr>
      </w:pPr>
    </w:p>
    <w:p w:rsidR="007F11F8" w:rsidRDefault="001E294D" w:rsidP="00B9445C">
      <w:pPr>
        <w:spacing w:after="0" w:line="240" w:lineRule="auto"/>
        <w:jc w:val="both"/>
        <w:rPr>
          <w:sz w:val="22"/>
        </w:rPr>
      </w:pPr>
      <w:r>
        <w:rPr>
          <w:sz w:val="22"/>
        </w:rPr>
        <w:t xml:space="preserve">Despite the </w:t>
      </w:r>
      <w:r w:rsidR="00A25935">
        <w:rPr>
          <w:sz w:val="22"/>
        </w:rPr>
        <w:t>issues</w:t>
      </w:r>
      <w:r>
        <w:rPr>
          <w:sz w:val="22"/>
        </w:rPr>
        <w:t xml:space="preserve"> </w:t>
      </w:r>
      <w:r w:rsidR="00A25935">
        <w:rPr>
          <w:sz w:val="22"/>
        </w:rPr>
        <w:t>arising from</w:t>
      </w:r>
      <w:r>
        <w:rPr>
          <w:sz w:val="22"/>
        </w:rPr>
        <w:t xml:space="preserve"> the Henry Review equating salary sacrificing with exempt employer-provided childcare</w:t>
      </w:r>
      <w:r w:rsidR="00A25935">
        <w:rPr>
          <w:sz w:val="22"/>
        </w:rPr>
        <w:t>,</w:t>
      </w:r>
      <w:r>
        <w:rPr>
          <w:sz w:val="22"/>
        </w:rPr>
        <w:t xml:space="preserve"> </w:t>
      </w:r>
      <w:r w:rsidR="00A25935">
        <w:rPr>
          <w:sz w:val="22"/>
        </w:rPr>
        <w:t>t</w:t>
      </w:r>
      <w:r w:rsidR="001B56E8">
        <w:rPr>
          <w:sz w:val="22"/>
        </w:rPr>
        <w:t xml:space="preserve">he </w:t>
      </w:r>
      <w:r w:rsidR="00F206D8">
        <w:rPr>
          <w:sz w:val="22"/>
        </w:rPr>
        <w:t>income level of $180,000 referr</w:t>
      </w:r>
      <w:r w:rsidR="00E76979">
        <w:rPr>
          <w:sz w:val="22"/>
        </w:rPr>
        <w:t>ed to by the Review</w:t>
      </w:r>
      <w:r w:rsidR="00F206D8">
        <w:rPr>
          <w:sz w:val="22"/>
        </w:rPr>
        <w:t xml:space="preserve"> </w:t>
      </w:r>
      <w:r w:rsidR="001B56E8">
        <w:rPr>
          <w:sz w:val="22"/>
        </w:rPr>
        <w:t>relates to a ‘tipping point’. This is the point at which the net cash outcome of a choice to salary sacrifice the cost of childcare becomes greater than a choice a pay for childcare out of after-tax</w:t>
      </w:r>
      <w:r w:rsidR="007F11F8">
        <w:rPr>
          <w:sz w:val="22"/>
        </w:rPr>
        <w:t xml:space="preserve"> salary instead and claim entitlements to the </w:t>
      </w:r>
      <w:proofErr w:type="spellStart"/>
      <w:r w:rsidR="007F11F8">
        <w:rPr>
          <w:sz w:val="22"/>
        </w:rPr>
        <w:t>CCB</w:t>
      </w:r>
      <w:proofErr w:type="spellEnd"/>
      <w:r w:rsidR="007F11F8">
        <w:rPr>
          <w:sz w:val="22"/>
        </w:rPr>
        <w:t>/</w:t>
      </w:r>
      <w:proofErr w:type="spellStart"/>
      <w:r w:rsidR="007F11F8">
        <w:rPr>
          <w:sz w:val="22"/>
        </w:rPr>
        <w:t>CCR</w:t>
      </w:r>
      <w:proofErr w:type="spellEnd"/>
      <w:r w:rsidR="007F11F8">
        <w:rPr>
          <w:sz w:val="22"/>
        </w:rPr>
        <w:t xml:space="preserve">. The figure of $180,000 cited by the Henry Review </w:t>
      </w:r>
      <w:r w:rsidR="00F206D8">
        <w:rPr>
          <w:sz w:val="22"/>
        </w:rPr>
        <w:t>is assumed to r</w:t>
      </w:r>
      <w:r w:rsidR="00E76979">
        <w:rPr>
          <w:sz w:val="22"/>
        </w:rPr>
        <w:t xml:space="preserve">elate to a single parent income, but again this was unstated. </w:t>
      </w:r>
    </w:p>
    <w:p w:rsidR="00E65449" w:rsidRDefault="00E65449" w:rsidP="00B9445C">
      <w:pPr>
        <w:spacing w:after="0" w:line="240" w:lineRule="auto"/>
        <w:jc w:val="both"/>
        <w:rPr>
          <w:sz w:val="22"/>
        </w:rPr>
      </w:pPr>
    </w:p>
    <w:p w:rsidR="00E65449" w:rsidRDefault="00E65449" w:rsidP="00B9445C">
      <w:pPr>
        <w:spacing w:after="0" w:line="240" w:lineRule="auto"/>
        <w:jc w:val="both"/>
        <w:rPr>
          <w:sz w:val="22"/>
        </w:rPr>
      </w:pPr>
      <w:r>
        <w:rPr>
          <w:sz w:val="22"/>
        </w:rPr>
        <w:t xml:space="preserve">The tipping point’s relevance is that the perception prevails that parents earning incomes above it obtain “a greater level of assistance” than the </w:t>
      </w:r>
      <w:proofErr w:type="spellStart"/>
      <w:r>
        <w:rPr>
          <w:sz w:val="22"/>
        </w:rPr>
        <w:t>CCR</w:t>
      </w:r>
      <w:proofErr w:type="spellEnd"/>
      <w:r>
        <w:rPr>
          <w:sz w:val="22"/>
        </w:rPr>
        <w:t xml:space="preserve"> by virtue salary sacrificing the full cost of employer-provided </w:t>
      </w:r>
      <w:proofErr w:type="spellStart"/>
      <w:r w:rsidR="00DB006E">
        <w:rPr>
          <w:sz w:val="22"/>
        </w:rPr>
        <w:t>FBT</w:t>
      </w:r>
      <w:proofErr w:type="spellEnd"/>
      <w:r w:rsidR="00DB006E">
        <w:rPr>
          <w:sz w:val="22"/>
        </w:rPr>
        <w:t>-exempt childcare, but that this group of taxpayers is small.</w:t>
      </w:r>
      <w:r w:rsidR="00DB006E">
        <w:rPr>
          <w:rStyle w:val="FootnoteReference"/>
        </w:rPr>
        <w:footnoteReference w:id="26"/>
      </w:r>
    </w:p>
    <w:p w:rsidR="00A25935" w:rsidRDefault="00A25935" w:rsidP="00B9445C">
      <w:pPr>
        <w:spacing w:after="0" w:line="240" w:lineRule="auto"/>
        <w:jc w:val="both"/>
        <w:rPr>
          <w:sz w:val="22"/>
        </w:rPr>
      </w:pPr>
    </w:p>
    <w:p w:rsidR="00E76979" w:rsidRDefault="00E76979" w:rsidP="00B9445C">
      <w:pPr>
        <w:spacing w:after="0" w:line="240" w:lineRule="auto"/>
        <w:jc w:val="both"/>
        <w:rPr>
          <w:sz w:val="22"/>
        </w:rPr>
      </w:pPr>
      <w:r>
        <w:rPr>
          <w:sz w:val="22"/>
        </w:rPr>
        <w:t xml:space="preserve">Modelling performed for </w:t>
      </w:r>
      <w:proofErr w:type="spellStart"/>
      <w:r>
        <w:rPr>
          <w:sz w:val="22"/>
        </w:rPr>
        <w:t>MMSG</w:t>
      </w:r>
      <w:proofErr w:type="spellEnd"/>
      <w:r>
        <w:rPr>
          <w:sz w:val="22"/>
        </w:rPr>
        <w:t xml:space="preserve"> by PwC for the purposes of this submission</w:t>
      </w:r>
      <w:r w:rsidR="00E70235">
        <w:rPr>
          <w:sz w:val="22"/>
        </w:rPr>
        <w:t xml:space="preserve"> suggests </w:t>
      </w:r>
      <w:r w:rsidR="00CC39E1">
        <w:rPr>
          <w:sz w:val="22"/>
        </w:rPr>
        <w:t>the following alternate income ‘tipping points’</w:t>
      </w:r>
      <w:r w:rsidR="00E70235">
        <w:rPr>
          <w:sz w:val="22"/>
        </w:rPr>
        <w:t>:</w:t>
      </w:r>
    </w:p>
    <w:p w:rsidR="00231509" w:rsidRDefault="00231509" w:rsidP="00B9445C">
      <w:pPr>
        <w:spacing w:after="0" w:line="240" w:lineRule="auto"/>
        <w:jc w:val="both"/>
        <w:rPr>
          <w:sz w:val="22"/>
        </w:rPr>
      </w:pPr>
    </w:p>
    <w:p w:rsidR="00623C21" w:rsidRPr="00643846" w:rsidRDefault="00074D43" w:rsidP="00B9445C">
      <w:pPr>
        <w:spacing w:after="0" w:line="240" w:lineRule="auto"/>
        <w:jc w:val="both"/>
        <w:rPr>
          <w:rFonts w:asciiTheme="minorHAnsi" w:hAnsiTheme="minorHAnsi" w:cs="Arial"/>
          <w:b/>
          <w:sz w:val="20"/>
          <w:szCs w:val="20"/>
        </w:rPr>
      </w:pPr>
      <w:r w:rsidRPr="00643846">
        <w:rPr>
          <w:rFonts w:asciiTheme="minorHAnsi" w:hAnsiTheme="minorHAnsi" w:cs="Arial"/>
          <w:b/>
          <w:noProof/>
          <w:sz w:val="20"/>
          <w:szCs w:val="20"/>
          <w:lang w:eastAsia="en-AU"/>
        </w:rPr>
        <w:drawing>
          <wp:anchor distT="0" distB="0" distL="114300" distR="114300" simplePos="0" relativeHeight="251660288" behindDoc="0" locked="0" layoutInCell="1" allowOverlap="1">
            <wp:simplePos x="0" y="0"/>
            <wp:positionH relativeFrom="column">
              <wp:posOffset>-25400</wp:posOffset>
            </wp:positionH>
            <wp:positionV relativeFrom="paragraph">
              <wp:posOffset>163830</wp:posOffset>
            </wp:positionV>
            <wp:extent cx="5070475" cy="1276350"/>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24858" t="49848" r="24022" b="27950"/>
                    <a:stretch>
                      <a:fillRect/>
                    </a:stretch>
                  </pic:blipFill>
                  <pic:spPr bwMode="auto">
                    <a:xfrm>
                      <a:off x="0" y="0"/>
                      <a:ext cx="5070475" cy="1276350"/>
                    </a:xfrm>
                    <a:prstGeom prst="rect">
                      <a:avLst/>
                    </a:prstGeom>
                    <a:noFill/>
                    <a:ln w="9525">
                      <a:noFill/>
                      <a:miter lim="800000"/>
                      <a:headEnd/>
                      <a:tailEnd/>
                    </a:ln>
                  </pic:spPr>
                </pic:pic>
              </a:graphicData>
            </a:graphic>
          </wp:anchor>
        </w:drawing>
      </w:r>
      <w:r w:rsidR="00623C21" w:rsidRPr="00643846">
        <w:rPr>
          <w:rFonts w:asciiTheme="minorHAnsi" w:hAnsiTheme="minorHAnsi" w:cs="Arial"/>
          <w:b/>
          <w:sz w:val="20"/>
          <w:szCs w:val="20"/>
        </w:rPr>
        <w:t>Tipping points for family and single incomes</w:t>
      </w:r>
    </w:p>
    <w:p w:rsidR="00AF27A9" w:rsidRDefault="00AF27A9" w:rsidP="00CB3C72">
      <w:pPr>
        <w:spacing w:after="0" w:line="240" w:lineRule="auto"/>
        <w:jc w:val="center"/>
        <w:rPr>
          <w:sz w:val="22"/>
        </w:rPr>
      </w:pPr>
    </w:p>
    <w:p w:rsidR="007F11F8" w:rsidRDefault="009E154E" w:rsidP="00B9445C">
      <w:pPr>
        <w:spacing w:after="0" w:line="240" w:lineRule="auto"/>
        <w:jc w:val="both"/>
        <w:rPr>
          <w:sz w:val="22"/>
        </w:rPr>
      </w:pPr>
      <w:r>
        <w:rPr>
          <w:sz w:val="22"/>
        </w:rPr>
        <w:t xml:space="preserve">Those thresholds were based </w:t>
      </w:r>
      <w:r w:rsidR="00403880">
        <w:rPr>
          <w:sz w:val="22"/>
        </w:rPr>
        <w:t xml:space="preserve">by PwC </w:t>
      </w:r>
      <w:r>
        <w:rPr>
          <w:sz w:val="22"/>
        </w:rPr>
        <w:t>on childcare usage of 5 days per week (50 hours per week), 48 weeks per year at costs slightly above the average</w:t>
      </w:r>
      <w:r w:rsidR="00403880">
        <w:rPr>
          <w:sz w:val="22"/>
        </w:rPr>
        <w:t xml:space="preserve"> cost in NSW of $8.50 per hour.</w:t>
      </w:r>
    </w:p>
    <w:p w:rsidR="007F11F8" w:rsidRDefault="00723FD3" w:rsidP="00B9445C">
      <w:pPr>
        <w:spacing w:after="0" w:line="240" w:lineRule="auto"/>
        <w:jc w:val="both"/>
        <w:rPr>
          <w:sz w:val="22"/>
        </w:rPr>
      </w:pPr>
      <w:r>
        <w:rPr>
          <w:noProof/>
          <w:sz w:val="22"/>
          <w:lang w:eastAsia="en-AU"/>
        </w:rPr>
        <w:pict>
          <v:rect id="_x0000_s1027" style="position:absolute;left:0;text-align:left;margin-left:250.25pt;margin-top:-8.5pt;width:177.4pt;height:100.25pt;rotation:-360;z-index:251665408;mso-width-percent:330;mso-position-vertical:absolute;mso-width-percent:330" wrapcoords="2206 -4259 2114 -3803 2206 16885 2298 17037 23898 16885 23898 -4411 2206 -4259" o:allowincell="f" fillcolor="#a7bfde [1620]" stroked="f">
            <v:fill opacity="13107f"/>
            <v:imagedata embosscolor="shadow add(51)"/>
            <v:shadow on="t" color="#d4cfb3 [2734]" opacity=".5" offset="19pt,-21pt" offset2="26pt,-30pt"/>
            <v:textbox style="mso-next-textbox:#_x0000_s1027" inset="28.8pt,7.2pt,14.4pt,28.8pt">
              <w:txbxContent>
                <w:p w:rsidR="00AE0D7A" w:rsidRDefault="00AE0D7A" w:rsidP="002E30FA">
                  <w:pPr>
                    <w:rPr>
                      <w:i/>
                      <w:iCs/>
                      <w:color w:val="1F497D" w:themeColor="text2"/>
                      <w:sz w:val="28"/>
                      <w:szCs w:val="28"/>
                    </w:rPr>
                  </w:pPr>
                  <w:r w:rsidRPr="00D86A6A">
                    <w:rPr>
                      <w:sz w:val="22"/>
                    </w:rPr>
                    <w:t xml:space="preserve">Fees for childcare are edging towards $170 per day.” </w:t>
                  </w:r>
                  <w:r w:rsidRPr="00D86A6A">
                    <w:rPr>
                      <w:sz w:val="18"/>
                      <w:szCs w:val="18"/>
                    </w:rPr>
                    <w:t xml:space="preserve">Source: </w:t>
                  </w:r>
                  <w:r w:rsidRPr="00D86A6A">
                    <w:rPr>
                      <w:i/>
                      <w:sz w:val="18"/>
                      <w:szCs w:val="18"/>
                    </w:rPr>
                    <w:t>Sydney Morning Herald</w:t>
                  </w:r>
                  <w:r w:rsidR="007C30D6">
                    <w:rPr>
                      <w:sz w:val="18"/>
                      <w:szCs w:val="18"/>
                    </w:rPr>
                    <w:t>, 9 February 2014</w:t>
                  </w:r>
                </w:p>
              </w:txbxContent>
            </v:textbox>
            <w10:wrap type="square"/>
          </v:rect>
        </w:pict>
      </w:r>
    </w:p>
    <w:p w:rsidR="00876D06" w:rsidRDefault="007F11F8" w:rsidP="00B9445C">
      <w:pPr>
        <w:spacing w:after="0" w:line="240" w:lineRule="auto"/>
        <w:jc w:val="both"/>
        <w:rPr>
          <w:sz w:val="22"/>
        </w:rPr>
      </w:pPr>
      <w:r>
        <w:rPr>
          <w:sz w:val="22"/>
        </w:rPr>
        <w:t>However, m</w:t>
      </w:r>
      <w:r w:rsidR="00F206D8">
        <w:rPr>
          <w:sz w:val="22"/>
        </w:rPr>
        <w:t>etropolitan childcare costs</w:t>
      </w:r>
      <w:r w:rsidR="00361603">
        <w:rPr>
          <w:sz w:val="22"/>
        </w:rPr>
        <w:t>, particularly in Sydney,</w:t>
      </w:r>
      <w:r w:rsidR="00876D06">
        <w:rPr>
          <w:sz w:val="22"/>
        </w:rPr>
        <w:t xml:space="preserve"> can be in the range of $120 to $160 per day per child</w:t>
      </w:r>
      <w:r w:rsidR="00DF0890">
        <w:rPr>
          <w:sz w:val="22"/>
        </w:rPr>
        <w:t xml:space="preserve"> and more</w:t>
      </w:r>
      <w:r w:rsidR="00876D06">
        <w:rPr>
          <w:sz w:val="22"/>
        </w:rPr>
        <w:t>, depending on the suburb and the provider,</w:t>
      </w:r>
      <w:r w:rsidR="00361603">
        <w:rPr>
          <w:sz w:val="22"/>
        </w:rPr>
        <w:t xml:space="preserve"> and therefore the gap between the maximum </w:t>
      </w:r>
      <w:proofErr w:type="spellStart"/>
      <w:r w:rsidR="00361603">
        <w:rPr>
          <w:sz w:val="22"/>
        </w:rPr>
        <w:t>CCR</w:t>
      </w:r>
      <w:proofErr w:type="spellEnd"/>
      <w:r w:rsidR="00361603">
        <w:rPr>
          <w:sz w:val="22"/>
        </w:rPr>
        <w:t xml:space="preserve"> amount of $7,500 and total childcare costs is increasing for a lot of parents.</w:t>
      </w:r>
      <w:r w:rsidR="00FB5308">
        <w:rPr>
          <w:rStyle w:val="FootnoteReference"/>
        </w:rPr>
        <w:footnoteReference w:id="27"/>
      </w:r>
    </w:p>
    <w:p w:rsidR="0071637B" w:rsidRDefault="00C23B68" w:rsidP="006F038E">
      <w:pPr>
        <w:spacing w:after="0" w:line="240" w:lineRule="auto"/>
        <w:jc w:val="both"/>
        <w:rPr>
          <w:sz w:val="22"/>
        </w:rPr>
      </w:pPr>
      <w:r>
        <w:rPr>
          <w:sz w:val="22"/>
        </w:rPr>
        <w:lastRenderedPageBreak/>
        <w:t xml:space="preserve">Thus, PwC’s modelling shows the </w:t>
      </w:r>
      <w:r w:rsidR="00A321DE">
        <w:rPr>
          <w:sz w:val="22"/>
        </w:rPr>
        <w:t>tipping points for such high levels of childcare fees are between $75,000 and $100,000:</w:t>
      </w:r>
    </w:p>
    <w:p w:rsidR="00373A30" w:rsidRDefault="00373A30" w:rsidP="006F038E">
      <w:pPr>
        <w:spacing w:after="0" w:line="240" w:lineRule="auto"/>
        <w:jc w:val="both"/>
        <w:rPr>
          <w:sz w:val="22"/>
        </w:rPr>
      </w:pPr>
    </w:p>
    <w:p w:rsidR="00B9445C" w:rsidRDefault="001F6F29" w:rsidP="006F038E">
      <w:pPr>
        <w:spacing w:after="0" w:line="240" w:lineRule="auto"/>
        <w:jc w:val="both"/>
        <w:rPr>
          <w:sz w:val="22"/>
        </w:rPr>
      </w:pPr>
      <w:r>
        <w:rPr>
          <w:noProof/>
          <w:sz w:val="22"/>
          <w:lang w:eastAsia="en-AU"/>
        </w:rPr>
        <w:drawing>
          <wp:anchor distT="0" distB="0" distL="114300" distR="114300" simplePos="0" relativeHeight="251662336" behindDoc="0" locked="0" layoutInCell="1" allowOverlap="1">
            <wp:simplePos x="0" y="0"/>
            <wp:positionH relativeFrom="column">
              <wp:posOffset>-16474</wp:posOffset>
            </wp:positionH>
            <wp:positionV relativeFrom="paragraph">
              <wp:posOffset>84120</wp:posOffset>
            </wp:positionV>
            <wp:extent cx="5044656" cy="2674188"/>
            <wp:effectExtent l="19050" t="0" r="22644" b="0"/>
            <wp:wrapNone/>
            <wp:docPr id="7"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1F6F29" w:rsidRDefault="001F6F29" w:rsidP="006F038E">
      <w:pPr>
        <w:spacing w:after="0" w:line="240" w:lineRule="auto"/>
        <w:jc w:val="both"/>
        <w:rPr>
          <w:sz w:val="22"/>
        </w:rPr>
      </w:pPr>
    </w:p>
    <w:p w:rsidR="00B9445C" w:rsidRDefault="006B18FF" w:rsidP="006F038E">
      <w:pPr>
        <w:spacing w:after="0" w:line="240" w:lineRule="auto"/>
        <w:jc w:val="both"/>
        <w:rPr>
          <w:sz w:val="22"/>
        </w:rPr>
      </w:pPr>
      <w:r>
        <w:rPr>
          <w:sz w:val="22"/>
        </w:rPr>
        <w:t xml:space="preserve">Most employees do not salary sacrifice their child care costs, either preferring to incur them on an after-tax basis given the </w:t>
      </w:r>
      <w:r w:rsidR="000B0050">
        <w:rPr>
          <w:sz w:val="22"/>
        </w:rPr>
        <w:t xml:space="preserve">maximum </w:t>
      </w:r>
      <w:proofErr w:type="spellStart"/>
      <w:r w:rsidR="000B0050">
        <w:rPr>
          <w:sz w:val="22"/>
        </w:rPr>
        <w:t>CCR</w:t>
      </w:r>
      <w:proofErr w:type="spellEnd"/>
      <w:r w:rsidR="000B0050">
        <w:rPr>
          <w:sz w:val="22"/>
        </w:rPr>
        <w:t xml:space="preserve"> amount potentially payable or because their employer is not providing childcare facilities on a salary-sacrifice basis. More likely, however, as the following discussion</w:t>
      </w:r>
      <w:r w:rsidR="005F7CA7">
        <w:rPr>
          <w:sz w:val="22"/>
        </w:rPr>
        <w:t>s</w:t>
      </w:r>
      <w:r w:rsidR="000B0050">
        <w:rPr>
          <w:sz w:val="22"/>
        </w:rPr>
        <w:t xml:space="preserve"> demonstr</w:t>
      </w:r>
      <w:r w:rsidR="005F7CA7">
        <w:rPr>
          <w:sz w:val="22"/>
        </w:rPr>
        <w:t>ate</w:t>
      </w:r>
      <w:r w:rsidR="000B0050">
        <w:rPr>
          <w:sz w:val="22"/>
        </w:rPr>
        <w:t>, the employer is simply not providing childcare facilities or support of any kind.</w:t>
      </w:r>
    </w:p>
    <w:p w:rsidR="008C0585" w:rsidRDefault="008C0585" w:rsidP="006F038E">
      <w:pPr>
        <w:spacing w:after="0" w:line="240" w:lineRule="auto"/>
        <w:jc w:val="both"/>
        <w:rPr>
          <w:sz w:val="22"/>
        </w:rPr>
      </w:pPr>
    </w:p>
    <w:p w:rsidR="006F038E" w:rsidRPr="001562A0" w:rsidRDefault="00D536E3" w:rsidP="006F038E">
      <w:pPr>
        <w:spacing w:after="0" w:line="240" w:lineRule="auto"/>
        <w:jc w:val="both"/>
        <w:rPr>
          <w:b/>
          <w:color w:val="1F497D" w:themeColor="text2"/>
          <w:sz w:val="32"/>
          <w:szCs w:val="32"/>
        </w:rPr>
      </w:pPr>
      <w:r>
        <w:rPr>
          <w:b/>
          <w:color w:val="1F497D" w:themeColor="text2"/>
          <w:sz w:val="32"/>
          <w:szCs w:val="32"/>
        </w:rPr>
        <w:t>Recommendations</w:t>
      </w:r>
      <w:r w:rsidR="00B0174C">
        <w:rPr>
          <w:b/>
          <w:color w:val="1F497D" w:themeColor="text2"/>
          <w:sz w:val="32"/>
          <w:szCs w:val="32"/>
        </w:rPr>
        <w:t xml:space="preserve"> in detail</w:t>
      </w:r>
    </w:p>
    <w:p w:rsidR="006F038E" w:rsidRPr="00C07B04" w:rsidRDefault="006F038E" w:rsidP="006F038E">
      <w:pPr>
        <w:spacing w:after="0" w:line="240" w:lineRule="auto"/>
        <w:jc w:val="both"/>
        <w:rPr>
          <w:sz w:val="22"/>
        </w:rPr>
      </w:pPr>
    </w:p>
    <w:p w:rsidR="00A2282C" w:rsidRPr="00C07B04" w:rsidRDefault="00A2282C" w:rsidP="006F038E">
      <w:pPr>
        <w:spacing w:after="0" w:line="240" w:lineRule="auto"/>
        <w:jc w:val="both"/>
        <w:rPr>
          <w:sz w:val="22"/>
        </w:rPr>
      </w:pPr>
      <w:r w:rsidRPr="00C07B04">
        <w:rPr>
          <w:sz w:val="22"/>
        </w:rPr>
        <w:t xml:space="preserve">The focus of </w:t>
      </w:r>
      <w:proofErr w:type="spellStart"/>
      <w:r w:rsidRPr="00C07B04">
        <w:rPr>
          <w:sz w:val="22"/>
        </w:rPr>
        <w:t>MMSG’s</w:t>
      </w:r>
      <w:proofErr w:type="spellEnd"/>
      <w:r w:rsidRPr="00C07B04">
        <w:rPr>
          <w:sz w:val="22"/>
        </w:rPr>
        <w:t xml:space="preserve"> submission is the role played by the transfer system and the tax system in the support of childcare in Australia, and the dysfunctional connections between the two. The discussions above highlight specific issues that inhibit childcare support and </w:t>
      </w:r>
      <w:r w:rsidR="007A1A0F" w:rsidRPr="00C07B04">
        <w:rPr>
          <w:sz w:val="22"/>
        </w:rPr>
        <w:t>therefore participation by parents.</w:t>
      </w:r>
    </w:p>
    <w:p w:rsidR="007A1A0F" w:rsidRPr="00C07B04" w:rsidRDefault="007A1A0F" w:rsidP="006F038E">
      <w:pPr>
        <w:spacing w:after="0" w:line="240" w:lineRule="auto"/>
        <w:jc w:val="both"/>
        <w:rPr>
          <w:sz w:val="22"/>
        </w:rPr>
      </w:pPr>
    </w:p>
    <w:p w:rsidR="007A1A0F" w:rsidRPr="00C07B04" w:rsidRDefault="007A1A0F" w:rsidP="006F038E">
      <w:pPr>
        <w:spacing w:after="0" w:line="240" w:lineRule="auto"/>
        <w:jc w:val="both"/>
        <w:rPr>
          <w:sz w:val="22"/>
        </w:rPr>
      </w:pPr>
      <w:r w:rsidRPr="00C07B04">
        <w:rPr>
          <w:sz w:val="22"/>
        </w:rPr>
        <w:t xml:space="preserve">The </w:t>
      </w:r>
      <w:r w:rsidR="00C07B04" w:rsidRPr="00C07B04">
        <w:rPr>
          <w:sz w:val="22"/>
        </w:rPr>
        <w:t xml:space="preserve">recommendations made </w:t>
      </w:r>
      <w:r w:rsidR="00C07B04">
        <w:rPr>
          <w:sz w:val="22"/>
        </w:rPr>
        <w:t xml:space="preserve">by </w:t>
      </w:r>
      <w:proofErr w:type="spellStart"/>
      <w:r w:rsidR="00C07B04">
        <w:rPr>
          <w:sz w:val="22"/>
        </w:rPr>
        <w:t>MMSG</w:t>
      </w:r>
      <w:proofErr w:type="spellEnd"/>
      <w:r w:rsidR="00C07B04">
        <w:rPr>
          <w:sz w:val="22"/>
        </w:rPr>
        <w:t xml:space="preserve"> and discussed below are designed to overcome those problems. They are neither novel nor new, and indeed are variously supported by other organisations and reviews, including other submissions to the Inquiry.</w:t>
      </w:r>
      <w:r w:rsidR="006829DE">
        <w:rPr>
          <w:sz w:val="22"/>
        </w:rPr>
        <w:t xml:space="preserve"> Above all, </w:t>
      </w:r>
      <w:proofErr w:type="spellStart"/>
      <w:r w:rsidR="006829DE">
        <w:rPr>
          <w:sz w:val="22"/>
        </w:rPr>
        <w:t>MMSG’s</w:t>
      </w:r>
      <w:proofErr w:type="spellEnd"/>
      <w:r w:rsidR="006829DE">
        <w:rPr>
          <w:sz w:val="22"/>
        </w:rPr>
        <w:t xml:space="preserve"> recommendations are intended to </w:t>
      </w:r>
      <w:r w:rsidR="00552220">
        <w:rPr>
          <w:sz w:val="22"/>
        </w:rPr>
        <w:t xml:space="preserve">enhance the childcare choices available to Australian families, </w:t>
      </w:r>
      <w:r w:rsidR="00552220" w:rsidRPr="00FB1950">
        <w:rPr>
          <w:sz w:val="22"/>
        </w:rPr>
        <w:t>improve the level of participation of women in the workforce, and parents generally, whilst at the same time provide greater encouragement for employers to provide childcare benefits to their employees</w:t>
      </w:r>
      <w:r w:rsidR="00552220">
        <w:rPr>
          <w:sz w:val="22"/>
        </w:rPr>
        <w:t>.</w:t>
      </w:r>
    </w:p>
    <w:p w:rsidR="00A2282C" w:rsidRPr="00C07B04" w:rsidRDefault="00A2282C" w:rsidP="006F038E">
      <w:pPr>
        <w:spacing w:after="0" w:line="240" w:lineRule="auto"/>
        <w:jc w:val="both"/>
        <w:rPr>
          <w:sz w:val="22"/>
        </w:rPr>
      </w:pPr>
    </w:p>
    <w:p w:rsidR="00A2282C" w:rsidRPr="002B3D36" w:rsidRDefault="00C07B04" w:rsidP="006F038E">
      <w:pPr>
        <w:spacing w:after="0" w:line="240" w:lineRule="auto"/>
        <w:jc w:val="both"/>
        <w:rPr>
          <w:b/>
          <w:i/>
          <w:color w:val="1F497D" w:themeColor="text2"/>
          <w:sz w:val="24"/>
        </w:rPr>
      </w:pPr>
      <w:r w:rsidRPr="002B3D36">
        <w:rPr>
          <w:b/>
          <w:i/>
          <w:color w:val="1F497D" w:themeColor="text2"/>
          <w:sz w:val="24"/>
        </w:rPr>
        <w:t xml:space="preserve">Merge </w:t>
      </w:r>
      <w:proofErr w:type="spellStart"/>
      <w:r w:rsidRPr="002B3D36">
        <w:rPr>
          <w:b/>
          <w:i/>
          <w:color w:val="1F497D" w:themeColor="text2"/>
          <w:sz w:val="24"/>
        </w:rPr>
        <w:t>CCB</w:t>
      </w:r>
      <w:proofErr w:type="spellEnd"/>
      <w:r w:rsidRPr="002B3D36">
        <w:rPr>
          <w:b/>
          <w:i/>
          <w:color w:val="1F497D" w:themeColor="text2"/>
          <w:sz w:val="24"/>
        </w:rPr>
        <w:t xml:space="preserve"> and </w:t>
      </w:r>
      <w:proofErr w:type="spellStart"/>
      <w:r w:rsidRPr="002B3D36">
        <w:rPr>
          <w:b/>
          <w:i/>
          <w:color w:val="1F497D" w:themeColor="text2"/>
          <w:sz w:val="24"/>
        </w:rPr>
        <w:t>CCR</w:t>
      </w:r>
      <w:proofErr w:type="spellEnd"/>
    </w:p>
    <w:p w:rsidR="00A2282C" w:rsidRPr="00C07B04" w:rsidRDefault="00A2282C" w:rsidP="006F038E">
      <w:pPr>
        <w:spacing w:after="0" w:line="240" w:lineRule="auto"/>
        <w:jc w:val="both"/>
        <w:rPr>
          <w:sz w:val="22"/>
        </w:rPr>
      </w:pPr>
    </w:p>
    <w:p w:rsidR="00552220" w:rsidRDefault="009904A2" w:rsidP="006A6764">
      <w:pPr>
        <w:spacing w:after="0" w:line="240" w:lineRule="auto"/>
        <w:jc w:val="both"/>
        <w:rPr>
          <w:sz w:val="22"/>
        </w:rPr>
      </w:pPr>
      <w:proofErr w:type="spellStart"/>
      <w:r>
        <w:rPr>
          <w:sz w:val="22"/>
        </w:rPr>
        <w:t>MMSG</w:t>
      </w:r>
      <w:proofErr w:type="spellEnd"/>
      <w:r>
        <w:rPr>
          <w:sz w:val="22"/>
        </w:rPr>
        <w:t xml:space="preserve"> recommends that the </w:t>
      </w:r>
      <w:proofErr w:type="spellStart"/>
      <w:r>
        <w:rPr>
          <w:sz w:val="22"/>
        </w:rPr>
        <w:t>CCB</w:t>
      </w:r>
      <w:proofErr w:type="spellEnd"/>
      <w:r>
        <w:rPr>
          <w:sz w:val="22"/>
        </w:rPr>
        <w:t xml:space="preserve"> and the </w:t>
      </w:r>
      <w:proofErr w:type="spellStart"/>
      <w:r>
        <w:rPr>
          <w:sz w:val="22"/>
        </w:rPr>
        <w:t>CCR</w:t>
      </w:r>
      <w:proofErr w:type="spellEnd"/>
      <w:r>
        <w:rPr>
          <w:sz w:val="22"/>
        </w:rPr>
        <w:t xml:space="preserve"> be merged or replaced with a single support payment.</w:t>
      </w:r>
      <w:r w:rsidR="00824725">
        <w:rPr>
          <w:sz w:val="22"/>
        </w:rPr>
        <w:t xml:space="preserve"> </w:t>
      </w:r>
      <w:r w:rsidR="00552220">
        <w:rPr>
          <w:sz w:val="22"/>
        </w:rPr>
        <w:t>This will overcome the complexities and confusi</w:t>
      </w:r>
      <w:r w:rsidR="006439EF">
        <w:rPr>
          <w:sz w:val="22"/>
        </w:rPr>
        <w:t>on surrounding the two existing</w:t>
      </w:r>
      <w:r w:rsidR="00552220">
        <w:rPr>
          <w:sz w:val="22"/>
        </w:rPr>
        <w:t xml:space="preserve"> transfer payments discussed earlier in our submission, be administratively </w:t>
      </w:r>
      <w:r w:rsidR="00552220">
        <w:rPr>
          <w:sz w:val="22"/>
        </w:rPr>
        <w:lastRenderedPageBreak/>
        <w:t xml:space="preserve">easier to process, monitor and control, and </w:t>
      </w:r>
      <w:r w:rsidR="008667DA">
        <w:rPr>
          <w:sz w:val="22"/>
        </w:rPr>
        <w:t>make transfer entitlements more accessible to those parents currently entitled to receive benefits but not currently claiming them.</w:t>
      </w:r>
    </w:p>
    <w:p w:rsidR="00552220" w:rsidRDefault="00552220" w:rsidP="006A6764">
      <w:pPr>
        <w:spacing w:after="0" w:line="240" w:lineRule="auto"/>
        <w:jc w:val="both"/>
        <w:rPr>
          <w:sz w:val="22"/>
        </w:rPr>
      </w:pPr>
    </w:p>
    <w:p w:rsidR="00495C32" w:rsidRPr="00495C32" w:rsidRDefault="00E344C3" w:rsidP="00495C32">
      <w:pPr>
        <w:spacing w:after="0" w:line="240" w:lineRule="auto"/>
        <w:jc w:val="both"/>
        <w:rPr>
          <w:sz w:val="22"/>
          <w:szCs w:val="22"/>
        </w:rPr>
      </w:pPr>
      <w:r>
        <w:rPr>
          <w:sz w:val="22"/>
          <w:szCs w:val="22"/>
        </w:rPr>
        <w:t xml:space="preserve">A merged </w:t>
      </w:r>
      <w:proofErr w:type="spellStart"/>
      <w:r>
        <w:rPr>
          <w:sz w:val="22"/>
          <w:szCs w:val="22"/>
        </w:rPr>
        <w:t>CCB</w:t>
      </w:r>
      <w:proofErr w:type="spellEnd"/>
      <w:r>
        <w:rPr>
          <w:sz w:val="22"/>
          <w:szCs w:val="22"/>
        </w:rPr>
        <w:t>/</w:t>
      </w:r>
      <w:proofErr w:type="spellStart"/>
      <w:r>
        <w:rPr>
          <w:sz w:val="22"/>
          <w:szCs w:val="22"/>
        </w:rPr>
        <w:t>CCR</w:t>
      </w:r>
      <w:proofErr w:type="spellEnd"/>
      <w:r>
        <w:rPr>
          <w:sz w:val="22"/>
          <w:szCs w:val="22"/>
        </w:rPr>
        <w:t xml:space="preserve"> system would be better targeted to support families in need, mainly disadvantaged families and families deriving low incomes. A single support payment would be more accessible and streamlined, and thus more efficiently directed, both in terms of funds and timing.</w:t>
      </w:r>
    </w:p>
    <w:p w:rsidR="00495C32" w:rsidRDefault="00495C32" w:rsidP="006A6764">
      <w:pPr>
        <w:spacing w:after="0" w:line="240" w:lineRule="auto"/>
        <w:jc w:val="both"/>
        <w:rPr>
          <w:sz w:val="22"/>
        </w:rPr>
      </w:pPr>
    </w:p>
    <w:p w:rsidR="006A6764" w:rsidRDefault="00263B2D" w:rsidP="006A6764">
      <w:pPr>
        <w:spacing w:after="0" w:line="240" w:lineRule="auto"/>
        <w:jc w:val="both"/>
        <w:rPr>
          <w:sz w:val="22"/>
        </w:rPr>
      </w:pPr>
      <w:r>
        <w:rPr>
          <w:sz w:val="22"/>
        </w:rPr>
        <w:t>This proposal was originally recommended by the Henry Review.</w:t>
      </w:r>
      <w:r>
        <w:rPr>
          <w:rStyle w:val="FootnoteReference"/>
        </w:rPr>
        <w:footnoteReference w:id="28"/>
      </w:r>
      <w:r>
        <w:rPr>
          <w:sz w:val="22"/>
        </w:rPr>
        <w:t xml:space="preserve"> </w:t>
      </w:r>
      <w:r w:rsidR="00824725">
        <w:rPr>
          <w:sz w:val="22"/>
        </w:rPr>
        <w:t>As concluded</w:t>
      </w:r>
      <w:r w:rsidR="00A867D6">
        <w:rPr>
          <w:sz w:val="22"/>
        </w:rPr>
        <w:t xml:space="preserve"> by the </w:t>
      </w:r>
      <w:proofErr w:type="spellStart"/>
      <w:r w:rsidR="00A867D6">
        <w:rPr>
          <w:sz w:val="22"/>
        </w:rPr>
        <w:t>SPRC</w:t>
      </w:r>
      <w:proofErr w:type="spellEnd"/>
      <w:r w:rsidR="00824725">
        <w:rPr>
          <w:sz w:val="22"/>
        </w:rPr>
        <w:t xml:space="preserve"> on behalf of </w:t>
      </w:r>
      <w:proofErr w:type="spellStart"/>
      <w:r w:rsidR="00824725">
        <w:rPr>
          <w:sz w:val="22"/>
        </w:rPr>
        <w:t>ECA’s</w:t>
      </w:r>
      <w:proofErr w:type="spellEnd"/>
      <w:r w:rsidR="00824725">
        <w:rPr>
          <w:sz w:val="22"/>
        </w:rPr>
        <w:t xml:space="preserve"> submission to the Inquiry</w:t>
      </w:r>
      <w:r w:rsidR="00321517">
        <w:rPr>
          <w:sz w:val="22"/>
        </w:rPr>
        <w:t>, a single support payment</w:t>
      </w:r>
      <w:r w:rsidR="00BB1AB3">
        <w:rPr>
          <w:sz w:val="22"/>
        </w:rPr>
        <w:t xml:space="preserve"> such as envisaged by the Henry Review</w:t>
      </w:r>
    </w:p>
    <w:p w:rsidR="00321517" w:rsidRDefault="00321517" w:rsidP="006A6764">
      <w:pPr>
        <w:spacing w:after="0" w:line="240" w:lineRule="auto"/>
        <w:jc w:val="both"/>
        <w:rPr>
          <w:sz w:val="22"/>
        </w:rPr>
      </w:pPr>
    </w:p>
    <w:p w:rsidR="00321517" w:rsidRDefault="00321517" w:rsidP="00321517">
      <w:pPr>
        <w:spacing w:after="0" w:line="240" w:lineRule="auto"/>
        <w:ind w:left="360"/>
        <w:jc w:val="both"/>
        <w:rPr>
          <w:sz w:val="22"/>
        </w:rPr>
      </w:pPr>
      <w:r>
        <w:rPr>
          <w:sz w:val="22"/>
        </w:rPr>
        <w:t xml:space="preserve">“would improve the simplicity and transparency of funding for parents and providers alike. It would end the anomaly where parents who rely predominantly on </w:t>
      </w:r>
      <w:proofErr w:type="spellStart"/>
      <w:r>
        <w:rPr>
          <w:sz w:val="22"/>
        </w:rPr>
        <w:t>CCB</w:t>
      </w:r>
      <w:proofErr w:type="spellEnd"/>
      <w:r>
        <w:rPr>
          <w:sz w:val="22"/>
        </w:rPr>
        <w:t xml:space="preserve"> are constrained by an </w:t>
      </w:r>
      <w:r w:rsidRPr="00321517">
        <w:rPr>
          <w:i/>
          <w:sz w:val="22"/>
        </w:rPr>
        <w:t>hourly</w:t>
      </w:r>
      <w:r>
        <w:rPr>
          <w:sz w:val="22"/>
        </w:rPr>
        <w:t xml:space="preserve"> cap ... while higher income families dependant on </w:t>
      </w:r>
      <w:proofErr w:type="spellStart"/>
      <w:r>
        <w:rPr>
          <w:sz w:val="22"/>
        </w:rPr>
        <w:t>CCR</w:t>
      </w:r>
      <w:proofErr w:type="spellEnd"/>
      <w:r>
        <w:rPr>
          <w:sz w:val="22"/>
        </w:rPr>
        <w:t xml:space="preserve"> face an </w:t>
      </w:r>
      <w:r w:rsidRPr="00321517">
        <w:rPr>
          <w:i/>
          <w:sz w:val="22"/>
        </w:rPr>
        <w:t>annual</w:t>
      </w:r>
      <w:r>
        <w:rPr>
          <w:sz w:val="22"/>
        </w:rPr>
        <w:t xml:space="preserve"> cap and the majority of parents who rely on both </w:t>
      </w:r>
      <w:proofErr w:type="spellStart"/>
      <w:r>
        <w:rPr>
          <w:sz w:val="22"/>
        </w:rPr>
        <w:t>CCB</w:t>
      </w:r>
      <w:proofErr w:type="spellEnd"/>
      <w:r>
        <w:rPr>
          <w:sz w:val="22"/>
        </w:rPr>
        <w:t xml:space="preserve"> and </w:t>
      </w:r>
      <w:proofErr w:type="spellStart"/>
      <w:r>
        <w:rPr>
          <w:sz w:val="22"/>
        </w:rPr>
        <w:t>CCR</w:t>
      </w:r>
      <w:proofErr w:type="spellEnd"/>
      <w:r>
        <w:rPr>
          <w:sz w:val="22"/>
        </w:rPr>
        <w:t xml:space="preserve"> face a confusing mix of </w:t>
      </w:r>
      <w:r w:rsidRPr="00321517">
        <w:rPr>
          <w:i/>
          <w:sz w:val="22"/>
        </w:rPr>
        <w:t>both</w:t>
      </w:r>
      <w:r>
        <w:rPr>
          <w:sz w:val="22"/>
        </w:rPr>
        <w:t xml:space="preserve"> annual and hourly caps.”</w:t>
      </w:r>
      <w:r>
        <w:rPr>
          <w:rStyle w:val="FootnoteReference"/>
        </w:rPr>
        <w:footnoteReference w:id="29"/>
      </w:r>
    </w:p>
    <w:p w:rsidR="009904A2" w:rsidRDefault="009904A2" w:rsidP="006A6764">
      <w:pPr>
        <w:spacing w:after="0" w:line="240" w:lineRule="auto"/>
        <w:jc w:val="both"/>
        <w:rPr>
          <w:sz w:val="22"/>
        </w:rPr>
      </w:pPr>
    </w:p>
    <w:p w:rsidR="003B3C04" w:rsidRPr="004864F2" w:rsidRDefault="00263B2D" w:rsidP="004864F2">
      <w:pPr>
        <w:spacing w:after="0" w:line="240" w:lineRule="auto"/>
        <w:jc w:val="both"/>
        <w:rPr>
          <w:sz w:val="22"/>
        </w:rPr>
      </w:pPr>
      <w:proofErr w:type="spellStart"/>
      <w:r>
        <w:rPr>
          <w:sz w:val="22"/>
        </w:rPr>
        <w:t>MMSG</w:t>
      </w:r>
      <w:proofErr w:type="spellEnd"/>
      <w:r>
        <w:rPr>
          <w:sz w:val="22"/>
        </w:rPr>
        <w:t xml:space="preserve"> also recommends </w:t>
      </w:r>
      <w:r w:rsidR="00BB1AB3">
        <w:rPr>
          <w:sz w:val="22"/>
        </w:rPr>
        <w:t xml:space="preserve">that the amount of the combined benefit be staggered </w:t>
      </w:r>
      <w:r w:rsidR="003B3C04">
        <w:rPr>
          <w:sz w:val="22"/>
        </w:rPr>
        <w:t>according to single/family income, with greater support being given to low income earners. This was also originally recommended by the Henry Review</w:t>
      </w:r>
      <w:r w:rsidR="004864F2">
        <w:rPr>
          <w:sz w:val="22"/>
        </w:rPr>
        <w:t>.</w:t>
      </w:r>
      <w:r w:rsidR="002643BE">
        <w:rPr>
          <w:rStyle w:val="FootnoteReference"/>
          <w:szCs w:val="22"/>
        </w:rPr>
        <w:footnoteReference w:id="30"/>
      </w:r>
    </w:p>
    <w:p w:rsidR="00822C96" w:rsidRDefault="00822C96" w:rsidP="006A6764">
      <w:pPr>
        <w:spacing w:after="0" w:line="240" w:lineRule="auto"/>
        <w:jc w:val="both"/>
        <w:rPr>
          <w:sz w:val="22"/>
        </w:rPr>
      </w:pPr>
    </w:p>
    <w:p w:rsidR="003B72A6" w:rsidRDefault="003B72A6" w:rsidP="003B72A6">
      <w:pPr>
        <w:spacing w:after="0" w:line="240" w:lineRule="auto"/>
        <w:jc w:val="both"/>
        <w:rPr>
          <w:sz w:val="22"/>
        </w:rPr>
      </w:pPr>
      <w:proofErr w:type="spellStart"/>
      <w:r>
        <w:rPr>
          <w:sz w:val="22"/>
        </w:rPr>
        <w:t>MMSG</w:t>
      </w:r>
      <w:proofErr w:type="spellEnd"/>
      <w:r>
        <w:rPr>
          <w:sz w:val="22"/>
        </w:rPr>
        <w:t xml:space="preserve"> notes that apart from the support of </w:t>
      </w:r>
      <w:proofErr w:type="spellStart"/>
      <w:r>
        <w:rPr>
          <w:sz w:val="22"/>
        </w:rPr>
        <w:t>ECA</w:t>
      </w:r>
      <w:proofErr w:type="spellEnd"/>
      <w:r>
        <w:rPr>
          <w:sz w:val="22"/>
        </w:rPr>
        <w:t xml:space="preserve">, the concept of a merged </w:t>
      </w:r>
      <w:proofErr w:type="spellStart"/>
      <w:r>
        <w:rPr>
          <w:sz w:val="22"/>
        </w:rPr>
        <w:t>CCB</w:t>
      </w:r>
      <w:proofErr w:type="spellEnd"/>
      <w:r>
        <w:rPr>
          <w:sz w:val="22"/>
        </w:rPr>
        <w:t>/</w:t>
      </w:r>
      <w:proofErr w:type="spellStart"/>
      <w:r>
        <w:rPr>
          <w:sz w:val="22"/>
        </w:rPr>
        <w:t>CCR</w:t>
      </w:r>
      <w:proofErr w:type="spellEnd"/>
      <w:r>
        <w:rPr>
          <w:sz w:val="22"/>
        </w:rPr>
        <w:t xml:space="preserve"> payment has also been advocated by some of the largest operators of childcare centres in Australia. For example:</w:t>
      </w:r>
    </w:p>
    <w:p w:rsidR="003B72A6" w:rsidRDefault="003B72A6" w:rsidP="003B72A6">
      <w:pPr>
        <w:spacing w:after="0" w:line="240" w:lineRule="auto"/>
        <w:jc w:val="both"/>
        <w:rPr>
          <w:sz w:val="22"/>
        </w:rPr>
      </w:pPr>
    </w:p>
    <w:p w:rsidR="003B72A6" w:rsidRDefault="003B72A6" w:rsidP="003B72A6">
      <w:pPr>
        <w:pStyle w:val="ListParagraph"/>
        <w:numPr>
          <w:ilvl w:val="0"/>
          <w:numId w:val="27"/>
        </w:numPr>
        <w:spacing w:after="0" w:line="240" w:lineRule="auto"/>
        <w:jc w:val="both"/>
        <w:rPr>
          <w:sz w:val="22"/>
        </w:rPr>
      </w:pPr>
      <w:proofErr w:type="spellStart"/>
      <w:r w:rsidRPr="00CF4396">
        <w:rPr>
          <w:b/>
          <w:sz w:val="22"/>
        </w:rPr>
        <w:t>Goodstart</w:t>
      </w:r>
      <w:proofErr w:type="spellEnd"/>
      <w:r w:rsidRPr="00CF4396">
        <w:rPr>
          <w:b/>
          <w:sz w:val="22"/>
        </w:rPr>
        <w:t xml:space="preserve"> Early Learning</w:t>
      </w:r>
      <w:r w:rsidRPr="00CF4396">
        <w:rPr>
          <w:sz w:val="22"/>
        </w:rPr>
        <w:t xml:space="preserve"> recommended that all transfer payments in support of childcare be “combined into a single payment to make childcare assistance simpler and more transparent” and that whilst such assistance should be available to all families, more should be given to low- and middle-income families.</w:t>
      </w:r>
      <w:r>
        <w:rPr>
          <w:rStyle w:val="FootnoteReference"/>
        </w:rPr>
        <w:footnoteReference w:id="31"/>
      </w:r>
    </w:p>
    <w:p w:rsidR="003B72A6" w:rsidRDefault="003B72A6" w:rsidP="003B72A6">
      <w:pPr>
        <w:spacing w:after="0" w:line="240" w:lineRule="auto"/>
        <w:jc w:val="both"/>
        <w:rPr>
          <w:sz w:val="22"/>
        </w:rPr>
      </w:pPr>
    </w:p>
    <w:p w:rsidR="003B72A6" w:rsidRPr="006E3964" w:rsidRDefault="003B72A6" w:rsidP="003B72A6">
      <w:pPr>
        <w:pStyle w:val="ListParagraph"/>
        <w:numPr>
          <w:ilvl w:val="0"/>
          <w:numId w:val="27"/>
        </w:numPr>
        <w:spacing w:after="0" w:line="240" w:lineRule="auto"/>
        <w:jc w:val="both"/>
        <w:rPr>
          <w:sz w:val="22"/>
        </w:rPr>
      </w:pPr>
      <w:r w:rsidRPr="002F26DA">
        <w:rPr>
          <w:b/>
          <w:sz w:val="22"/>
        </w:rPr>
        <w:t>Guardian Early Learning Group</w:t>
      </w:r>
      <w:r>
        <w:rPr>
          <w:sz w:val="22"/>
        </w:rPr>
        <w:t xml:space="preserve"> recommended that the </w:t>
      </w:r>
      <w:proofErr w:type="spellStart"/>
      <w:r>
        <w:rPr>
          <w:sz w:val="22"/>
        </w:rPr>
        <w:t>CCB</w:t>
      </w:r>
      <w:proofErr w:type="spellEnd"/>
      <w:r>
        <w:rPr>
          <w:sz w:val="22"/>
        </w:rPr>
        <w:t xml:space="preserve"> and the </w:t>
      </w:r>
      <w:proofErr w:type="spellStart"/>
      <w:r>
        <w:rPr>
          <w:sz w:val="22"/>
        </w:rPr>
        <w:t>CCR</w:t>
      </w:r>
      <w:proofErr w:type="spellEnd"/>
      <w:r>
        <w:rPr>
          <w:sz w:val="22"/>
        </w:rPr>
        <w:t xml:space="preserve"> be merged into one benefit and that the administrative savings be re-allocated to increased parent funding.</w:t>
      </w:r>
      <w:r>
        <w:rPr>
          <w:rStyle w:val="FootnoteReference"/>
        </w:rPr>
        <w:footnoteReference w:id="32"/>
      </w:r>
    </w:p>
    <w:p w:rsidR="003B72A6" w:rsidRDefault="003B72A6" w:rsidP="006A6764">
      <w:pPr>
        <w:spacing w:after="0" w:line="240" w:lineRule="auto"/>
        <w:jc w:val="both"/>
        <w:rPr>
          <w:sz w:val="22"/>
        </w:rPr>
      </w:pPr>
    </w:p>
    <w:p w:rsidR="002B3D36" w:rsidRPr="002B3D36" w:rsidRDefault="008E6076" w:rsidP="006A6764">
      <w:pPr>
        <w:spacing w:after="0" w:line="240" w:lineRule="auto"/>
        <w:jc w:val="both"/>
        <w:rPr>
          <w:b/>
          <w:i/>
          <w:color w:val="1F497D" w:themeColor="text2"/>
          <w:sz w:val="24"/>
        </w:rPr>
      </w:pPr>
      <w:r>
        <w:rPr>
          <w:b/>
          <w:i/>
          <w:color w:val="1F497D" w:themeColor="text2"/>
          <w:sz w:val="24"/>
        </w:rPr>
        <w:t>Option of t</w:t>
      </w:r>
      <w:r w:rsidR="002B3D36" w:rsidRPr="002B3D36">
        <w:rPr>
          <w:b/>
          <w:i/>
          <w:color w:val="1F497D" w:themeColor="text2"/>
          <w:sz w:val="24"/>
        </w:rPr>
        <w:t>ax deduction for childcare fees</w:t>
      </w:r>
    </w:p>
    <w:p w:rsidR="006A6764" w:rsidRDefault="006A6764" w:rsidP="006A6764">
      <w:pPr>
        <w:spacing w:after="0" w:line="240" w:lineRule="auto"/>
        <w:jc w:val="both"/>
        <w:rPr>
          <w:sz w:val="22"/>
        </w:rPr>
      </w:pPr>
    </w:p>
    <w:p w:rsidR="00F200AD" w:rsidRDefault="008E6076" w:rsidP="006F038E">
      <w:pPr>
        <w:spacing w:after="0" w:line="240" w:lineRule="auto"/>
        <w:jc w:val="both"/>
        <w:rPr>
          <w:sz w:val="22"/>
        </w:rPr>
      </w:pPr>
      <w:proofErr w:type="spellStart"/>
      <w:r>
        <w:rPr>
          <w:sz w:val="22"/>
        </w:rPr>
        <w:t>MMSG</w:t>
      </w:r>
      <w:proofErr w:type="spellEnd"/>
      <w:r>
        <w:rPr>
          <w:sz w:val="22"/>
        </w:rPr>
        <w:t xml:space="preserve"> recommends that parents be given</w:t>
      </w:r>
      <w:r w:rsidR="006A6764" w:rsidRPr="008E6076">
        <w:rPr>
          <w:sz w:val="22"/>
        </w:rPr>
        <w:t xml:space="preserve"> the </w:t>
      </w:r>
      <w:r w:rsidR="006A6764" w:rsidRPr="008E6076">
        <w:rPr>
          <w:b/>
          <w:i/>
          <w:sz w:val="22"/>
        </w:rPr>
        <w:t>option</w:t>
      </w:r>
      <w:r w:rsidR="006A6764" w:rsidRPr="008E6076">
        <w:rPr>
          <w:sz w:val="22"/>
        </w:rPr>
        <w:t xml:space="preserve"> of claiming an income tax deduction for childcare fees </w:t>
      </w:r>
      <w:r w:rsidR="006A6764" w:rsidRPr="008E6076">
        <w:rPr>
          <w:b/>
          <w:i/>
          <w:sz w:val="22"/>
        </w:rPr>
        <w:t>or</w:t>
      </w:r>
      <w:r w:rsidR="006A6764" w:rsidRPr="008E6076">
        <w:rPr>
          <w:sz w:val="22"/>
        </w:rPr>
        <w:t xml:space="preserve"> claiming</w:t>
      </w:r>
      <w:r>
        <w:rPr>
          <w:sz w:val="22"/>
        </w:rPr>
        <w:t xml:space="preserve"> a combined </w:t>
      </w:r>
      <w:proofErr w:type="spellStart"/>
      <w:r>
        <w:rPr>
          <w:sz w:val="22"/>
        </w:rPr>
        <w:t>CCB</w:t>
      </w:r>
      <w:proofErr w:type="spellEnd"/>
      <w:r>
        <w:rPr>
          <w:sz w:val="22"/>
        </w:rPr>
        <w:t>/</w:t>
      </w:r>
      <w:proofErr w:type="spellStart"/>
      <w:r>
        <w:rPr>
          <w:sz w:val="22"/>
        </w:rPr>
        <w:t>CCR</w:t>
      </w:r>
      <w:proofErr w:type="spellEnd"/>
      <w:r>
        <w:rPr>
          <w:sz w:val="22"/>
        </w:rPr>
        <w:t xml:space="preserve"> entitlement, and that </w:t>
      </w:r>
      <w:r w:rsidR="00191F6A">
        <w:rPr>
          <w:sz w:val="22"/>
        </w:rPr>
        <w:t>consideration be given to extending deductibility</w:t>
      </w:r>
      <w:r>
        <w:rPr>
          <w:sz w:val="22"/>
        </w:rPr>
        <w:t xml:space="preserve"> </w:t>
      </w:r>
      <w:r w:rsidR="00F30924" w:rsidRPr="008E6076">
        <w:rPr>
          <w:sz w:val="22"/>
        </w:rPr>
        <w:t>to all forms of registered childcare, including home care arrangements.</w:t>
      </w:r>
    </w:p>
    <w:p w:rsidR="00450AFA" w:rsidRDefault="00450AFA" w:rsidP="006F038E">
      <w:pPr>
        <w:spacing w:after="0" w:line="240" w:lineRule="auto"/>
        <w:jc w:val="both"/>
        <w:rPr>
          <w:sz w:val="22"/>
        </w:rPr>
      </w:pPr>
    </w:p>
    <w:p w:rsidR="00450AFA" w:rsidRDefault="00450AFA" w:rsidP="006F038E">
      <w:pPr>
        <w:spacing w:after="0" w:line="240" w:lineRule="auto"/>
        <w:jc w:val="both"/>
        <w:rPr>
          <w:sz w:val="22"/>
        </w:rPr>
      </w:pPr>
      <w:r>
        <w:rPr>
          <w:sz w:val="22"/>
        </w:rPr>
        <w:t xml:space="preserve">Providing parents with the option of claiming a tax deduction in lieu of claiming a combined </w:t>
      </w:r>
      <w:proofErr w:type="spellStart"/>
      <w:r>
        <w:rPr>
          <w:sz w:val="22"/>
        </w:rPr>
        <w:t>CCB</w:t>
      </w:r>
      <w:proofErr w:type="spellEnd"/>
      <w:r>
        <w:rPr>
          <w:sz w:val="22"/>
        </w:rPr>
        <w:t>/</w:t>
      </w:r>
      <w:proofErr w:type="spellStart"/>
      <w:r>
        <w:rPr>
          <w:sz w:val="22"/>
        </w:rPr>
        <w:t>CCR</w:t>
      </w:r>
      <w:proofErr w:type="spellEnd"/>
      <w:r>
        <w:rPr>
          <w:sz w:val="22"/>
        </w:rPr>
        <w:t xml:space="preserve"> entitlement has the direct benefit of enhancing their childcare choices. In particular, parents would be able to choose the type of Government support (</w:t>
      </w:r>
      <w:proofErr w:type="spellStart"/>
      <w:r>
        <w:rPr>
          <w:sz w:val="22"/>
        </w:rPr>
        <w:t>ie</w:t>
      </w:r>
      <w:proofErr w:type="spellEnd"/>
      <w:r>
        <w:rPr>
          <w:sz w:val="22"/>
        </w:rPr>
        <w:t xml:space="preserve"> transfer system or tax system) that best accommodates their financial circumstances and their </w:t>
      </w:r>
      <w:r w:rsidR="00157A8F">
        <w:rPr>
          <w:sz w:val="22"/>
        </w:rPr>
        <w:t>specific childcare needs.</w:t>
      </w:r>
    </w:p>
    <w:p w:rsidR="00C643C2" w:rsidRDefault="00C643C2" w:rsidP="00C643C2">
      <w:pPr>
        <w:spacing w:after="0" w:line="240" w:lineRule="auto"/>
        <w:jc w:val="both"/>
        <w:rPr>
          <w:sz w:val="22"/>
        </w:rPr>
      </w:pPr>
    </w:p>
    <w:p w:rsidR="00E12629" w:rsidRPr="00F57D39" w:rsidRDefault="00B902E2" w:rsidP="00F57D39">
      <w:pPr>
        <w:spacing w:after="0" w:line="240" w:lineRule="auto"/>
        <w:jc w:val="both"/>
        <w:rPr>
          <w:sz w:val="22"/>
        </w:rPr>
      </w:pPr>
      <w:r>
        <w:rPr>
          <w:sz w:val="22"/>
        </w:rPr>
        <w:t xml:space="preserve">In the absence of reforms to the </w:t>
      </w:r>
      <w:proofErr w:type="spellStart"/>
      <w:r>
        <w:rPr>
          <w:sz w:val="22"/>
        </w:rPr>
        <w:t>CCB</w:t>
      </w:r>
      <w:proofErr w:type="spellEnd"/>
      <w:r>
        <w:rPr>
          <w:sz w:val="22"/>
        </w:rPr>
        <w:t>/</w:t>
      </w:r>
      <w:proofErr w:type="spellStart"/>
      <w:r>
        <w:rPr>
          <w:sz w:val="22"/>
        </w:rPr>
        <w:t>CCR</w:t>
      </w:r>
      <w:proofErr w:type="spellEnd"/>
      <w:r>
        <w:rPr>
          <w:sz w:val="22"/>
        </w:rPr>
        <w:t xml:space="preserve"> system, those choices would to a large degree be influenced by the tipping points we discussed at page </w:t>
      </w:r>
      <w:r w:rsidR="001D0AAA">
        <w:rPr>
          <w:sz w:val="22"/>
        </w:rPr>
        <w:t>15</w:t>
      </w:r>
      <w:r w:rsidR="00881980">
        <w:rPr>
          <w:sz w:val="22"/>
        </w:rPr>
        <w:t xml:space="preserve"> and, as the modelling performed by PwC has demonstrated in the graph below, the net gains to parents earning incomes above those points and opting to claim tax deductions are </w:t>
      </w:r>
      <w:r w:rsidR="004C53A3">
        <w:rPr>
          <w:sz w:val="22"/>
        </w:rPr>
        <w:t>at reasonable levels:</w:t>
      </w:r>
    </w:p>
    <w:p w:rsidR="00E12629" w:rsidRDefault="00E12629" w:rsidP="00911EE2">
      <w:pPr>
        <w:spacing w:after="0" w:line="240" w:lineRule="auto"/>
        <w:jc w:val="center"/>
        <w:rPr>
          <w:b/>
          <w:color w:val="800000"/>
          <w:sz w:val="20"/>
          <w:szCs w:val="20"/>
        </w:rPr>
      </w:pPr>
    </w:p>
    <w:p w:rsidR="00911EE2" w:rsidRPr="00D71F36" w:rsidRDefault="00911EE2" w:rsidP="00911EE2">
      <w:pPr>
        <w:spacing w:after="0" w:line="240" w:lineRule="auto"/>
        <w:jc w:val="center"/>
        <w:rPr>
          <w:b/>
          <w:color w:val="800000"/>
          <w:sz w:val="20"/>
          <w:szCs w:val="20"/>
        </w:rPr>
      </w:pPr>
      <w:r w:rsidRPr="00D71F36">
        <w:rPr>
          <w:b/>
          <w:color w:val="800000"/>
          <w:sz w:val="20"/>
          <w:szCs w:val="20"/>
        </w:rPr>
        <w:t xml:space="preserve">Net loss/gain of tax deduction in lieu of </w:t>
      </w:r>
      <w:proofErr w:type="spellStart"/>
      <w:r w:rsidRPr="00D71F36">
        <w:rPr>
          <w:b/>
          <w:color w:val="800000"/>
          <w:sz w:val="20"/>
          <w:szCs w:val="20"/>
        </w:rPr>
        <w:t>CCB</w:t>
      </w:r>
      <w:proofErr w:type="spellEnd"/>
      <w:r w:rsidRPr="00D71F36">
        <w:rPr>
          <w:b/>
          <w:color w:val="800000"/>
          <w:sz w:val="20"/>
          <w:szCs w:val="20"/>
        </w:rPr>
        <w:t>/</w:t>
      </w:r>
      <w:proofErr w:type="spellStart"/>
      <w:r w:rsidRPr="00D71F36">
        <w:rPr>
          <w:b/>
          <w:color w:val="800000"/>
          <w:sz w:val="20"/>
          <w:szCs w:val="20"/>
        </w:rPr>
        <w:t>CCR</w:t>
      </w:r>
      <w:proofErr w:type="spellEnd"/>
    </w:p>
    <w:p w:rsidR="00881980" w:rsidRDefault="00CE7955" w:rsidP="00C643C2">
      <w:pPr>
        <w:spacing w:after="0" w:line="240" w:lineRule="auto"/>
        <w:jc w:val="both"/>
        <w:rPr>
          <w:sz w:val="22"/>
        </w:rPr>
      </w:pPr>
      <w:r w:rsidRPr="00CE7955">
        <w:rPr>
          <w:noProof/>
          <w:lang w:eastAsia="en-AU"/>
        </w:rPr>
        <w:drawing>
          <wp:inline distT="0" distB="0" distL="0" distR="0">
            <wp:extent cx="5075576" cy="334327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078270" cy="3345049"/>
                    </a:xfrm>
                    <a:prstGeom prst="rect">
                      <a:avLst/>
                    </a:prstGeom>
                    <a:noFill/>
                    <a:ln w="9525">
                      <a:noFill/>
                      <a:miter lim="800000"/>
                      <a:headEnd/>
                      <a:tailEnd/>
                    </a:ln>
                  </pic:spPr>
                </pic:pic>
              </a:graphicData>
            </a:graphic>
          </wp:inline>
        </w:drawing>
      </w:r>
    </w:p>
    <w:p w:rsidR="00D71F36" w:rsidRDefault="00D71F36" w:rsidP="00C643C2">
      <w:pPr>
        <w:spacing w:after="0" w:line="240" w:lineRule="auto"/>
        <w:jc w:val="both"/>
        <w:rPr>
          <w:sz w:val="22"/>
        </w:rPr>
      </w:pPr>
    </w:p>
    <w:p w:rsidR="00DE706D" w:rsidRDefault="00C33585" w:rsidP="00A304F0">
      <w:pPr>
        <w:spacing w:after="0" w:line="240" w:lineRule="auto"/>
        <w:jc w:val="both"/>
        <w:rPr>
          <w:sz w:val="22"/>
        </w:rPr>
      </w:pPr>
      <w:r>
        <w:rPr>
          <w:sz w:val="22"/>
        </w:rPr>
        <w:t xml:space="preserve">As far as we are aware, all arguments so far raised against allowing parents to claim an income tax deduction in respect of childcare costs </w:t>
      </w:r>
      <w:r w:rsidR="00FB7929">
        <w:rPr>
          <w:sz w:val="22"/>
        </w:rPr>
        <w:t xml:space="preserve">have been targeting the suggestion that the tax system, via tax deductibility, </w:t>
      </w:r>
      <w:r w:rsidR="00FB7929" w:rsidRPr="00FB7929">
        <w:rPr>
          <w:i/>
          <w:sz w:val="22"/>
        </w:rPr>
        <w:t>replace</w:t>
      </w:r>
      <w:r w:rsidR="00FB7929">
        <w:rPr>
          <w:sz w:val="22"/>
        </w:rPr>
        <w:t xml:space="preserve"> the transfer system in supporting childcare.</w:t>
      </w:r>
      <w:r w:rsidR="009B507B">
        <w:rPr>
          <w:rStyle w:val="FootnoteReference"/>
        </w:rPr>
        <w:footnoteReference w:id="33"/>
      </w:r>
      <w:r w:rsidR="00FB7929">
        <w:rPr>
          <w:sz w:val="22"/>
        </w:rPr>
        <w:t xml:space="preserve"> </w:t>
      </w:r>
    </w:p>
    <w:p w:rsidR="00E12629" w:rsidRDefault="00E12629" w:rsidP="00A304F0">
      <w:pPr>
        <w:spacing w:after="0" w:line="240" w:lineRule="auto"/>
        <w:jc w:val="both"/>
        <w:rPr>
          <w:sz w:val="22"/>
        </w:rPr>
      </w:pPr>
    </w:p>
    <w:p w:rsidR="004864F2" w:rsidRDefault="00FB7929" w:rsidP="00A304F0">
      <w:pPr>
        <w:spacing w:after="0" w:line="240" w:lineRule="auto"/>
        <w:jc w:val="both"/>
        <w:rPr>
          <w:sz w:val="22"/>
        </w:rPr>
      </w:pPr>
      <w:r>
        <w:rPr>
          <w:sz w:val="22"/>
        </w:rPr>
        <w:lastRenderedPageBreak/>
        <w:t xml:space="preserve">However, </w:t>
      </w:r>
      <w:proofErr w:type="spellStart"/>
      <w:r w:rsidR="00C643C2" w:rsidRPr="00A304F0">
        <w:rPr>
          <w:sz w:val="22"/>
        </w:rPr>
        <w:t>MMSG</w:t>
      </w:r>
      <w:proofErr w:type="spellEnd"/>
      <w:r w:rsidR="00C643C2" w:rsidRPr="00A304F0">
        <w:rPr>
          <w:sz w:val="22"/>
        </w:rPr>
        <w:t xml:space="preserve"> is </w:t>
      </w:r>
      <w:r w:rsidR="00C643C2" w:rsidRPr="00FB7929">
        <w:rPr>
          <w:b/>
          <w:sz w:val="22"/>
        </w:rPr>
        <w:t>not</w:t>
      </w:r>
      <w:r w:rsidR="00C643C2" w:rsidRPr="00A304F0">
        <w:rPr>
          <w:sz w:val="22"/>
        </w:rPr>
        <w:t xml:space="preserve"> recommending replacing the current </w:t>
      </w:r>
      <w:proofErr w:type="spellStart"/>
      <w:r w:rsidR="00C643C2" w:rsidRPr="00A304F0">
        <w:rPr>
          <w:sz w:val="22"/>
        </w:rPr>
        <w:t>CCB</w:t>
      </w:r>
      <w:proofErr w:type="spellEnd"/>
      <w:r w:rsidR="00C643C2" w:rsidRPr="00A304F0">
        <w:rPr>
          <w:sz w:val="22"/>
        </w:rPr>
        <w:t>/</w:t>
      </w:r>
      <w:proofErr w:type="spellStart"/>
      <w:r w:rsidR="00C643C2" w:rsidRPr="00A304F0">
        <w:rPr>
          <w:sz w:val="22"/>
        </w:rPr>
        <w:t>CCR</w:t>
      </w:r>
      <w:proofErr w:type="spellEnd"/>
      <w:r w:rsidR="00C643C2" w:rsidRPr="00A304F0">
        <w:rPr>
          <w:sz w:val="22"/>
        </w:rPr>
        <w:t xml:space="preserve"> system with an entitlement to an income tax deduction, but is instead recommending that parents be given the </w:t>
      </w:r>
      <w:r w:rsidR="00C643C2" w:rsidRPr="00FB7929">
        <w:rPr>
          <w:i/>
          <w:sz w:val="22"/>
        </w:rPr>
        <w:t>option</w:t>
      </w:r>
      <w:r w:rsidR="00C643C2" w:rsidRPr="00A304F0">
        <w:rPr>
          <w:sz w:val="22"/>
        </w:rPr>
        <w:t xml:space="preserve"> of claiming </w:t>
      </w:r>
      <w:r w:rsidR="00C643C2" w:rsidRPr="00A304F0">
        <w:rPr>
          <w:i/>
          <w:sz w:val="22"/>
        </w:rPr>
        <w:t>either</w:t>
      </w:r>
      <w:r w:rsidR="00C643C2" w:rsidRPr="00A304F0">
        <w:rPr>
          <w:sz w:val="22"/>
        </w:rPr>
        <w:t xml:space="preserve"> the </w:t>
      </w:r>
      <w:r>
        <w:rPr>
          <w:sz w:val="22"/>
        </w:rPr>
        <w:t xml:space="preserve">(merged) </w:t>
      </w:r>
      <w:proofErr w:type="spellStart"/>
      <w:r w:rsidR="00C643C2" w:rsidRPr="00A304F0">
        <w:rPr>
          <w:sz w:val="22"/>
        </w:rPr>
        <w:t>CCB</w:t>
      </w:r>
      <w:proofErr w:type="spellEnd"/>
      <w:r w:rsidR="00C643C2" w:rsidRPr="00A304F0">
        <w:rPr>
          <w:sz w:val="22"/>
        </w:rPr>
        <w:t>/</w:t>
      </w:r>
      <w:proofErr w:type="spellStart"/>
      <w:r w:rsidR="00C643C2" w:rsidRPr="00A304F0">
        <w:rPr>
          <w:sz w:val="22"/>
        </w:rPr>
        <w:t>CCR</w:t>
      </w:r>
      <w:proofErr w:type="spellEnd"/>
      <w:r w:rsidR="00C643C2" w:rsidRPr="00A304F0">
        <w:rPr>
          <w:sz w:val="22"/>
        </w:rPr>
        <w:t xml:space="preserve"> </w:t>
      </w:r>
      <w:r w:rsidR="00C643C2" w:rsidRPr="00A304F0">
        <w:rPr>
          <w:i/>
          <w:sz w:val="22"/>
        </w:rPr>
        <w:t>or</w:t>
      </w:r>
      <w:r w:rsidR="00C643C2" w:rsidRPr="00A304F0">
        <w:rPr>
          <w:sz w:val="22"/>
        </w:rPr>
        <w:t xml:space="preserve"> an income tax deduction in respect of a child’s childcare costs. </w:t>
      </w:r>
    </w:p>
    <w:p w:rsidR="004864F2" w:rsidRDefault="004864F2" w:rsidP="00A304F0">
      <w:pPr>
        <w:spacing w:after="0" w:line="240" w:lineRule="auto"/>
        <w:jc w:val="both"/>
        <w:rPr>
          <w:sz w:val="22"/>
        </w:rPr>
      </w:pPr>
    </w:p>
    <w:p w:rsidR="002021F5" w:rsidRPr="00A304F0" w:rsidRDefault="00631739" w:rsidP="00A304F0">
      <w:pPr>
        <w:spacing w:after="0" w:line="240" w:lineRule="auto"/>
        <w:jc w:val="both"/>
        <w:rPr>
          <w:sz w:val="22"/>
        </w:rPr>
      </w:pPr>
      <w:r w:rsidRPr="00A304F0">
        <w:rPr>
          <w:sz w:val="22"/>
        </w:rPr>
        <w:t>By creating this option low</w:t>
      </w:r>
      <w:r w:rsidR="002021F5" w:rsidRPr="00A304F0">
        <w:rPr>
          <w:sz w:val="22"/>
        </w:rPr>
        <w:t xml:space="preserve"> income families, and to a lesser extent middle income families, </w:t>
      </w:r>
      <w:r w:rsidR="00FB7929">
        <w:rPr>
          <w:sz w:val="22"/>
        </w:rPr>
        <w:t>will</w:t>
      </w:r>
      <w:r w:rsidRPr="00A304F0">
        <w:rPr>
          <w:sz w:val="22"/>
        </w:rPr>
        <w:t xml:space="preserve"> not be disadvantaged in terms of having no real income tax liabilities to be offset by a deduction.</w:t>
      </w:r>
      <w:r w:rsidR="00A304F0">
        <w:rPr>
          <w:sz w:val="22"/>
        </w:rPr>
        <w:t xml:space="preserve"> </w:t>
      </w:r>
      <w:r w:rsidR="00347D9D" w:rsidRPr="00A304F0">
        <w:rPr>
          <w:sz w:val="22"/>
        </w:rPr>
        <w:t>Reducing taxable income by claiming a tax deduction for childcare costs prima facie increases potential benefit entitlements, and thus should be in lieu of those benefits.</w:t>
      </w:r>
    </w:p>
    <w:p w:rsidR="002F3DE8" w:rsidRDefault="002F3DE8" w:rsidP="00232B13">
      <w:pPr>
        <w:pStyle w:val="ListParagraph"/>
        <w:spacing w:after="0" w:line="240" w:lineRule="auto"/>
        <w:ind w:left="0"/>
        <w:jc w:val="both"/>
        <w:rPr>
          <w:sz w:val="22"/>
        </w:rPr>
      </w:pPr>
    </w:p>
    <w:p w:rsidR="003B72A6" w:rsidRPr="003B72A6" w:rsidRDefault="003B72A6" w:rsidP="003B72A6">
      <w:pPr>
        <w:autoSpaceDE w:val="0"/>
        <w:autoSpaceDN w:val="0"/>
        <w:adjustRightInd w:val="0"/>
        <w:spacing w:after="0" w:line="240" w:lineRule="auto"/>
        <w:jc w:val="both"/>
        <w:rPr>
          <w:i/>
          <w:color w:val="1F497D" w:themeColor="text2"/>
          <w:sz w:val="22"/>
          <w:szCs w:val="22"/>
        </w:rPr>
      </w:pPr>
      <w:r w:rsidRPr="003B72A6">
        <w:rPr>
          <w:i/>
          <w:color w:val="1F497D" w:themeColor="text2"/>
          <w:sz w:val="22"/>
          <w:szCs w:val="22"/>
        </w:rPr>
        <w:t>Administration considerations of tax deduction for childcare fees</w:t>
      </w:r>
    </w:p>
    <w:p w:rsidR="003B72A6" w:rsidRDefault="003B72A6" w:rsidP="003B72A6">
      <w:pPr>
        <w:autoSpaceDE w:val="0"/>
        <w:autoSpaceDN w:val="0"/>
        <w:adjustRightInd w:val="0"/>
        <w:spacing w:after="0" w:line="240" w:lineRule="auto"/>
        <w:jc w:val="both"/>
        <w:rPr>
          <w:sz w:val="22"/>
          <w:szCs w:val="22"/>
        </w:rPr>
      </w:pPr>
    </w:p>
    <w:p w:rsidR="003B72A6" w:rsidRDefault="003B72A6" w:rsidP="003B72A6">
      <w:pPr>
        <w:autoSpaceDE w:val="0"/>
        <w:autoSpaceDN w:val="0"/>
        <w:adjustRightInd w:val="0"/>
        <w:spacing w:after="0" w:line="240" w:lineRule="auto"/>
        <w:jc w:val="both"/>
        <w:rPr>
          <w:sz w:val="22"/>
          <w:szCs w:val="22"/>
        </w:rPr>
      </w:pPr>
      <w:r>
        <w:rPr>
          <w:sz w:val="22"/>
          <w:szCs w:val="22"/>
        </w:rPr>
        <w:t xml:space="preserve">Providing parents with the option of claiming an income tax deduction for childcare costs would also have the effect of invoking the ‘otherwise deductible’ rule for </w:t>
      </w:r>
      <w:proofErr w:type="spellStart"/>
      <w:r>
        <w:rPr>
          <w:sz w:val="22"/>
          <w:szCs w:val="22"/>
        </w:rPr>
        <w:t>FBT</w:t>
      </w:r>
      <w:proofErr w:type="spellEnd"/>
      <w:r>
        <w:rPr>
          <w:sz w:val="22"/>
          <w:szCs w:val="22"/>
        </w:rPr>
        <w:t xml:space="preserve"> purposes. This would essentially mean that employers would not liable to </w:t>
      </w:r>
      <w:proofErr w:type="spellStart"/>
      <w:r>
        <w:rPr>
          <w:sz w:val="22"/>
          <w:szCs w:val="22"/>
        </w:rPr>
        <w:t>FBT</w:t>
      </w:r>
      <w:proofErr w:type="spellEnd"/>
      <w:r>
        <w:rPr>
          <w:sz w:val="22"/>
          <w:szCs w:val="22"/>
        </w:rPr>
        <w:t xml:space="preserve"> for any childcare payments made on behalf of employees who would otherwise have been entitled to claim an income tax deduction for those fees. This outcome would obviate all the current issues relating to employers seeking to come within the terms of subs 47(8) of the </w:t>
      </w:r>
      <w:proofErr w:type="spellStart"/>
      <w:r>
        <w:rPr>
          <w:sz w:val="22"/>
          <w:szCs w:val="22"/>
        </w:rPr>
        <w:t>FBT</w:t>
      </w:r>
      <w:proofErr w:type="spellEnd"/>
      <w:r>
        <w:rPr>
          <w:sz w:val="22"/>
          <w:szCs w:val="22"/>
        </w:rPr>
        <w:t xml:space="preserve"> Act (discussed above) and overcome a lot of the disincentive associated with subs 47(2) and the need for employers to have a critical mass of employees eligible for childcare support before being entitled to exemption under that provision.</w:t>
      </w:r>
    </w:p>
    <w:p w:rsidR="003B72A6" w:rsidRDefault="003B72A6" w:rsidP="003B72A6">
      <w:pPr>
        <w:autoSpaceDE w:val="0"/>
        <w:autoSpaceDN w:val="0"/>
        <w:adjustRightInd w:val="0"/>
        <w:spacing w:after="0" w:line="240" w:lineRule="auto"/>
        <w:jc w:val="both"/>
        <w:rPr>
          <w:sz w:val="22"/>
          <w:szCs w:val="22"/>
        </w:rPr>
      </w:pPr>
    </w:p>
    <w:p w:rsidR="003B72A6" w:rsidRPr="00777154" w:rsidRDefault="003B72A6" w:rsidP="003B72A6">
      <w:pPr>
        <w:autoSpaceDE w:val="0"/>
        <w:autoSpaceDN w:val="0"/>
        <w:adjustRightInd w:val="0"/>
        <w:spacing w:after="0" w:line="240" w:lineRule="auto"/>
        <w:jc w:val="both"/>
        <w:rPr>
          <w:sz w:val="22"/>
          <w:szCs w:val="22"/>
        </w:rPr>
      </w:pPr>
      <w:r>
        <w:rPr>
          <w:sz w:val="22"/>
          <w:szCs w:val="22"/>
        </w:rPr>
        <w:t xml:space="preserve">The option of claiming a tax deduction for childcare fees is sometimes criticised because it is perceived to disadvantageous to parents in terms of cash flow. Transfer payments are made fortnightly whereas tax deductions are claimed annually. However, the </w:t>
      </w:r>
      <w:proofErr w:type="spellStart"/>
      <w:r>
        <w:rPr>
          <w:sz w:val="22"/>
          <w:szCs w:val="22"/>
        </w:rPr>
        <w:t>ATO</w:t>
      </w:r>
      <w:proofErr w:type="spellEnd"/>
      <w:r>
        <w:rPr>
          <w:sz w:val="22"/>
          <w:szCs w:val="22"/>
        </w:rPr>
        <w:t xml:space="preserve"> has a policy of allowing </w:t>
      </w:r>
      <w:proofErr w:type="spellStart"/>
      <w:r>
        <w:rPr>
          <w:sz w:val="22"/>
          <w:szCs w:val="22"/>
        </w:rPr>
        <w:t>PAYG</w:t>
      </w:r>
      <w:proofErr w:type="spellEnd"/>
      <w:r>
        <w:rPr>
          <w:sz w:val="22"/>
          <w:szCs w:val="22"/>
        </w:rPr>
        <w:t xml:space="preserve"> variations in these types of situations, thereby effectively allowing parents the benefit of a tax deduction with each salary or wage payment. Alternatively, employees can be allowed to salary sacrifice their childcare fees in lieu of a formal tax deduction – the </w:t>
      </w:r>
      <w:proofErr w:type="spellStart"/>
      <w:r>
        <w:rPr>
          <w:sz w:val="22"/>
          <w:szCs w:val="22"/>
        </w:rPr>
        <w:t>PAYG</w:t>
      </w:r>
      <w:proofErr w:type="spellEnd"/>
      <w:r>
        <w:rPr>
          <w:sz w:val="22"/>
          <w:szCs w:val="22"/>
        </w:rPr>
        <w:t xml:space="preserve"> effect is the same. </w:t>
      </w:r>
      <w:r w:rsidRPr="00777154">
        <w:rPr>
          <w:sz w:val="22"/>
        </w:rPr>
        <w:t xml:space="preserve">Salary sacrifice arrangements are now common place in the Australian workplace. A number of employers administer their salary packaging arrangements in-house, whilst many others elect to outsource their administration arrangements to </w:t>
      </w:r>
      <w:r w:rsidR="00A70596">
        <w:rPr>
          <w:sz w:val="22"/>
        </w:rPr>
        <w:t>external providers</w:t>
      </w:r>
      <w:r>
        <w:rPr>
          <w:sz w:val="22"/>
        </w:rPr>
        <w:t>.</w:t>
      </w:r>
    </w:p>
    <w:p w:rsidR="003B72A6" w:rsidRDefault="003B72A6" w:rsidP="00232B13">
      <w:pPr>
        <w:pStyle w:val="ListParagraph"/>
        <w:spacing w:after="0" w:line="240" w:lineRule="auto"/>
        <w:ind w:left="0"/>
        <w:jc w:val="both"/>
        <w:rPr>
          <w:sz w:val="22"/>
        </w:rPr>
      </w:pPr>
    </w:p>
    <w:p w:rsidR="00D61E1B" w:rsidRPr="00D61E1B" w:rsidRDefault="00D61E1B" w:rsidP="00232B13">
      <w:pPr>
        <w:pStyle w:val="ListParagraph"/>
        <w:spacing w:after="0" w:line="240" w:lineRule="auto"/>
        <w:ind w:left="0"/>
        <w:jc w:val="both"/>
        <w:rPr>
          <w:i/>
          <w:color w:val="1F497D" w:themeColor="text2"/>
          <w:sz w:val="22"/>
        </w:rPr>
      </w:pPr>
      <w:r w:rsidRPr="00D61E1B">
        <w:rPr>
          <w:i/>
          <w:color w:val="1F497D" w:themeColor="text2"/>
          <w:sz w:val="22"/>
        </w:rPr>
        <w:t>Support for tax deduction for childcare fees</w:t>
      </w:r>
    </w:p>
    <w:p w:rsidR="00D61E1B" w:rsidRPr="002F3DE8" w:rsidRDefault="00D61E1B" w:rsidP="00232B13">
      <w:pPr>
        <w:pStyle w:val="ListParagraph"/>
        <w:spacing w:after="0" w:line="240" w:lineRule="auto"/>
        <w:ind w:left="0"/>
        <w:jc w:val="both"/>
        <w:rPr>
          <w:sz w:val="22"/>
        </w:rPr>
      </w:pPr>
    </w:p>
    <w:p w:rsidR="00CD28E6" w:rsidRPr="00957365" w:rsidRDefault="00232B13" w:rsidP="00957365">
      <w:pPr>
        <w:spacing w:after="0" w:line="240" w:lineRule="auto"/>
        <w:jc w:val="both"/>
        <w:rPr>
          <w:sz w:val="22"/>
        </w:rPr>
      </w:pPr>
      <w:proofErr w:type="spellStart"/>
      <w:r>
        <w:rPr>
          <w:sz w:val="22"/>
        </w:rPr>
        <w:t>MMSG</w:t>
      </w:r>
      <w:proofErr w:type="spellEnd"/>
      <w:r>
        <w:rPr>
          <w:sz w:val="22"/>
        </w:rPr>
        <w:t xml:space="preserve"> notes that the proposal to allow parents the option of claiming an income tax deduction for childcare fees in lieu of receiving transfer paymen</w:t>
      </w:r>
      <w:r w:rsidR="00957365">
        <w:rPr>
          <w:sz w:val="22"/>
        </w:rPr>
        <w:t>ts was first recommended in 2006 by the House of Representatives Standing Committee on Family and Human Services as one of the outcomes of its lengthy inquiry into balancing work and family.</w:t>
      </w:r>
      <w:r w:rsidR="00CD28E6">
        <w:rPr>
          <w:rStyle w:val="FootnoteReference"/>
          <w:szCs w:val="22"/>
        </w:rPr>
        <w:footnoteReference w:id="34"/>
      </w:r>
      <w:r w:rsidR="00CD28E6">
        <w:rPr>
          <w:sz w:val="22"/>
          <w:szCs w:val="22"/>
        </w:rPr>
        <w:t xml:space="preserve"> </w:t>
      </w:r>
    </w:p>
    <w:p w:rsidR="00CD28E6" w:rsidRDefault="00CD28E6" w:rsidP="00CD28E6">
      <w:pPr>
        <w:autoSpaceDE w:val="0"/>
        <w:autoSpaceDN w:val="0"/>
        <w:adjustRightInd w:val="0"/>
        <w:spacing w:after="0" w:line="240" w:lineRule="auto"/>
        <w:jc w:val="both"/>
        <w:rPr>
          <w:sz w:val="22"/>
          <w:szCs w:val="22"/>
        </w:rPr>
      </w:pPr>
    </w:p>
    <w:p w:rsidR="00CD28E6" w:rsidRDefault="00231C18" w:rsidP="00231C18">
      <w:pPr>
        <w:autoSpaceDE w:val="0"/>
        <w:autoSpaceDN w:val="0"/>
        <w:adjustRightInd w:val="0"/>
        <w:spacing w:after="0" w:line="240" w:lineRule="auto"/>
        <w:jc w:val="both"/>
        <w:rPr>
          <w:sz w:val="22"/>
          <w:szCs w:val="22"/>
        </w:rPr>
      </w:pPr>
      <w:r>
        <w:rPr>
          <w:sz w:val="22"/>
          <w:szCs w:val="22"/>
        </w:rPr>
        <w:t>We also note that tax ded</w:t>
      </w:r>
      <w:r w:rsidR="0039155E">
        <w:rPr>
          <w:sz w:val="22"/>
          <w:szCs w:val="22"/>
        </w:rPr>
        <w:t>uctibility of childcare fees has been</w:t>
      </w:r>
      <w:r>
        <w:rPr>
          <w:sz w:val="22"/>
          <w:szCs w:val="22"/>
        </w:rPr>
        <w:t xml:space="preserve"> advocated by the </w:t>
      </w:r>
      <w:r w:rsidR="0039155E">
        <w:rPr>
          <w:sz w:val="22"/>
          <w:szCs w:val="22"/>
        </w:rPr>
        <w:t>Tax Institute on two recent occasions. Firstly, in February 2013, the Institute</w:t>
      </w:r>
      <w:r w:rsidR="00CD28E6">
        <w:rPr>
          <w:sz w:val="22"/>
          <w:szCs w:val="22"/>
        </w:rPr>
        <w:t xml:space="preserve"> submitted to the Treas</w:t>
      </w:r>
      <w:r w:rsidR="0039155E">
        <w:rPr>
          <w:sz w:val="22"/>
          <w:szCs w:val="22"/>
        </w:rPr>
        <w:t xml:space="preserve">urer </w:t>
      </w:r>
      <w:r w:rsidR="00CD28E6">
        <w:rPr>
          <w:sz w:val="22"/>
          <w:szCs w:val="22"/>
        </w:rPr>
        <w:t>that</w:t>
      </w:r>
    </w:p>
    <w:p w:rsidR="00CD28E6" w:rsidRDefault="00CD28E6" w:rsidP="00CD28E6">
      <w:pPr>
        <w:autoSpaceDE w:val="0"/>
        <w:autoSpaceDN w:val="0"/>
        <w:adjustRightInd w:val="0"/>
        <w:spacing w:after="0" w:line="240" w:lineRule="auto"/>
        <w:jc w:val="both"/>
        <w:rPr>
          <w:sz w:val="22"/>
          <w:szCs w:val="22"/>
        </w:rPr>
      </w:pPr>
    </w:p>
    <w:p w:rsidR="00CD28E6" w:rsidRDefault="00CD28E6" w:rsidP="00CD28E6">
      <w:pPr>
        <w:autoSpaceDE w:val="0"/>
        <w:autoSpaceDN w:val="0"/>
        <w:adjustRightInd w:val="0"/>
        <w:spacing w:after="0" w:line="240" w:lineRule="auto"/>
        <w:ind w:left="720"/>
        <w:jc w:val="both"/>
        <w:rPr>
          <w:sz w:val="22"/>
          <w:szCs w:val="22"/>
        </w:rPr>
      </w:pPr>
      <w:r>
        <w:rPr>
          <w:sz w:val="22"/>
          <w:szCs w:val="22"/>
        </w:rPr>
        <w:t xml:space="preserve">“[Tax] deductibility of child-care deserves careful consideration and study, both from a feasibility perspective, as well as the potential resulting increase in the nation’s productivity. Tax deductibility of child-care will allow greater use of the </w:t>
      </w:r>
      <w:r>
        <w:rPr>
          <w:sz w:val="22"/>
          <w:szCs w:val="22"/>
        </w:rPr>
        <w:lastRenderedPageBreak/>
        <w:t>market over direct Government intervention and will provide direct benefits rathe</w:t>
      </w:r>
      <w:r w:rsidR="00320392">
        <w:rPr>
          <w:sz w:val="22"/>
          <w:szCs w:val="22"/>
        </w:rPr>
        <w:t>r</w:t>
      </w:r>
      <w:r>
        <w:rPr>
          <w:sz w:val="22"/>
          <w:szCs w:val="22"/>
        </w:rPr>
        <w:t xml:space="preserve"> than child care system-dependent outcomes.”</w:t>
      </w:r>
      <w:r>
        <w:rPr>
          <w:rStyle w:val="FootnoteReference"/>
          <w:szCs w:val="22"/>
        </w:rPr>
        <w:footnoteReference w:id="35"/>
      </w:r>
    </w:p>
    <w:p w:rsidR="00822C96" w:rsidRDefault="00822C96" w:rsidP="00822C96">
      <w:pPr>
        <w:pStyle w:val="ListParagraph"/>
        <w:rPr>
          <w:sz w:val="22"/>
          <w:szCs w:val="22"/>
        </w:rPr>
      </w:pPr>
    </w:p>
    <w:p w:rsidR="00822C96" w:rsidRDefault="0039155E" w:rsidP="0039155E">
      <w:pPr>
        <w:pStyle w:val="ListParagraph"/>
        <w:ind w:left="0"/>
        <w:jc w:val="both"/>
        <w:rPr>
          <w:sz w:val="22"/>
          <w:szCs w:val="22"/>
        </w:rPr>
      </w:pPr>
      <w:r>
        <w:rPr>
          <w:sz w:val="22"/>
          <w:szCs w:val="22"/>
        </w:rPr>
        <w:t xml:space="preserve">The second occasion was the Tax Institute’s submission to the Inquiry, where it was </w:t>
      </w:r>
      <w:r w:rsidR="00320392">
        <w:rPr>
          <w:sz w:val="22"/>
          <w:szCs w:val="22"/>
        </w:rPr>
        <w:t xml:space="preserve">argued that </w:t>
      </w:r>
    </w:p>
    <w:p w:rsidR="00320392" w:rsidRDefault="00320392" w:rsidP="0039155E">
      <w:pPr>
        <w:pStyle w:val="ListParagraph"/>
        <w:ind w:left="0"/>
        <w:jc w:val="both"/>
        <w:rPr>
          <w:sz w:val="22"/>
          <w:szCs w:val="22"/>
        </w:rPr>
      </w:pPr>
    </w:p>
    <w:p w:rsidR="00320392" w:rsidRDefault="00320392" w:rsidP="00320392">
      <w:pPr>
        <w:pStyle w:val="ListParagraph"/>
        <w:spacing w:after="0" w:line="240" w:lineRule="auto"/>
        <w:jc w:val="both"/>
        <w:rPr>
          <w:sz w:val="22"/>
          <w:szCs w:val="22"/>
        </w:rPr>
      </w:pPr>
      <w:r>
        <w:rPr>
          <w:sz w:val="22"/>
          <w:szCs w:val="22"/>
        </w:rPr>
        <w:t>“[t</w:t>
      </w:r>
      <w:r w:rsidRPr="00320392">
        <w:rPr>
          <w:sz w:val="22"/>
          <w:szCs w:val="22"/>
        </w:rPr>
        <w:t>he</w:t>
      </w:r>
      <w:r>
        <w:rPr>
          <w:sz w:val="22"/>
          <w:szCs w:val="22"/>
        </w:rPr>
        <w:t>]</w:t>
      </w:r>
      <w:r w:rsidRPr="00320392">
        <w:rPr>
          <w:sz w:val="22"/>
          <w:szCs w:val="22"/>
        </w:rPr>
        <w:t xml:space="preserve"> advantage of making child care costs tax deductible is that it relies on market forces (rather than Government intervention) to determine work force participation and to allow legitimate costs of work force participation to be appropriately deducted from income. Tax deductibility would assist in eliminating existing positive incentives for primary carers to stay out of the workforce, yielding a variety of benefits for individual families as well as the nation.</w:t>
      </w:r>
      <w:r w:rsidR="00BE3DFB">
        <w:rPr>
          <w:sz w:val="22"/>
          <w:szCs w:val="22"/>
        </w:rPr>
        <w:t>”</w:t>
      </w:r>
      <w:r w:rsidR="00BE3DFB">
        <w:rPr>
          <w:rStyle w:val="FootnoteReference"/>
          <w:szCs w:val="22"/>
        </w:rPr>
        <w:footnoteReference w:id="36"/>
      </w:r>
    </w:p>
    <w:p w:rsidR="00320392" w:rsidRDefault="00320392" w:rsidP="00320392">
      <w:pPr>
        <w:pStyle w:val="ListParagraph"/>
        <w:spacing w:after="0" w:line="240" w:lineRule="auto"/>
        <w:jc w:val="both"/>
        <w:rPr>
          <w:sz w:val="22"/>
          <w:szCs w:val="22"/>
        </w:rPr>
      </w:pPr>
    </w:p>
    <w:p w:rsidR="00320392" w:rsidRPr="00320392" w:rsidRDefault="00320392" w:rsidP="00320392">
      <w:pPr>
        <w:pStyle w:val="ListParagraph"/>
        <w:spacing w:after="0" w:line="240" w:lineRule="auto"/>
        <w:ind w:left="0"/>
        <w:jc w:val="both"/>
        <w:rPr>
          <w:sz w:val="22"/>
          <w:szCs w:val="22"/>
        </w:rPr>
      </w:pPr>
      <w:r>
        <w:rPr>
          <w:sz w:val="22"/>
          <w:szCs w:val="22"/>
        </w:rPr>
        <w:t xml:space="preserve">We </w:t>
      </w:r>
      <w:r w:rsidR="00BE3DFB">
        <w:rPr>
          <w:sz w:val="22"/>
          <w:szCs w:val="22"/>
        </w:rPr>
        <w:t xml:space="preserve">also note that the Tax Institute’s submission to the Inquiry </w:t>
      </w:r>
      <w:r w:rsidR="00F724D1">
        <w:rPr>
          <w:sz w:val="22"/>
          <w:szCs w:val="22"/>
        </w:rPr>
        <w:t>that tax deductibility “would need to be supplemented with means-tested access to the [</w:t>
      </w:r>
      <w:proofErr w:type="spellStart"/>
      <w:r w:rsidR="00F724D1">
        <w:rPr>
          <w:sz w:val="22"/>
          <w:szCs w:val="22"/>
        </w:rPr>
        <w:t>CCR</w:t>
      </w:r>
      <w:proofErr w:type="spellEnd"/>
      <w:r w:rsidR="00F724D1">
        <w:rPr>
          <w:sz w:val="22"/>
          <w:szCs w:val="22"/>
        </w:rPr>
        <w:t>], to ensure that women in lower marginal tax brackets who cannot benefit as greatly from deductibility of child care are also appropriately supported.”</w:t>
      </w:r>
      <w:r w:rsidR="00F724D1">
        <w:rPr>
          <w:rStyle w:val="FootnoteReference"/>
          <w:szCs w:val="22"/>
        </w:rPr>
        <w:footnoteReference w:id="37"/>
      </w:r>
    </w:p>
    <w:p w:rsidR="00822C96" w:rsidRPr="00FE250B" w:rsidRDefault="00822C96" w:rsidP="00320392">
      <w:pPr>
        <w:pStyle w:val="ListParagraph"/>
        <w:autoSpaceDE w:val="0"/>
        <w:autoSpaceDN w:val="0"/>
        <w:adjustRightInd w:val="0"/>
        <w:spacing w:after="0" w:line="240" w:lineRule="auto"/>
        <w:jc w:val="both"/>
        <w:rPr>
          <w:sz w:val="22"/>
          <w:szCs w:val="22"/>
        </w:rPr>
      </w:pPr>
    </w:p>
    <w:p w:rsidR="00CD28E6" w:rsidRDefault="00F724D1" w:rsidP="00CD28E6">
      <w:pPr>
        <w:autoSpaceDE w:val="0"/>
        <w:autoSpaceDN w:val="0"/>
        <w:adjustRightInd w:val="0"/>
        <w:spacing w:after="0" w:line="240" w:lineRule="auto"/>
        <w:jc w:val="both"/>
        <w:rPr>
          <w:sz w:val="22"/>
          <w:szCs w:val="22"/>
        </w:rPr>
      </w:pPr>
      <w:r>
        <w:rPr>
          <w:sz w:val="22"/>
          <w:szCs w:val="22"/>
        </w:rPr>
        <w:t xml:space="preserve">Lastly, </w:t>
      </w:r>
      <w:proofErr w:type="spellStart"/>
      <w:r>
        <w:rPr>
          <w:sz w:val="22"/>
          <w:szCs w:val="22"/>
        </w:rPr>
        <w:t>MMSG</w:t>
      </w:r>
      <w:proofErr w:type="spellEnd"/>
      <w:r>
        <w:rPr>
          <w:sz w:val="22"/>
          <w:szCs w:val="22"/>
        </w:rPr>
        <w:t xml:space="preserve"> notes that </w:t>
      </w:r>
      <w:r w:rsidR="00CD28E6">
        <w:rPr>
          <w:sz w:val="22"/>
          <w:szCs w:val="22"/>
        </w:rPr>
        <w:t xml:space="preserve">The Institute of Chartered Accountants in Australia’s submission to the </w:t>
      </w:r>
      <w:r>
        <w:rPr>
          <w:sz w:val="22"/>
          <w:szCs w:val="22"/>
        </w:rPr>
        <w:t>Inquiry stated</w:t>
      </w:r>
      <w:r w:rsidR="00CD28E6">
        <w:rPr>
          <w:sz w:val="22"/>
          <w:szCs w:val="22"/>
        </w:rPr>
        <w:t>:</w:t>
      </w:r>
    </w:p>
    <w:p w:rsidR="00CD28E6" w:rsidRDefault="00CD28E6" w:rsidP="00CD28E6">
      <w:pPr>
        <w:autoSpaceDE w:val="0"/>
        <w:autoSpaceDN w:val="0"/>
        <w:adjustRightInd w:val="0"/>
        <w:spacing w:after="0" w:line="240" w:lineRule="auto"/>
        <w:jc w:val="both"/>
        <w:rPr>
          <w:sz w:val="22"/>
          <w:szCs w:val="22"/>
        </w:rPr>
      </w:pPr>
    </w:p>
    <w:p w:rsidR="00CD28E6" w:rsidRPr="001C4A95" w:rsidRDefault="00CD28E6" w:rsidP="00CD28E6">
      <w:pPr>
        <w:autoSpaceDE w:val="0"/>
        <w:autoSpaceDN w:val="0"/>
        <w:adjustRightInd w:val="0"/>
        <w:spacing w:after="0" w:line="240" w:lineRule="auto"/>
        <w:ind w:left="720"/>
        <w:jc w:val="both"/>
        <w:rPr>
          <w:rFonts w:eastAsiaTheme="minorHAnsi" w:cs="Arial"/>
          <w:sz w:val="22"/>
          <w:szCs w:val="22"/>
        </w:rPr>
      </w:pPr>
      <w:r>
        <w:rPr>
          <w:rFonts w:eastAsiaTheme="minorHAnsi" w:cs="Arial"/>
          <w:sz w:val="22"/>
          <w:szCs w:val="22"/>
        </w:rPr>
        <w:t>“</w:t>
      </w:r>
      <w:r w:rsidRPr="001C4A95">
        <w:rPr>
          <w:rFonts w:eastAsiaTheme="minorHAnsi" w:cs="Arial"/>
          <w:sz w:val="22"/>
          <w:szCs w:val="22"/>
        </w:rPr>
        <w:t>The Institute recommends the Inquiry considers the current financial ass</w:t>
      </w:r>
      <w:r>
        <w:rPr>
          <w:rFonts w:eastAsiaTheme="minorHAnsi" w:cs="Arial"/>
          <w:sz w:val="22"/>
          <w:szCs w:val="22"/>
        </w:rPr>
        <w:t xml:space="preserve">istance for childcare including </w:t>
      </w:r>
      <w:r w:rsidRPr="001C4A95">
        <w:rPr>
          <w:rFonts w:eastAsiaTheme="minorHAnsi" w:cs="Arial"/>
          <w:sz w:val="22"/>
          <w:szCs w:val="22"/>
        </w:rPr>
        <w:t>‘in-home care’ as well as considering other alternatives such as the possibility of making ch</w:t>
      </w:r>
      <w:r>
        <w:rPr>
          <w:rFonts w:eastAsiaTheme="minorHAnsi" w:cs="Arial"/>
          <w:sz w:val="22"/>
          <w:szCs w:val="22"/>
        </w:rPr>
        <w:t xml:space="preserve">ildcare tax </w:t>
      </w:r>
      <w:r w:rsidRPr="001C4A95">
        <w:rPr>
          <w:rFonts w:eastAsiaTheme="minorHAnsi" w:cs="Arial"/>
          <w:sz w:val="22"/>
          <w:szCs w:val="22"/>
        </w:rPr>
        <w:t>deductible.</w:t>
      </w:r>
      <w:r>
        <w:rPr>
          <w:rFonts w:eastAsiaTheme="minorHAnsi" w:cs="Arial"/>
          <w:sz w:val="22"/>
          <w:szCs w:val="22"/>
        </w:rPr>
        <w:t>”</w:t>
      </w:r>
      <w:r>
        <w:rPr>
          <w:rStyle w:val="FootnoteReference"/>
          <w:rFonts w:eastAsiaTheme="minorHAnsi" w:cs="Arial"/>
          <w:szCs w:val="22"/>
        </w:rPr>
        <w:footnoteReference w:id="38"/>
      </w:r>
    </w:p>
    <w:p w:rsidR="00591FA7" w:rsidRDefault="00591FA7" w:rsidP="002075BA">
      <w:pPr>
        <w:autoSpaceDE w:val="0"/>
        <w:autoSpaceDN w:val="0"/>
        <w:adjustRightInd w:val="0"/>
        <w:spacing w:after="0" w:line="240" w:lineRule="auto"/>
        <w:jc w:val="both"/>
        <w:rPr>
          <w:sz w:val="22"/>
          <w:szCs w:val="22"/>
        </w:rPr>
      </w:pPr>
    </w:p>
    <w:p w:rsidR="00591FA7" w:rsidRPr="00591FA7" w:rsidRDefault="00591FA7" w:rsidP="002075BA">
      <w:pPr>
        <w:autoSpaceDE w:val="0"/>
        <w:autoSpaceDN w:val="0"/>
        <w:adjustRightInd w:val="0"/>
        <w:spacing w:after="0" w:line="240" w:lineRule="auto"/>
        <w:jc w:val="both"/>
        <w:rPr>
          <w:b/>
          <w:i/>
          <w:color w:val="1F497D" w:themeColor="text2"/>
          <w:sz w:val="24"/>
        </w:rPr>
      </w:pPr>
      <w:r w:rsidRPr="00591FA7">
        <w:rPr>
          <w:b/>
          <w:i/>
          <w:color w:val="1F497D" w:themeColor="text2"/>
          <w:sz w:val="24"/>
        </w:rPr>
        <w:t xml:space="preserve">Alternate recommendation – </w:t>
      </w:r>
      <w:r w:rsidR="00B37433">
        <w:rPr>
          <w:b/>
          <w:i/>
          <w:color w:val="1F497D" w:themeColor="text2"/>
          <w:sz w:val="24"/>
        </w:rPr>
        <w:t xml:space="preserve">reform </w:t>
      </w:r>
      <w:proofErr w:type="spellStart"/>
      <w:r w:rsidR="00B37433">
        <w:rPr>
          <w:b/>
          <w:i/>
          <w:color w:val="1F497D" w:themeColor="text2"/>
          <w:sz w:val="24"/>
        </w:rPr>
        <w:t>FBT</w:t>
      </w:r>
      <w:proofErr w:type="spellEnd"/>
      <w:r w:rsidR="00B37433">
        <w:rPr>
          <w:b/>
          <w:i/>
          <w:color w:val="1F497D" w:themeColor="text2"/>
          <w:sz w:val="24"/>
        </w:rPr>
        <w:t xml:space="preserve"> exemptions</w:t>
      </w:r>
    </w:p>
    <w:p w:rsidR="00591FA7" w:rsidRDefault="00591FA7" w:rsidP="002075BA">
      <w:pPr>
        <w:autoSpaceDE w:val="0"/>
        <w:autoSpaceDN w:val="0"/>
        <w:adjustRightInd w:val="0"/>
        <w:spacing w:after="0" w:line="240" w:lineRule="auto"/>
        <w:jc w:val="both"/>
        <w:rPr>
          <w:sz w:val="22"/>
          <w:szCs w:val="22"/>
        </w:rPr>
      </w:pPr>
    </w:p>
    <w:p w:rsidR="008E6076" w:rsidRPr="008E6076" w:rsidRDefault="00D67D7C" w:rsidP="008E6076">
      <w:pPr>
        <w:spacing w:after="0" w:line="240" w:lineRule="auto"/>
        <w:jc w:val="both"/>
        <w:rPr>
          <w:sz w:val="22"/>
        </w:rPr>
      </w:pPr>
      <w:r>
        <w:rPr>
          <w:sz w:val="22"/>
        </w:rPr>
        <w:t xml:space="preserve">As an alternative to allowing parents the option of claiming an income tax deduction for childcare costs, </w:t>
      </w:r>
      <w:proofErr w:type="spellStart"/>
      <w:r>
        <w:rPr>
          <w:sz w:val="22"/>
        </w:rPr>
        <w:t>MMSG</w:t>
      </w:r>
      <w:proofErr w:type="spellEnd"/>
      <w:r>
        <w:rPr>
          <w:sz w:val="22"/>
        </w:rPr>
        <w:t xml:space="preserve"> recommends that </w:t>
      </w:r>
      <w:r w:rsidR="008E6076" w:rsidRPr="008E6076">
        <w:rPr>
          <w:sz w:val="22"/>
        </w:rPr>
        <w:t>s</w:t>
      </w:r>
      <w:r>
        <w:rPr>
          <w:sz w:val="22"/>
        </w:rPr>
        <w:t>ubs</w:t>
      </w:r>
      <w:r w:rsidR="008E6076" w:rsidRPr="008E6076">
        <w:rPr>
          <w:sz w:val="22"/>
        </w:rPr>
        <w:t xml:space="preserve"> 47(2) </w:t>
      </w:r>
      <w:r>
        <w:rPr>
          <w:sz w:val="22"/>
        </w:rPr>
        <w:t>and subs 47(8) be substantively amended or replaced</w:t>
      </w:r>
      <w:r w:rsidR="008E6076" w:rsidRPr="008E6076">
        <w:rPr>
          <w:sz w:val="22"/>
        </w:rPr>
        <w:t xml:space="preserve"> to lower the barriers against employers </w:t>
      </w:r>
      <w:r>
        <w:rPr>
          <w:sz w:val="22"/>
        </w:rPr>
        <w:t>seeking</w:t>
      </w:r>
      <w:r w:rsidR="008E6076" w:rsidRPr="008E6076">
        <w:rPr>
          <w:sz w:val="22"/>
        </w:rPr>
        <w:t xml:space="preserve"> to provide </w:t>
      </w:r>
      <w:proofErr w:type="spellStart"/>
      <w:r w:rsidR="008E6076" w:rsidRPr="008E6076">
        <w:rPr>
          <w:sz w:val="22"/>
        </w:rPr>
        <w:t>FBT</w:t>
      </w:r>
      <w:proofErr w:type="spellEnd"/>
      <w:r w:rsidR="008E6076" w:rsidRPr="008E6076">
        <w:rPr>
          <w:sz w:val="22"/>
        </w:rPr>
        <w:t xml:space="preserve">-exempt childcare facilities </w:t>
      </w:r>
      <w:r>
        <w:rPr>
          <w:sz w:val="22"/>
        </w:rPr>
        <w:t xml:space="preserve">or support </w:t>
      </w:r>
      <w:r w:rsidR="008E6076" w:rsidRPr="008E6076">
        <w:rPr>
          <w:sz w:val="22"/>
        </w:rPr>
        <w:t>to employees.</w:t>
      </w:r>
    </w:p>
    <w:p w:rsidR="00F442FB" w:rsidRDefault="00F442FB" w:rsidP="002075BA">
      <w:pPr>
        <w:autoSpaceDE w:val="0"/>
        <w:autoSpaceDN w:val="0"/>
        <w:adjustRightInd w:val="0"/>
        <w:spacing w:after="0" w:line="240" w:lineRule="auto"/>
        <w:jc w:val="both"/>
        <w:rPr>
          <w:sz w:val="22"/>
          <w:szCs w:val="22"/>
        </w:rPr>
      </w:pPr>
    </w:p>
    <w:p w:rsidR="009A42CF" w:rsidRDefault="00903508" w:rsidP="005414E4">
      <w:pPr>
        <w:autoSpaceDE w:val="0"/>
        <w:autoSpaceDN w:val="0"/>
        <w:adjustRightInd w:val="0"/>
        <w:spacing w:after="0" w:line="240" w:lineRule="auto"/>
        <w:jc w:val="both"/>
        <w:rPr>
          <w:sz w:val="22"/>
          <w:szCs w:val="22"/>
        </w:rPr>
      </w:pPr>
      <w:r>
        <w:rPr>
          <w:sz w:val="22"/>
          <w:szCs w:val="22"/>
        </w:rPr>
        <w:t xml:space="preserve">The </w:t>
      </w:r>
      <w:r>
        <w:rPr>
          <w:sz w:val="22"/>
        </w:rPr>
        <w:t xml:space="preserve">2006 inquiry by the House of Representatives Standing Committee on Family and Human Services recommended that </w:t>
      </w:r>
      <w:proofErr w:type="spellStart"/>
      <w:r>
        <w:rPr>
          <w:sz w:val="22"/>
        </w:rPr>
        <w:t>FBT</w:t>
      </w:r>
      <w:proofErr w:type="spellEnd"/>
      <w:r>
        <w:rPr>
          <w:sz w:val="22"/>
        </w:rPr>
        <w:t xml:space="preserve"> “</w:t>
      </w:r>
      <w:r w:rsidR="006F33C0">
        <w:rPr>
          <w:rFonts w:eastAsiaTheme="minorHAnsi" w:cs="BookAntiqua"/>
          <w:sz w:val="22"/>
          <w:szCs w:val="22"/>
        </w:rPr>
        <w:t>be removed from all child</w:t>
      </w:r>
      <w:r w:rsidRPr="00903508">
        <w:rPr>
          <w:rFonts w:eastAsiaTheme="minorHAnsi" w:cs="BookAntiqua"/>
          <w:sz w:val="22"/>
          <w:szCs w:val="22"/>
        </w:rPr>
        <w:t>care, so that all or any childcare provision made by employers</w:t>
      </w:r>
      <w:r>
        <w:rPr>
          <w:rFonts w:eastAsiaTheme="minorHAnsi" w:cs="BookAntiqua"/>
          <w:sz w:val="22"/>
          <w:szCs w:val="22"/>
        </w:rPr>
        <w:t xml:space="preserve"> to assist employees is exempt, </w:t>
      </w:r>
      <w:r w:rsidRPr="00903508">
        <w:rPr>
          <w:rFonts w:eastAsiaTheme="minorHAnsi" w:cs="BookAntiqua"/>
          <w:sz w:val="22"/>
          <w:szCs w:val="22"/>
        </w:rPr>
        <w:t>inclusive of salary sacrificing arrangements for child care.</w:t>
      </w:r>
      <w:r>
        <w:rPr>
          <w:rFonts w:eastAsiaTheme="minorHAnsi" w:cs="BookAntiqua"/>
          <w:sz w:val="22"/>
          <w:szCs w:val="22"/>
        </w:rPr>
        <w:t>”</w:t>
      </w:r>
      <w:r>
        <w:rPr>
          <w:rStyle w:val="FootnoteReference"/>
          <w:rFonts w:eastAsiaTheme="minorHAnsi" w:cs="BookAntiqua"/>
          <w:szCs w:val="22"/>
        </w:rPr>
        <w:footnoteReference w:id="39"/>
      </w:r>
      <w:r w:rsidR="006F33C0">
        <w:rPr>
          <w:rFonts w:eastAsiaTheme="minorHAnsi" w:cs="BookAntiqua"/>
          <w:sz w:val="22"/>
          <w:szCs w:val="22"/>
        </w:rPr>
        <w:t xml:space="preserve"> </w:t>
      </w:r>
      <w:r w:rsidR="003B72A6">
        <w:rPr>
          <w:rFonts w:eastAsiaTheme="minorHAnsi" w:cs="BookAntiqua"/>
          <w:sz w:val="22"/>
          <w:szCs w:val="22"/>
        </w:rPr>
        <w:t>The recommendation had bipartisan</w:t>
      </w:r>
      <w:r w:rsidR="006F33C0">
        <w:rPr>
          <w:rFonts w:eastAsiaTheme="minorHAnsi" w:cs="BookAntiqua"/>
          <w:sz w:val="22"/>
          <w:szCs w:val="22"/>
        </w:rPr>
        <w:t xml:space="preserve"> political support, and this has continued to this day.</w:t>
      </w:r>
      <w:r w:rsidR="005414E4">
        <w:rPr>
          <w:rStyle w:val="FootnoteReference"/>
          <w:rFonts w:eastAsiaTheme="minorHAnsi" w:cs="BookAntiqua"/>
          <w:szCs w:val="22"/>
        </w:rPr>
        <w:footnoteReference w:id="40"/>
      </w:r>
      <w:r w:rsidR="009A42CF">
        <w:rPr>
          <w:sz w:val="22"/>
          <w:szCs w:val="22"/>
        </w:rPr>
        <w:t xml:space="preserve"> </w:t>
      </w:r>
      <w:r w:rsidR="006F33C0">
        <w:rPr>
          <w:sz w:val="22"/>
          <w:szCs w:val="22"/>
        </w:rPr>
        <w:t xml:space="preserve">In this regard, </w:t>
      </w:r>
      <w:proofErr w:type="spellStart"/>
      <w:r w:rsidR="006F33C0">
        <w:rPr>
          <w:sz w:val="22"/>
          <w:szCs w:val="22"/>
        </w:rPr>
        <w:t>MMSG</w:t>
      </w:r>
      <w:proofErr w:type="spellEnd"/>
      <w:r w:rsidR="006F33C0">
        <w:rPr>
          <w:sz w:val="22"/>
          <w:szCs w:val="22"/>
        </w:rPr>
        <w:t xml:space="preserve"> supports the approach adopted by the Australian </w:t>
      </w:r>
      <w:r w:rsidR="00295F4A">
        <w:rPr>
          <w:sz w:val="22"/>
          <w:szCs w:val="22"/>
        </w:rPr>
        <w:t>Chamber of Commerce and Industry i</w:t>
      </w:r>
      <w:r w:rsidR="003F7B86">
        <w:rPr>
          <w:sz w:val="22"/>
          <w:szCs w:val="22"/>
        </w:rPr>
        <w:t xml:space="preserve">n its </w:t>
      </w:r>
      <w:r w:rsidR="003F7B86">
        <w:rPr>
          <w:sz w:val="22"/>
          <w:szCs w:val="22"/>
        </w:rPr>
        <w:lastRenderedPageBreak/>
        <w:t xml:space="preserve">submission to the Inquiry that all childcare paid for by employers should be exempt from </w:t>
      </w:r>
      <w:proofErr w:type="spellStart"/>
      <w:r w:rsidR="003F7B86">
        <w:rPr>
          <w:sz w:val="22"/>
          <w:szCs w:val="22"/>
        </w:rPr>
        <w:t>FBT</w:t>
      </w:r>
      <w:proofErr w:type="spellEnd"/>
      <w:r w:rsidR="003F7B86">
        <w:rPr>
          <w:sz w:val="22"/>
          <w:szCs w:val="22"/>
        </w:rPr>
        <w:t>.</w:t>
      </w:r>
      <w:r w:rsidR="002F26DA">
        <w:rPr>
          <w:rStyle w:val="FootnoteReference"/>
          <w:szCs w:val="22"/>
        </w:rPr>
        <w:footnoteReference w:id="41"/>
      </w:r>
      <w:r w:rsidR="005414E4">
        <w:rPr>
          <w:sz w:val="22"/>
          <w:szCs w:val="22"/>
        </w:rPr>
        <w:t xml:space="preserve"> </w:t>
      </w:r>
    </w:p>
    <w:p w:rsidR="009A42CF" w:rsidRDefault="009A42CF" w:rsidP="005414E4">
      <w:pPr>
        <w:autoSpaceDE w:val="0"/>
        <w:autoSpaceDN w:val="0"/>
        <w:adjustRightInd w:val="0"/>
        <w:spacing w:after="0" w:line="240" w:lineRule="auto"/>
        <w:jc w:val="both"/>
        <w:rPr>
          <w:sz w:val="22"/>
          <w:szCs w:val="22"/>
        </w:rPr>
      </w:pPr>
    </w:p>
    <w:p w:rsidR="00D84559" w:rsidRDefault="009A42CF" w:rsidP="005414E4">
      <w:pPr>
        <w:autoSpaceDE w:val="0"/>
        <w:autoSpaceDN w:val="0"/>
        <w:adjustRightInd w:val="0"/>
        <w:spacing w:after="0" w:line="240" w:lineRule="auto"/>
        <w:jc w:val="both"/>
        <w:rPr>
          <w:sz w:val="22"/>
          <w:szCs w:val="22"/>
        </w:rPr>
      </w:pPr>
      <w:proofErr w:type="spellStart"/>
      <w:r>
        <w:rPr>
          <w:sz w:val="22"/>
          <w:szCs w:val="22"/>
        </w:rPr>
        <w:t>MMSG</w:t>
      </w:r>
      <w:proofErr w:type="spellEnd"/>
      <w:r w:rsidR="005414E4">
        <w:rPr>
          <w:sz w:val="22"/>
          <w:szCs w:val="22"/>
        </w:rPr>
        <w:t xml:space="preserve"> also note</w:t>
      </w:r>
      <w:r>
        <w:rPr>
          <w:sz w:val="22"/>
          <w:szCs w:val="22"/>
        </w:rPr>
        <w:t>s</w:t>
      </w:r>
      <w:r w:rsidR="005414E4">
        <w:rPr>
          <w:sz w:val="22"/>
          <w:szCs w:val="22"/>
        </w:rPr>
        <w:t xml:space="preserve"> that</w:t>
      </w:r>
      <w:r w:rsidR="00295F4A">
        <w:rPr>
          <w:sz w:val="22"/>
          <w:szCs w:val="22"/>
        </w:rPr>
        <w:t xml:space="preserve"> the </w:t>
      </w:r>
      <w:r w:rsidR="002F26DA">
        <w:rPr>
          <w:sz w:val="22"/>
          <w:szCs w:val="22"/>
        </w:rPr>
        <w:t>Australian Industry Group’s submission</w:t>
      </w:r>
      <w:r w:rsidR="00295F4A">
        <w:rPr>
          <w:sz w:val="22"/>
          <w:szCs w:val="22"/>
        </w:rPr>
        <w:t xml:space="preserve"> to the Inquiry recommended that</w:t>
      </w:r>
      <w:r w:rsidR="005414E4">
        <w:rPr>
          <w:sz w:val="22"/>
          <w:szCs w:val="22"/>
        </w:rPr>
        <w:t xml:space="preserve"> consideration be given to extending the </w:t>
      </w:r>
      <w:proofErr w:type="spellStart"/>
      <w:r w:rsidR="005414E4">
        <w:rPr>
          <w:sz w:val="22"/>
          <w:szCs w:val="22"/>
        </w:rPr>
        <w:t>FBT</w:t>
      </w:r>
      <w:proofErr w:type="spellEnd"/>
      <w:r w:rsidR="005414E4">
        <w:rPr>
          <w:sz w:val="22"/>
          <w:szCs w:val="22"/>
        </w:rPr>
        <w:t xml:space="preserve"> exemption to allow more joint venture employer childcare facilities.</w:t>
      </w:r>
      <w:r w:rsidR="002F26DA">
        <w:rPr>
          <w:rStyle w:val="FootnoteReference"/>
          <w:rFonts w:eastAsiaTheme="minorHAnsi" w:cs="Calibri"/>
          <w:szCs w:val="22"/>
        </w:rPr>
        <w:footnoteReference w:id="42"/>
      </w:r>
      <w:r>
        <w:rPr>
          <w:sz w:val="22"/>
          <w:szCs w:val="22"/>
        </w:rPr>
        <w:t xml:space="preserve"> We support that recommendation as it would serve to lower the barriers against employers seeking to assist employees with childcare. </w:t>
      </w:r>
    </w:p>
    <w:p w:rsidR="00D84559" w:rsidRDefault="00D84559" w:rsidP="005414E4">
      <w:pPr>
        <w:autoSpaceDE w:val="0"/>
        <w:autoSpaceDN w:val="0"/>
        <w:adjustRightInd w:val="0"/>
        <w:spacing w:after="0" w:line="240" w:lineRule="auto"/>
        <w:jc w:val="both"/>
        <w:rPr>
          <w:sz w:val="22"/>
          <w:szCs w:val="22"/>
        </w:rPr>
      </w:pPr>
    </w:p>
    <w:p w:rsidR="002F26DA" w:rsidRPr="005414E4" w:rsidRDefault="009A42CF" w:rsidP="005414E4">
      <w:pPr>
        <w:autoSpaceDE w:val="0"/>
        <w:autoSpaceDN w:val="0"/>
        <w:adjustRightInd w:val="0"/>
        <w:spacing w:after="0" w:line="240" w:lineRule="auto"/>
        <w:jc w:val="both"/>
        <w:rPr>
          <w:sz w:val="22"/>
          <w:szCs w:val="22"/>
        </w:rPr>
      </w:pPr>
      <w:r>
        <w:rPr>
          <w:sz w:val="22"/>
          <w:szCs w:val="22"/>
        </w:rPr>
        <w:t xml:space="preserve">Specifically, </w:t>
      </w:r>
      <w:proofErr w:type="spellStart"/>
      <w:r>
        <w:rPr>
          <w:sz w:val="22"/>
          <w:szCs w:val="22"/>
        </w:rPr>
        <w:t>MMSG</w:t>
      </w:r>
      <w:proofErr w:type="spellEnd"/>
      <w:r>
        <w:rPr>
          <w:sz w:val="22"/>
          <w:szCs w:val="22"/>
        </w:rPr>
        <w:t xml:space="preserve"> believes that if</w:t>
      </w:r>
      <w:r w:rsidR="00D84559">
        <w:rPr>
          <w:sz w:val="22"/>
          <w:szCs w:val="22"/>
        </w:rPr>
        <w:t xml:space="preserve"> a specified number of employers, for example five, located in the same area wished to join together to mutually provide a childcare facility for their employees, each of those employers should be entitled to an </w:t>
      </w:r>
      <w:proofErr w:type="spellStart"/>
      <w:r w:rsidR="00D84559">
        <w:rPr>
          <w:sz w:val="22"/>
          <w:szCs w:val="22"/>
        </w:rPr>
        <w:t>FBT</w:t>
      </w:r>
      <w:proofErr w:type="spellEnd"/>
      <w:r w:rsidR="00D84559">
        <w:rPr>
          <w:sz w:val="22"/>
          <w:szCs w:val="22"/>
        </w:rPr>
        <w:t xml:space="preserve"> exemption. Such an amendment should by necessity dispense with the current ‘control’ requirement and thus allow </w:t>
      </w:r>
      <w:r w:rsidR="00314CD6">
        <w:rPr>
          <w:sz w:val="22"/>
          <w:szCs w:val="22"/>
        </w:rPr>
        <w:t>joint venture facilities to be managed and operated by professional childcare operators.</w:t>
      </w:r>
    </w:p>
    <w:p w:rsidR="00571084" w:rsidRDefault="00571084" w:rsidP="006F038E">
      <w:pPr>
        <w:autoSpaceDE w:val="0"/>
        <w:autoSpaceDN w:val="0"/>
        <w:adjustRightInd w:val="0"/>
        <w:spacing w:after="0" w:line="240" w:lineRule="auto"/>
        <w:jc w:val="both"/>
        <w:rPr>
          <w:sz w:val="22"/>
          <w:szCs w:val="22"/>
        </w:rPr>
      </w:pPr>
    </w:p>
    <w:p w:rsidR="006F038E" w:rsidRPr="001562A0" w:rsidRDefault="000D4A71" w:rsidP="006F038E">
      <w:pPr>
        <w:autoSpaceDE w:val="0"/>
        <w:autoSpaceDN w:val="0"/>
        <w:adjustRightInd w:val="0"/>
        <w:spacing w:after="0" w:line="240" w:lineRule="auto"/>
        <w:jc w:val="both"/>
        <w:rPr>
          <w:b/>
          <w:color w:val="1F497D" w:themeColor="text2"/>
          <w:sz w:val="32"/>
          <w:szCs w:val="32"/>
        </w:rPr>
      </w:pPr>
      <w:r>
        <w:rPr>
          <w:b/>
          <w:color w:val="1F497D" w:themeColor="text2"/>
          <w:sz w:val="32"/>
          <w:szCs w:val="32"/>
        </w:rPr>
        <w:t>Su</w:t>
      </w:r>
      <w:r w:rsidR="006F038E" w:rsidRPr="001562A0">
        <w:rPr>
          <w:b/>
          <w:color w:val="1F497D" w:themeColor="text2"/>
          <w:sz w:val="32"/>
          <w:szCs w:val="32"/>
        </w:rPr>
        <w:t>mmary</w:t>
      </w:r>
    </w:p>
    <w:p w:rsidR="006F038E" w:rsidRPr="005E0E5C" w:rsidRDefault="006F038E" w:rsidP="0022172D">
      <w:pPr>
        <w:autoSpaceDE w:val="0"/>
        <w:autoSpaceDN w:val="0"/>
        <w:adjustRightInd w:val="0"/>
        <w:spacing w:after="0" w:line="240" w:lineRule="auto"/>
        <w:jc w:val="both"/>
        <w:rPr>
          <w:sz w:val="22"/>
          <w:szCs w:val="22"/>
        </w:rPr>
      </w:pPr>
    </w:p>
    <w:p w:rsidR="002C7F08" w:rsidRPr="002C7F08" w:rsidRDefault="002C7F08" w:rsidP="008A5E0E">
      <w:pPr>
        <w:spacing w:after="0" w:line="240" w:lineRule="auto"/>
        <w:jc w:val="both"/>
        <w:rPr>
          <w:sz w:val="22"/>
          <w:szCs w:val="22"/>
        </w:rPr>
      </w:pPr>
      <w:r>
        <w:rPr>
          <w:sz w:val="22"/>
          <w:szCs w:val="22"/>
        </w:rPr>
        <w:t xml:space="preserve">The McMillan Shakespeare Group’s submission to the Productivity Commission’s Inquiry in childcare and early childhood learning focused on </w:t>
      </w:r>
      <w:r>
        <w:rPr>
          <w:sz w:val="22"/>
        </w:rPr>
        <w:t>the Treasurer’s request that the Commission report on and make recommendations about (among other things):</w:t>
      </w:r>
    </w:p>
    <w:p w:rsidR="002C7F08" w:rsidRDefault="002C7F08" w:rsidP="008A5E0E">
      <w:pPr>
        <w:spacing w:after="0" w:line="240" w:lineRule="auto"/>
        <w:jc w:val="both"/>
        <w:rPr>
          <w:sz w:val="22"/>
        </w:rPr>
      </w:pPr>
    </w:p>
    <w:p w:rsidR="002C7F08" w:rsidRPr="00FD3069" w:rsidRDefault="002C7F08" w:rsidP="008A5E0E">
      <w:pPr>
        <w:pStyle w:val="ListParagraph"/>
        <w:numPr>
          <w:ilvl w:val="0"/>
          <w:numId w:val="28"/>
        </w:numPr>
        <w:spacing w:after="0" w:line="240" w:lineRule="auto"/>
        <w:jc w:val="both"/>
        <w:rPr>
          <w:sz w:val="22"/>
        </w:rPr>
      </w:pPr>
      <w:r w:rsidRPr="00FD3069">
        <w:rPr>
          <w:sz w:val="22"/>
        </w:rPr>
        <w:t>options for enhancing the choices available to Australian families as to how they receive childcare support, including subsidies, rebates and tax deductions; and</w:t>
      </w:r>
    </w:p>
    <w:p w:rsidR="002C7F08" w:rsidRDefault="002C7F08" w:rsidP="008A5E0E">
      <w:pPr>
        <w:spacing w:after="0" w:line="240" w:lineRule="auto"/>
        <w:jc w:val="both"/>
        <w:rPr>
          <w:sz w:val="22"/>
        </w:rPr>
      </w:pPr>
    </w:p>
    <w:p w:rsidR="002C7F08" w:rsidRPr="00F72F4B" w:rsidRDefault="002C7F08" w:rsidP="008A5E0E">
      <w:pPr>
        <w:pStyle w:val="ListParagraph"/>
        <w:numPr>
          <w:ilvl w:val="0"/>
          <w:numId w:val="28"/>
        </w:numPr>
        <w:spacing w:after="0" w:line="240" w:lineRule="auto"/>
        <w:jc w:val="both"/>
        <w:rPr>
          <w:sz w:val="22"/>
        </w:rPr>
      </w:pPr>
      <w:r w:rsidRPr="00FD3069">
        <w:rPr>
          <w:sz w:val="22"/>
        </w:rPr>
        <w:t>the role and potential for employer-provided childcare.</w:t>
      </w:r>
    </w:p>
    <w:p w:rsidR="002C7F08" w:rsidRDefault="002C7F08" w:rsidP="008A5E0E">
      <w:pPr>
        <w:spacing w:after="0" w:line="240" w:lineRule="auto"/>
        <w:jc w:val="both"/>
        <w:rPr>
          <w:sz w:val="22"/>
        </w:rPr>
      </w:pPr>
    </w:p>
    <w:p w:rsidR="002C7F08" w:rsidRDefault="008A5E0E" w:rsidP="008A5E0E">
      <w:pPr>
        <w:spacing w:after="0" w:line="240" w:lineRule="auto"/>
        <w:jc w:val="both"/>
        <w:rPr>
          <w:sz w:val="22"/>
          <w:szCs w:val="22"/>
        </w:rPr>
      </w:pPr>
      <w:r>
        <w:rPr>
          <w:sz w:val="22"/>
          <w:szCs w:val="22"/>
        </w:rPr>
        <w:t xml:space="preserve">To that end our submission discussed ongoing issues with the Child Care Benefit and the </w:t>
      </w:r>
      <w:proofErr w:type="spellStart"/>
      <w:r>
        <w:rPr>
          <w:sz w:val="22"/>
          <w:szCs w:val="22"/>
        </w:rPr>
        <w:t>Chid</w:t>
      </w:r>
      <w:proofErr w:type="spellEnd"/>
      <w:r>
        <w:rPr>
          <w:sz w:val="22"/>
          <w:szCs w:val="22"/>
        </w:rPr>
        <w:t xml:space="preserve"> Care Rebate, the fringe benefits tax treatment of employer-supported childcare, and the lack of a cohesive relationship between the transfer system and the tax system as they relate to childcare.</w:t>
      </w:r>
    </w:p>
    <w:p w:rsidR="008A5E0E" w:rsidRDefault="008A5E0E" w:rsidP="008A5E0E">
      <w:pPr>
        <w:spacing w:after="0" w:line="240" w:lineRule="auto"/>
        <w:jc w:val="both"/>
        <w:rPr>
          <w:sz w:val="22"/>
          <w:szCs w:val="22"/>
        </w:rPr>
      </w:pPr>
    </w:p>
    <w:p w:rsidR="008A5E0E" w:rsidRDefault="008A5E0E" w:rsidP="008A5E0E">
      <w:pPr>
        <w:spacing w:after="0" w:line="240" w:lineRule="auto"/>
        <w:jc w:val="both"/>
        <w:rPr>
          <w:sz w:val="22"/>
          <w:szCs w:val="22"/>
        </w:rPr>
      </w:pPr>
      <w:r>
        <w:rPr>
          <w:sz w:val="22"/>
          <w:szCs w:val="22"/>
        </w:rPr>
        <w:t xml:space="preserve">Those discussions were supported by commissioned analysis and research conducted for this submission on behalf of </w:t>
      </w:r>
      <w:proofErr w:type="spellStart"/>
      <w:r>
        <w:rPr>
          <w:sz w:val="22"/>
          <w:szCs w:val="22"/>
        </w:rPr>
        <w:t>MMSG</w:t>
      </w:r>
      <w:proofErr w:type="spellEnd"/>
      <w:r>
        <w:rPr>
          <w:sz w:val="22"/>
          <w:szCs w:val="22"/>
        </w:rPr>
        <w:t xml:space="preserve"> by PwC and Sweeney Research.</w:t>
      </w:r>
    </w:p>
    <w:p w:rsidR="008A5E0E" w:rsidRDefault="008A5E0E" w:rsidP="008A5E0E">
      <w:pPr>
        <w:spacing w:after="0" w:line="240" w:lineRule="auto"/>
        <w:jc w:val="both"/>
        <w:rPr>
          <w:sz w:val="22"/>
          <w:szCs w:val="22"/>
        </w:rPr>
      </w:pPr>
    </w:p>
    <w:p w:rsidR="008A5E0E" w:rsidRDefault="0009123E" w:rsidP="008A5E0E">
      <w:pPr>
        <w:spacing w:after="0" w:line="240" w:lineRule="auto"/>
        <w:jc w:val="both"/>
        <w:rPr>
          <w:sz w:val="22"/>
          <w:szCs w:val="22"/>
        </w:rPr>
      </w:pPr>
      <w:r>
        <w:rPr>
          <w:sz w:val="22"/>
          <w:szCs w:val="22"/>
        </w:rPr>
        <w:t xml:space="preserve">Our recommendations to address identified issues were straightforward – merge the </w:t>
      </w:r>
      <w:proofErr w:type="spellStart"/>
      <w:r>
        <w:rPr>
          <w:sz w:val="22"/>
          <w:szCs w:val="22"/>
        </w:rPr>
        <w:t>CCB</w:t>
      </w:r>
      <w:proofErr w:type="spellEnd"/>
      <w:r>
        <w:rPr>
          <w:sz w:val="22"/>
          <w:szCs w:val="22"/>
        </w:rPr>
        <w:t xml:space="preserve"> and the </w:t>
      </w:r>
      <w:proofErr w:type="spellStart"/>
      <w:r>
        <w:rPr>
          <w:sz w:val="22"/>
          <w:szCs w:val="22"/>
        </w:rPr>
        <w:t>CCR</w:t>
      </w:r>
      <w:proofErr w:type="spellEnd"/>
      <w:r>
        <w:rPr>
          <w:sz w:val="22"/>
          <w:szCs w:val="22"/>
        </w:rPr>
        <w:t xml:space="preserve"> or replace them with a single benefit system, and grant Australian parents the option of claiming an income tax deduction in lieu of receiving transfer payments. If the latter was not accepted, we recommended that the </w:t>
      </w:r>
      <w:proofErr w:type="spellStart"/>
      <w:r>
        <w:rPr>
          <w:sz w:val="22"/>
          <w:szCs w:val="22"/>
        </w:rPr>
        <w:t>FBT</w:t>
      </w:r>
      <w:proofErr w:type="spellEnd"/>
      <w:r>
        <w:rPr>
          <w:sz w:val="22"/>
          <w:szCs w:val="22"/>
        </w:rPr>
        <w:t xml:space="preserve"> legislation be amended to remove the current impediments to employers seeking to provide childcare benefits to employees.</w:t>
      </w:r>
      <w:r w:rsidR="00867DEF">
        <w:rPr>
          <w:sz w:val="22"/>
          <w:szCs w:val="22"/>
        </w:rPr>
        <w:t xml:space="preserve"> Our recommendations are similar to those made by others both prior to the Inquiry and as part of it.</w:t>
      </w:r>
    </w:p>
    <w:p w:rsidR="0009123E" w:rsidRDefault="0009123E" w:rsidP="008A5E0E">
      <w:pPr>
        <w:spacing w:after="0" w:line="240" w:lineRule="auto"/>
        <w:jc w:val="both"/>
        <w:rPr>
          <w:sz w:val="22"/>
          <w:szCs w:val="22"/>
        </w:rPr>
      </w:pPr>
    </w:p>
    <w:p w:rsidR="0009123E" w:rsidRDefault="0009123E" w:rsidP="008A5E0E">
      <w:pPr>
        <w:spacing w:after="0" w:line="240" w:lineRule="auto"/>
        <w:jc w:val="both"/>
        <w:rPr>
          <w:sz w:val="22"/>
          <w:szCs w:val="22"/>
        </w:rPr>
      </w:pPr>
      <w:proofErr w:type="spellStart"/>
      <w:r>
        <w:rPr>
          <w:sz w:val="22"/>
          <w:szCs w:val="22"/>
        </w:rPr>
        <w:t>MMSG</w:t>
      </w:r>
      <w:proofErr w:type="spellEnd"/>
      <w:r>
        <w:rPr>
          <w:sz w:val="22"/>
          <w:szCs w:val="22"/>
        </w:rPr>
        <w:t xml:space="preserve"> strongly believes that if enacted, our recommendations would </w:t>
      </w:r>
      <w:r w:rsidR="00867DEF">
        <w:rPr>
          <w:sz w:val="22"/>
          <w:szCs w:val="22"/>
        </w:rPr>
        <w:t>encourage greater workforce participation and employer involvement with childcare.</w:t>
      </w:r>
    </w:p>
    <w:p w:rsidR="0022172D" w:rsidRPr="005E0E5C" w:rsidRDefault="0022172D" w:rsidP="008A5E0E">
      <w:pPr>
        <w:spacing w:after="0" w:line="240" w:lineRule="auto"/>
        <w:jc w:val="both"/>
        <w:rPr>
          <w:sz w:val="22"/>
          <w:szCs w:val="22"/>
        </w:rPr>
      </w:pPr>
    </w:p>
    <w:p w:rsidR="0022172D" w:rsidRPr="001562A0" w:rsidRDefault="0022172D" w:rsidP="0022172D">
      <w:pPr>
        <w:spacing w:after="0" w:line="240" w:lineRule="auto"/>
        <w:jc w:val="both"/>
        <w:rPr>
          <w:b/>
          <w:color w:val="1F497D" w:themeColor="text2"/>
          <w:sz w:val="32"/>
          <w:szCs w:val="32"/>
        </w:rPr>
      </w:pPr>
      <w:r w:rsidRPr="001562A0">
        <w:rPr>
          <w:b/>
          <w:color w:val="1F497D" w:themeColor="text2"/>
          <w:sz w:val="32"/>
          <w:szCs w:val="32"/>
        </w:rPr>
        <w:lastRenderedPageBreak/>
        <w:t xml:space="preserve">About </w:t>
      </w:r>
      <w:r>
        <w:rPr>
          <w:b/>
          <w:color w:val="1F497D" w:themeColor="text2"/>
          <w:sz w:val="32"/>
          <w:szCs w:val="32"/>
        </w:rPr>
        <w:t xml:space="preserve">the </w:t>
      </w:r>
      <w:r w:rsidRPr="001562A0">
        <w:rPr>
          <w:b/>
          <w:color w:val="1F497D" w:themeColor="text2"/>
          <w:sz w:val="32"/>
          <w:szCs w:val="32"/>
        </w:rPr>
        <w:t>McMillan Shakespeare</w:t>
      </w:r>
      <w:r>
        <w:rPr>
          <w:b/>
          <w:color w:val="1F497D" w:themeColor="text2"/>
          <w:sz w:val="32"/>
          <w:szCs w:val="32"/>
        </w:rPr>
        <w:t xml:space="preserve"> Group</w:t>
      </w:r>
    </w:p>
    <w:p w:rsidR="0022172D" w:rsidRPr="006D78B1" w:rsidRDefault="0022172D" w:rsidP="0022172D">
      <w:pPr>
        <w:spacing w:after="0" w:line="240" w:lineRule="auto"/>
        <w:jc w:val="both"/>
        <w:rPr>
          <w:sz w:val="22"/>
        </w:rPr>
      </w:pPr>
    </w:p>
    <w:p w:rsidR="0022172D" w:rsidRDefault="0022172D" w:rsidP="0022172D">
      <w:pPr>
        <w:spacing w:after="0" w:line="240" w:lineRule="auto"/>
        <w:jc w:val="both"/>
        <w:rPr>
          <w:sz w:val="22"/>
        </w:rPr>
      </w:pPr>
      <w:r>
        <w:rPr>
          <w:sz w:val="22"/>
        </w:rPr>
        <w:t xml:space="preserve">The </w:t>
      </w:r>
      <w:r w:rsidRPr="002D6FD0">
        <w:rPr>
          <w:sz w:val="22"/>
        </w:rPr>
        <w:t xml:space="preserve">McMillan Shakespeare </w:t>
      </w:r>
      <w:r>
        <w:rPr>
          <w:sz w:val="22"/>
        </w:rPr>
        <w:t xml:space="preserve">Group </w:t>
      </w:r>
      <w:r w:rsidRPr="002D6FD0">
        <w:rPr>
          <w:sz w:val="22"/>
        </w:rPr>
        <w:t xml:space="preserve">is Australia’s largest salary package and </w:t>
      </w:r>
      <w:proofErr w:type="spellStart"/>
      <w:r w:rsidRPr="002D6FD0">
        <w:rPr>
          <w:sz w:val="22"/>
        </w:rPr>
        <w:t>novated</w:t>
      </w:r>
      <w:proofErr w:type="spellEnd"/>
      <w:r w:rsidRPr="002D6FD0">
        <w:rPr>
          <w:sz w:val="22"/>
        </w:rPr>
        <w:t xml:space="preserve"> lease provider, looking after in excess of 250,000 individual remuneration arrangements on behalf of over 1,200 organisations. We currently have approximately $4 billion in remuneration benefits under management for the employees of many of Australia’s largest public companies and a large range of Federal and State government departments and agencies, statutory authorities, local governments, public benevolent institutions, and public and private hospitals and aged-care operators. These employees are mostly on low and middle income levels. </w:t>
      </w:r>
      <w:proofErr w:type="spellStart"/>
      <w:r>
        <w:rPr>
          <w:sz w:val="22"/>
        </w:rPr>
        <w:t>MMSG</w:t>
      </w:r>
      <w:proofErr w:type="spellEnd"/>
      <w:r w:rsidRPr="002D6FD0">
        <w:rPr>
          <w:sz w:val="22"/>
        </w:rPr>
        <w:t xml:space="preserve"> also controls and remits over $1 billion per annum in superannuation contributions on behalf of its clients. </w:t>
      </w:r>
    </w:p>
    <w:p w:rsidR="0022172D" w:rsidRPr="00C92327" w:rsidRDefault="0022172D" w:rsidP="00D910AF">
      <w:pPr>
        <w:spacing w:after="200" w:line="276" w:lineRule="auto"/>
        <w:rPr>
          <w:color w:val="595959" w:themeColor="text1" w:themeTint="A6"/>
        </w:rPr>
      </w:pPr>
    </w:p>
    <w:sectPr w:rsidR="0022172D" w:rsidRPr="00C92327" w:rsidSect="004F75C1">
      <w:footerReference w:type="default" r:id="rId16"/>
      <w:pgSz w:w="11906" w:h="16838"/>
      <w:pgMar w:top="1440" w:right="1985" w:bottom="1440"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D7A" w:rsidRDefault="00AE0D7A" w:rsidP="006F038E">
      <w:pPr>
        <w:spacing w:after="0" w:line="240" w:lineRule="auto"/>
      </w:pPr>
      <w:r>
        <w:separator/>
      </w:r>
    </w:p>
  </w:endnote>
  <w:endnote w:type="continuationSeparator" w:id="0">
    <w:p w:rsidR="00AE0D7A" w:rsidRDefault="00AE0D7A" w:rsidP="006F0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39804"/>
      <w:docPartObj>
        <w:docPartGallery w:val="Page Numbers (Bottom of Page)"/>
        <w:docPartUnique/>
      </w:docPartObj>
    </w:sdtPr>
    <w:sdtEndPr>
      <w:rPr>
        <w:sz w:val="18"/>
        <w:szCs w:val="18"/>
      </w:rPr>
    </w:sdtEndPr>
    <w:sdtContent>
      <w:p w:rsidR="00AE0D7A" w:rsidRDefault="00277D09">
        <w:pPr>
          <w:pStyle w:val="Footer"/>
          <w:jc w:val="center"/>
        </w:pPr>
        <w:r w:rsidRPr="00BF00AA">
          <w:rPr>
            <w:sz w:val="18"/>
            <w:szCs w:val="18"/>
          </w:rPr>
          <w:fldChar w:fldCharType="begin"/>
        </w:r>
        <w:r w:rsidR="00AE0D7A" w:rsidRPr="00BF00AA">
          <w:rPr>
            <w:sz w:val="18"/>
            <w:szCs w:val="18"/>
          </w:rPr>
          <w:instrText xml:space="preserve"> PAGE   \* MERGEFORMAT </w:instrText>
        </w:r>
        <w:r w:rsidRPr="00BF00AA">
          <w:rPr>
            <w:sz w:val="18"/>
            <w:szCs w:val="18"/>
          </w:rPr>
          <w:fldChar w:fldCharType="separate"/>
        </w:r>
        <w:r w:rsidR="004A7321">
          <w:rPr>
            <w:noProof/>
            <w:sz w:val="18"/>
            <w:szCs w:val="18"/>
          </w:rPr>
          <w:t>1</w:t>
        </w:r>
        <w:r w:rsidRPr="00BF00AA">
          <w:rPr>
            <w:sz w:val="18"/>
            <w:szCs w:val="18"/>
          </w:rPr>
          <w:fldChar w:fldCharType="end"/>
        </w:r>
      </w:p>
    </w:sdtContent>
  </w:sdt>
  <w:p w:rsidR="00AE0D7A" w:rsidRDefault="00AE0D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D7A" w:rsidRDefault="00AE0D7A" w:rsidP="006F038E">
      <w:pPr>
        <w:spacing w:after="0" w:line="240" w:lineRule="auto"/>
      </w:pPr>
      <w:r>
        <w:separator/>
      </w:r>
    </w:p>
  </w:footnote>
  <w:footnote w:type="continuationSeparator" w:id="0">
    <w:p w:rsidR="00AE0D7A" w:rsidRDefault="00AE0D7A" w:rsidP="006F038E">
      <w:pPr>
        <w:spacing w:after="0" w:line="240" w:lineRule="auto"/>
      </w:pPr>
      <w:r>
        <w:continuationSeparator/>
      </w:r>
    </w:p>
  </w:footnote>
  <w:footnote w:id="1">
    <w:p w:rsidR="00AE0D7A" w:rsidRPr="007039BD" w:rsidRDefault="00AE0D7A" w:rsidP="007039BD">
      <w:pPr>
        <w:pStyle w:val="FootnoteText"/>
        <w:spacing w:after="0" w:line="240" w:lineRule="auto"/>
        <w:rPr>
          <w:sz w:val="18"/>
          <w:szCs w:val="18"/>
        </w:rPr>
      </w:pPr>
      <w:r w:rsidRPr="007039BD">
        <w:rPr>
          <w:rStyle w:val="FootnoteReference"/>
          <w:sz w:val="18"/>
          <w:szCs w:val="18"/>
        </w:rPr>
        <w:footnoteRef/>
      </w:r>
      <w:r w:rsidRPr="007039BD">
        <w:rPr>
          <w:sz w:val="18"/>
          <w:szCs w:val="18"/>
        </w:rPr>
        <w:t xml:space="preserve"> Tony Abbott, Prime Minister, </w:t>
      </w:r>
      <w:proofErr w:type="spellStart"/>
      <w:r w:rsidRPr="007039BD">
        <w:rPr>
          <w:sz w:val="18"/>
          <w:szCs w:val="18"/>
        </w:rPr>
        <w:t>Sussan</w:t>
      </w:r>
      <w:proofErr w:type="spellEnd"/>
      <w:r w:rsidRPr="007039BD">
        <w:rPr>
          <w:sz w:val="18"/>
          <w:szCs w:val="18"/>
        </w:rPr>
        <w:t xml:space="preserve"> Ley, Federal Assistant Minister for Edu</w:t>
      </w:r>
      <w:r>
        <w:rPr>
          <w:sz w:val="18"/>
          <w:szCs w:val="18"/>
        </w:rPr>
        <w:t xml:space="preserve">cation, and Joe Hockey, Federal </w:t>
      </w:r>
      <w:r w:rsidRPr="007039BD">
        <w:rPr>
          <w:sz w:val="18"/>
          <w:szCs w:val="18"/>
        </w:rPr>
        <w:t xml:space="preserve">Treasurer, </w:t>
      </w:r>
      <w:r w:rsidRPr="007039BD">
        <w:rPr>
          <w:i/>
          <w:sz w:val="18"/>
          <w:szCs w:val="18"/>
        </w:rPr>
        <w:t>Government announces Productivity Commission inquiry to focus on more flexible, accessible and affordable child care</w:t>
      </w:r>
      <w:r w:rsidRPr="007039BD">
        <w:rPr>
          <w:sz w:val="18"/>
          <w:szCs w:val="18"/>
        </w:rPr>
        <w:t>, Joint Media Release, Canberra, 17 November 2013.</w:t>
      </w:r>
    </w:p>
  </w:footnote>
  <w:footnote w:id="2">
    <w:p w:rsidR="00AE0D7A" w:rsidRPr="007039BD" w:rsidRDefault="00AE0D7A" w:rsidP="00FD3069">
      <w:pPr>
        <w:pStyle w:val="FootnoteText"/>
        <w:spacing w:after="0" w:line="240" w:lineRule="auto"/>
        <w:rPr>
          <w:sz w:val="18"/>
          <w:szCs w:val="18"/>
        </w:rPr>
      </w:pPr>
      <w:r w:rsidRPr="007039BD">
        <w:rPr>
          <w:rStyle w:val="FootnoteReference"/>
          <w:sz w:val="18"/>
          <w:szCs w:val="18"/>
        </w:rPr>
        <w:footnoteRef/>
      </w:r>
      <w:r w:rsidRPr="007039BD">
        <w:rPr>
          <w:sz w:val="18"/>
          <w:szCs w:val="18"/>
        </w:rPr>
        <w:t xml:space="preserve"> </w:t>
      </w:r>
      <w:r>
        <w:rPr>
          <w:sz w:val="18"/>
          <w:szCs w:val="18"/>
        </w:rPr>
        <w:t xml:space="preserve">Joe Hockey, Federal Treasurer, </w:t>
      </w:r>
      <w:r w:rsidRPr="00E762CC">
        <w:rPr>
          <w:i/>
          <w:sz w:val="18"/>
          <w:szCs w:val="18"/>
        </w:rPr>
        <w:t>Terms of Reference – Child Care and Early Childhood Learning</w:t>
      </w:r>
      <w:r>
        <w:rPr>
          <w:sz w:val="18"/>
          <w:szCs w:val="18"/>
        </w:rPr>
        <w:t xml:space="preserve">, 17 November 2013, as reproduced in </w:t>
      </w:r>
      <w:r w:rsidRPr="007039BD">
        <w:rPr>
          <w:sz w:val="18"/>
          <w:szCs w:val="18"/>
        </w:rPr>
        <w:t xml:space="preserve">Productivity Commission, </w:t>
      </w:r>
      <w:r w:rsidRPr="007039BD">
        <w:rPr>
          <w:i/>
          <w:sz w:val="18"/>
          <w:szCs w:val="18"/>
        </w:rPr>
        <w:t>Childcare and Early Childhood Learning – Productivity Commission Issues Paper</w:t>
      </w:r>
      <w:r w:rsidRPr="007039BD">
        <w:rPr>
          <w:sz w:val="18"/>
          <w:szCs w:val="18"/>
        </w:rPr>
        <w:t>, Canberra, December 2013</w:t>
      </w:r>
      <w:r>
        <w:rPr>
          <w:sz w:val="18"/>
          <w:szCs w:val="18"/>
        </w:rPr>
        <w:t xml:space="preserve">, at </w:t>
      </w:r>
      <w:proofErr w:type="spellStart"/>
      <w:r>
        <w:rPr>
          <w:sz w:val="18"/>
          <w:szCs w:val="18"/>
        </w:rPr>
        <w:t>pp</w:t>
      </w:r>
      <w:proofErr w:type="spellEnd"/>
      <w:r>
        <w:rPr>
          <w:sz w:val="18"/>
          <w:szCs w:val="18"/>
        </w:rPr>
        <w:t xml:space="preserve"> iv and v. (In this submission, the term “childcare” is used instead of the Government’s reference to “child care”.)</w:t>
      </w:r>
    </w:p>
  </w:footnote>
  <w:footnote w:id="3">
    <w:p w:rsidR="00AE0D7A" w:rsidRPr="002C3730" w:rsidRDefault="00AE0D7A" w:rsidP="002C3730">
      <w:pPr>
        <w:pStyle w:val="FootnoteText"/>
        <w:spacing w:after="0" w:line="240" w:lineRule="auto"/>
        <w:rPr>
          <w:sz w:val="18"/>
          <w:szCs w:val="18"/>
        </w:rPr>
      </w:pPr>
      <w:r w:rsidRPr="002C3730">
        <w:rPr>
          <w:rStyle w:val="FootnoteReference"/>
          <w:sz w:val="18"/>
          <w:szCs w:val="18"/>
        </w:rPr>
        <w:footnoteRef/>
      </w:r>
      <w:r w:rsidRPr="002C3730">
        <w:rPr>
          <w:sz w:val="18"/>
          <w:szCs w:val="18"/>
        </w:rPr>
        <w:t xml:space="preserve"> For example, and as noted by the Henry Review, “while </w:t>
      </w:r>
      <w:proofErr w:type="spellStart"/>
      <w:r w:rsidRPr="002C3730">
        <w:rPr>
          <w:sz w:val="18"/>
          <w:szCs w:val="18"/>
        </w:rPr>
        <w:t>CCB</w:t>
      </w:r>
      <w:proofErr w:type="spellEnd"/>
      <w:r w:rsidRPr="002C3730">
        <w:rPr>
          <w:sz w:val="18"/>
          <w:szCs w:val="18"/>
        </w:rPr>
        <w:t xml:space="preserve"> and </w:t>
      </w:r>
      <w:proofErr w:type="spellStart"/>
      <w:r w:rsidRPr="002C3730">
        <w:rPr>
          <w:sz w:val="18"/>
          <w:szCs w:val="18"/>
        </w:rPr>
        <w:t>CCR</w:t>
      </w:r>
      <w:proofErr w:type="spellEnd"/>
      <w:r w:rsidRPr="002C3730">
        <w:rPr>
          <w:sz w:val="18"/>
          <w:szCs w:val="18"/>
        </w:rPr>
        <w:t xml:space="preserve"> are conditional on child care being provided by regulated providers for quality assurance purposes, these important conditions do not apply for </w:t>
      </w:r>
      <w:proofErr w:type="spellStart"/>
      <w:r w:rsidRPr="002C3730">
        <w:rPr>
          <w:sz w:val="18"/>
          <w:szCs w:val="18"/>
        </w:rPr>
        <w:t>FBT</w:t>
      </w:r>
      <w:proofErr w:type="spellEnd"/>
      <w:r w:rsidRPr="002C3730">
        <w:rPr>
          <w:sz w:val="18"/>
          <w:szCs w:val="18"/>
        </w:rPr>
        <w:t xml:space="preserve"> purposes.” </w:t>
      </w:r>
      <w:r w:rsidRPr="004B0760">
        <w:rPr>
          <w:sz w:val="18"/>
          <w:szCs w:val="18"/>
        </w:rPr>
        <w:t xml:space="preserve">Australia’s Future Tax System Review (the Henry Review), </w:t>
      </w:r>
      <w:r w:rsidRPr="005D37B5">
        <w:rPr>
          <w:i/>
          <w:sz w:val="18"/>
          <w:szCs w:val="18"/>
        </w:rPr>
        <w:t>Australia’</w:t>
      </w:r>
      <w:r>
        <w:rPr>
          <w:i/>
          <w:sz w:val="18"/>
          <w:szCs w:val="18"/>
        </w:rPr>
        <w:t>s</w:t>
      </w:r>
      <w:r w:rsidRPr="005D37B5">
        <w:rPr>
          <w:i/>
          <w:sz w:val="18"/>
          <w:szCs w:val="18"/>
        </w:rPr>
        <w:t xml:space="preserve"> Future Tax System: Final Report</w:t>
      </w:r>
      <w:r>
        <w:rPr>
          <w:sz w:val="18"/>
          <w:szCs w:val="18"/>
        </w:rPr>
        <w:t xml:space="preserve">, Canberra, December 2009, Part 2, Chapter </w:t>
      </w:r>
      <w:proofErr w:type="spellStart"/>
      <w:r>
        <w:rPr>
          <w:sz w:val="18"/>
          <w:szCs w:val="18"/>
        </w:rPr>
        <w:t>F4</w:t>
      </w:r>
      <w:proofErr w:type="spellEnd"/>
      <w:r>
        <w:rPr>
          <w:sz w:val="18"/>
          <w:szCs w:val="18"/>
        </w:rPr>
        <w:t>-2.</w:t>
      </w:r>
    </w:p>
  </w:footnote>
  <w:footnote w:id="4">
    <w:p w:rsidR="00AE0D7A" w:rsidRPr="00C1342A" w:rsidRDefault="00AE0D7A" w:rsidP="00C1342A">
      <w:pPr>
        <w:pStyle w:val="FootnoteText"/>
        <w:spacing w:after="0" w:line="240" w:lineRule="auto"/>
        <w:rPr>
          <w:sz w:val="18"/>
          <w:szCs w:val="18"/>
        </w:rPr>
      </w:pPr>
      <w:r w:rsidRPr="00C1342A">
        <w:rPr>
          <w:rStyle w:val="FootnoteReference"/>
          <w:sz w:val="18"/>
          <w:szCs w:val="18"/>
        </w:rPr>
        <w:footnoteRef/>
      </w:r>
      <w:r w:rsidRPr="00C1342A">
        <w:rPr>
          <w:sz w:val="18"/>
          <w:szCs w:val="18"/>
        </w:rPr>
        <w:t xml:space="preserve"> Miranda Stewart,</w:t>
      </w:r>
      <w:r>
        <w:rPr>
          <w:sz w:val="18"/>
          <w:szCs w:val="18"/>
        </w:rPr>
        <w:t xml:space="preserve"> “Domesticating Tax Reform: The Family in Australian Tax and Transfer Law (1999) 21(3) </w:t>
      </w:r>
      <w:r w:rsidRPr="00F74527">
        <w:rPr>
          <w:i/>
          <w:sz w:val="18"/>
          <w:szCs w:val="18"/>
        </w:rPr>
        <w:t>Sydney Law Review</w:t>
      </w:r>
      <w:r>
        <w:rPr>
          <w:sz w:val="18"/>
          <w:szCs w:val="18"/>
        </w:rPr>
        <w:t xml:space="preserve"> 453.</w:t>
      </w:r>
    </w:p>
  </w:footnote>
  <w:footnote w:id="5">
    <w:p w:rsidR="00AE0D7A" w:rsidRPr="00C45D60" w:rsidRDefault="00AE0D7A" w:rsidP="00C45D60">
      <w:pPr>
        <w:pStyle w:val="FootnoteText"/>
        <w:spacing w:after="0" w:line="240" w:lineRule="auto"/>
        <w:rPr>
          <w:sz w:val="18"/>
          <w:szCs w:val="18"/>
        </w:rPr>
      </w:pPr>
      <w:r w:rsidRPr="00C45D60">
        <w:rPr>
          <w:rStyle w:val="FootnoteReference"/>
          <w:sz w:val="18"/>
          <w:szCs w:val="18"/>
        </w:rPr>
        <w:footnoteRef/>
      </w:r>
      <w:r w:rsidRPr="00C45D60">
        <w:rPr>
          <w:sz w:val="18"/>
          <w:szCs w:val="18"/>
        </w:rPr>
        <w:t xml:space="preserve"> </w:t>
      </w:r>
      <w:r w:rsidRPr="007039BD">
        <w:rPr>
          <w:sz w:val="18"/>
          <w:szCs w:val="18"/>
        </w:rPr>
        <w:t xml:space="preserve">Tony Abbott, Prime Minister, </w:t>
      </w:r>
      <w:proofErr w:type="spellStart"/>
      <w:r w:rsidRPr="007039BD">
        <w:rPr>
          <w:sz w:val="18"/>
          <w:szCs w:val="18"/>
        </w:rPr>
        <w:t>Sussan</w:t>
      </w:r>
      <w:proofErr w:type="spellEnd"/>
      <w:r w:rsidRPr="007039BD">
        <w:rPr>
          <w:sz w:val="18"/>
          <w:szCs w:val="18"/>
        </w:rPr>
        <w:t xml:space="preserve"> Ley, Federal Assistant Minister for Edu</w:t>
      </w:r>
      <w:r>
        <w:rPr>
          <w:sz w:val="18"/>
          <w:szCs w:val="18"/>
        </w:rPr>
        <w:t xml:space="preserve">cation, and Joe Hockey, Federal </w:t>
      </w:r>
      <w:r w:rsidRPr="007039BD">
        <w:rPr>
          <w:sz w:val="18"/>
          <w:szCs w:val="18"/>
        </w:rPr>
        <w:t xml:space="preserve">Treasurer, </w:t>
      </w:r>
      <w:proofErr w:type="spellStart"/>
      <w:r>
        <w:rPr>
          <w:sz w:val="18"/>
          <w:szCs w:val="18"/>
        </w:rPr>
        <w:t>fn</w:t>
      </w:r>
      <w:proofErr w:type="spellEnd"/>
      <w:r>
        <w:rPr>
          <w:sz w:val="18"/>
          <w:szCs w:val="18"/>
        </w:rPr>
        <w:t xml:space="preserve"> 1</w:t>
      </w:r>
      <w:r w:rsidRPr="007039BD">
        <w:rPr>
          <w:sz w:val="18"/>
          <w:szCs w:val="18"/>
        </w:rPr>
        <w:t>.</w:t>
      </w:r>
    </w:p>
  </w:footnote>
  <w:footnote w:id="6">
    <w:p w:rsidR="00AE0D7A" w:rsidRPr="00607DCB" w:rsidRDefault="00AE0D7A" w:rsidP="00612C0E">
      <w:pPr>
        <w:pStyle w:val="FootnoteText"/>
        <w:spacing w:after="0" w:line="240" w:lineRule="auto"/>
        <w:rPr>
          <w:sz w:val="18"/>
          <w:szCs w:val="18"/>
        </w:rPr>
      </w:pPr>
      <w:r w:rsidRPr="00607DCB">
        <w:rPr>
          <w:rStyle w:val="FootnoteReference"/>
          <w:sz w:val="18"/>
          <w:szCs w:val="18"/>
        </w:rPr>
        <w:footnoteRef/>
      </w:r>
      <w:r w:rsidRPr="00607DCB">
        <w:rPr>
          <w:sz w:val="18"/>
          <w:szCs w:val="18"/>
        </w:rPr>
        <w:t xml:space="preserve"> Productivity Commission, </w:t>
      </w:r>
      <w:r w:rsidRPr="00607DCB">
        <w:rPr>
          <w:i/>
          <w:sz w:val="18"/>
          <w:szCs w:val="18"/>
        </w:rPr>
        <w:t>Childcare and Early Childhood Learning – Productivity Commission Issues Paper</w:t>
      </w:r>
      <w:r w:rsidRPr="00607DCB">
        <w:rPr>
          <w:sz w:val="18"/>
          <w:szCs w:val="18"/>
        </w:rPr>
        <w:t>, Canberra, December 2013, at p 17.</w:t>
      </w:r>
    </w:p>
  </w:footnote>
  <w:footnote w:id="7">
    <w:p w:rsidR="00AE0D7A" w:rsidRPr="00425B3D" w:rsidRDefault="00AE0D7A" w:rsidP="00612C0E">
      <w:pPr>
        <w:pStyle w:val="FootnoteText"/>
        <w:spacing w:after="0" w:line="240" w:lineRule="auto"/>
        <w:rPr>
          <w:sz w:val="18"/>
          <w:szCs w:val="18"/>
        </w:rPr>
      </w:pPr>
      <w:r w:rsidRPr="00425B3D">
        <w:rPr>
          <w:rStyle w:val="FootnoteReference"/>
          <w:sz w:val="18"/>
          <w:szCs w:val="18"/>
        </w:rPr>
        <w:footnoteRef/>
      </w:r>
      <w:r w:rsidRPr="00425B3D">
        <w:rPr>
          <w:sz w:val="18"/>
          <w:szCs w:val="18"/>
        </w:rPr>
        <w:t xml:space="preserve"> </w:t>
      </w:r>
      <w:r>
        <w:rPr>
          <w:sz w:val="18"/>
          <w:szCs w:val="18"/>
        </w:rPr>
        <w:t xml:space="preserve">Twenty two </w:t>
      </w:r>
      <w:proofErr w:type="spellStart"/>
      <w:r>
        <w:rPr>
          <w:sz w:val="18"/>
          <w:szCs w:val="18"/>
        </w:rPr>
        <w:t>percent</w:t>
      </w:r>
      <w:proofErr w:type="spellEnd"/>
      <w:r>
        <w:rPr>
          <w:sz w:val="18"/>
          <w:szCs w:val="18"/>
        </w:rPr>
        <w:t xml:space="preserve"> of responding organisation were listed on the </w:t>
      </w:r>
      <w:proofErr w:type="spellStart"/>
      <w:r>
        <w:rPr>
          <w:sz w:val="18"/>
          <w:szCs w:val="18"/>
        </w:rPr>
        <w:t>ASX</w:t>
      </w:r>
      <w:proofErr w:type="spellEnd"/>
      <w:r>
        <w:rPr>
          <w:sz w:val="18"/>
          <w:szCs w:val="18"/>
        </w:rPr>
        <w:t xml:space="preserve"> Top 300, and 10% on the </w:t>
      </w:r>
      <w:proofErr w:type="spellStart"/>
      <w:r>
        <w:rPr>
          <w:sz w:val="18"/>
          <w:szCs w:val="18"/>
        </w:rPr>
        <w:t>ASX</w:t>
      </w:r>
      <w:proofErr w:type="spellEnd"/>
      <w:r>
        <w:rPr>
          <w:sz w:val="18"/>
          <w:szCs w:val="18"/>
        </w:rPr>
        <w:t xml:space="preserve"> Top 100. The responding organisations were spread across more than 10 industry sectors, and Sweeney estimated that, combined, they had more than 200,000 employees.</w:t>
      </w:r>
    </w:p>
  </w:footnote>
  <w:footnote w:id="8">
    <w:p w:rsidR="00AE0D7A" w:rsidRPr="00106961" w:rsidRDefault="00AE0D7A" w:rsidP="00612C0E">
      <w:pPr>
        <w:pStyle w:val="FootnoteText"/>
        <w:spacing w:after="0" w:line="240" w:lineRule="auto"/>
        <w:rPr>
          <w:sz w:val="18"/>
          <w:szCs w:val="18"/>
        </w:rPr>
      </w:pPr>
      <w:r w:rsidRPr="00106961">
        <w:rPr>
          <w:rStyle w:val="FootnoteReference"/>
          <w:sz w:val="18"/>
          <w:szCs w:val="18"/>
        </w:rPr>
        <w:footnoteRef/>
      </w:r>
      <w:r w:rsidRPr="00106961">
        <w:rPr>
          <w:sz w:val="18"/>
          <w:szCs w:val="18"/>
        </w:rPr>
        <w:t xml:space="preserve"> </w:t>
      </w:r>
      <w:r>
        <w:rPr>
          <w:sz w:val="18"/>
          <w:szCs w:val="18"/>
        </w:rPr>
        <w:t xml:space="preserve">Whilst care was taken in selecting the appropriate person in each organisation to be interviewed, there was always the risk that knowledge or awareness held by that person of the organisation’s </w:t>
      </w:r>
      <w:proofErr w:type="spellStart"/>
      <w:r>
        <w:rPr>
          <w:sz w:val="18"/>
          <w:szCs w:val="18"/>
        </w:rPr>
        <w:t>FBT</w:t>
      </w:r>
      <w:proofErr w:type="spellEnd"/>
      <w:r>
        <w:rPr>
          <w:sz w:val="18"/>
          <w:szCs w:val="18"/>
        </w:rPr>
        <w:t xml:space="preserve"> status as regards childcare facilities being provided as a benefit would be insufficient to obtain a yes/no response. However, if it is accepted that </w:t>
      </w:r>
      <w:proofErr w:type="spellStart"/>
      <w:r>
        <w:rPr>
          <w:sz w:val="18"/>
          <w:szCs w:val="18"/>
        </w:rPr>
        <w:t>FBT</w:t>
      </w:r>
      <w:proofErr w:type="spellEnd"/>
      <w:r>
        <w:rPr>
          <w:sz w:val="18"/>
          <w:szCs w:val="18"/>
        </w:rPr>
        <w:t xml:space="preserve"> exemption would be the exception rather than the norm, then it could be surmised that the 3 employers whose representatives ‘did not know’ were not exempt.</w:t>
      </w:r>
    </w:p>
  </w:footnote>
  <w:footnote w:id="9">
    <w:p w:rsidR="00AE0D7A" w:rsidRPr="009C6E56" w:rsidRDefault="00AE0D7A" w:rsidP="00C45D60">
      <w:pPr>
        <w:pStyle w:val="FootnoteText"/>
        <w:spacing w:after="0" w:line="240" w:lineRule="auto"/>
        <w:rPr>
          <w:sz w:val="18"/>
          <w:szCs w:val="18"/>
        </w:rPr>
      </w:pPr>
      <w:r w:rsidRPr="009C6E56">
        <w:rPr>
          <w:rStyle w:val="FootnoteReference"/>
          <w:sz w:val="18"/>
          <w:szCs w:val="18"/>
        </w:rPr>
        <w:footnoteRef/>
      </w:r>
      <w:r w:rsidRPr="009C6E56">
        <w:rPr>
          <w:sz w:val="18"/>
          <w:szCs w:val="18"/>
        </w:rPr>
        <w:t xml:space="preserve"> Kate Ellis, Federal Minister for </w:t>
      </w:r>
      <w:r>
        <w:rPr>
          <w:sz w:val="18"/>
          <w:szCs w:val="18"/>
        </w:rPr>
        <w:t xml:space="preserve">Early Childhood and Child Care, </w:t>
      </w:r>
      <w:r w:rsidRPr="00F33097">
        <w:rPr>
          <w:i/>
          <w:sz w:val="18"/>
          <w:szCs w:val="18"/>
        </w:rPr>
        <w:t>100000 Australian families still missing out on child care assistance</w:t>
      </w:r>
      <w:r>
        <w:rPr>
          <w:sz w:val="18"/>
          <w:szCs w:val="18"/>
        </w:rPr>
        <w:t xml:space="preserve">, Media Release, Canberra, 6 February 2012. The Minister broke down the estimate on a State/Territory basis: NSW 40,000, Victoria 20,000, Queensland 24,000, South Australia 6,000, Western Australia 8,000, Tasmania 2,000, Northern Territory 600, and Australian Capital Territory 1,400. Whilst the Minister gave the total as 101,200, the amounts stated total 102,000. The estimates were based on the difference between the numbers of families using registered childcare and the numbers not claiming the </w:t>
      </w:r>
      <w:proofErr w:type="spellStart"/>
      <w:r>
        <w:rPr>
          <w:sz w:val="18"/>
          <w:szCs w:val="18"/>
        </w:rPr>
        <w:t>CCR</w:t>
      </w:r>
      <w:proofErr w:type="spellEnd"/>
      <w:r>
        <w:rPr>
          <w:sz w:val="18"/>
          <w:szCs w:val="18"/>
        </w:rPr>
        <w:t>.</w:t>
      </w:r>
    </w:p>
  </w:footnote>
  <w:footnote w:id="10">
    <w:p w:rsidR="00AE0D7A" w:rsidRPr="004B0760" w:rsidRDefault="00AE0D7A" w:rsidP="004B0760">
      <w:pPr>
        <w:pStyle w:val="FootnoteText"/>
        <w:spacing w:after="0" w:line="240" w:lineRule="auto"/>
        <w:rPr>
          <w:sz w:val="18"/>
          <w:szCs w:val="18"/>
        </w:rPr>
      </w:pPr>
      <w:r w:rsidRPr="004B0760">
        <w:rPr>
          <w:rStyle w:val="FootnoteReference"/>
          <w:sz w:val="18"/>
          <w:szCs w:val="18"/>
        </w:rPr>
        <w:footnoteRef/>
      </w:r>
      <w:r>
        <w:rPr>
          <w:sz w:val="18"/>
          <w:szCs w:val="18"/>
        </w:rPr>
        <w:t xml:space="preserve"> Henry Review</w:t>
      </w:r>
      <w:r w:rsidRPr="004B0760">
        <w:rPr>
          <w:sz w:val="18"/>
          <w:szCs w:val="18"/>
        </w:rPr>
        <w:t xml:space="preserve">, </w:t>
      </w:r>
      <w:proofErr w:type="spellStart"/>
      <w:r>
        <w:rPr>
          <w:sz w:val="18"/>
          <w:szCs w:val="18"/>
        </w:rPr>
        <w:t>fn</w:t>
      </w:r>
      <w:proofErr w:type="spellEnd"/>
      <w:r>
        <w:rPr>
          <w:sz w:val="18"/>
          <w:szCs w:val="18"/>
        </w:rPr>
        <w:t xml:space="preserve"> 3, Part 2, Chapter </w:t>
      </w:r>
      <w:proofErr w:type="spellStart"/>
      <w:r>
        <w:rPr>
          <w:sz w:val="18"/>
          <w:szCs w:val="18"/>
        </w:rPr>
        <w:t>F4</w:t>
      </w:r>
      <w:proofErr w:type="spellEnd"/>
      <w:r>
        <w:rPr>
          <w:sz w:val="18"/>
          <w:szCs w:val="18"/>
        </w:rPr>
        <w:t>-2.</w:t>
      </w:r>
    </w:p>
  </w:footnote>
  <w:footnote w:id="11">
    <w:p w:rsidR="00AE0D7A" w:rsidRPr="00F261A5" w:rsidRDefault="00AE0D7A" w:rsidP="004B0760">
      <w:pPr>
        <w:pStyle w:val="FootnoteText"/>
        <w:spacing w:after="0" w:line="240" w:lineRule="auto"/>
        <w:rPr>
          <w:sz w:val="18"/>
          <w:szCs w:val="18"/>
        </w:rPr>
      </w:pPr>
      <w:r w:rsidRPr="00F261A5">
        <w:rPr>
          <w:rStyle w:val="FootnoteReference"/>
          <w:sz w:val="18"/>
          <w:szCs w:val="18"/>
        </w:rPr>
        <w:footnoteRef/>
      </w:r>
      <w:r w:rsidRPr="00F261A5">
        <w:rPr>
          <w:sz w:val="18"/>
          <w:szCs w:val="18"/>
        </w:rPr>
        <w:t xml:space="preserve"> Early Childhood Australia, </w:t>
      </w:r>
      <w:r w:rsidRPr="00592445">
        <w:rPr>
          <w:i/>
          <w:sz w:val="18"/>
          <w:szCs w:val="18"/>
        </w:rPr>
        <w:t>Early Childhood Education and Care: Creating Better Futures for Every Child and for the Nation – Early Childhood Australia’s Submission to the Productivity Commission Inquiry on Child Care and Early Childhood Learning</w:t>
      </w:r>
      <w:r>
        <w:rPr>
          <w:sz w:val="18"/>
          <w:szCs w:val="18"/>
        </w:rPr>
        <w:t xml:space="preserve"> (sic), February 2014, at p 46.</w:t>
      </w:r>
    </w:p>
  </w:footnote>
  <w:footnote w:id="12">
    <w:p w:rsidR="00AE0D7A" w:rsidRPr="00DF5B0E" w:rsidRDefault="00AE0D7A" w:rsidP="00342248">
      <w:pPr>
        <w:pStyle w:val="FootnoteText"/>
        <w:spacing w:after="0" w:line="240" w:lineRule="auto"/>
        <w:rPr>
          <w:sz w:val="18"/>
          <w:szCs w:val="18"/>
        </w:rPr>
      </w:pPr>
      <w:r w:rsidRPr="00CE05D1">
        <w:rPr>
          <w:rStyle w:val="FootnoteReference"/>
          <w:sz w:val="18"/>
          <w:szCs w:val="18"/>
        </w:rPr>
        <w:footnoteRef/>
      </w:r>
      <w:r>
        <w:rPr>
          <w:sz w:val="18"/>
          <w:szCs w:val="18"/>
        </w:rPr>
        <w:t xml:space="preserve"> Deborah Brennan and Elizabeth Adamson, (2014) </w:t>
      </w:r>
      <w:r w:rsidRPr="00A54F52">
        <w:rPr>
          <w:i/>
          <w:sz w:val="18"/>
          <w:szCs w:val="18"/>
        </w:rPr>
        <w:t>Financing the Future: An equitable and sustainable approach to early childhood education and care</w:t>
      </w:r>
      <w:r>
        <w:rPr>
          <w:sz w:val="18"/>
          <w:szCs w:val="18"/>
        </w:rPr>
        <w:t xml:space="preserve">, </w:t>
      </w:r>
      <w:proofErr w:type="spellStart"/>
      <w:r>
        <w:rPr>
          <w:sz w:val="18"/>
          <w:szCs w:val="18"/>
        </w:rPr>
        <w:t>SPRC</w:t>
      </w:r>
      <w:proofErr w:type="spellEnd"/>
      <w:r>
        <w:rPr>
          <w:sz w:val="18"/>
          <w:szCs w:val="18"/>
        </w:rPr>
        <w:t xml:space="preserve"> Report 01/14, Social Policy Research Centre, </w:t>
      </w:r>
      <w:proofErr w:type="spellStart"/>
      <w:r>
        <w:rPr>
          <w:sz w:val="18"/>
          <w:szCs w:val="18"/>
        </w:rPr>
        <w:t>UNSW</w:t>
      </w:r>
      <w:proofErr w:type="spellEnd"/>
      <w:r>
        <w:rPr>
          <w:sz w:val="18"/>
          <w:szCs w:val="18"/>
        </w:rPr>
        <w:t>, at p 2</w:t>
      </w:r>
      <w:r w:rsidRPr="00DF5B0E">
        <w:rPr>
          <w:sz w:val="18"/>
          <w:szCs w:val="18"/>
        </w:rPr>
        <w:t>.</w:t>
      </w:r>
    </w:p>
  </w:footnote>
  <w:footnote w:id="13">
    <w:p w:rsidR="00AE0D7A" w:rsidRPr="001C0656" w:rsidRDefault="00AE0D7A" w:rsidP="001C0656">
      <w:pPr>
        <w:pStyle w:val="FootnoteText"/>
        <w:spacing w:after="0" w:line="240" w:lineRule="auto"/>
        <w:rPr>
          <w:sz w:val="18"/>
          <w:szCs w:val="18"/>
        </w:rPr>
      </w:pPr>
      <w:r w:rsidRPr="001C0656">
        <w:rPr>
          <w:rStyle w:val="FootnoteReference"/>
          <w:sz w:val="18"/>
          <w:szCs w:val="18"/>
        </w:rPr>
        <w:footnoteRef/>
      </w:r>
      <w:r w:rsidRPr="001C0656">
        <w:rPr>
          <w:sz w:val="18"/>
          <w:szCs w:val="18"/>
        </w:rPr>
        <w:t xml:space="preserve"> Deborah Brennan and Elizabeth Adamson, </w:t>
      </w:r>
      <w:proofErr w:type="spellStart"/>
      <w:r>
        <w:rPr>
          <w:sz w:val="18"/>
          <w:szCs w:val="18"/>
        </w:rPr>
        <w:t>fn</w:t>
      </w:r>
      <w:proofErr w:type="spellEnd"/>
      <w:r>
        <w:rPr>
          <w:sz w:val="18"/>
          <w:szCs w:val="18"/>
        </w:rPr>
        <w:t xml:space="preserve"> 12</w:t>
      </w:r>
      <w:r w:rsidRPr="001C0656">
        <w:rPr>
          <w:sz w:val="18"/>
          <w:szCs w:val="18"/>
        </w:rPr>
        <w:t>, at p 15.</w:t>
      </w:r>
    </w:p>
  </w:footnote>
  <w:footnote w:id="14">
    <w:p w:rsidR="00AE0D7A" w:rsidRPr="00FF6D4F" w:rsidRDefault="00AE0D7A" w:rsidP="00F33913">
      <w:pPr>
        <w:pStyle w:val="FootnoteText"/>
        <w:spacing w:after="0" w:line="240" w:lineRule="auto"/>
        <w:rPr>
          <w:sz w:val="18"/>
          <w:szCs w:val="18"/>
        </w:rPr>
      </w:pPr>
      <w:r w:rsidRPr="00FF6D4F">
        <w:rPr>
          <w:rStyle w:val="FootnoteReference"/>
          <w:sz w:val="18"/>
          <w:szCs w:val="18"/>
        </w:rPr>
        <w:footnoteRef/>
      </w:r>
      <w:r w:rsidRPr="00FF6D4F">
        <w:rPr>
          <w:sz w:val="18"/>
          <w:szCs w:val="18"/>
        </w:rPr>
        <w:t xml:space="preserve"> </w:t>
      </w:r>
      <w:r>
        <w:rPr>
          <w:sz w:val="18"/>
          <w:szCs w:val="18"/>
        </w:rPr>
        <w:t xml:space="preserve">For example, Kate Ellis, Shadow Minister for Early Childhood, </w:t>
      </w:r>
      <w:r w:rsidRPr="00381977">
        <w:rPr>
          <w:i/>
          <w:sz w:val="18"/>
          <w:szCs w:val="18"/>
        </w:rPr>
        <w:t>Submission to the Productivity Commission’s Inquiry into Childcare and Early Childhood Learning</w:t>
      </w:r>
      <w:r>
        <w:rPr>
          <w:sz w:val="18"/>
          <w:szCs w:val="18"/>
        </w:rPr>
        <w:t>, 3</w:t>
      </w:r>
      <w:r w:rsidRPr="00381977">
        <w:rPr>
          <w:sz w:val="18"/>
          <w:szCs w:val="18"/>
        </w:rPr>
        <w:t xml:space="preserve"> February 20</w:t>
      </w:r>
      <w:r>
        <w:rPr>
          <w:sz w:val="18"/>
          <w:szCs w:val="18"/>
        </w:rPr>
        <w:t xml:space="preserve">14  (Submission No. 145): </w:t>
      </w:r>
      <w:r w:rsidRPr="00B3048E">
        <w:rPr>
          <w:sz w:val="18"/>
          <w:szCs w:val="18"/>
        </w:rPr>
        <w:t>“In considering new ways to improve access to and affordability of childcare, we urge the Commission to consider incentives for employers to provide childcare services, and ways that Government can make it easier for employers to provide such support. For example, we ask the Commission to look at ways of extending the Fringe Benefits Tax concession currently received by employers who provide childcare on site to employees, to employers who provide childcare off-site.”</w:t>
      </w:r>
    </w:p>
  </w:footnote>
  <w:footnote w:id="15">
    <w:p w:rsidR="00AE0D7A" w:rsidRPr="00B352C2" w:rsidRDefault="00AE0D7A" w:rsidP="00F33913">
      <w:pPr>
        <w:pStyle w:val="FootnoteText"/>
        <w:spacing w:after="0" w:line="240" w:lineRule="auto"/>
        <w:rPr>
          <w:sz w:val="18"/>
          <w:szCs w:val="18"/>
        </w:rPr>
      </w:pPr>
      <w:r w:rsidRPr="00B352C2">
        <w:rPr>
          <w:rStyle w:val="FootnoteReference"/>
          <w:sz w:val="18"/>
          <w:szCs w:val="18"/>
        </w:rPr>
        <w:footnoteRef/>
      </w:r>
      <w:r w:rsidRPr="00B352C2">
        <w:rPr>
          <w:sz w:val="18"/>
          <w:szCs w:val="18"/>
        </w:rPr>
        <w:t xml:space="preserve"> </w:t>
      </w:r>
      <w:proofErr w:type="spellStart"/>
      <w:r>
        <w:rPr>
          <w:sz w:val="18"/>
          <w:szCs w:val="18"/>
        </w:rPr>
        <w:t>Sussan</w:t>
      </w:r>
      <w:proofErr w:type="spellEnd"/>
      <w:r>
        <w:rPr>
          <w:sz w:val="18"/>
          <w:szCs w:val="18"/>
        </w:rPr>
        <w:t xml:space="preserve"> Ley, Assistant Member for Education, as quoted by Joanna Mather, “Ley eyes childcare tax perks” </w:t>
      </w:r>
      <w:r w:rsidRPr="00C03F5F">
        <w:rPr>
          <w:i/>
          <w:sz w:val="18"/>
          <w:szCs w:val="18"/>
        </w:rPr>
        <w:t>Australian Financial Review</w:t>
      </w:r>
      <w:r>
        <w:rPr>
          <w:sz w:val="18"/>
          <w:szCs w:val="18"/>
        </w:rPr>
        <w:t xml:space="preserve">, 31 January 2014, at p 5: “One of the terms of reference in our review is employer-provided childcare and I think we can do more there because the benefit that you gain through the tax system is only if it is </w:t>
      </w:r>
      <w:proofErr w:type="spellStart"/>
      <w:r>
        <w:rPr>
          <w:sz w:val="18"/>
          <w:szCs w:val="18"/>
        </w:rPr>
        <w:t>on-site</w:t>
      </w:r>
      <w:proofErr w:type="spellEnd"/>
      <w:r>
        <w:rPr>
          <w:sz w:val="18"/>
          <w:szCs w:val="18"/>
        </w:rPr>
        <w:t xml:space="preserve"> and all employers can’t do that.”</w:t>
      </w:r>
    </w:p>
  </w:footnote>
  <w:footnote w:id="16">
    <w:p w:rsidR="00AE0D7A" w:rsidRPr="00E96E5E" w:rsidRDefault="00AE0D7A" w:rsidP="00F33913">
      <w:pPr>
        <w:pStyle w:val="FootnoteText"/>
        <w:spacing w:after="0" w:line="240" w:lineRule="auto"/>
        <w:rPr>
          <w:sz w:val="18"/>
          <w:szCs w:val="18"/>
        </w:rPr>
      </w:pPr>
      <w:r w:rsidRPr="00E96E5E">
        <w:rPr>
          <w:rStyle w:val="FootnoteReference"/>
          <w:sz w:val="18"/>
          <w:szCs w:val="18"/>
        </w:rPr>
        <w:footnoteRef/>
      </w:r>
      <w:r w:rsidRPr="00E96E5E">
        <w:rPr>
          <w:sz w:val="18"/>
          <w:szCs w:val="18"/>
        </w:rPr>
        <w:t xml:space="preserve"> </w:t>
      </w:r>
      <w:r w:rsidRPr="00E96E5E">
        <w:rPr>
          <w:i/>
          <w:sz w:val="18"/>
          <w:szCs w:val="18"/>
        </w:rPr>
        <w:t xml:space="preserve">Esso Australia Ltd v </w:t>
      </w:r>
      <w:proofErr w:type="spellStart"/>
      <w:r w:rsidRPr="00E96E5E">
        <w:rPr>
          <w:i/>
          <w:sz w:val="18"/>
          <w:szCs w:val="18"/>
        </w:rPr>
        <w:t>FCT</w:t>
      </w:r>
      <w:proofErr w:type="spellEnd"/>
      <w:r w:rsidRPr="00E96E5E">
        <w:rPr>
          <w:sz w:val="18"/>
          <w:szCs w:val="18"/>
        </w:rPr>
        <w:t xml:space="preserve"> [1998] </w:t>
      </w:r>
      <w:proofErr w:type="spellStart"/>
      <w:r w:rsidRPr="00E96E5E">
        <w:rPr>
          <w:sz w:val="18"/>
          <w:szCs w:val="18"/>
        </w:rPr>
        <w:t>FCA</w:t>
      </w:r>
      <w:proofErr w:type="spellEnd"/>
      <w:r w:rsidRPr="00E96E5E">
        <w:rPr>
          <w:sz w:val="18"/>
          <w:szCs w:val="18"/>
        </w:rPr>
        <w:t xml:space="preserve"> 1253.</w:t>
      </w:r>
      <w:r>
        <w:rPr>
          <w:sz w:val="18"/>
          <w:szCs w:val="18"/>
        </w:rPr>
        <w:t xml:space="preserve"> Merkel J stated: “</w:t>
      </w:r>
      <w:r w:rsidRPr="0081591F">
        <w:rPr>
          <w:sz w:val="18"/>
          <w:szCs w:val="18"/>
        </w:rPr>
        <w:t>Common sense would dictate that in many instances basic requirements for child care facilities may be such that it is inappropriate for the facilities to be located upon the same premises where the other business operations of an employer are conducted.”</w:t>
      </w:r>
    </w:p>
  </w:footnote>
  <w:footnote w:id="17">
    <w:p w:rsidR="00AE0D7A" w:rsidRPr="003C63C5" w:rsidRDefault="00AE0D7A" w:rsidP="00F33913">
      <w:pPr>
        <w:pStyle w:val="FootnoteText"/>
        <w:spacing w:after="0" w:line="240" w:lineRule="auto"/>
        <w:rPr>
          <w:sz w:val="18"/>
          <w:szCs w:val="18"/>
        </w:rPr>
      </w:pPr>
      <w:r w:rsidRPr="003C63C5">
        <w:rPr>
          <w:rStyle w:val="FootnoteReference"/>
          <w:sz w:val="18"/>
          <w:szCs w:val="18"/>
        </w:rPr>
        <w:footnoteRef/>
      </w:r>
      <w:r w:rsidRPr="003C63C5">
        <w:rPr>
          <w:sz w:val="18"/>
          <w:szCs w:val="18"/>
        </w:rPr>
        <w:t xml:space="preserve"> </w:t>
      </w:r>
      <w:r>
        <w:rPr>
          <w:sz w:val="18"/>
          <w:szCs w:val="18"/>
        </w:rPr>
        <w:t>See, for example, Private Rulings Nos. 4539, 17951, 44253, 53462, and 60984.</w:t>
      </w:r>
    </w:p>
  </w:footnote>
  <w:footnote w:id="18">
    <w:p w:rsidR="00AE0D7A" w:rsidRPr="00EA2BFC" w:rsidRDefault="00AE0D7A" w:rsidP="00F33913">
      <w:pPr>
        <w:pStyle w:val="FootnoteText"/>
        <w:spacing w:after="0" w:line="240" w:lineRule="auto"/>
        <w:rPr>
          <w:sz w:val="18"/>
          <w:szCs w:val="18"/>
        </w:rPr>
      </w:pPr>
      <w:r w:rsidRPr="00EA2BFC">
        <w:rPr>
          <w:rStyle w:val="FootnoteReference"/>
          <w:sz w:val="18"/>
          <w:szCs w:val="18"/>
        </w:rPr>
        <w:footnoteRef/>
      </w:r>
      <w:r w:rsidRPr="00EA2BFC">
        <w:rPr>
          <w:sz w:val="18"/>
          <w:szCs w:val="18"/>
        </w:rPr>
        <w:t xml:space="preserve"> </w:t>
      </w:r>
      <w:r w:rsidRPr="00B43D5D">
        <w:rPr>
          <w:sz w:val="18"/>
          <w:szCs w:val="18"/>
        </w:rPr>
        <w:t>Commissioner of Taxation</w:t>
      </w:r>
      <w:r>
        <w:rPr>
          <w:sz w:val="18"/>
          <w:szCs w:val="18"/>
        </w:rPr>
        <w:t xml:space="preserve">, </w:t>
      </w:r>
      <w:r w:rsidRPr="00B43D5D">
        <w:rPr>
          <w:i/>
          <w:sz w:val="18"/>
          <w:szCs w:val="18"/>
        </w:rPr>
        <w:t xml:space="preserve">Taxation Ruling </w:t>
      </w:r>
      <w:proofErr w:type="spellStart"/>
      <w:r w:rsidRPr="00B43D5D">
        <w:rPr>
          <w:i/>
          <w:sz w:val="18"/>
          <w:szCs w:val="18"/>
        </w:rPr>
        <w:t>TR</w:t>
      </w:r>
      <w:proofErr w:type="spellEnd"/>
      <w:r w:rsidRPr="00B43D5D">
        <w:rPr>
          <w:i/>
          <w:sz w:val="18"/>
          <w:szCs w:val="18"/>
        </w:rPr>
        <w:t xml:space="preserve"> 2000/4: Fringe benefits tax: meaning of ‘business premises’</w:t>
      </w:r>
      <w:r>
        <w:rPr>
          <w:sz w:val="18"/>
          <w:szCs w:val="18"/>
        </w:rPr>
        <w:t xml:space="preserve">, Canberra, 1 March 2000, See, for example, </w:t>
      </w:r>
      <w:proofErr w:type="spellStart"/>
      <w:r>
        <w:rPr>
          <w:sz w:val="18"/>
          <w:szCs w:val="18"/>
        </w:rPr>
        <w:t>paras</w:t>
      </w:r>
      <w:proofErr w:type="spellEnd"/>
      <w:r>
        <w:rPr>
          <w:sz w:val="18"/>
          <w:szCs w:val="18"/>
        </w:rPr>
        <w:t xml:space="preserve"> 55-60 and 70.</w:t>
      </w:r>
    </w:p>
  </w:footnote>
  <w:footnote w:id="19">
    <w:p w:rsidR="00AE0D7A" w:rsidRPr="007B3FF9" w:rsidRDefault="00AE0D7A" w:rsidP="00F33913">
      <w:pPr>
        <w:pStyle w:val="FootnoteText"/>
        <w:spacing w:after="0" w:line="240" w:lineRule="auto"/>
        <w:rPr>
          <w:sz w:val="18"/>
          <w:szCs w:val="18"/>
        </w:rPr>
      </w:pPr>
      <w:r w:rsidRPr="007B3FF9">
        <w:rPr>
          <w:rStyle w:val="FootnoteReference"/>
          <w:sz w:val="18"/>
          <w:szCs w:val="18"/>
        </w:rPr>
        <w:footnoteRef/>
      </w:r>
      <w:r w:rsidRPr="007B3FF9">
        <w:rPr>
          <w:sz w:val="18"/>
          <w:szCs w:val="18"/>
        </w:rPr>
        <w:t xml:space="preserve"> </w:t>
      </w:r>
      <w:r>
        <w:rPr>
          <w:sz w:val="18"/>
          <w:szCs w:val="18"/>
        </w:rPr>
        <w:t>See, for example, Private Rulings Nos. 26780, 40870, 54253, 58801, and 65809.</w:t>
      </w:r>
    </w:p>
  </w:footnote>
  <w:footnote w:id="20">
    <w:p w:rsidR="00AE0D7A" w:rsidRPr="00CB733D" w:rsidRDefault="00AE0D7A" w:rsidP="00F33913">
      <w:pPr>
        <w:pStyle w:val="FootnoteText"/>
        <w:spacing w:after="0" w:line="240" w:lineRule="auto"/>
        <w:rPr>
          <w:sz w:val="18"/>
          <w:szCs w:val="18"/>
        </w:rPr>
      </w:pPr>
      <w:r w:rsidRPr="00CB733D">
        <w:rPr>
          <w:rStyle w:val="FootnoteReference"/>
          <w:sz w:val="18"/>
          <w:szCs w:val="18"/>
        </w:rPr>
        <w:footnoteRef/>
      </w:r>
      <w:r w:rsidRPr="00CB733D">
        <w:rPr>
          <w:sz w:val="18"/>
          <w:szCs w:val="18"/>
        </w:rPr>
        <w:t xml:space="preserve"> </w:t>
      </w:r>
      <w:r w:rsidRPr="00E96E5E">
        <w:rPr>
          <w:i/>
          <w:sz w:val="18"/>
          <w:szCs w:val="18"/>
        </w:rPr>
        <w:t xml:space="preserve">Esso Australia Ltd v </w:t>
      </w:r>
      <w:proofErr w:type="spellStart"/>
      <w:r w:rsidRPr="00E96E5E">
        <w:rPr>
          <w:i/>
          <w:sz w:val="18"/>
          <w:szCs w:val="18"/>
        </w:rPr>
        <w:t>FCT</w:t>
      </w:r>
      <w:proofErr w:type="spellEnd"/>
      <w:r w:rsidRPr="00E96E5E">
        <w:rPr>
          <w:sz w:val="18"/>
          <w:szCs w:val="18"/>
        </w:rPr>
        <w:t xml:space="preserve"> [1998] </w:t>
      </w:r>
      <w:proofErr w:type="spellStart"/>
      <w:r w:rsidRPr="00E96E5E">
        <w:rPr>
          <w:sz w:val="18"/>
          <w:szCs w:val="18"/>
        </w:rPr>
        <w:t>FCA</w:t>
      </w:r>
      <w:proofErr w:type="spellEnd"/>
      <w:r w:rsidRPr="00E96E5E">
        <w:rPr>
          <w:sz w:val="18"/>
          <w:szCs w:val="18"/>
        </w:rPr>
        <w:t xml:space="preserve"> 1253</w:t>
      </w:r>
      <w:r>
        <w:rPr>
          <w:sz w:val="18"/>
          <w:szCs w:val="18"/>
        </w:rPr>
        <w:t>, at p 9.</w:t>
      </w:r>
    </w:p>
  </w:footnote>
  <w:footnote w:id="21">
    <w:p w:rsidR="00AE0D7A" w:rsidRPr="00DF445D" w:rsidRDefault="00AE0D7A" w:rsidP="00F33913">
      <w:pPr>
        <w:spacing w:after="0" w:line="240" w:lineRule="auto"/>
        <w:rPr>
          <w:sz w:val="18"/>
          <w:szCs w:val="18"/>
        </w:rPr>
      </w:pPr>
      <w:r w:rsidRPr="00DF445D">
        <w:rPr>
          <w:rStyle w:val="FootnoteReference"/>
          <w:sz w:val="18"/>
          <w:szCs w:val="18"/>
        </w:rPr>
        <w:footnoteRef/>
      </w:r>
      <w:r>
        <w:t xml:space="preserve"> </w:t>
      </w:r>
      <w:r w:rsidRPr="00E96E5E">
        <w:rPr>
          <w:i/>
          <w:sz w:val="18"/>
          <w:szCs w:val="18"/>
        </w:rPr>
        <w:t xml:space="preserve">Esso Australia Ltd v </w:t>
      </w:r>
      <w:proofErr w:type="spellStart"/>
      <w:r w:rsidRPr="00E96E5E">
        <w:rPr>
          <w:i/>
          <w:sz w:val="18"/>
          <w:szCs w:val="18"/>
        </w:rPr>
        <w:t>FCT</w:t>
      </w:r>
      <w:proofErr w:type="spellEnd"/>
      <w:r w:rsidRPr="00E96E5E">
        <w:rPr>
          <w:sz w:val="18"/>
          <w:szCs w:val="18"/>
        </w:rPr>
        <w:t xml:space="preserve"> [1998] </w:t>
      </w:r>
      <w:proofErr w:type="spellStart"/>
      <w:r w:rsidRPr="00E96E5E">
        <w:rPr>
          <w:sz w:val="18"/>
          <w:szCs w:val="18"/>
        </w:rPr>
        <w:t>FCA</w:t>
      </w:r>
      <w:proofErr w:type="spellEnd"/>
      <w:r w:rsidRPr="00E96E5E">
        <w:rPr>
          <w:sz w:val="18"/>
          <w:szCs w:val="18"/>
        </w:rPr>
        <w:t xml:space="preserve"> 1253</w:t>
      </w:r>
      <w:r>
        <w:rPr>
          <w:sz w:val="18"/>
          <w:szCs w:val="18"/>
        </w:rPr>
        <w:t>, at p 9.</w:t>
      </w:r>
    </w:p>
  </w:footnote>
  <w:footnote w:id="22">
    <w:p w:rsidR="00AE0D7A" w:rsidRPr="0092779E" w:rsidRDefault="00AE0D7A" w:rsidP="00F33913">
      <w:pPr>
        <w:pStyle w:val="FootnoteText"/>
        <w:spacing w:after="0" w:line="240" w:lineRule="auto"/>
        <w:rPr>
          <w:sz w:val="18"/>
          <w:szCs w:val="18"/>
        </w:rPr>
      </w:pPr>
      <w:r w:rsidRPr="0092779E">
        <w:rPr>
          <w:rStyle w:val="FootnoteReference"/>
          <w:sz w:val="18"/>
          <w:szCs w:val="18"/>
        </w:rPr>
        <w:footnoteRef/>
      </w:r>
      <w:r w:rsidRPr="0092779E">
        <w:rPr>
          <w:sz w:val="18"/>
          <w:szCs w:val="18"/>
        </w:rPr>
        <w:t xml:space="preserve"> </w:t>
      </w:r>
      <w:r w:rsidRPr="00BA3BE4">
        <w:rPr>
          <w:sz w:val="18"/>
          <w:szCs w:val="18"/>
        </w:rPr>
        <w:t>P</w:t>
      </w:r>
      <w:r>
        <w:rPr>
          <w:sz w:val="18"/>
          <w:szCs w:val="18"/>
        </w:rPr>
        <w:t xml:space="preserve">arliament of the Commonwealth of Australia, House of Representatives Standing Committee on Family and Human Services, </w:t>
      </w:r>
      <w:r w:rsidRPr="008D1E9E">
        <w:rPr>
          <w:i/>
          <w:sz w:val="18"/>
          <w:szCs w:val="18"/>
        </w:rPr>
        <w:t>Balancing Work and Family – Report on the Inquiry into balancing work and family</w:t>
      </w:r>
      <w:r>
        <w:rPr>
          <w:sz w:val="18"/>
          <w:szCs w:val="18"/>
        </w:rPr>
        <w:t xml:space="preserve">, Canberra, December 2016, at p 83, </w:t>
      </w:r>
      <w:proofErr w:type="spellStart"/>
      <w:r>
        <w:rPr>
          <w:sz w:val="18"/>
          <w:szCs w:val="18"/>
        </w:rPr>
        <w:t>para</w:t>
      </w:r>
      <w:proofErr w:type="spellEnd"/>
      <w:r>
        <w:rPr>
          <w:sz w:val="18"/>
          <w:szCs w:val="18"/>
        </w:rPr>
        <w:t xml:space="preserve"> [3.48]. The Committee also stated, at </w:t>
      </w:r>
      <w:proofErr w:type="spellStart"/>
      <w:r>
        <w:rPr>
          <w:sz w:val="18"/>
          <w:szCs w:val="18"/>
        </w:rPr>
        <w:t>para</w:t>
      </w:r>
      <w:proofErr w:type="spellEnd"/>
      <w:r>
        <w:rPr>
          <w:sz w:val="18"/>
          <w:szCs w:val="18"/>
        </w:rPr>
        <w:t xml:space="preserve"> [3.47], that subs 47(8) had been expanded in 1993 to act as an alternative to subs 47(2) for private sector employers who only required a small number of dedicated places for their employees.</w:t>
      </w:r>
    </w:p>
  </w:footnote>
  <w:footnote w:id="23">
    <w:p w:rsidR="00AE0D7A" w:rsidRPr="00B34F71" w:rsidRDefault="00AE0D7A" w:rsidP="00F33913">
      <w:pPr>
        <w:pStyle w:val="FootnoteText"/>
        <w:spacing w:after="0" w:line="240" w:lineRule="auto"/>
        <w:rPr>
          <w:sz w:val="18"/>
          <w:szCs w:val="18"/>
        </w:rPr>
      </w:pPr>
      <w:r w:rsidRPr="00B34F71">
        <w:rPr>
          <w:rStyle w:val="FootnoteReference"/>
          <w:sz w:val="18"/>
          <w:szCs w:val="18"/>
        </w:rPr>
        <w:footnoteRef/>
      </w:r>
      <w:r w:rsidRPr="00B34F71">
        <w:rPr>
          <w:sz w:val="18"/>
          <w:szCs w:val="18"/>
        </w:rPr>
        <w:t xml:space="preserve"> </w:t>
      </w:r>
      <w:r>
        <w:rPr>
          <w:sz w:val="18"/>
          <w:szCs w:val="18"/>
        </w:rPr>
        <w:t xml:space="preserve">Commissioner of Taxation, </w:t>
      </w:r>
      <w:proofErr w:type="spellStart"/>
      <w:r w:rsidRPr="002E3B27">
        <w:rPr>
          <w:i/>
          <w:sz w:val="18"/>
          <w:szCs w:val="18"/>
        </w:rPr>
        <w:t>ATO</w:t>
      </w:r>
      <w:proofErr w:type="spellEnd"/>
      <w:r w:rsidRPr="002E3B27">
        <w:rPr>
          <w:i/>
          <w:sz w:val="18"/>
          <w:szCs w:val="18"/>
        </w:rPr>
        <w:t xml:space="preserve"> Interpretative Decision </w:t>
      </w:r>
      <w:proofErr w:type="spellStart"/>
      <w:r w:rsidRPr="002E3B27">
        <w:rPr>
          <w:i/>
          <w:sz w:val="18"/>
          <w:szCs w:val="18"/>
        </w:rPr>
        <w:t>ATO</w:t>
      </w:r>
      <w:proofErr w:type="spellEnd"/>
      <w:r w:rsidRPr="002E3B27">
        <w:rPr>
          <w:i/>
          <w:sz w:val="18"/>
          <w:szCs w:val="18"/>
        </w:rPr>
        <w:t xml:space="preserve"> ID 2012/58: Fringe Benefits Tax: Exempt Benefits: priority of access to a child care service</w:t>
      </w:r>
      <w:r>
        <w:rPr>
          <w:sz w:val="18"/>
          <w:szCs w:val="18"/>
        </w:rPr>
        <w:t xml:space="preserve">, Canberra, 20 June 2012. As per </w:t>
      </w:r>
      <w:proofErr w:type="spellStart"/>
      <w:r>
        <w:rPr>
          <w:sz w:val="18"/>
          <w:szCs w:val="18"/>
        </w:rPr>
        <w:t>subparas</w:t>
      </w:r>
      <w:proofErr w:type="spellEnd"/>
      <w:r>
        <w:rPr>
          <w:sz w:val="18"/>
          <w:szCs w:val="18"/>
        </w:rPr>
        <w:t xml:space="preserve"> 47(8)(a)(v)-(viii) of the </w:t>
      </w:r>
      <w:proofErr w:type="spellStart"/>
      <w:r>
        <w:rPr>
          <w:sz w:val="18"/>
          <w:szCs w:val="18"/>
        </w:rPr>
        <w:t>FBT</w:t>
      </w:r>
      <w:proofErr w:type="spellEnd"/>
      <w:r>
        <w:rPr>
          <w:sz w:val="18"/>
          <w:szCs w:val="18"/>
        </w:rPr>
        <w:t xml:space="preserve"> Act, the employer </w:t>
      </w:r>
      <w:r w:rsidRPr="009F6704">
        <w:rPr>
          <w:sz w:val="18"/>
          <w:szCs w:val="18"/>
        </w:rPr>
        <w:t xml:space="preserve">has to determine that the relevant childcare service had a certificate of approval issued pursuant to s 195 of the </w:t>
      </w:r>
      <w:r w:rsidRPr="009F6704">
        <w:rPr>
          <w:i/>
          <w:sz w:val="18"/>
          <w:szCs w:val="18"/>
        </w:rPr>
        <w:t>A New Tax System (Family Assistance) (Administration) Act 1999</w:t>
      </w:r>
      <w:r w:rsidRPr="009F6704">
        <w:rPr>
          <w:sz w:val="18"/>
          <w:szCs w:val="18"/>
        </w:rPr>
        <w:t xml:space="preserve"> that covered both the time of the employer’s contribution and the time that priority of access was granted to the employee’s child.</w:t>
      </w:r>
    </w:p>
  </w:footnote>
  <w:footnote w:id="24">
    <w:p w:rsidR="00AE0D7A" w:rsidRPr="002B3DA7" w:rsidRDefault="00AE0D7A" w:rsidP="007B0A4D">
      <w:pPr>
        <w:pStyle w:val="FootnoteText"/>
        <w:spacing w:after="0" w:line="240" w:lineRule="auto"/>
        <w:rPr>
          <w:sz w:val="18"/>
          <w:szCs w:val="18"/>
        </w:rPr>
      </w:pPr>
      <w:r w:rsidRPr="002B3DA7">
        <w:rPr>
          <w:rStyle w:val="FootnoteReference"/>
          <w:sz w:val="18"/>
          <w:szCs w:val="18"/>
        </w:rPr>
        <w:footnoteRef/>
      </w:r>
      <w:r w:rsidRPr="002B3DA7">
        <w:rPr>
          <w:sz w:val="18"/>
          <w:szCs w:val="18"/>
        </w:rPr>
        <w:t xml:space="preserve"> </w:t>
      </w:r>
      <w:r>
        <w:rPr>
          <w:sz w:val="18"/>
          <w:szCs w:val="18"/>
        </w:rPr>
        <w:t>See, for example, Edited Version of Private Ruling Authorisation Number 46314 and Edited Version of Private Ruling Authorisation Number 1011314748023.</w:t>
      </w:r>
    </w:p>
  </w:footnote>
  <w:footnote w:id="25">
    <w:p w:rsidR="00AE0D7A" w:rsidRPr="00D910AF" w:rsidRDefault="00AE0D7A" w:rsidP="00D910AF">
      <w:pPr>
        <w:pStyle w:val="FootnoteText"/>
        <w:spacing w:after="0" w:line="240" w:lineRule="auto"/>
        <w:rPr>
          <w:sz w:val="22"/>
          <w:szCs w:val="22"/>
        </w:rPr>
      </w:pPr>
      <w:r w:rsidRPr="00D910AF">
        <w:rPr>
          <w:rStyle w:val="FootnoteReference"/>
          <w:sz w:val="22"/>
          <w:szCs w:val="22"/>
        </w:rPr>
        <w:footnoteRef/>
      </w:r>
      <w:r w:rsidRPr="00D910AF">
        <w:rPr>
          <w:sz w:val="22"/>
          <w:szCs w:val="22"/>
        </w:rPr>
        <w:t xml:space="preserve"> </w:t>
      </w:r>
      <w:r w:rsidRPr="00CD6D86">
        <w:rPr>
          <w:sz w:val="18"/>
          <w:szCs w:val="18"/>
        </w:rPr>
        <w:t xml:space="preserve">Commissioner of Taxation, </w:t>
      </w:r>
      <w:r w:rsidRPr="005D099E">
        <w:rPr>
          <w:i/>
          <w:sz w:val="18"/>
          <w:szCs w:val="18"/>
        </w:rPr>
        <w:t xml:space="preserve">Taxation Ruling </w:t>
      </w:r>
      <w:proofErr w:type="spellStart"/>
      <w:r w:rsidRPr="005D099E">
        <w:rPr>
          <w:i/>
          <w:sz w:val="18"/>
          <w:szCs w:val="18"/>
        </w:rPr>
        <w:t>TR</w:t>
      </w:r>
      <w:proofErr w:type="spellEnd"/>
      <w:r w:rsidRPr="005D099E">
        <w:rPr>
          <w:i/>
          <w:sz w:val="18"/>
          <w:szCs w:val="18"/>
        </w:rPr>
        <w:t xml:space="preserve"> 2001/10: Income Tax: fringe benefits tax and superannuation guarantee: salary sacrifice arrangements</w:t>
      </w:r>
      <w:r w:rsidRPr="00CD6D86">
        <w:rPr>
          <w:sz w:val="18"/>
          <w:szCs w:val="18"/>
        </w:rPr>
        <w:t xml:space="preserve">, Canberra, 10 October 2001, at </w:t>
      </w:r>
      <w:proofErr w:type="spellStart"/>
      <w:r w:rsidRPr="00CD6D86">
        <w:rPr>
          <w:sz w:val="18"/>
          <w:szCs w:val="18"/>
        </w:rPr>
        <w:t>paras</w:t>
      </w:r>
      <w:proofErr w:type="spellEnd"/>
      <w:r w:rsidRPr="00CD6D86">
        <w:rPr>
          <w:sz w:val="18"/>
          <w:szCs w:val="18"/>
        </w:rPr>
        <w:t xml:space="preserve"> 19-20.</w:t>
      </w:r>
    </w:p>
  </w:footnote>
  <w:footnote w:id="26">
    <w:p w:rsidR="00AE0D7A" w:rsidRPr="00DB006E" w:rsidRDefault="00AE0D7A" w:rsidP="00D910AF">
      <w:pPr>
        <w:pStyle w:val="FootnoteText"/>
        <w:spacing w:after="0" w:line="240" w:lineRule="auto"/>
        <w:rPr>
          <w:sz w:val="18"/>
          <w:szCs w:val="18"/>
        </w:rPr>
      </w:pPr>
      <w:r w:rsidRPr="00DB006E">
        <w:rPr>
          <w:rStyle w:val="FootnoteReference"/>
          <w:sz w:val="18"/>
          <w:szCs w:val="18"/>
        </w:rPr>
        <w:footnoteRef/>
      </w:r>
      <w:r w:rsidRPr="00DB006E">
        <w:rPr>
          <w:sz w:val="18"/>
          <w:szCs w:val="18"/>
        </w:rPr>
        <w:t xml:space="preserve"> </w:t>
      </w:r>
      <w:r>
        <w:rPr>
          <w:sz w:val="18"/>
          <w:szCs w:val="18"/>
        </w:rPr>
        <w:t xml:space="preserve">See, for example, Deborah Brennan and Elizabeth Adamson, </w:t>
      </w:r>
      <w:proofErr w:type="spellStart"/>
      <w:r>
        <w:rPr>
          <w:sz w:val="18"/>
          <w:szCs w:val="18"/>
        </w:rPr>
        <w:t>fn</w:t>
      </w:r>
      <w:proofErr w:type="spellEnd"/>
      <w:r>
        <w:rPr>
          <w:sz w:val="18"/>
          <w:szCs w:val="18"/>
        </w:rPr>
        <w:t xml:space="preserve"> 12, at p 15.</w:t>
      </w:r>
    </w:p>
  </w:footnote>
  <w:footnote w:id="27">
    <w:p w:rsidR="00AE0D7A" w:rsidRPr="00FB5308" w:rsidRDefault="00AE0D7A" w:rsidP="00DB006E">
      <w:pPr>
        <w:pStyle w:val="FootnoteText"/>
        <w:spacing w:after="0" w:line="240" w:lineRule="auto"/>
        <w:rPr>
          <w:sz w:val="18"/>
          <w:szCs w:val="18"/>
        </w:rPr>
      </w:pPr>
      <w:r w:rsidRPr="00FB5308">
        <w:rPr>
          <w:rStyle w:val="FootnoteReference"/>
          <w:sz w:val="18"/>
          <w:szCs w:val="18"/>
        </w:rPr>
        <w:footnoteRef/>
      </w:r>
      <w:r w:rsidRPr="00FB5308">
        <w:rPr>
          <w:sz w:val="18"/>
          <w:szCs w:val="18"/>
        </w:rPr>
        <w:t xml:space="preserve"> </w:t>
      </w:r>
      <w:r w:rsidRPr="00977D51">
        <w:rPr>
          <w:sz w:val="18"/>
          <w:szCs w:val="18"/>
        </w:rPr>
        <w:t xml:space="preserve">For example, </w:t>
      </w:r>
      <w:proofErr w:type="spellStart"/>
      <w:r w:rsidRPr="00977D51">
        <w:rPr>
          <w:sz w:val="18"/>
          <w:szCs w:val="18"/>
        </w:rPr>
        <w:t>Goodstart</w:t>
      </w:r>
      <w:proofErr w:type="spellEnd"/>
      <w:r w:rsidRPr="00977D51">
        <w:rPr>
          <w:sz w:val="18"/>
          <w:szCs w:val="18"/>
        </w:rPr>
        <w:t xml:space="preserve"> Early Learning’s fees as at 1 January 2014 included $137 per day at Bondi Junction, $128 per day at North Sydney, and $122 per day at West Pymble); whilst Only About Children’s fees range from $150-$160 per day at many of their Sydney centres including Cammeray, Mosman, and the Sydney </w:t>
      </w:r>
      <w:proofErr w:type="spellStart"/>
      <w:r w:rsidRPr="00977D51">
        <w:rPr>
          <w:sz w:val="18"/>
          <w:szCs w:val="18"/>
        </w:rPr>
        <w:t>CBD</w:t>
      </w:r>
      <w:proofErr w:type="spellEnd"/>
      <w:r w:rsidR="0030737F">
        <w:rPr>
          <w:sz w:val="18"/>
          <w:szCs w:val="18"/>
        </w:rPr>
        <w:t>.</w:t>
      </w:r>
      <w:r w:rsidRPr="00977D51">
        <w:rPr>
          <w:sz w:val="18"/>
          <w:szCs w:val="18"/>
        </w:rPr>
        <w:t xml:space="preserve"> See also Dr Madeleine </w:t>
      </w:r>
      <w:proofErr w:type="spellStart"/>
      <w:r w:rsidRPr="00977D51">
        <w:rPr>
          <w:sz w:val="18"/>
          <w:szCs w:val="18"/>
        </w:rPr>
        <w:t>Mattarozzi</w:t>
      </w:r>
      <w:proofErr w:type="spellEnd"/>
      <w:r w:rsidRPr="00977D51">
        <w:rPr>
          <w:sz w:val="18"/>
          <w:szCs w:val="18"/>
        </w:rPr>
        <w:t xml:space="preserve"> Laming, President, Australian Federation of Graduate Women, </w:t>
      </w:r>
      <w:r w:rsidRPr="00977D51">
        <w:rPr>
          <w:i/>
          <w:sz w:val="18"/>
          <w:szCs w:val="18"/>
        </w:rPr>
        <w:t>Submission to the Productivity Commission’s Inquiry into Childcare and Early Childhood Learning</w:t>
      </w:r>
      <w:r w:rsidRPr="00977D51">
        <w:rPr>
          <w:sz w:val="18"/>
          <w:szCs w:val="18"/>
        </w:rPr>
        <w:t>, date unknown, (Submission No. 417): “The ... [</w:t>
      </w:r>
      <w:proofErr w:type="spellStart"/>
      <w:r w:rsidRPr="00977D51">
        <w:rPr>
          <w:sz w:val="18"/>
          <w:szCs w:val="18"/>
        </w:rPr>
        <w:t>CCR</w:t>
      </w:r>
      <w:proofErr w:type="spellEnd"/>
      <w:r w:rsidRPr="00977D51">
        <w:rPr>
          <w:sz w:val="18"/>
          <w:szCs w:val="18"/>
        </w:rPr>
        <w:t xml:space="preserve">] ... provides for up to $7,500 per year in child care costs, but child care fees are in excess of $120 a day per child, </w:t>
      </w:r>
      <w:proofErr w:type="spellStart"/>
      <w:r w:rsidRPr="00977D51">
        <w:rPr>
          <w:sz w:val="18"/>
          <w:szCs w:val="18"/>
        </w:rPr>
        <w:t>ie</w:t>
      </w:r>
      <w:proofErr w:type="spellEnd"/>
      <w:r w:rsidRPr="00977D51">
        <w:rPr>
          <w:sz w:val="18"/>
          <w:szCs w:val="18"/>
        </w:rPr>
        <w:t xml:space="preserve"> $38,800 for a full-time working year of 48 weeks in most metropolitan centres”; Alexandra Smith and Amy </w:t>
      </w:r>
      <w:proofErr w:type="spellStart"/>
      <w:r w:rsidRPr="00977D51">
        <w:rPr>
          <w:sz w:val="18"/>
          <w:szCs w:val="18"/>
        </w:rPr>
        <w:t>McNeilage</w:t>
      </w:r>
      <w:proofErr w:type="spellEnd"/>
      <w:r w:rsidRPr="00977D51">
        <w:rPr>
          <w:sz w:val="18"/>
          <w:szCs w:val="18"/>
        </w:rPr>
        <w:t xml:space="preserve">, “Private schools cheaper than childcare”, </w:t>
      </w:r>
      <w:r w:rsidRPr="00977D51">
        <w:rPr>
          <w:i/>
          <w:sz w:val="18"/>
          <w:szCs w:val="18"/>
        </w:rPr>
        <w:t>The Sydney Morning Herald</w:t>
      </w:r>
      <w:r>
        <w:rPr>
          <w:sz w:val="18"/>
          <w:szCs w:val="18"/>
        </w:rPr>
        <w:t>, 9 February 2014.</w:t>
      </w:r>
    </w:p>
  </w:footnote>
  <w:footnote w:id="28">
    <w:p w:rsidR="00AE0D7A" w:rsidRPr="00263B2D" w:rsidRDefault="00AE0D7A" w:rsidP="00263B2D">
      <w:pPr>
        <w:pStyle w:val="FootnoteText"/>
        <w:spacing w:after="0" w:line="240" w:lineRule="auto"/>
        <w:rPr>
          <w:sz w:val="18"/>
          <w:szCs w:val="18"/>
        </w:rPr>
      </w:pPr>
      <w:r w:rsidRPr="00263B2D">
        <w:rPr>
          <w:rStyle w:val="FootnoteReference"/>
          <w:sz w:val="18"/>
          <w:szCs w:val="18"/>
        </w:rPr>
        <w:footnoteRef/>
      </w:r>
      <w:r w:rsidRPr="00263B2D">
        <w:rPr>
          <w:sz w:val="18"/>
          <w:szCs w:val="18"/>
        </w:rPr>
        <w:t xml:space="preserve"> </w:t>
      </w:r>
      <w:r>
        <w:rPr>
          <w:sz w:val="18"/>
          <w:szCs w:val="18"/>
        </w:rPr>
        <w:t>Henry Review</w:t>
      </w:r>
      <w:r w:rsidRPr="00BE65B3">
        <w:rPr>
          <w:sz w:val="18"/>
          <w:szCs w:val="18"/>
        </w:rPr>
        <w:t xml:space="preserve">, </w:t>
      </w:r>
      <w:proofErr w:type="spellStart"/>
      <w:r w:rsidRPr="00BE65B3">
        <w:rPr>
          <w:sz w:val="18"/>
          <w:szCs w:val="18"/>
        </w:rPr>
        <w:t>fn</w:t>
      </w:r>
      <w:proofErr w:type="spellEnd"/>
      <w:r w:rsidRPr="00BE65B3">
        <w:rPr>
          <w:sz w:val="18"/>
          <w:szCs w:val="18"/>
        </w:rPr>
        <w:t xml:space="preserve"> 3,</w:t>
      </w:r>
      <w:r>
        <w:rPr>
          <w:sz w:val="18"/>
          <w:szCs w:val="18"/>
        </w:rPr>
        <w:t xml:space="preserve"> Part 2, Chapter </w:t>
      </w:r>
      <w:proofErr w:type="spellStart"/>
      <w:r>
        <w:rPr>
          <w:sz w:val="18"/>
          <w:szCs w:val="18"/>
        </w:rPr>
        <w:t>F4</w:t>
      </w:r>
      <w:proofErr w:type="spellEnd"/>
      <w:r>
        <w:rPr>
          <w:sz w:val="18"/>
          <w:szCs w:val="18"/>
        </w:rPr>
        <w:t>-1.</w:t>
      </w:r>
    </w:p>
  </w:footnote>
  <w:footnote w:id="29">
    <w:p w:rsidR="00AE0D7A" w:rsidRPr="00321517" w:rsidRDefault="00AE0D7A" w:rsidP="00263B2D">
      <w:pPr>
        <w:pStyle w:val="FootnoteText"/>
        <w:spacing w:after="0" w:line="240" w:lineRule="auto"/>
        <w:rPr>
          <w:sz w:val="18"/>
          <w:szCs w:val="18"/>
        </w:rPr>
      </w:pPr>
      <w:r w:rsidRPr="00321517">
        <w:rPr>
          <w:rStyle w:val="FootnoteReference"/>
          <w:sz w:val="18"/>
          <w:szCs w:val="18"/>
        </w:rPr>
        <w:footnoteRef/>
      </w:r>
      <w:r w:rsidRPr="00321517">
        <w:rPr>
          <w:sz w:val="18"/>
          <w:szCs w:val="18"/>
        </w:rPr>
        <w:t xml:space="preserve"> </w:t>
      </w:r>
      <w:r>
        <w:rPr>
          <w:sz w:val="18"/>
          <w:szCs w:val="18"/>
        </w:rPr>
        <w:t xml:space="preserve">Deborah Brennan and Elizabeth Adamson, </w:t>
      </w:r>
      <w:proofErr w:type="spellStart"/>
      <w:r>
        <w:rPr>
          <w:sz w:val="18"/>
          <w:szCs w:val="18"/>
        </w:rPr>
        <w:t>fn</w:t>
      </w:r>
      <w:proofErr w:type="spellEnd"/>
      <w:r>
        <w:rPr>
          <w:sz w:val="18"/>
          <w:szCs w:val="18"/>
        </w:rPr>
        <w:t xml:space="preserve"> 12, at p 4</w:t>
      </w:r>
      <w:r w:rsidRPr="00DF5B0E">
        <w:rPr>
          <w:sz w:val="18"/>
          <w:szCs w:val="18"/>
        </w:rPr>
        <w:t>.</w:t>
      </w:r>
    </w:p>
  </w:footnote>
  <w:footnote w:id="30">
    <w:p w:rsidR="00AE0D7A" w:rsidRPr="002643BE" w:rsidRDefault="00AE0D7A" w:rsidP="002643BE">
      <w:pPr>
        <w:pStyle w:val="FootnoteText"/>
        <w:spacing w:after="0" w:line="240" w:lineRule="auto"/>
        <w:rPr>
          <w:sz w:val="18"/>
          <w:szCs w:val="18"/>
        </w:rPr>
      </w:pPr>
      <w:r w:rsidRPr="002643BE">
        <w:rPr>
          <w:rStyle w:val="FootnoteReference"/>
          <w:sz w:val="18"/>
          <w:szCs w:val="18"/>
        </w:rPr>
        <w:footnoteRef/>
      </w:r>
      <w:r w:rsidRPr="002643BE">
        <w:rPr>
          <w:sz w:val="18"/>
          <w:szCs w:val="18"/>
        </w:rPr>
        <w:t xml:space="preserve"> </w:t>
      </w:r>
      <w:r>
        <w:rPr>
          <w:sz w:val="18"/>
          <w:szCs w:val="18"/>
        </w:rPr>
        <w:t xml:space="preserve">Henry Review, </w:t>
      </w:r>
      <w:proofErr w:type="spellStart"/>
      <w:r>
        <w:rPr>
          <w:sz w:val="18"/>
          <w:szCs w:val="18"/>
        </w:rPr>
        <w:t>fn</w:t>
      </w:r>
      <w:proofErr w:type="spellEnd"/>
      <w:r>
        <w:rPr>
          <w:sz w:val="18"/>
          <w:szCs w:val="18"/>
        </w:rPr>
        <w:t xml:space="preserve"> 3, Part 2, Chapter </w:t>
      </w:r>
      <w:proofErr w:type="spellStart"/>
      <w:r>
        <w:rPr>
          <w:sz w:val="18"/>
          <w:szCs w:val="18"/>
        </w:rPr>
        <w:t>F4</w:t>
      </w:r>
      <w:proofErr w:type="spellEnd"/>
      <w:r>
        <w:rPr>
          <w:sz w:val="18"/>
          <w:szCs w:val="18"/>
        </w:rPr>
        <w:t xml:space="preserve">-1: </w:t>
      </w:r>
      <w:r w:rsidRPr="004864F2">
        <w:rPr>
          <w:sz w:val="18"/>
          <w:szCs w:val="18"/>
        </w:rPr>
        <w:t>“To facilitate workforce participation and improve early childhood development, parents and children in different circumstances will require different amounts of assistance. For low-income families, assistance with the cost of child care plays a significant role in facilitating workforce participation, a key factor for some families in breaking out of the cycle of poverty. This suggests that relatively more assistance should be provided to families with lower incomes. Even at higher income levels, however, the tax and transfer system impacts on the benefits of working relative to the benefits of not working (including the choice to care for children at home). The current system includes a number of biases against paid work because of the taxation of wage income, the removal of benefits as income increases and the availability of government payments as a substitute for paid work. The combination of these objectives suggests that the amount of child care assistance should be higher at low income levels and means tested as income increases, but that a base level of assistance should be provided across the income spectrum to facilitate participation.”</w:t>
      </w:r>
    </w:p>
  </w:footnote>
  <w:footnote w:id="31">
    <w:p w:rsidR="00AE0D7A" w:rsidRPr="00B421F0" w:rsidRDefault="00AE0D7A" w:rsidP="003B72A6">
      <w:pPr>
        <w:pStyle w:val="FootnoteText"/>
        <w:spacing w:after="0" w:line="240" w:lineRule="auto"/>
        <w:rPr>
          <w:sz w:val="18"/>
          <w:szCs w:val="18"/>
        </w:rPr>
      </w:pPr>
      <w:r w:rsidRPr="00B421F0">
        <w:rPr>
          <w:rStyle w:val="FootnoteReference"/>
          <w:sz w:val="18"/>
          <w:szCs w:val="18"/>
        </w:rPr>
        <w:footnoteRef/>
      </w:r>
      <w:r w:rsidRPr="00B421F0">
        <w:rPr>
          <w:sz w:val="18"/>
          <w:szCs w:val="18"/>
        </w:rPr>
        <w:t xml:space="preserve"> </w:t>
      </w:r>
      <w:proofErr w:type="spellStart"/>
      <w:r>
        <w:rPr>
          <w:sz w:val="18"/>
          <w:szCs w:val="18"/>
        </w:rPr>
        <w:t>Goodstart</w:t>
      </w:r>
      <w:proofErr w:type="spellEnd"/>
      <w:r>
        <w:rPr>
          <w:sz w:val="18"/>
          <w:szCs w:val="18"/>
        </w:rPr>
        <w:t xml:space="preserve"> Early Learning, </w:t>
      </w:r>
      <w:r>
        <w:t xml:space="preserve"> </w:t>
      </w:r>
      <w:r w:rsidRPr="001D11C9">
        <w:rPr>
          <w:i/>
          <w:sz w:val="18"/>
          <w:szCs w:val="18"/>
        </w:rPr>
        <w:t>Submission to the Productivity Commission Inquiry into Child Care and Early Childhood Learning</w:t>
      </w:r>
      <w:r w:rsidRPr="004828F8">
        <w:rPr>
          <w:sz w:val="18"/>
          <w:szCs w:val="18"/>
        </w:rPr>
        <w:t>, 3 F</w:t>
      </w:r>
      <w:r>
        <w:rPr>
          <w:sz w:val="18"/>
          <w:szCs w:val="18"/>
        </w:rPr>
        <w:t>ebruary 2014 (Submission No. 395), at p 90.</w:t>
      </w:r>
    </w:p>
  </w:footnote>
  <w:footnote w:id="32">
    <w:p w:rsidR="00AE0D7A" w:rsidRPr="002F26DA" w:rsidRDefault="00AE0D7A" w:rsidP="003B72A6">
      <w:pPr>
        <w:pStyle w:val="FootnoteText"/>
        <w:spacing w:after="0" w:line="240" w:lineRule="auto"/>
        <w:rPr>
          <w:sz w:val="18"/>
          <w:szCs w:val="18"/>
        </w:rPr>
      </w:pPr>
      <w:r w:rsidRPr="002F26DA">
        <w:rPr>
          <w:rStyle w:val="FootnoteReference"/>
          <w:sz w:val="18"/>
          <w:szCs w:val="18"/>
        </w:rPr>
        <w:footnoteRef/>
      </w:r>
      <w:r w:rsidRPr="002F26DA">
        <w:rPr>
          <w:sz w:val="18"/>
          <w:szCs w:val="18"/>
        </w:rPr>
        <w:t xml:space="preserve"> </w:t>
      </w:r>
      <w:r>
        <w:rPr>
          <w:sz w:val="18"/>
          <w:szCs w:val="18"/>
        </w:rPr>
        <w:t>Guardian Early Learning Group,</w:t>
      </w:r>
      <w:r>
        <w:t xml:space="preserve"> </w:t>
      </w:r>
      <w:r w:rsidRPr="001D11C9">
        <w:rPr>
          <w:i/>
          <w:sz w:val="18"/>
          <w:szCs w:val="18"/>
        </w:rPr>
        <w:t>Submission to the Productivity Commission Inquiry into Child Care and Early Childhood Learning</w:t>
      </w:r>
      <w:r w:rsidRPr="004828F8">
        <w:rPr>
          <w:sz w:val="18"/>
          <w:szCs w:val="18"/>
        </w:rPr>
        <w:t>, 3 F</w:t>
      </w:r>
      <w:r>
        <w:rPr>
          <w:sz w:val="18"/>
          <w:szCs w:val="18"/>
        </w:rPr>
        <w:t>ebruary 2014 (Submission No. 274), at p 3.</w:t>
      </w:r>
    </w:p>
  </w:footnote>
  <w:footnote w:id="33">
    <w:p w:rsidR="00AE0D7A" w:rsidRPr="009B507B" w:rsidRDefault="00AE0D7A" w:rsidP="009B507B">
      <w:pPr>
        <w:pStyle w:val="FootnoteText"/>
        <w:spacing w:after="0" w:line="240" w:lineRule="auto"/>
        <w:rPr>
          <w:sz w:val="18"/>
          <w:szCs w:val="18"/>
        </w:rPr>
      </w:pPr>
      <w:r w:rsidRPr="009B507B">
        <w:rPr>
          <w:rStyle w:val="FootnoteReference"/>
          <w:sz w:val="18"/>
          <w:szCs w:val="18"/>
        </w:rPr>
        <w:footnoteRef/>
      </w:r>
      <w:r w:rsidRPr="009B507B">
        <w:rPr>
          <w:sz w:val="18"/>
          <w:szCs w:val="18"/>
        </w:rPr>
        <w:t xml:space="preserve"> </w:t>
      </w:r>
      <w:r>
        <w:rPr>
          <w:sz w:val="18"/>
          <w:szCs w:val="18"/>
        </w:rPr>
        <w:t>See, for example, Guardian Early Learning Group,</w:t>
      </w:r>
      <w:r>
        <w:t xml:space="preserve"> </w:t>
      </w:r>
      <w:proofErr w:type="spellStart"/>
      <w:r w:rsidR="007C30D6">
        <w:rPr>
          <w:sz w:val="18"/>
          <w:szCs w:val="18"/>
        </w:rPr>
        <w:t>fn</w:t>
      </w:r>
      <w:proofErr w:type="spellEnd"/>
      <w:r w:rsidR="007C30D6">
        <w:rPr>
          <w:sz w:val="18"/>
          <w:szCs w:val="18"/>
        </w:rPr>
        <w:t xml:space="preserve"> 32</w:t>
      </w:r>
      <w:r>
        <w:rPr>
          <w:sz w:val="18"/>
          <w:szCs w:val="18"/>
        </w:rPr>
        <w:t xml:space="preserve">, at p 4, and Henry Review, </w:t>
      </w:r>
      <w:proofErr w:type="spellStart"/>
      <w:r>
        <w:rPr>
          <w:sz w:val="18"/>
          <w:szCs w:val="18"/>
        </w:rPr>
        <w:t>fn</w:t>
      </w:r>
      <w:proofErr w:type="spellEnd"/>
      <w:r>
        <w:rPr>
          <w:sz w:val="18"/>
          <w:szCs w:val="18"/>
        </w:rPr>
        <w:t xml:space="preserve"> 3, Part 2, Chapter </w:t>
      </w:r>
      <w:proofErr w:type="spellStart"/>
      <w:r>
        <w:rPr>
          <w:sz w:val="18"/>
          <w:szCs w:val="18"/>
        </w:rPr>
        <w:t>F4</w:t>
      </w:r>
      <w:proofErr w:type="spellEnd"/>
      <w:r>
        <w:rPr>
          <w:sz w:val="18"/>
          <w:szCs w:val="18"/>
        </w:rPr>
        <w:t>-1: “Providing assistance as a tax deduction would not always assist low-income families, as many are not taxpayers ... For low-income families, assistance therefore needs to be provided as a transfer payment.”</w:t>
      </w:r>
    </w:p>
  </w:footnote>
  <w:footnote w:id="34">
    <w:p w:rsidR="00AE0D7A" w:rsidRPr="00BA3BE4" w:rsidRDefault="00AE0D7A" w:rsidP="009B507B">
      <w:pPr>
        <w:pStyle w:val="FootnoteText"/>
        <w:spacing w:after="0" w:line="240" w:lineRule="auto"/>
        <w:rPr>
          <w:sz w:val="18"/>
          <w:szCs w:val="18"/>
        </w:rPr>
      </w:pPr>
      <w:r w:rsidRPr="00BA3BE4">
        <w:rPr>
          <w:rStyle w:val="FootnoteReference"/>
          <w:sz w:val="18"/>
          <w:szCs w:val="18"/>
        </w:rPr>
        <w:footnoteRef/>
      </w:r>
      <w:r w:rsidRPr="00BA3BE4">
        <w:rPr>
          <w:sz w:val="18"/>
          <w:szCs w:val="18"/>
        </w:rPr>
        <w:t xml:space="preserve"> P</w:t>
      </w:r>
      <w:r>
        <w:rPr>
          <w:sz w:val="18"/>
          <w:szCs w:val="18"/>
        </w:rPr>
        <w:t xml:space="preserve">arliament of the Commonwealth of Australia, House of Representatives Standing Committee on Family and Human Services, </w:t>
      </w:r>
      <w:proofErr w:type="spellStart"/>
      <w:r w:rsidR="007C30D6">
        <w:rPr>
          <w:sz w:val="18"/>
          <w:szCs w:val="18"/>
        </w:rPr>
        <w:t>fn</w:t>
      </w:r>
      <w:proofErr w:type="spellEnd"/>
      <w:r w:rsidR="007C30D6">
        <w:rPr>
          <w:sz w:val="18"/>
          <w:szCs w:val="18"/>
        </w:rPr>
        <w:t xml:space="preserve"> 22</w:t>
      </w:r>
      <w:r>
        <w:rPr>
          <w:sz w:val="18"/>
          <w:szCs w:val="18"/>
        </w:rPr>
        <w:t xml:space="preserve">, Recommendations 16 and 17, at </w:t>
      </w:r>
      <w:proofErr w:type="spellStart"/>
      <w:r>
        <w:rPr>
          <w:sz w:val="18"/>
          <w:szCs w:val="18"/>
        </w:rPr>
        <w:t>pp</w:t>
      </w:r>
      <w:proofErr w:type="spellEnd"/>
      <w:r>
        <w:rPr>
          <w:sz w:val="18"/>
          <w:szCs w:val="18"/>
        </w:rPr>
        <w:t xml:space="preserve"> xxv and xxvi.</w:t>
      </w:r>
    </w:p>
  </w:footnote>
  <w:footnote w:id="35">
    <w:p w:rsidR="00AE0D7A" w:rsidRPr="00827994" w:rsidRDefault="00AE0D7A" w:rsidP="00CD28E6">
      <w:pPr>
        <w:pStyle w:val="FootnoteText"/>
        <w:spacing w:after="0" w:line="240" w:lineRule="auto"/>
        <w:rPr>
          <w:sz w:val="18"/>
          <w:szCs w:val="18"/>
        </w:rPr>
      </w:pPr>
      <w:r w:rsidRPr="00827994">
        <w:rPr>
          <w:rStyle w:val="FootnoteReference"/>
          <w:sz w:val="18"/>
          <w:szCs w:val="18"/>
        </w:rPr>
        <w:footnoteRef/>
      </w:r>
      <w:r w:rsidRPr="00827994">
        <w:rPr>
          <w:sz w:val="18"/>
          <w:szCs w:val="18"/>
        </w:rPr>
        <w:t xml:space="preserve"> The Tax Insti</w:t>
      </w:r>
      <w:r>
        <w:rPr>
          <w:sz w:val="18"/>
          <w:szCs w:val="18"/>
        </w:rPr>
        <w:t xml:space="preserve">tute, </w:t>
      </w:r>
      <w:r w:rsidRPr="00827994">
        <w:rPr>
          <w:i/>
          <w:sz w:val="18"/>
          <w:szCs w:val="18"/>
        </w:rPr>
        <w:t>2013-14 Federal Budget Submission</w:t>
      </w:r>
      <w:r>
        <w:rPr>
          <w:sz w:val="18"/>
          <w:szCs w:val="18"/>
        </w:rPr>
        <w:t>, 13 February 2013.</w:t>
      </w:r>
    </w:p>
  </w:footnote>
  <w:footnote w:id="36">
    <w:p w:rsidR="00AE0D7A" w:rsidRPr="00BE3DFB" w:rsidRDefault="00AE0D7A" w:rsidP="00BE3DFB">
      <w:pPr>
        <w:pStyle w:val="FootnoteText"/>
        <w:spacing w:after="0" w:line="240" w:lineRule="auto"/>
        <w:rPr>
          <w:sz w:val="18"/>
          <w:szCs w:val="18"/>
        </w:rPr>
      </w:pPr>
      <w:r w:rsidRPr="00BE3DFB">
        <w:rPr>
          <w:rStyle w:val="FootnoteReference"/>
          <w:sz w:val="18"/>
          <w:szCs w:val="18"/>
        </w:rPr>
        <w:footnoteRef/>
      </w:r>
      <w:r w:rsidRPr="00BE3DFB">
        <w:rPr>
          <w:sz w:val="18"/>
          <w:szCs w:val="18"/>
        </w:rPr>
        <w:t xml:space="preserve"> </w:t>
      </w:r>
      <w:r>
        <w:rPr>
          <w:sz w:val="18"/>
          <w:szCs w:val="18"/>
        </w:rPr>
        <w:t xml:space="preserve">The Tax Institute, </w:t>
      </w:r>
      <w:r w:rsidRPr="001D11C9">
        <w:rPr>
          <w:i/>
          <w:sz w:val="18"/>
          <w:szCs w:val="18"/>
        </w:rPr>
        <w:t>Submission to the Productivity Commission Inquiry into Child Care and Early Childhood Learning</w:t>
      </w:r>
      <w:r w:rsidRPr="004828F8">
        <w:rPr>
          <w:sz w:val="18"/>
          <w:szCs w:val="18"/>
        </w:rPr>
        <w:t>, 3 F</w:t>
      </w:r>
      <w:r>
        <w:rPr>
          <w:sz w:val="18"/>
          <w:szCs w:val="18"/>
        </w:rPr>
        <w:t>ebruary 2014 (Submission No. 166), at p 3.</w:t>
      </w:r>
    </w:p>
  </w:footnote>
  <w:footnote w:id="37">
    <w:p w:rsidR="00AE0D7A" w:rsidRPr="00F724D1" w:rsidRDefault="00AE0D7A" w:rsidP="00F724D1">
      <w:pPr>
        <w:pStyle w:val="FootnoteText"/>
        <w:spacing w:after="0" w:line="240" w:lineRule="auto"/>
        <w:rPr>
          <w:sz w:val="18"/>
          <w:szCs w:val="18"/>
        </w:rPr>
      </w:pPr>
      <w:r w:rsidRPr="00F724D1">
        <w:rPr>
          <w:rStyle w:val="FootnoteReference"/>
          <w:sz w:val="18"/>
          <w:szCs w:val="18"/>
        </w:rPr>
        <w:footnoteRef/>
      </w:r>
      <w:r w:rsidRPr="00F724D1">
        <w:rPr>
          <w:sz w:val="18"/>
          <w:szCs w:val="18"/>
        </w:rPr>
        <w:t xml:space="preserve"> </w:t>
      </w:r>
      <w:r>
        <w:rPr>
          <w:sz w:val="18"/>
          <w:szCs w:val="18"/>
        </w:rPr>
        <w:t xml:space="preserve">The Tax Institute, </w:t>
      </w:r>
      <w:proofErr w:type="spellStart"/>
      <w:r w:rsidR="007C30D6">
        <w:rPr>
          <w:sz w:val="18"/>
          <w:szCs w:val="18"/>
        </w:rPr>
        <w:t>fn</w:t>
      </w:r>
      <w:proofErr w:type="spellEnd"/>
      <w:r w:rsidR="007C30D6">
        <w:rPr>
          <w:sz w:val="18"/>
          <w:szCs w:val="18"/>
        </w:rPr>
        <w:t xml:space="preserve"> 36</w:t>
      </w:r>
      <w:r>
        <w:rPr>
          <w:sz w:val="18"/>
          <w:szCs w:val="18"/>
        </w:rPr>
        <w:t>.</w:t>
      </w:r>
    </w:p>
  </w:footnote>
  <w:footnote w:id="38">
    <w:p w:rsidR="00AE0D7A" w:rsidRDefault="00AE0D7A" w:rsidP="00F724D1">
      <w:pPr>
        <w:pStyle w:val="FootnoteText"/>
        <w:spacing w:after="0" w:line="240" w:lineRule="auto"/>
      </w:pPr>
      <w:r w:rsidRPr="00CF4396">
        <w:rPr>
          <w:rStyle w:val="FootnoteReference"/>
          <w:sz w:val="18"/>
          <w:szCs w:val="18"/>
        </w:rPr>
        <w:footnoteRef/>
      </w:r>
      <w:r w:rsidRPr="00CF4396">
        <w:rPr>
          <w:sz w:val="18"/>
          <w:szCs w:val="18"/>
        </w:rPr>
        <w:t xml:space="preserve"> Institute of Chartered Accountants in Australia</w:t>
      </w:r>
      <w:r>
        <w:t xml:space="preserve">, </w:t>
      </w:r>
      <w:r w:rsidRPr="001D11C9">
        <w:rPr>
          <w:i/>
          <w:sz w:val="18"/>
          <w:szCs w:val="18"/>
        </w:rPr>
        <w:t>Submission to the Productivity Commission Inquiry into Child Care and Early Childhood Learning</w:t>
      </w:r>
      <w:r w:rsidRPr="004828F8">
        <w:rPr>
          <w:sz w:val="18"/>
          <w:szCs w:val="18"/>
        </w:rPr>
        <w:t>, 3 F</w:t>
      </w:r>
      <w:r>
        <w:rPr>
          <w:sz w:val="18"/>
          <w:szCs w:val="18"/>
        </w:rPr>
        <w:t>ebruary 2014 (Submission No. 369), at p 3.</w:t>
      </w:r>
    </w:p>
  </w:footnote>
  <w:footnote w:id="39">
    <w:p w:rsidR="00AE0D7A" w:rsidRPr="00903508" w:rsidRDefault="00AE0D7A" w:rsidP="00903508">
      <w:pPr>
        <w:pStyle w:val="FootnoteText"/>
        <w:spacing w:after="0" w:line="240" w:lineRule="auto"/>
        <w:rPr>
          <w:sz w:val="18"/>
          <w:szCs w:val="18"/>
        </w:rPr>
      </w:pPr>
      <w:r w:rsidRPr="00903508">
        <w:rPr>
          <w:rStyle w:val="FootnoteReference"/>
          <w:sz w:val="18"/>
          <w:szCs w:val="18"/>
        </w:rPr>
        <w:footnoteRef/>
      </w:r>
      <w:r w:rsidRPr="00903508">
        <w:rPr>
          <w:sz w:val="18"/>
          <w:szCs w:val="18"/>
        </w:rPr>
        <w:t xml:space="preserve"> </w:t>
      </w:r>
      <w:r w:rsidRPr="00BA3BE4">
        <w:rPr>
          <w:sz w:val="18"/>
          <w:szCs w:val="18"/>
        </w:rPr>
        <w:t>P</w:t>
      </w:r>
      <w:r>
        <w:rPr>
          <w:sz w:val="18"/>
          <w:szCs w:val="18"/>
        </w:rPr>
        <w:t xml:space="preserve">arliament of the Commonwealth of Australia, House of Representatives Standing Committee on Family and Human Services, </w:t>
      </w:r>
      <w:proofErr w:type="spellStart"/>
      <w:r w:rsidR="007C30D6">
        <w:rPr>
          <w:sz w:val="18"/>
          <w:szCs w:val="18"/>
        </w:rPr>
        <w:t>fn</w:t>
      </w:r>
      <w:proofErr w:type="spellEnd"/>
      <w:r w:rsidR="007C30D6">
        <w:rPr>
          <w:sz w:val="18"/>
          <w:szCs w:val="18"/>
        </w:rPr>
        <w:t xml:space="preserve"> 22</w:t>
      </w:r>
      <w:r>
        <w:rPr>
          <w:sz w:val="18"/>
          <w:szCs w:val="18"/>
        </w:rPr>
        <w:t>, Recommendations 16 and 17, at p xxv.</w:t>
      </w:r>
    </w:p>
  </w:footnote>
  <w:footnote w:id="40">
    <w:p w:rsidR="00AE0D7A" w:rsidRPr="005414E4" w:rsidRDefault="00AE0D7A" w:rsidP="005414E4">
      <w:pPr>
        <w:pStyle w:val="FootnoteText"/>
        <w:spacing w:after="0" w:line="240" w:lineRule="auto"/>
        <w:rPr>
          <w:sz w:val="18"/>
          <w:szCs w:val="18"/>
        </w:rPr>
      </w:pPr>
      <w:r w:rsidRPr="005414E4">
        <w:rPr>
          <w:rStyle w:val="FootnoteReference"/>
          <w:sz w:val="18"/>
          <w:szCs w:val="18"/>
        </w:rPr>
        <w:footnoteRef/>
      </w:r>
      <w:r w:rsidRPr="005414E4">
        <w:rPr>
          <w:sz w:val="18"/>
          <w:szCs w:val="18"/>
        </w:rPr>
        <w:t xml:space="preserve"> </w:t>
      </w:r>
      <w:r>
        <w:rPr>
          <w:sz w:val="18"/>
          <w:szCs w:val="18"/>
        </w:rPr>
        <w:t xml:space="preserve">The </w:t>
      </w:r>
      <w:proofErr w:type="spellStart"/>
      <w:r>
        <w:rPr>
          <w:sz w:val="18"/>
          <w:szCs w:val="18"/>
        </w:rPr>
        <w:t>Labor</w:t>
      </w:r>
      <w:proofErr w:type="spellEnd"/>
      <w:r>
        <w:rPr>
          <w:sz w:val="18"/>
          <w:szCs w:val="18"/>
        </w:rPr>
        <w:t xml:space="preserve"> members of the Committee agreed with the recommendation of the majority that the </w:t>
      </w:r>
      <w:proofErr w:type="spellStart"/>
      <w:r>
        <w:rPr>
          <w:sz w:val="18"/>
          <w:szCs w:val="18"/>
        </w:rPr>
        <w:t>FBT</w:t>
      </w:r>
      <w:proofErr w:type="spellEnd"/>
      <w:r>
        <w:rPr>
          <w:sz w:val="18"/>
          <w:szCs w:val="18"/>
        </w:rPr>
        <w:t xml:space="preserve"> exemptions be overhauled and extended: </w:t>
      </w:r>
      <w:r w:rsidRPr="00BA3BE4">
        <w:rPr>
          <w:sz w:val="18"/>
          <w:szCs w:val="18"/>
        </w:rPr>
        <w:t>P</w:t>
      </w:r>
      <w:r>
        <w:rPr>
          <w:sz w:val="18"/>
          <w:szCs w:val="18"/>
        </w:rPr>
        <w:t xml:space="preserve">arliament of the Commonwealth of Australia, House of Representatives Standing Committee on Family and Human Services, </w:t>
      </w:r>
      <w:proofErr w:type="spellStart"/>
      <w:r w:rsidR="007C30D6">
        <w:rPr>
          <w:sz w:val="18"/>
          <w:szCs w:val="18"/>
        </w:rPr>
        <w:t>fn</w:t>
      </w:r>
      <w:proofErr w:type="spellEnd"/>
      <w:r w:rsidR="007C30D6">
        <w:rPr>
          <w:sz w:val="18"/>
          <w:szCs w:val="18"/>
        </w:rPr>
        <w:t xml:space="preserve"> 22</w:t>
      </w:r>
      <w:r>
        <w:rPr>
          <w:sz w:val="18"/>
          <w:szCs w:val="18"/>
        </w:rPr>
        <w:t xml:space="preserve">, at </w:t>
      </w:r>
      <w:proofErr w:type="spellStart"/>
      <w:r>
        <w:rPr>
          <w:sz w:val="18"/>
          <w:szCs w:val="18"/>
        </w:rPr>
        <w:t>pp</w:t>
      </w:r>
      <w:proofErr w:type="spellEnd"/>
      <w:r>
        <w:rPr>
          <w:sz w:val="18"/>
          <w:szCs w:val="18"/>
        </w:rPr>
        <w:t xml:space="preserve"> 301-2. See also Kate Ellis, Shadow Minister for Early Childhood, </w:t>
      </w:r>
      <w:proofErr w:type="spellStart"/>
      <w:r w:rsidR="007C30D6">
        <w:rPr>
          <w:sz w:val="18"/>
          <w:szCs w:val="18"/>
        </w:rPr>
        <w:t>fn</w:t>
      </w:r>
      <w:proofErr w:type="spellEnd"/>
      <w:r w:rsidR="007C30D6">
        <w:rPr>
          <w:sz w:val="18"/>
          <w:szCs w:val="18"/>
        </w:rPr>
        <w:t xml:space="preserve"> 14</w:t>
      </w:r>
      <w:r>
        <w:rPr>
          <w:sz w:val="18"/>
          <w:szCs w:val="18"/>
        </w:rPr>
        <w:t>.</w:t>
      </w:r>
    </w:p>
  </w:footnote>
  <w:footnote w:id="41">
    <w:p w:rsidR="00AE0D7A" w:rsidRPr="008C7EB5" w:rsidRDefault="00AE0D7A" w:rsidP="005414E4">
      <w:pPr>
        <w:pStyle w:val="FootnoteText"/>
        <w:spacing w:after="0" w:line="240" w:lineRule="auto"/>
        <w:rPr>
          <w:sz w:val="18"/>
          <w:szCs w:val="18"/>
        </w:rPr>
      </w:pPr>
      <w:r>
        <w:rPr>
          <w:rStyle w:val="FootnoteReference"/>
        </w:rPr>
        <w:footnoteRef/>
      </w:r>
      <w:r>
        <w:t xml:space="preserve"> </w:t>
      </w:r>
      <w:r w:rsidRPr="006F33C0">
        <w:rPr>
          <w:sz w:val="18"/>
          <w:szCs w:val="18"/>
        </w:rPr>
        <w:t>Australian Chamber of Commerce and Industry</w:t>
      </w:r>
      <w:r>
        <w:t xml:space="preserve">, </w:t>
      </w:r>
      <w:r w:rsidRPr="001D11C9">
        <w:rPr>
          <w:i/>
          <w:sz w:val="18"/>
          <w:szCs w:val="18"/>
        </w:rPr>
        <w:t>Submission to the Productivity Commission Inquiry into Child Care and Early Childhood Learning</w:t>
      </w:r>
      <w:r>
        <w:rPr>
          <w:sz w:val="18"/>
          <w:szCs w:val="18"/>
        </w:rPr>
        <w:t xml:space="preserve">, </w:t>
      </w:r>
      <w:r w:rsidRPr="004828F8">
        <w:rPr>
          <w:sz w:val="18"/>
          <w:szCs w:val="18"/>
        </w:rPr>
        <w:t>February 2014 (Submission No.</w:t>
      </w:r>
      <w:r>
        <w:rPr>
          <w:sz w:val="18"/>
          <w:szCs w:val="18"/>
        </w:rPr>
        <w:t xml:space="preserve"> 324), at </w:t>
      </w:r>
      <w:proofErr w:type="spellStart"/>
      <w:r>
        <w:rPr>
          <w:sz w:val="18"/>
          <w:szCs w:val="18"/>
        </w:rPr>
        <w:t>pp</w:t>
      </w:r>
      <w:proofErr w:type="spellEnd"/>
      <w:r>
        <w:rPr>
          <w:sz w:val="18"/>
          <w:szCs w:val="18"/>
        </w:rPr>
        <w:t xml:space="preserve"> 9-10.</w:t>
      </w:r>
    </w:p>
  </w:footnote>
  <w:footnote w:id="42">
    <w:p w:rsidR="00AE0D7A" w:rsidRPr="004828F8" w:rsidRDefault="00AE0D7A" w:rsidP="008C7EB5">
      <w:pPr>
        <w:pStyle w:val="FootnoteText"/>
        <w:spacing w:after="0" w:line="240" w:lineRule="auto"/>
        <w:rPr>
          <w:sz w:val="18"/>
          <w:szCs w:val="18"/>
        </w:rPr>
      </w:pPr>
      <w:r w:rsidRPr="004828F8">
        <w:rPr>
          <w:rStyle w:val="FootnoteReference"/>
          <w:sz w:val="18"/>
          <w:szCs w:val="18"/>
        </w:rPr>
        <w:footnoteRef/>
      </w:r>
      <w:r w:rsidRPr="004828F8">
        <w:rPr>
          <w:sz w:val="18"/>
          <w:szCs w:val="18"/>
        </w:rPr>
        <w:t xml:space="preserve"> Australian Industry Group, </w:t>
      </w:r>
      <w:r w:rsidRPr="001D11C9">
        <w:rPr>
          <w:i/>
          <w:sz w:val="18"/>
          <w:szCs w:val="18"/>
        </w:rPr>
        <w:t>Submission to the Productivity Commission Inquiry into Child Care and Early Childhood Learning</w:t>
      </w:r>
      <w:r w:rsidRPr="004828F8">
        <w:rPr>
          <w:sz w:val="18"/>
          <w:szCs w:val="18"/>
        </w:rPr>
        <w:t xml:space="preserve">, 3 February 2014 (Submission No. 295), at </w:t>
      </w:r>
      <w:proofErr w:type="spellStart"/>
      <w:r w:rsidRPr="004828F8">
        <w:rPr>
          <w:sz w:val="18"/>
          <w:szCs w:val="18"/>
        </w:rPr>
        <w:t>pp</w:t>
      </w:r>
      <w:proofErr w:type="spellEnd"/>
      <w:r w:rsidRPr="004828F8">
        <w:rPr>
          <w:sz w:val="18"/>
          <w:szCs w:val="18"/>
        </w:rPr>
        <w:t xml:space="preserve"> 11-12.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0055D"/>
    <w:multiLevelType w:val="hybridMultilevel"/>
    <w:tmpl w:val="4EEC2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117F6E"/>
    <w:multiLevelType w:val="hybridMultilevel"/>
    <w:tmpl w:val="F360404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0CB5387B"/>
    <w:multiLevelType w:val="hybridMultilevel"/>
    <w:tmpl w:val="FA1E0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15100B"/>
    <w:multiLevelType w:val="hybridMultilevel"/>
    <w:tmpl w:val="029ED2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925A3D"/>
    <w:multiLevelType w:val="hybridMultilevel"/>
    <w:tmpl w:val="60C87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A47A20"/>
    <w:multiLevelType w:val="hybridMultilevel"/>
    <w:tmpl w:val="E774E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BC574B"/>
    <w:multiLevelType w:val="hybridMultilevel"/>
    <w:tmpl w:val="31C22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DF586E"/>
    <w:multiLevelType w:val="hybridMultilevel"/>
    <w:tmpl w:val="24BA4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413343E"/>
    <w:multiLevelType w:val="hybridMultilevel"/>
    <w:tmpl w:val="B642AA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6250152"/>
    <w:multiLevelType w:val="hybridMultilevel"/>
    <w:tmpl w:val="CCA0A1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CAE4913"/>
    <w:multiLevelType w:val="hybridMultilevel"/>
    <w:tmpl w:val="5A9EEA5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33284CE7"/>
    <w:multiLevelType w:val="hybridMultilevel"/>
    <w:tmpl w:val="1ED8C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9B7711E"/>
    <w:multiLevelType w:val="hybridMultilevel"/>
    <w:tmpl w:val="A72606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B02079F"/>
    <w:multiLevelType w:val="hybridMultilevel"/>
    <w:tmpl w:val="9990C7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F30483C"/>
    <w:multiLevelType w:val="hybridMultilevel"/>
    <w:tmpl w:val="0246860E"/>
    <w:lvl w:ilvl="0" w:tplc="E152B95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402B6121"/>
    <w:multiLevelType w:val="hybridMultilevel"/>
    <w:tmpl w:val="E9108DE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406520D9"/>
    <w:multiLevelType w:val="hybridMultilevel"/>
    <w:tmpl w:val="D3F4DCE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41BA448F"/>
    <w:multiLevelType w:val="hybridMultilevel"/>
    <w:tmpl w:val="D83AB6DA"/>
    <w:lvl w:ilvl="0" w:tplc="751E9EE2">
      <w:start w:val="1"/>
      <w:numFmt w:val="bullet"/>
      <w:lvlText w:val=""/>
      <w:lvlJc w:val="left"/>
      <w:pPr>
        <w:tabs>
          <w:tab w:val="num" w:pos="720"/>
        </w:tabs>
        <w:ind w:left="720" w:hanging="360"/>
      </w:pPr>
      <w:rPr>
        <w:rFonts w:ascii="Wingdings" w:hAnsi="Wingdings" w:hint="default"/>
      </w:rPr>
    </w:lvl>
    <w:lvl w:ilvl="1" w:tplc="DB7A721C" w:tentative="1">
      <w:start w:val="1"/>
      <w:numFmt w:val="bullet"/>
      <w:lvlText w:val=""/>
      <w:lvlJc w:val="left"/>
      <w:pPr>
        <w:tabs>
          <w:tab w:val="num" w:pos="1440"/>
        </w:tabs>
        <w:ind w:left="1440" w:hanging="360"/>
      </w:pPr>
      <w:rPr>
        <w:rFonts w:ascii="Wingdings" w:hAnsi="Wingdings" w:hint="default"/>
      </w:rPr>
    </w:lvl>
    <w:lvl w:ilvl="2" w:tplc="F71A38EA" w:tentative="1">
      <w:start w:val="1"/>
      <w:numFmt w:val="bullet"/>
      <w:lvlText w:val=""/>
      <w:lvlJc w:val="left"/>
      <w:pPr>
        <w:tabs>
          <w:tab w:val="num" w:pos="2160"/>
        </w:tabs>
        <w:ind w:left="2160" w:hanging="360"/>
      </w:pPr>
      <w:rPr>
        <w:rFonts w:ascii="Wingdings" w:hAnsi="Wingdings" w:hint="default"/>
      </w:rPr>
    </w:lvl>
    <w:lvl w:ilvl="3" w:tplc="F0464F5C" w:tentative="1">
      <w:start w:val="1"/>
      <w:numFmt w:val="bullet"/>
      <w:lvlText w:val=""/>
      <w:lvlJc w:val="left"/>
      <w:pPr>
        <w:tabs>
          <w:tab w:val="num" w:pos="2880"/>
        </w:tabs>
        <w:ind w:left="2880" w:hanging="360"/>
      </w:pPr>
      <w:rPr>
        <w:rFonts w:ascii="Wingdings" w:hAnsi="Wingdings" w:hint="default"/>
      </w:rPr>
    </w:lvl>
    <w:lvl w:ilvl="4" w:tplc="CB36591A" w:tentative="1">
      <w:start w:val="1"/>
      <w:numFmt w:val="bullet"/>
      <w:lvlText w:val=""/>
      <w:lvlJc w:val="left"/>
      <w:pPr>
        <w:tabs>
          <w:tab w:val="num" w:pos="3600"/>
        </w:tabs>
        <w:ind w:left="3600" w:hanging="360"/>
      </w:pPr>
      <w:rPr>
        <w:rFonts w:ascii="Wingdings" w:hAnsi="Wingdings" w:hint="default"/>
      </w:rPr>
    </w:lvl>
    <w:lvl w:ilvl="5" w:tplc="AA086F2A" w:tentative="1">
      <w:start w:val="1"/>
      <w:numFmt w:val="bullet"/>
      <w:lvlText w:val=""/>
      <w:lvlJc w:val="left"/>
      <w:pPr>
        <w:tabs>
          <w:tab w:val="num" w:pos="4320"/>
        </w:tabs>
        <w:ind w:left="4320" w:hanging="360"/>
      </w:pPr>
      <w:rPr>
        <w:rFonts w:ascii="Wingdings" w:hAnsi="Wingdings" w:hint="default"/>
      </w:rPr>
    </w:lvl>
    <w:lvl w:ilvl="6" w:tplc="1DB4F264" w:tentative="1">
      <w:start w:val="1"/>
      <w:numFmt w:val="bullet"/>
      <w:lvlText w:val=""/>
      <w:lvlJc w:val="left"/>
      <w:pPr>
        <w:tabs>
          <w:tab w:val="num" w:pos="5040"/>
        </w:tabs>
        <w:ind w:left="5040" w:hanging="360"/>
      </w:pPr>
      <w:rPr>
        <w:rFonts w:ascii="Wingdings" w:hAnsi="Wingdings" w:hint="default"/>
      </w:rPr>
    </w:lvl>
    <w:lvl w:ilvl="7" w:tplc="75E6980C" w:tentative="1">
      <w:start w:val="1"/>
      <w:numFmt w:val="bullet"/>
      <w:lvlText w:val=""/>
      <w:lvlJc w:val="left"/>
      <w:pPr>
        <w:tabs>
          <w:tab w:val="num" w:pos="5760"/>
        </w:tabs>
        <w:ind w:left="5760" w:hanging="360"/>
      </w:pPr>
      <w:rPr>
        <w:rFonts w:ascii="Wingdings" w:hAnsi="Wingdings" w:hint="default"/>
      </w:rPr>
    </w:lvl>
    <w:lvl w:ilvl="8" w:tplc="A56485AA" w:tentative="1">
      <w:start w:val="1"/>
      <w:numFmt w:val="bullet"/>
      <w:lvlText w:val=""/>
      <w:lvlJc w:val="left"/>
      <w:pPr>
        <w:tabs>
          <w:tab w:val="num" w:pos="6480"/>
        </w:tabs>
        <w:ind w:left="6480" w:hanging="360"/>
      </w:pPr>
      <w:rPr>
        <w:rFonts w:ascii="Wingdings" w:hAnsi="Wingdings" w:hint="default"/>
      </w:rPr>
    </w:lvl>
  </w:abstractNum>
  <w:abstractNum w:abstractNumId="18">
    <w:nsid w:val="42917EA2"/>
    <w:multiLevelType w:val="hybridMultilevel"/>
    <w:tmpl w:val="D04A277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454E141F"/>
    <w:multiLevelType w:val="hybridMultilevel"/>
    <w:tmpl w:val="2CE83D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4FE41B46"/>
    <w:multiLevelType w:val="hybridMultilevel"/>
    <w:tmpl w:val="15326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5846194"/>
    <w:multiLevelType w:val="hybridMultilevel"/>
    <w:tmpl w:val="8662F0FA"/>
    <w:lvl w:ilvl="0" w:tplc="0C090017">
      <w:start w:val="1"/>
      <w:numFmt w:val="lowerLetter"/>
      <w:lvlText w:val="%1)"/>
      <w:lvlJc w:val="left"/>
      <w:pPr>
        <w:ind w:left="916" w:hanging="360"/>
      </w:pPr>
    </w:lvl>
    <w:lvl w:ilvl="1" w:tplc="0C090019" w:tentative="1">
      <w:start w:val="1"/>
      <w:numFmt w:val="lowerLetter"/>
      <w:lvlText w:val="%2."/>
      <w:lvlJc w:val="left"/>
      <w:pPr>
        <w:ind w:left="1636" w:hanging="360"/>
      </w:pPr>
    </w:lvl>
    <w:lvl w:ilvl="2" w:tplc="0C09001B" w:tentative="1">
      <w:start w:val="1"/>
      <w:numFmt w:val="lowerRoman"/>
      <w:lvlText w:val="%3."/>
      <w:lvlJc w:val="right"/>
      <w:pPr>
        <w:ind w:left="2356" w:hanging="180"/>
      </w:pPr>
    </w:lvl>
    <w:lvl w:ilvl="3" w:tplc="0C09000F" w:tentative="1">
      <w:start w:val="1"/>
      <w:numFmt w:val="decimal"/>
      <w:lvlText w:val="%4."/>
      <w:lvlJc w:val="left"/>
      <w:pPr>
        <w:ind w:left="3076" w:hanging="360"/>
      </w:pPr>
    </w:lvl>
    <w:lvl w:ilvl="4" w:tplc="0C090019" w:tentative="1">
      <w:start w:val="1"/>
      <w:numFmt w:val="lowerLetter"/>
      <w:lvlText w:val="%5."/>
      <w:lvlJc w:val="left"/>
      <w:pPr>
        <w:ind w:left="3796" w:hanging="360"/>
      </w:pPr>
    </w:lvl>
    <w:lvl w:ilvl="5" w:tplc="0C09001B" w:tentative="1">
      <w:start w:val="1"/>
      <w:numFmt w:val="lowerRoman"/>
      <w:lvlText w:val="%6."/>
      <w:lvlJc w:val="right"/>
      <w:pPr>
        <w:ind w:left="4516" w:hanging="180"/>
      </w:pPr>
    </w:lvl>
    <w:lvl w:ilvl="6" w:tplc="0C09000F" w:tentative="1">
      <w:start w:val="1"/>
      <w:numFmt w:val="decimal"/>
      <w:lvlText w:val="%7."/>
      <w:lvlJc w:val="left"/>
      <w:pPr>
        <w:ind w:left="5236" w:hanging="360"/>
      </w:pPr>
    </w:lvl>
    <w:lvl w:ilvl="7" w:tplc="0C090019" w:tentative="1">
      <w:start w:val="1"/>
      <w:numFmt w:val="lowerLetter"/>
      <w:lvlText w:val="%8."/>
      <w:lvlJc w:val="left"/>
      <w:pPr>
        <w:ind w:left="5956" w:hanging="360"/>
      </w:pPr>
    </w:lvl>
    <w:lvl w:ilvl="8" w:tplc="0C09001B" w:tentative="1">
      <w:start w:val="1"/>
      <w:numFmt w:val="lowerRoman"/>
      <w:lvlText w:val="%9."/>
      <w:lvlJc w:val="right"/>
      <w:pPr>
        <w:ind w:left="6676" w:hanging="180"/>
      </w:pPr>
    </w:lvl>
  </w:abstractNum>
  <w:abstractNum w:abstractNumId="22">
    <w:nsid w:val="58C40EBA"/>
    <w:multiLevelType w:val="hybridMultilevel"/>
    <w:tmpl w:val="508C7BF0"/>
    <w:lvl w:ilvl="0" w:tplc="29BA4DB0">
      <w:start w:val="1"/>
      <w:numFmt w:val="bullet"/>
      <w:lvlText w:val="-"/>
      <w:lvlJc w:val="left"/>
      <w:pPr>
        <w:tabs>
          <w:tab w:val="num" w:pos="720"/>
        </w:tabs>
        <w:ind w:left="720" w:hanging="360"/>
      </w:pPr>
      <w:rPr>
        <w:rFonts w:ascii="Times New Roman" w:hAnsi="Times New Roman" w:hint="default"/>
      </w:rPr>
    </w:lvl>
    <w:lvl w:ilvl="1" w:tplc="DFF20C36" w:tentative="1">
      <w:start w:val="1"/>
      <w:numFmt w:val="bullet"/>
      <w:lvlText w:val="-"/>
      <w:lvlJc w:val="left"/>
      <w:pPr>
        <w:tabs>
          <w:tab w:val="num" w:pos="1440"/>
        </w:tabs>
        <w:ind w:left="1440" w:hanging="360"/>
      </w:pPr>
      <w:rPr>
        <w:rFonts w:ascii="Times New Roman" w:hAnsi="Times New Roman" w:hint="default"/>
      </w:rPr>
    </w:lvl>
    <w:lvl w:ilvl="2" w:tplc="B21671A6" w:tentative="1">
      <w:start w:val="1"/>
      <w:numFmt w:val="bullet"/>
      <w:lvlText w:val="-"/>
      <w:lvlJc w:val="left"/>
      <w:pPr>
        <w:tabs>
          <w:tab w:val="num" w:pos="2160"/>
        </w:tabs>
        <w:ind w:left="2160" w:hanging="360"/>
      </w:pPr>
      <w:rPr>
        <w:rFonts w:ascii="Times New Roman" w:hAnsi="Times New Roman" w:hint="default"/>
      </w:rPr>
    </w:lvl>
    <w:lvl w:ilvl="3" w:tplc="83D88DEC" w:tentative="1">
      <w:start w:val="1"/>
      <w:numFmt w:val="bullet"/>
      <w:lvlText w:val="-"/>
      <w:lvlJc w:val="left"/>
      <w:pPr>
        <w:tabs>
          <w:tab w:val="num" w:pos="2880"/>
        </w:tabs>
        <w:ind w:left="2880" w:hanging="360"/>
      </w:pPr>
      <w:rPr>
        <w:rFonts w:ascii="Times New Roman" w:hAnsi="Times New Roman" w:hint="default"/>
      </w:rPr>
    </w:lvl>
    <w:lvl w:ilvl="4" w:tplc="29FAE558" w:tentative="1">
      <w:start w:val="1"/>
      <w:numFmt w:val="bullet"/>
      <w:lvlText w:val="-"/>
      <w:lvlJc w:val="left"/>
      <w:pPr>
        <w:tabs>
          <w:tab w:val="num" w:pos="3600"/>
        </w:tabs>
        <w:ind w:left="3600" w:hanging="360"/>
      </w:pPr>
      <w:rPr>
        <w:rFonts w:ascii="Times New Roman" w:hAnsi="Times New Roman" w:hint="default"/>
      </w:rPr>
    </w:lvl>
    <w:lvl w:ilvl="5" w:tplc="1730E35A" w:tentative="1">
      <w:start w:val="1"/>
      <w:numFmt w:val="bullet"/>
      <w:lvlText w:val="-"/>
      <w:lvlJc w:val="left"/>
      <w:pPr>
        <w:tabs>
          <w:tab w:val="num" w:pos="4320"/>
        </w:tabs>
        <w:ind w:left="4320" w:hanging="360"/>
      </w:pPr>
      <w:rPr>
        <w:rFonts w:ascii="Times New Roman" w:hAnsi="Times New Roman" w:hint="default"/>
      </w:rPr>
    </w:lvl>
    <w:lvl w:ilvl="6" w:tplc="8BD26532" w:tentative="1">
      <w:start w:val="1"/>
      <w:numFmt w:val="bullet"/>
      <w:lvlText w:val="-"/>
      <w:lvlJc w:val="left"/>
      <w:pPr>
        <w:tabs>
          <w:tab w:val="num" w:pos="5040"/>
        </w:tabs>
        <w:ind w:left="5040" w:hanging="360"/>
      </w:pPr>
      <w:rPr>
        <w:rFonts w:ascii="Times New Roman" w:hAnsi="Times New Roman" w:hint="default"/>
      </w:rPr>
    </w:lvl>
    <w:lvl w:ilvl="7" w:tplc="8578D75E" w:tentative="1">
      <w:start w:val="1"/>
      <w:numFmt w:val="bullet"/>
      <w:lvlText w:val="-"/>
      <w:lvlJc w:val="left"/>
      <w:pPr>
        <w:tabs>
          <w:tab w:val="num" w:pos="5760"/>
        </w:tabs>
        <w:ind w:left="5760" w:hanging="360"/>
      </w:pPr>
      <w:rPr>
        <w:rFonts w:ascii="Times New Roman" w:hAnsi="Times New Roman" w:hint="default"/>
      </w:rPr>
    </w:lvl>
    <w:lvl w:ilvl="8" w:tplc="EFD4173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AE07A6D"/>
    <w:multiLevelType w:val="hybridMultilevel"/>
    <w:tmpl w:val="B07859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BA22739"/>
    <w:multiLevelType w:val="hybridMultilevel"/>
    <w:tmpl w:val="CE620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B77CFA"/>
    <w:multiLevelType w:val="hybridMultilevel"/>
    <w:tmpl w:val="CCB60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E634157"/>
    <w:multiLevelType w:val="hybridMultilevel"/>
    <w:tmpl w:val="A72606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00F7082"/>
    <w:multiLevelType w:val="hybridMultilevel"/>
    <w:tmpl w:val="50346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4DB7AB6"/>
    <w:multiLevelType w:val="hybridMultilevel"/>
    <w:tmpl w:val="CE3445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D5E7132"/>
    <w:multiLevelType w:val="hybridMultilevel"/>
    <w:tmpl w:val="C864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7816003"/>
    <w:multiLevelType w:val="hybridMultilevel"/>
    <w:tmpl w:val="E228D2D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4"/>
  </w:num>
  <w:num w:numId="7">
    <w:abstractNumId w:val="24"/>
  </w:num>
  <w:num w:numId="8">
    <w:abstractNumId w:val="23"/>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7"/>
  </w:num>
  <w:num w:numId="13">
    <w:abstractNumId w:val="22"/>
  </w:num>
  <w:num w:numId="14">
    <w:abstractNumId w:val="28"/>
  </w:num>
  <w:num w:numId="15">
    <w:abstractNumId w:val="6"/>
  </w:num>
  <w:num w:numId="16">
    <w:abstractNumId w:val="27"/>
  </w:num>
  <w:num w:numId="17">
    <w:abstractNumId w:val="3"/>
  </w:num>
  <w:num w:numId="18">
    <w:abstractNumId w:val="20"/>
  </w:num>
  <w:num w:numId="19">
    <w:abstractNumId w:val="11"/>
  </w:num>
  <w:num w:numId="20">
    <w:abstractNumId w:val="12"/>
  </w:num>
  <w:num w:numId="21">
    <w:abstractNumId w:val="18"/>
  </w:num>
  <w:num w:numId="22">
    <w:abstractNumId w:val="21"/>
  </w:num>
  <w:num w:numId="23">
    <w:abstractNumId w:val="14"/>
  </w:num>
  <w:num w:numId="24">
    <w:abstractNumId w:val="13"/>
  </w:num>
  <w:num w:numId="25">
    <w:abstractNumId w:val="9"/>
  </w:num>
  <w:num w:numId="26">
    <w:abstractNumId w:val="2"/>
  </w:num>
  <w:num w:numId="27">
    <w:abstractNumId w:val="7"/>
  </w:num>
  <w:num w:numId="28">
    <w:abstractNumId w:val="26"/>
  </w:num>
  <w:num w:numId="29">
    <w:abstractNumId w:val="25"/>
  </w:num>
  <w:num w:numId="30">
    <w:abstractNumId w:val="29"/>
  </w:num>
  <w:num w:numId="31">
    <w:abstractNumId w:val="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F038E"/>
    <w:rsid w:val="000011E3"/>
    <w:rsid w:val="00001C67"/>
    <w:rsid w:val="00002815"/>
    <w:rsid w:val="00005AD5"/>
    <w:rsid w:val="000119E4"/>
    <w:rsid w:val="0002044E"/>
    <w:rsid w:val="00022DFB"/>
    <w:rsid w:val="00024656"/>
    <w:rsid w:val="0002531D"/>
    <w:rsid w:val="00042639"/>
    <w:rsid w:val="000506EF"/>
    <w:rsid w:val="00054584"/>
    <w:rsid w:val="00056AF2"/>
    <w:rsid w:val="000649E3"/>
    <w:rsid w:val="00074D43"/>
    <w:rsid w:val="000817DA"/>
    <w:rsid w:val="000841D2"/>
    <w:rsid w:val="000852A8"/>
    <w:rsid w:val="000852BE"/>
    <w:rsid w:val="00086CD7"/>
    <w:rsid w:val="000872EC"/>
    <w:rsid w:val="000877ED"/>
    <w:rsid w:val="000901D8"/>
    <w:rsid w:val="00090E1F"/>
    <w:rsid w:val="0009123E"/>
    <w:rsid w:val="000950A3"/>
    <w:rsid w:val="000964EA"/>
    <w:rsid w:val="000972B4"/>
    <w:rsid w:val="000A37E6"/>
    <w:rsid w:val="000A50E9"/>
    <w:rsid w:val="000B0050"/>
    <w:rsid w:val="000B1A65"/>
    <w:rsid w:val="000B6C6B"/>
    <w:rsid w:val="000C32C8"/>
    <w:rsid w:val="000C670D"/>
    <w:rsid w:val="000C6B4E"/>
    <w:rsid w:val="000D14BD"/>
    <w:rsid w:val="000D2271"/>
    <w:rsid w:val="000D3A4C"/>
    <w:rsid w:val="000D4A71"/>
    <w:rsid w:val="000D5B04"/>
    <w:rsid w:val="000E5D55"/>
    <w:rsid w:val="000E6E8B"/>
    <w:rsid w:val="000F1616"/>
    <w:rsid w:val="000F26AD"/>
    <w:rsid w:val="000F6B3B"/>
    <w:rsid w:val="000F7438"/>
    <w:rsid w:val="000F79A0"/>
    <w:rsid w:val="001033EF"/>
    <w:rsid w:val="0010342A"/>
    <w:rsid w:val="001060E1"/>
    <w:rsid w:val="0010648D"/>
    <w:rsid w:val="00106961"/>
    <w:rsid w:val="00113F31"/>
    <w:rsid w:val="00116821"/>
    <w:rsid w:val="00123EA3"/>
    <w:rsid w:val="00130A13"/>
    <w:rsid w:val="0013768A"/>
    <w:rsid w:val="00144857"/>
    <w:rsid w:val="00150630"/>
    <w:rsid w:val="00150832"/>
    <w:rsid w:val="001509A8"/>
    <w:rsid w:val="00152446"/>
    <w:rsid w:val="001562A0"/>
    <w:rsid w:val="00157A8F"/>
    <w:rsid w:val="00157A96"/>
    <w:rsid w:val="0016063D"/>
    <w:rsid w:val="001617FA"/>
    <w:rsid w:val="00163319"/>
    <w:rsid w:val="00163F04"/>
    <w:rsid w:val="00172296"/>
    <w:rsid w:val="001724AB"/>
    <w:rsid w:val="00172612"/>
    <w:rsid w:val="001763F9"/>
    <w:rsid w:val="00181676"/>
    <w:rsid w:val="0019010A"/>
    <w:rsid w:val="00191F6A"/>
    <w:rsid w:val="001925CF"/>
    <w:rsid w:val="00197EDB"/>
    <w:rsid w:val="001A1194"/>
    <w:rsid w:val="001B17D1"/>
    <w:rsid w:val="001B56E8"/>
    <w:rsid w:val="001B6B78"/>
    <w:rsid w:val="001C0656"/>
    <w:rsid w:val="001C07A9"/>
    <w:rsid w:val="001C0A2C"/>
    <w:rsid w:val="001C0BC5"/>
    <w:rsid w:val="001C3A83"/>
    <w:rsid w:val="001C44AD"/>
    <w:rsid w:val="001C4A95"/>
    <w:rsid w:val="001C6243"/>
    <w:rsid w:val="001D0AAA"/>
    <w:rsid w:val="001D11C9"/>
    <w:rsid w:val="001D2B63"/>
    <w:rsid w:val="001D7543"/>
    <w:rsid w:val="001E294D"/>
    <w:rsid w:val="001E32D8"/>
    <w:rsid w:val="001E46E1"/>
    <w:rsid w:val="001E555C"/>
    <w:rsid w:val="001F40CB"/>
    <w:rsid w:val="001F45D1"/>
    <w:rsid w:val="001F6F29"/>
    <w:rsid w:val="001F7C76"/>
    <w:rsid w:val="002010BC"/>
    <w:rsid w:val="002021F5"/>
    <w:rsid w:val="00206C74"/>
    <w:rsid w:val="002075BA"/>
    <w:rsid w:val="00221685"/>
    <w:rsid w:val="0022172D"/>
    <w:rsid w:val="002231BB"/>
    <w:rsid w:val="0022461A"/>
    <w:rsid w:val="00226ACD"/>
    <w:rsid w:val="00230A63"/>
    <w:rsid w:val="00231509"/>
    <w:rsid w:val="00231C18"/>
    <w:rsid w:val="00232B13"/>
    <w:rsid w:val="0023492F"/>
    <w:rsid w:val="002403B5"/>
    <w:rsid w:val="002411B0"/>
    <w:rsid w:val="00241313"/>
    <w:rsid w:val="00242CDA"/>
    <w:rsid w:val="0024328D"/>
    <w:rsid w:val="00245BB8"/>
    <w:rsid w:val="00246A50"/>
    <w:rsid w:val="00246E94"/>
    <w:rsid w:val="00255D81"/>
    <w:rsid w:val="002574DF"/>
    <w:rsid w:val="00263B2D"/>
    <w:rsid w:val="00263CB6"/>
    <w:rsid w:val="002643BE"/>
    <w:rsid w:val="00271471"/>
    <w:rsid w:val="002722BB"/>
    <w:rsid w:val="00275ECF"/>
    <w:rsid w:val="0027631E"/>
    <w:rsid w:val="00277D09"/>
    <w:rsid w:val="002823CE"/>
    <w:rsid w:val="002836AC"/>
    <w:rsid w:val="00284D5D"/>
    <w:rsid w:val="00286110"/>
    <w:rsid w:val="00294BD0"/>
    <w:rsid w:val="00295F4A"/>
    <w:rsid w:val="002A04DC"/>
    <w:rsid w:val="002A28A8"/>
    <w:rsid w:val="002A3A3E"/>
    <w:rsid w:val="002A5C13"/>
    <w:rsid w:val="002B0899"/>
    <w:rsid w:val="002B127B"/>
    <w:rsid w:val="002B3D36"/>
    <w:rsid w:val="002B3DA7"/>
    <w:rsid w:val="002B74D7"/>
    <w:rsid w:val="002C12FF"/>
    <w:rsid w:val="002C3730"/>
    <w:rsid w:val="002C64EA"/>
    <w:rsid w:val="002C7F08"/>
    <w:rsid w:val="002D250A"/>
    <w:rsid w:val="002D5A96"/>
    <w:rsid w:val="002D64DE"/>
    <w:rsid w:val="002D6FD0"/>
    <w:rsid w:val="002D77CC"/>
    <w:rsid w:val="002E03E9"/>
    <w:rsid w:val="002E2BEE"/>
    <w:rsid w:val="002E30FA"/>
    <w:rsid w:val="002E3B27"/>
    <w:rsid w:val="002F0DA0"/>
    <w:rsid w:val="002F26DA"/>
    <w:rsid w:val="002F3DE8"/>
    <w:rsid w:val="0030737F"/>
    <w:rsid w:val="00314CD6"/>
    <w:rsid w:val="00320392"/>
    <w:rsid w:val="00321517"/>
    <w:rsid w:val="003227E1"/>
    <w:rsid w:val="003346DB"/>
    <w:rsid w:val="0033762E"/>
    <w:rsid w:val="00337A22"/>
    <w:rsid w:val="0034026D"/>
    <w:rsid w:val="00342248"/>
    <w:rsid w:val="00345013"/>
    <w:rsid w:val="00345A4D"/>
    <w:rsid w:val="00347D9D"/>
    <w:rsid w:val="00350637"/>
    <w:rsid w:val="0035155D"/>
    <w:rsid w:val="003545BA"/>
    <w:rsid w:val="00354C84"/>
    <w:rsid w:val="00356237"/>
    <w:rsid w:val="00360719"/>
    <w:rsid w:val="00361603"/>
    <w:rsid w:val="003622CC"/>
    <w:rsid w:val="00364976"/>
    <w:rsid w:val="00373A30"/>
    <w:rsid w:val="00373E28"/>
    <w:rsid w:val="00373F2E"/>
    <w:rsid w:val="00375B90"/>
    <w:rsid w:val="003777E6"/>
    <w:rsid w:val="0038035A"/>
    <w:rsid w:val="00381977"/>
    <w:rsid w:val="00381A96"/>
    <w:rsid w:val="00381F26"/>
    <w:rsid w:val="003823C9"/>
    <w:rsid w:val="003855B9"/>
    <w:rsid w:val="00387861"/>
    <w:rsid w:val="0039103A"/>
    <w:rsid w:val="0039155E"/>
    <w:rsid w:val="00393254"/>
    <w:rsid w:val="003941BA"/>
    <w:rsid w:val="003963A5"/>
    <w:rsid w:val="003B3C04"/>
    <w:rsid w:val="003B72A6"/>
    <w:rsid w:val="003C1B53"/>
    <w:rsid w:val="003C63C5"/>
    <w:rsid w:val="003D141D"/>
    <w:rsid w:val="003D2941"/>
    <w:rsid w:val="003D4015"/>
    <w:rsid w:val="003D6BFE"/>
    <w:rsid w:val="003D77D9"/>
    <w:rsid w:val="003E1D1A"/>
    <w:rsid w:val="003E2753"/>
    <w:rsid w:val="003E3AC8"/>
    <w:rsid w:val="003F3AE9"/>
    <w:rsid w:val="003F4E9F"/>
    <w:rsid w:val="003F7B86"/>
    <w:rsid w:val="00403880"/>
    <w:rsid w:val="004038C9"/>
    <w:rsid w:val="00405502"/>
    <w:rsid w:val="004221E9"/>
    <w:rsid w:val="00425B3D"/>
    <w:rsid w:val="004330AE"/>
    <w:rsid w:val="00433DE8"/>
    <w:rsid w:val="0043407F"/>
    <w:rsid w:val="00440A75"/>
    <w:rsid w:val="00443C7F"/>
    <w:rsid w:val="00446733"/>
    <w:rsid w:val="00450AFA"/>
    <w:rsid w:val="00455847"/>
    <w:rsid w:val="00456401"/>
    <w:rsid w:val="00457AEB"/>
    <w:rsid w:val="0046003A"/>
    <w:rsid w:val="004610DB"/>
    <w:rsid w:val="00463970"/>
    <w:rsid w:val="004657E6"/>
    <w:rsid w:val="004668FD"/>
    <w:rsid w:val="0047153C"/>
    <w:rsid w:val="00471EE6"/>
    <w:rsid w:val="004828F8"/>
    <w:rsid w:val="00483472"/>
    <w:rsid w:val="004864F2"/>
    <w:rsid w:val="00491126"/>
    <w:rsid w:val="00492F11"/>
    <w:rsid w:val="0049518E"/>
    <w:rsid w:val="00495C32"/>
    <w:rsid w:val="00496C9F"/>
    <w:rsid w:val="004A129F"/>
    <w:rsid w:val="004A2502"/>
    <w:rsid w:val="004A7321"/>
    <w:rsid w:val="004B0760"/>
    <w:rsid w:val="004B22C0"/>
    <w:rsid w:val="004B2F68"/>
    <w:rsid w:val="004B7463"/>
    <w:rsid w:val="004C0CEE"/>
    <w:rsid w:val="004C244D"/>
    <w:rsid w:val="004C3EDC"/>
    <w:rsid w:val="004C53A3"/>
    <w:rsid w:val="004C76A7"/>
    <w:rsid w:val="004C78EB"/>
    <w:rsid w:val="004D1648"/>
    <w:rsid w:val="004D4182"/>
    <w:rsid w:val="004D7BFA"/>
    <w:rsid w:val="004E2CA8"/>
    <w:rsid w:val="004E417F"/>
    <w:rsid w:val="004E71B7"/>
    <w:rsid w:val="004F4CD6"/>
    <w:rsid w:val="004F53D8"/>
    <w:rsid w:val="004F58FA"/>
    <w:rsid w:val="004F6B3A"/>
    <w:rsid w:val="004F75C1"/>
    <w:rsid w:val="00500719"/>
    <w:rsid w:val="0050470E"/>
    <w:rsid w:val="00507615"/>
    <w:rsid w:val="005078DC"/>
    <w:rsid w:val="005115C5"/>
    <w:rsid w:val="00512153"/>
    <w:rsid w:val="005153B6"/>
    <w:rsid w:val="00520E41"/>
    <w:rsid w:val="00520F8D"/>
    <w:rsid w:val="0052458E"/>
    <w:rsid w:val="005251E8"/>
    <w:rsid w:val="005270F0"/>
    <w:rsid w:val="005314FA"/>
    <w:rsid w:val="00532145"/>
    <w:rsid w:val="00534437"/>
    <w:rsid w:val="005414E4"/>
    <w:rsid w:val="00544666"/>
    <w:rsid w:val="00544E31"/>
    <w:rsid w:val="00551FA2"/>
    <w:rsid w:val="00552220"/>
    <w:rsid w:val="005554CF"/>
    <w:rsid w:val="0056102C"/>
    <w:rsid w:val="00562454"/>
    <w:rsid w:val="005651DA"/>
    <w:rsid w:val="0057079C"/>
    <w:rsid w:val="00571084"/>
    <w:rsid w:val="00573EC2"/>
    <w:rsid w:val="005771B8"/>
    <w:rsid w:val="00591FA7"/>
    <w:rsid w:val="00592445"/>
    <w:rsid w:val="00595057"/>
    <w:rsid w:val="005A43B4"/>
    <w:rsid w:val="005A5CED"/>
    <w:rsid w:val="005B4C96"/>
    <w:rsid w:val="005B6235"/>
    <w:rsid w:val="005C24DB"/>
    <w:rsid w:val="005C71AD"/>
    <w:rsid w:val="005C7F89"/>
    <w:rsid w:val="005D099E"/>
    <w:rsid w:val="005D2052"/>
    <w:rsid w:val="005D37B5"/>
    <w:rsid w:val="005D526A"/>
    <w:rsid w:val="005E0E5C"/>
    <w:rsid w:val="005E117E"/>
    <w:rsid w:val="005E2CD9"/>
    <w:rsid w:val="005E4179"/>
    <w:rsid w:val="005E44A3"/>
    <w:rsid w:val="005E4A68"/>
    <w:rsid w:val="005F6E48"/>
    <w:rsid w:val="005F7CA7"/>
    <w:rsid w:val="00606BA6"/>
    <w:rsid w:val="00607DCB"/>
    <w:rsid w:val="00610384"/>
    <w:rsid w:val="00611AA8"/>
    <w:rsid w:val="00612C0E"/>
    <w:rsid w:val="00612D54"/>
    <w:rsid w:val="00614612"/>
    <w:rsid w:val="00622669"/>
    <w:rsid w:val="0062330C"/>
    <w:rsid w:val="00623C21"/>
    <w:rsid w:val="006246B6"/>
    <w:rsid w:val="00630A67"/>
    <w:rsid w:val="00631739"/>
    <w:rsid w:val="006363B8"/>
    <w:rsid w:val="00643846"/>
    <w:rsid w:val="006439EF"/>
    <w:rsid w:val="0064654F"/>
    <w:rsid w:val="0064725F"/>
    <w:rsid w:val="006502F1"/>
    <w:rsid w:val="00652B2A"/>
    <w:rsid w:val="006605B1"/>
    <w:rsid w:val="00662D51"/>
    <w:rsid w:val="006635DD"/>
    <w:rsid w:val="00673461"/>
    <w:rsid w:val="006734D0"/>
    <w:rsid w:val="0067413D"/>
    <w:rsid w:val="0067534C"/>
    <w:rsid w:val="006829DE"/>
    <w:rsid w:val="00684DBC"/>
    <w:rsid w:val="0068525F"/>
    <w:rsid w:val="006910DA"/>
    <w:rsid w:val="00693232"/>
    <w:rsid w:val="006A365D"/>
    <w:rsid w:val="006A4E37"/>
    <w:rsid w:val="006A6764"/>
    <w:rsid w:val="006B18FF"/>
    <w:rsid w:val="006B48FA"/>
    <w:rsid w:val="006B5B17"/>
    <w:rsid w:val="006C19D9"/>
    <w:rsid w:val="006C43FE"/>
    <w:rsid w:val="006C56E0"/>
    <w:rsid w:val="006D09A8"/>
    <w:rsid w:val="006D34A2"/>
    <w:rsid w:val="006D78B1"/>
    <w:rsid w:val="006E0AFD"/>
    <w:rsid w:val="006E16E0"/>
    <w:rsid w:val="006E34BC"/>
    <w:rsid w:val="006E3613"/>
    <w:rsid w:val="006E3964"/>
    <w:rsid w:val="006F038E"/>
    <w:rsid w:val="006F0DB8"/>
    <w:rsid w:val="006F33C0"/>
    <w:rsid w:val="006F3871"/>
    <w:rsid w:val="00702E99"/>
    <w:rsid w:val="007039BD"/>
    <w:rsid w:val="00704250"/>
    <w:rsid w:val="007044A0"/>
    <w:rsid w:val="00705BED"/>
    <w:rsid w:val="0070697D"/>
    <w:rsid w:val="00706D5A"/>
    <w:rsid w:val="007075BE"/>
    <w:rsid w:val="0071637B"/>
    <w:rsid w:val="00716404"/>
    <w:rsid w:val="00722F46"/>
    <w:rsid w:val="00727104"/>
    <w:rsid w:val="0073332D"/>
    <w:rsid w:val="007353E2"/>
    <w:rsid w:val="00735B78"/>
    <w:rsid w:val="0074681C"/>
    <w:rsid w:val="00755B7A"/>
    <w:rsid w:val="00764045"/>
    <w:rsid w:val="00764A76"/>
    <w:rsid w:val="00764B46"/>
    <w:rsid w:val="00767F59"/>
    <w:rsid w:val="00777154"/>
    <w:rsid w:val="00777899"/>
    <w:rsid w:val="00784323"/>
    <w:rsid w:val="00785E49"/>
    <w:rsid w:val="007910BC"/>
    <w:rsid w:val="007A0B9A"/>
    <w:rsid w:val="007A1A0F"/>
    <w:rsid w:val="007A37DB"/>
    <w:rsid w:val="007A793F"/>
    <w:rsid w:val="007A7E78"/>
    <w:rsid w:val="007B0A4D"/>
    <w:rsid w:val="007B0CAD"/>
    <w:rsid w:val="007B1CBC"/>
    <w:rsid w:val="007B3D6B"/>
    <w:rsid w:val="007B3FF9"/>
    <w:rsid w:val="007B72AE"/>
    <w:rsid w:val="007B7FCB"/>
    <w:rsid w:val="007C0018"/>
    <w:rsid w:val="007C00C5"/>
    <w:rsid w:val="007C1200"/>
    <w:rsid w:val="007C30D6"/>
    <w:rsid w:val="007C3B4B"/>
    <w:rsid w:val="007C50EE"/>
    <w:rsid w:val="007D58EC"/>
    <w:rsid w:val="007E25D9"/>
    <w:rsid w:val="007F0DDF"/>
    <w:rsid w:val="007F11F8"/>
    <w:rsid w:val="00801EAF"/>
    <w:rsid w:val="00801FB5"/>
    <w:rsid w:val="008022FC"/>
    <w:rsid w:val="0081161C"/>
    <w:rsid w:val="00812C34"/>
    <w:rsid w:val="008131FB"/>
    <w:rsid w:val="0081591F"/>
    <w:rsid w:val="00822C96"/>
    <w:rsid w:val="00824725"/>
    <w:rsid w:val="00825FDB"/>
    <w:rsid w:val="00827994"/>
    <w:rsid w:val="008306AF"/>
    <w:rsid w:val="00834701"/>
    <w:rsid w:val="00836B8A"/>
    <w:rsid w:val="0084055E"/>
    <w:rsid w:val="00840FCD"/>
    <w:rsid w:val="00843FBC"/>
    <w:rsid w:val="00851C42"/>
    <w:rsid w:val="008557E5"/>
    <w:rsid w:val="0085611C"/>
    <w:rsid w:val="0086470D"/>
    <w:rsid w:val="0086640E"/>
    <w:rsid w:val="008667DA"/>
    <w:rsid w:val="00867A92"/>
    <w:rsid w:val="00867DEF"/>
    <w:rsid w:val="008769BE"/>
    <w:rsid w:val="00876D06"/>
    <w:rsid w:val="00881980"/>
    <w:rsid w:val="00886EFB"/>
    <w:rsid w:val="00887ACD"/>
    <w:rsid w:val="008A0F7F"/>
    <w:rsid w:val="008A210B"/>
    <w:rsid w:val="008A271F"/>
    <w:rsid w:val="008A5E0E"/>
    <w:rsid w:val="008B3894"/>
    <w:rsid w:val="008B50AD"/>
    <w:rsid w:val="008B77A8"/>
    <w:rsid w:val="008B77C8"/>
    <w:rsid w:val="008C0585"/>
    <w:rsid w:val="008C3081"/>
    <w:rsid w:val="008C3418"/>
    <w:rsid w:val="008C5F5E"/>
    <w:rsid w:val="008C7EB5"/>
    <w:rsid w:val="008D06B6"/>
    <w:rsid w:val="008D0DE6"/>
    <w:rsid w:val="008D1E9E"/>
    <w:rsid w:val="008E05FB"/>
    <w:rsid w:val="008E1BBC"/>
    <w:rsid w:val="008E4794"/>
    <w:rsid w:val="008E5E41"/>
    <w:rsid w:val="008E6076"/>
    <w:rsid w:val="008E6574"/>
    <w:rsid w:val="008E70E2"/>
    <w:rsid w:val="008F0AB0"/>
    <w:rsid w:val="008F64D2"/>
    <w:rsid w:val="00903508"/>
    <w:rsid w:val="009078F5"/>
    <w:rsid w:val="00910394"/>
    <w:rsid w:val="00911CF5"/>
    <w:rsid w:val="00911EE2"/>
    <w:rsid w:val="0092779E"/>
    <w:rsid w:val="009324C2"/>
    <w:rsid w:val="00946974"/>
    <w:rsid w:val="00946ACE"/>
    <w:rsid w:val="009525B7"/>
    <w:rsid w:val="00957193"/>
    <w:rsid w:val="00957365"/>
    <w:rsid w:val="00957414"/>
    <w:rsid w:val="00957856"/>
    <w:rsid w:val="009722A2"/>
    <w:rsid w:val="00977D51"/>
    <w:rsid w:val="009835FB"/>
    <w:rsid w:val="00984762"/>
    <w:rsid w:val="00985B23"/>
    <w:rsid w:val="00985D30"/>
    <w:rsid w:val="009904A2"/>
    <w:rsid w:val="00991CC6"/>
    <w:rsid w:val="0099278F"/>
    <w:rsid w:val="009A2E93"/>
    <w:rsid w:val="009A3059"/>
    <w:rsid w:val="009A42CF"/>
    <w:rsid w:val="009A52A5"/>
    <w:rsid w:val="009A60CC"/>
    <w:rsid w:val="009A7335"/>
    <w:rsid w:val="009B507B"/>
    <w:rsid w:val="009B6F1D"/>
    <w:rsid w:val="009C6E56"/>
    <w:rsid w:val="009C77E3"/>
    <w:rsid w:val="009D1212"/>
    <w:rsid w:val="009D6E03"/>
    <w:rsid w:val="009D6F66"/>
    <w:rsid w:val="009D7284"/>
    <w:rsid w:val="009E0607"/>
    <w:rsid w:val="009E154E"/>
    <w:rsid w:val="009E19D3"/>
    <w:rsid w:val="009E21E4"/>
    <w:rsid w:val="009E3DEF"/>
    <w:rsid w:val="009E6602"/>
    <w:rsid w:val="009E6664"/>
    <w:rsid w:val="009F1E22"/>
    <w:rsid w:val="009F6704"/>
    <w:rsid w:val="00A00563"/>
    <w:rsid w:val="00A03793"/>
    <w:rsid w:val="00A043D5"/>
    <w:rsid w:val="00A06F82"/>
    <w:rsid w:val="00A077B8"/>
    <w:rsid w:val="00A11DB4"/>
    <w:rsid w:val="00A12361"/>
    <w:rsid w:val="00A1570B"/>
    <w:rsid w:val="00A16547"/>
    <w:rsid w:val="00A17B9D"/>
    <w:rsid w:val="00A2282C"/>
    <w:rsid w:val="00A23D23"/>
    <w:rsid w:val="00A24323"/>
    <w:rsid w:val="00A25935"/>
    <w:rsid w:val="00A26B89"/>
    <w:rsid w:val="00A304F0"/>
    <w:rsid w:val="00A312B3"/>
    <w:rsid w:val="00A31B81"/>
    <w:rsid w:val="00A321DE"/>
    <w:rsid w:val="00A377A1"/>
    <w:rsid w:val="00A44188"/>
    <w:rsid w:val="00A523F5"/>
    <w:rsid w:val="00A54F52"/>
    <w:rsid w:val="00A5772A"/>
    <w:rsid w:val="00A60C46"/>
    <w:rsid w:val="00A62435"/>
    <w:rsid w:val="00A65B0C"/>
    <w:rsid w:val="00A70522"/>
    <w:rsid w:val="00A70596"/>
    <w:rsid w:val="00A71D59"/>
    <w:rsid w:val="00A723BF"/>
    <w:rsid w:val="00A73294"/>
    <w:rsid w:val="00A82A22"/>
    <w:rsid w:val="00A867D6"/>
    <w:rsid w:val="00A941B9"/>
    <w:rsid w:val="00A96D93"/>
    <w:rsid w:val="00AA1388"/>
    <w:rsid w:val="00AB03E3"/>
    <w:rsid w:val="00AB17FE"/>
    <w:rsid w:val="00AB4E69"/>
    <w:rsid w:val="00AB505B"/>
    <w:rsid w:val="00AC0575"/>
    <w:rsid w:val="00AC3B4C"/>
    <w:rsid w:val="00AC7D68"/>
    <w:rsid w:val="00AD09AB"/>
    <w:rsid w:val="00AD6C73"/>
    <w:rsid w:val="00AE0D7A"/>
    <w:rsid w:val="00AE34D5"/>
    <w:rsid w:val="00AE39D1"/>
    <w:rsid w:val="00AE43B1"/>
    <w:rsid w:val="00AE56E5"/>
    <w:rsid w:val="00AE7347"/>
    <w:rsid w:val="00AF27A9"/>
    <w:rsid w:val="00AF5277"/>
    <w:rsid w:val="00B00734"/>
    <w:rsid w:val="00B0137C"/>
    <w:rsid w:val="00B0174C"/>
    <w:rsid w:val="00B0490A"/>
    <w:rsid w:val="00B05016"/>
    <w:rsid w:val="00B0686D"/>
    <w:rsid w:val="00B078E9"/>
    <w:rsid w:val="00B10A96"/>
    <w:rsid w:val="00B26069"/>
    <w:rsid w:val="00B3048E"/>
    <w:rsid w:val="00B31A50"/>
    <w:rsid w:val="00B31E72"/>
    <w:rsid w:val="00B32958"/>
    <w:rsid w:val="00B34F71"/>
    <w:rsid w:val="00B352C2"/>
    <w:rsid w:val="00B37433"/>
    <w:rsid w:val="00B403EF"/>
    <w:rsid w:val="00B421F0"/>
    <w:rsid w:val="00B43D5D"/>
    <w:rsid w:val="00B52950"/>
    <w:rsid w:val="00B66A20"/>
    <w:rsid w:val="00B75B44"/>
    <w:rsid w:val="00B80281"/>
    <w:rsid w:val="00B81445"/>
    <w:rsid w:val="00B82246"/>
    <w:rsid w:val="00B8268E"/>
    <w:rsid w:val="00B839F0"/>
    <w:rsid w:val="00B8460E"/>
    <w:rsid w:val="00B86F71"/>
    <w:rsid w:val="00B902E2"/>
    <w:rsid w:val="00B90AB6"/>
    <w:rsid w:val="00B9445C"/>
    <w:rsid w:val="00B94622"/>
    <w:rsid w:val="00B967AD"/>
    <w:rsid w:val="00B97E54"/>
    <w:rsid w:val="00BA020A"/>
    <w:rsid w:val="00BA0264"/>
    <w:rsid w:val="00BA0A7F"/>
    <w:rsid w:val="00BA3BE4"/>
    <w:rsid w:val="00BA5D58"/>
    <w:rsid w:val="00BB1125"/>
    <w:rsid w:val="00BB1AB3"/>
    <w:rsid w:val="00BB23A7"/>
    <w:rsid w:val="00BB78EF"/>
    <w:rsid w:val="00BC53F8"/>
    <w:rsid w:val="00BC54B8"/>
    <w:rsid w:val="00BC6A3E"/>
    <w:rsid w:val="00BD148E"/>
    <w:rsid w:val="00BD3015"/>
    <w:rsid w:val="00BD3795"/>
    <w:rsid w:val="00BD4461"/>
    <w:rsid w:val="00BD4BD9"/>
    <w:rsid w:val="00BE03F8"/>
    <w:rsid w:val="00BE04CC"/>
    <w:rsid w:val="00BE17ED"/>
    <w:rsid w:val="00BE2209"/>
    <w:rsid w:val="00BE27CB"/>
    <w:rsid w:val="00BE312B"/>
    <w:rsid w:val="00BE3DFB"/>
    <w:rsid w:val="00BE65B3"/>
    <w:rsid w:val="00BF00AA"/>
    <w:rsid w:val="00BF1D73"/>
    <w:rsid w:val="00BF479C"/>
    <w:rsid w:val="00BF491B"/>
    <w:rsid w:val="00BF4FCE"/>
    <w:rsid w:val="00BF55ED"/>
    <w:rsid w:val="00BF5F27"/>
    <w:rsid w:val="00BF7381"/>
    <w:rsid w:val="00C03F5F"/>
    <w:rsid w:val="00C07B04"/>
    <w:rsid w:val="00C13027"/>
    <w:rsid w:val="00C1342A"/>
    <w:rsid w:val="00C17C6D"/>
    <w:rsid w:val="00C21F18"/>
    <w:rsid w:val="00C22DDD"/>
    <w:rsid w:val="00C23292"/>
    <w:rsid w:val="00C23B68"/>
    <w:rsid w:val="00C26623"/>
    <w:rsid w:val="00C26F36"/>
    <w:rsid w:val="00C30A77"/>
    <w:rsid w:val="00C31F61"/>
    <w:rsid w:val="00C3215E"/>
    <w:rsid w:val="00C33585"/>
    <w:rsid w:val="00C344DE"/>
    <w:rsid w:val="00C40205"/>
    <w:rsid w:val="00C41D06"/>
    <w:rsid w:val="00C45D60"/>
    <w:rsid w:val="00C47535"/>
    <w:rsid w:val="00C52A18"/>
    <w:rsid w:val="00C55165"/>
    <w:rsid w:val="00C560DA"/>
    <w:rsid w:val="00C57318"/>
    <w:rsid w:val="00C6025C"/>
    <w:rsid w:val="00C643C2"/>
    <w:rsid w:val="00C75783"/>
    <w:rsid w:val="00C8046D"/>
    <w:rsid w:val="00C853BD"/>
    <w:rsid w:val="00C86428"/>
    <w:rsid w:val="00C92327"/>
    <w:rsid w:val="00C93A97"/>
    <w:rsid w:val="00C95F57"/>
    <w:rsid w:val="00CA622F"/>
    <w:rsid w:val="00CA7AFF"/>
    <w:rsid w:val="00CB3C72"/>
    <w:rsid w:val="00CB733D"/>
    <w:rsid w:val="00CC39E1"/>
    <w:rsid w:val="00CD28E6"/>
    <w:rsid w:val="00CD565F"/>
    <w:rsid w:val="00CD6D86"/>
    <w:rsid w:val="00CD7728"/>
    <w:rsid w:val="00CD7E12"/>
    <w:rsid w:val="00CE014E"/>
    <w:rsid w:val="00CE05D1"/>
    <w:rsid w:val="00CE3860"/>
    <w:rsid w:val="00CE638A"/>
    <w:rsid w:val="00CE7955"/>
    <w:rsid w:val="00CF09A6"/>
    <w:rsid w:val="00CF3B7E"/>
    <w:rsid w:val="00CF4396"/>
    <w:rsid w:val="00CF6D93"/>
    <w:rsid w:val="00D008ED"/>
    <w:rsid w:val="00D14B42"/>
    <w:rsid w:val="00D1784C"/>
    <w:rsid w:val="00D2720E"/>
    <w:rsid w:val="00D27CA7"/>
    <w:rsid w:val="00D32DE0"/>
    <w:rsid w:val="00D35E5D"/>
    <w:rsid w:val="00D37D8E"/>
    <w:rsid w:val="00D435AF"/>
    <w:rsid w:val="00D45352"/>
    <w:rsid w:val="00D536E3"/>
    <w:rsid w:val="00D61E1B"/>
    <w:rsid w:val="00D622D2"/>
    <w:rsid w:val="00D67D7C"/>
    <w:rsid w:val="00D71F36"/>
    <w:rsid w:val="00D74B48"/>
    <w:rsid w:val="00D80626"/>
    <w:rsid w:val="00D8306F"/>
    <w:rsid w:val="00D84559"/>
    <w:rsid w:val="00D86A6A"/>
    <w:rsid w:val="00D910AF"/>
    <w:rsid w:val="00D94150"/>
    <w:rsid w:val="00D97137"/>
    <w:rsid w:val="00DA42D9"/>
    <w:rsid w:val="00DB006E"/>
    <w:rsid w:val="00DB1E86"/>
    <w:rsid w:val="00DC0016"/>
    <w:rsid w:val="00DE08B0"/>
    <w:rsid w:val="00DE63FF"/>
    <w:rsid w:val="00DE69D8"/>
    <w:rsid w:val="00DE706D"/>
    <w:rsid w:val="00DE766A"/>
    <w:rsid w:val="00DF0890"/>
    <w:rsid w:val="00DF0DA5"/>
    <w:rsid w:val="00DF17B5"/>
    <w:rsid w:val="00DF445D"/>
    <w:rsid w:val="00DF5B0E"/>
    <w:rsid w:val="00DF7D68"/>
    <w:rsid w:val="00E03027"/>
    <w:rsid w:val="00E06DB8"/>
    <w:rsid w:val="00E12629"/>
    <w:rsid w:val="00E202DA"/>
    <w:rsid w:val="00E23F22"/>
    <w:rsid w:val="00E24ED7"/>
    <w:rsid w:val="00E26E4F"/>
    <w:rsid w:val="00E3013D"/>
    <w:rsid w:val="00E31ECE"/>
    <w:rsid w:val="00E344C3"/>
    <w:rsid w:val="00E34E8C"/>
    <w:rsid w:val="00E35321"/>
    <w:rsid w:val="00E36C42"/>
    <w:rsid w:val="00E36F88"/>
    <w:rsid w:val="00E37A9D"/>
    <w:rsid w:val="00E44464"/>
    <w:rsid w:val="00E44887"/>
    <w:rsid w:val="00E50BC7"/>
    <w:rsid w:val="00E52EA1"/>
    <w:rsid w:val="00E55658"/>
    <w:rsid w:val="00E60EC6"/>
    <w:rsid w:val="00E63B7B"/>
    <w:rsid w:val="00E64E2E"/>
    <w:rsid w:val="00E65449"/>
    <w:rsid w:val="00E70235"/>
    <w:rsid w:val="00E716CF"/>
    <w:rsid w:val="00E71C2C"/>
    <w:rsid w:val="00E762CC"/>
    <w:rsid w:val="00E76979"/>
    <w:rsid w:val="00E84694"/>
    <w:rsid w:val="00E96E5E"/>
    <w:rsid w:val="00E9754A"/>
    <w:rsid w:val="00E97E4B"/>
    <w:rsid w:val="00EA0A1B"/>
    <w:rsid w:val="00EA2BFC"/>
    <w:rsid w:val="00EA2C3C"/>
    <w:rsid w:val="00EA4235"/>
    <w:rsid w:val="00EB320F"/>
    <w:rsid w:val="00EB53A0"/>
    <w:rsid w:val="00EC1341"/>
    <w:rsid w:val="00EC14EF"/>
    <w:rsid w:val="00EC2DA6"/>
    <w:rsid w:val="00EC75A4"/>
    <w:rsid w:val="00ED0B21"/>
    <w:rsid w:val="00ED14AD"/>
    <w:rsid w:val="00ED2123"/>
    <w:rsid w:val="00ED3499"/>
    <w:rsid w:val="00EE425D"/>
    <w:rsid w:val="00EE4AC1"/>
    <w:rsid w:val="00EE4E05"/>
    <w:rsid w:val="00EF27A6"/>
    <w:rsid w:val="00F00752"/>
    <w:rsid w:val="00F049F7"/>
    <w:rsid w:val="00F04ACB"/>
    <w:rsid w:val="00F04D19"/>
    <w:rsid w:val="00F15361"/>
    <w:rsid w:val="00F15C4F"/>
    <w:rsid w:val="00F200AD"/>
    <w:rsid w:val="00F20293"/>
    <w:rsid w:val="00F206D8"/>
    <w:rsid w:val="00F212BB"/>
    <w:rsid w:val="00F2285F"/>
    <w:rsid w:val="00F22E03"/>
    <w:rsid w:val="00F261A5"/>
    <w:rsid w:val="00F307AC"/>
    <w:rsid w:val="00F30924"/>
    <w:rsid w:val="00F315E5"/>
    <w:rsid w:val="00F31E66"/>
    <w:rsid w:val="00F32FC3"/>
    <w:rsid w:val="00F33097"/>
    <w:rsid w:val="00F33913"/>
    <w:rsid w:val="00F34F43"/>
    <w:rsid w:val="00F40DAF"/>
    <w:rsid w:val="00F4347D"/>
    <w:rsid w:val="00F442FB"/>
    <w:rsid w:val="00F452FC"/>
    <w:rsid w:val="00F46174"/>
    <w:rsid w:val="00F46F33"/>
    <w:rsid w:val="00F506D8"/>
    <w:rsid w:val="00F5382C"/>
    <w:rsid w:val="00F57D39"/>
    <w:rsid w:val="00F60884"/>
    <w:rsid w:val="00F61E64"/>
    <w:rsid w:val="00F62A99"/>
    <w:rsid w:val="00F62BAF"/>
    <w:rsid w:val="00F724D1"/>
    <w:rsid w:val="00F72C79"/>
    <w:rsid w:val="00F72F4B"/>
    <w:rsid w:val="00F734D0"/>
    <w:rsid w:val="00F74527"/>
    <w:rsid w:val="00F74C4D"/>
    <w:rsid w:val="00F74D73"/>
    <w:rsid w:val="00F76067"/>
    <w:rsid w:val="00F761EC"/>
    <w:rsid w:val="00F80D5F"/>
    <w:rsid w:val="00F825E3"/>
    <w:rsid w:val="00F92EF6"/>
    <w:rsid w:val="00F940C8"/>
    <w:rsid w:val="00FA7096"/>
    <w:rsid w:val="00FB1950"/>
    <w:rsid w:val="00FB5308"/>
    <w:rsid w:val="00FB6964"/>
    <w:rsid w:val="00FB7929"/>
    <w:rsid w:val="00FC4D3C"/>
    <w:rsid w:val="00FD3069"/>
    <w:rsid w:val="00FD5C1A"/>
    <w:rsid w:val="00FE1CD6"/>
    <w:rsid w:val="00FE250B"/>
    <w:rsid w:val="00FE26CB"/>
    <w:rsid w:val="00FF3C30"/>
    <w:rsid w:val="00FF4340"/>
    <w:rsid w:val="00FF535A"/>
    <w:rsid w:val="00FF6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38E"/>
    <w:pPr>
      <w:spacing w:after="240" w:line="288" w:lineRule="auto"/>
    </w:pPr>
    <w:rPr>
      <w:rFonts w:ascii="Calibri" w:eastAsia="Times New Roman" w:hAnsi="Calibri" w:cs="Times New Roman"/>
      <w:sz w:val="23"/>
      <w:szCs w:val="24"/>
    </w:rPr>
  </w:style>
  <w:style w:type="paragraph" w:styleId="Heading3">
    <w:name w:val="heading 3"/>
    <w:basedOn w:val="Normal"/>
    <w:link w:val="Heading3Char"/>
    <w:uiPriority w:val="9"/>
    <w:qFormat/>
    <w:rsid w:val="003D2941"/>
    <w:pPr>
      <w:spacing w:before="100" w:beforeAutospacing="1" w:after="100" w:afterAutospacing="1" w:line="240" w:lineRule="auto"/>
      <w:outlineLvl w:val="2"/>
    </w:pPr>
    <w:rPr>
      <w:rFonts w:ascii="Times New Roman" w:hAnsi="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6F038E"/>
    <w:rPr>
      <w:color w:val="434343"/>
      <w:sz w:val="20"/>
      <w:vertAlign w:val="superscript"/>
      <w:lang w:val="en-US" w:eastAsia="ja-JP"/>
    </w:rPr>
  </w:style>
  <w:style w:type="paragraph" w:styleId="FootnoteText">
    <w:name w:val="footnote text"/>
    <w:aliases w:val="ACMA Footnote Text"/>
    <w:basedOn w:val="Normal"/>
    <w:link w:val="FootnoteTextChar"/>
    <w:uiPriority w:val="99"/>
    <w:rsid w:val="006F038E"/>
    <w:pPr>
      <w:tabs>
        <w:tab w:val="left" w:pos="567"/>
      </w:tabs>
      <w:spacing w:after="200" w:line="300" w:lineRule="auto"/>
      <w:ind w:left="567" w:hanging="567"/>
    </w:pPr>
    <w:rPr>
      <w:sz w:val="16"/>
      <w:szCs w:val="20"/>
    </w:rPr>
  </w:style>
  <w:style w:type="character" w:customStyle="1" w:styleId="FootnoteTextChar">
    <w:name w:val="Footnote Text Char"/>
    <w:aliases w:val="ACMA Footnote Text Char"/>
    <w:basedOn w:val="DefaultParagraphFont"/>
    <w:link w:val="FootnoteText"/>
    <w:uiPriority w:val="99"/>
    <w:rsid w:val="006F038E"/>
    <w:rPr>
      <w:rFonts w:ascii="Calibri" w:eastAsia="Times New Roman" w:hAnsi="Calibri" w:cs="Times New Roman"/>
      <w:sz w:val="16"/>
      <w:szCs w:val="20"/>
    </w:rPr>
  </w:style>
  <w:style w:type="character" w:styleId="Hyperlink">
    <w:name w:val="Hyperlink"/>
    <w:basedOn w:val="DefaultParagraphFont"/>
    <w:uiPriority w:val="99"/>
    <w:rsid w:val="006F038E"/>
    <w:rPr>
      <w:rFonts w:cs="Times New Roman"/>
      <w:color w:val="0000FF"/>
      <w:u w:val="single"/>
    </w:rPr>
  </w:style>
  <w:style w:type="paragraph" w:styleId="ListParagraph">
    <w:name w:val="List Paragraph"/>
    <w:basedOn w:val="Normal"/>
    <w:uiPriority w:val="34"/>
    <w:qFormat/>
    <w:rsid w:val="006F038E"/>
    <w:pPr>
      <w:spacing w:line="264" w:lineRule="auto"/>
      <w:ind w:left="720"/>
      <w:contextualSpacing/>
    </w:pPr>
    <w:rPr>
      <w:lang w:val="en-GB" w:eastAsia="en-GB"/>
    </w:rPr>
  </w:style>
  <w:style w:type="paragraph" w:styleId="BalloonText">
    <w:name w:val="Balloon Text"/>
    <w:basedOn w:val="Normal"/>
    <w:link w:val="BalloonTextChar"/>
    <w:uiPriority w:val="99"/>
    <w:semiHidden/>
    <w:unhideWhenUsed/>
    <w:rsid w:val="00F43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47D"/>
    <w:rPr>
      <w:rFonts w:ascii="Tahoma" w:eastAsia="Times New Roman" w:hAnsi="Tahoma" w:cs="Tahoma"/>
      <w:sz w:val="16"/>
      <w:szCs w:val="16"/>
    </w:rPr>
  </w:style>
  <w:style w:type="paragraph" w:styleId="Header">
    <w:name w:val="header"/>
    <w:basedOn w:val="Normal"/>
    <w:link w:val="HeaderChar"/>
    <w:uiPriority w:val="99"/>
    <w:semiHidden/>
    <w:unhideWhenUsed/>
    <w:rsid w:val="00BF00A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F00AA"/>
    <w:rPr>
      <w:rFonts w:ascii="Calibri" w:eastAsia="Times New Roman" w:hAnsi="Calibri" w:cs="Times New Roman"/>
      <w:sz w:val="23"/>
      <w:szCs w:val="24"/>
    </w:rPr>
  </w:style>
  <w:style w:type="paragraph" w:styleId="Footer">
    <w:name w:val="footer"/>
    <w:basedOn w:val="Normal"/>
    <w:link w:val="FooterChar"/>
    <w:uiPriority w:val="99"/>
    <w:unhideWhenUsed/>
    <w:rsid w:val="00BF00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0AA"/>
    <w:rPr>
      <w:rFonts w:ascii="Calibri" w:eastAsia="Times New Roman" w:hAnsi="Calibri" w:cs="Times New Roman"/>
      <w:sz w:val="23"/>
      <w:szCs w:val="24"/>
    </w:rPr>
  </w:style>
  <w:style w:type="paragraph" w:customStyle="1" w:styleId="Default">
    <w:name w:val="Default"/>
    <w:rsid w:val="00722F46"/>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3D2941"/>
    <w:rPr>
      <w:rFonts w:ascii="Times New Roman" w:eastAsia="Times New Roman" w:hAnsi="Times New Roman" w:cs="Times New Roman"/>
      <w:b/>
      <w:bCs/>
      <w:sz w:val="27"/>
      <w:szCs w:val="27"/>
      <w:lang w:eastAsia="en-AU"/>
    </w:rPr>
  </w:style>
  <w:style w:type="paragraph" w:styleId="HTMLPreformatted">
    <w:name w:val="HTML Preformatted"/>
    <w:basedOn w:val="Normal"/>
    <w:link w:val="HTMLPreformattedChar"/>
    <w:uiPriority w:val="99"/>
    <w:semiHidden/>
    <w:unhideWhenUsed/>
    <w:rsid w:val="003D2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3D2941"/>
    <w:rPr>
      <w:rFonts w:ascii="Courier New" w:eastAsia="Times New Roman" w:hAnsi="Courier New" w:cs="Courier New"/>
      <w:szCs w:val="20"/>
      <w:lang w:eastAsia="en-AU"/>
    </w:rPr>
  </w:style>
  <w:style w:type="character" w:styleId="Emphasis">
    <w:name w:val="Emphasis"/>
    <w:basedOn w:val="DefaultParagraphFont"/>
    <w:uiPriority w:val="20"/>
    <w:qFormat/>
    <w:rsid w:val="00B0490A"/>
    <w:rPr>
      <w:i/>
      <w:iCs/>
    </w:rPr>
  </w:style>
  <w:style w:type="character" w:customStyle="1" w:styleId="nobr1">
    <w:name w:val="nobr1"/>
    <w:basedOn w:val="DefaultParagraphFont"/>
    <w:rsid w:val="00B0490A"/>
  </w:style>
  <w:style w:type="paragraph" w:customStyle="1" w:styleId="blocktextarial">
    <w:name w:val="blocktextarial"/>
    <w:basedOn w:val="Normal"/>
    <w:rsid w:val="00735B78"/>
    <w:pPr>
      <w:spacing w:after="27" w:line="240" w:lineRule="auto"/>
    </w:pPr>
    <w:rPr>
      <w:rFonts w:ascii="Arial" w:hAnsi="Arial" w:cs="Arial"/>
      <w:color w:val="000000"/>
      <w:sz w:val="24"/>
      <w:lang w:eastAsia="en-AU"/>
    </w:rPr>
  </w:style>
  <w:style w:type="paragraph" w:styleId="NormalWeb">
    <w:name w:val="Normal (Web)"/>
    <w:basedOn w:val="Normal"/>
    <w:uiPriority w:val="99"/>
    <w:semiHidden/>
    <w:unhideWhenUsed/>
    <w:rsid w:val="00381A96"/>
    <w:pPr>
      <w:spacing w:before="100" w:beforeAutospacing="1" w:after="100" w:afterAutospacing="1" w:line="240" w:lineRule="auto"/>
    </w:pPr>
    <w:rPr>
      <w:rFonts w:ascii="Times New Roman" w:hAnsi="Times New Roman"/>
      <w:color w:val="000000"/>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0838">
      <w:bodyDiv w:val="1"/>
      <w:marLeft w:val="0"/>
      <w:marRight w:val="0"/>
      <w:marTop w:val="0"/>
      <w:marBottom w:val="0"/>
      <w:divBdr>
        <w:top w:val="none" w:sz="0" w:space="0" w:color="auto"/>
        <w:left w:val="none" w:sz="0" w:space="0" w:color="auto"/>
        <w:bottom w:val="none" w:sz="0" w:space="0" w:color="auto"/>
        <w:right w:val="none" w:sz="0" w:space="0" w:color="auto"/>
      </w:divBdr>
      <w:divsChild>
        <w:div w:id="702287454">
          <w:marLeft w:val="288"/>
          <w:marRight w:val="0"/>
          <w:marTop w:val="140"/>
          <w:marBottom w:val="0"/>
          <w:divBdr>
            <w:top w:val="none" w:sz="0" w:space="0" w:color="auto"/>
            <w:left w:val="none" w:sz="0" w:space="0" w:color="auto"/>
            <w:bottom w:val="none" w:sz="0" w:space="0" w:color="auto"/>
            <w:right w:val="none" w:sz="0" w:space="0" w:color="auto"/>
          </w:divBdr>
        </w:div>
        <w:div w:id="1081219120">
          <w:marLeft w:val="288"/>
          <w:marRight w:val="0"/>
          <w:marTop w:val="140"/>
          <w:marBottom w:val="0"/>
          <w:divBdr>
            <w:top w:val="none" w:sz="0" w:space="0" w:color="auto"/>
            <w:left w:val="none" w:sz="0" w:space="0" w:color="auto"/>
            <w:bottom w:val="none" w:sz="0" w:space="0" w:color="auto"/>
            <w:right w:val="none" w:sz="0" w:space="0" w:color="auto"/>
          </w:divBdr>
        </w:div>
        <w:div w:id="40978010">
          <w:marLeft w:val="288"/>
          <w:marRight w:val="0"/>
          <w:marTop w:val="140"/>
          <w:marBottom w:val="0"/>
          <w:divBdr>
            <w:top w:val="none" w:sz="0" w:space="0" w:color="auto"/>
            <w:left w:val="none" w:sz="0" w:space="0" w:color="auto"/>
            <w:bottom w:val="none" w:sz="0" w:space="0" w:color="auto"/>
            <w:right w:val="none" w:sz="0" w:space="0" w:color="auto"/>
          </w:divBdr>
        </w:div>
        <w:div w:id="1959556526">
          <w:marLeft w:val="288"/>
          <w:marRight w:val="0"/>
          <w:marTop w:val="140"/>
          <w:marBottom w:val="0"/>
          <w:divBdr>
            <w:top w:val="none" w:sz="0" w:space="0" w:color="auto"/>
            <w:left w:val="none" w:sz="0" w:space="0" w:color="auto"/>
            <w:bottom w:val="none" w:sz="0" w:space="0" w:color="auto"/>
            <w:right w:val="none" w:sz="0" w:space="0" w:color="auto"/>
          </w:divBdr>
        </w:div>
        <w:div w:id="1132871715">
          <w:marLeft w:val="288"/>
          <w:marRight w:val="0"/>
          <w:marTop w:val="140"/>
          <w:marBottom w:val="0"/>
          <w:divBdr>
            <w:top w:val="none" w:sz="0" w:space="0" w:color="auto"/>
            <w:left w:val="none" w:sz="0" w:space="0" w:color="auto"/>
            <w:bottom w:val="none" w:sz="0" w:space="0" w:color="auto"/>
            <w:right w:val="none" w:sz="0" w:space="0" w:color="auto"/>
          </w:divBdr>
        </w:div>
        <w:div w:id="620645868">
          <w:marLeft w:val="288"/>
          <w:marRight w:val="0"/>
          <w:marTop w:val="140"/>
          <w:marBottom w:val="0"/>
          <w:divBdr>
            <w:top w:val="none" w:sz="0" w:space="0" w:color="auto"/>
            <w:left w:val="none" w:sz="0" w:space="0" w:color="auto"/>
            <w:bottom w:val="none" w:sz="0" w:space="0" w:color="auto"/>
            <w:right w:val="none" w:sz="0" w:space="0" w:color="auto"/>
          </w:divBdr>
        </w:div>
        <w:div w:id="128673320">
          <w:marLeft w:val="288"/>
          <w:marRight w:val="0"/>
          <w:marTop w:val="140"/>
          <w:marBottom w:val="0"/>
          <w:divBdr>
            <w:top w:val="none" w:sz="0" w:space="0" w:color="auto"/>
            <w:left w:val="none" w:sz="0" w:space="0" w:color="auto"/>
            <w:bottom w:val="none" w:sz="0" w:space="0" w:color="auto"/>
            <w:right w:val="none" w:sz="0" w:space="0" w:color="auto"/>
          </w:divBdr>
        </w:div>
        <w:div w:id="678896480">
          <w:marLeft w:val="288"/>
          <w:marRight w:val="0"/>
          <w:marTop w:val="140"/>
          <w:marBottom w:val="0"/>
          <w:divBdr>
            <w:top w:val="none" w:sz="0" w:space="0" w:color="auto"/>
            <w:left w:val="none" w:sz="0" w:space="0" w:color="auto"/>
            <w:bottom w:val="none" w:sz="0" w:space="0" w:color="auto"/>
            <w:right w:val="none" w:sz="0" w:space="0" w:color="auto"/>
          </w:divBdr>
        </w:div>
        <w:div w:id="1032147173">
          <w:marLeft w:val="288"/>
          <w:marRight w:val="0"/>
          <w:marTop w:val="140"/>
          <w:marBottom w:val="0"/>
          <w:divBdr>
            <w:top w:val="none" w:sz="0" w:space="0" w:color="auto"/>
            <w:left w:val="none" w:sz="0" w:space="0" w:color="auto"/>
            <w:bottom w:val="none" w:sz="0" w:space="0" w:color="auto"/>
            <w:right w:val="none" w:sz="0" w:space="0" w:color="auto"/>
          </w:divBdr>
        </w:div>
        <w:div w:id="210269268">
          <w:marLeft w:val="288"/>
          <w:marRight w:val="0"/>
          <w:marTop w:val="140"/>
          <w:marBottom w:val="0"/>
          <w:divBdr>
            <w:top w:val="none" w:sz="0" w:space="0" w:color="auto"/>
            <w:left w:val="none" w:sz="0" w:space="0" w:color="auto"/>
            <w:bottom w:val="none" w:sz="0" w:space="0" w:color="auto"/>
            <w:right w:val="none" w:sz="0" w:space="0" w:color="auto"/>
          </w:divBdr>
        </w:div>
        <w:div w:id="11928956">
          <w:marLeft w:val="288"/>
          <w:marRight w:val="0"/>
          <w:marTop w:val="140"/>
          <w:marBottom w:val="0"/>
          <w:divBdr>
            <w:top w:val="none" w:sz="0" w:space="0" w:color="auto"/>
            <w:left w:val="none" w:sz="0" w:space="0" w:color="auto"/>
            <w:bottom w:val="none" w:sz="0" w:space="0" w:color="auto"/>
            <w:right w:val="none" w:sz="0" w:space="0" w:color="auto"/>
          </w:divBdr>
        </w:div>
        <w:div w:id="1917203803">
          <w:marLeft w:val="288"/>
          <w:marRight w:val="0"/>
          <w:marTop w:val="140"/>
          <w:marBottom w:val="0"/>
          <w:divBdr>
            <w:top w:val="none" w:sz="0" w:space="0" w:color="auto"/>
            <w:left w:val="none" w:sz="0" w:space="0" w:color="auto"/>
            <w:bottom w:val="none" w:sz="0" w:space="0" w:color="auto"/>
            <w:right w:val="none" w:sz="0" w:space="0" w:color="auto"/>
          </w:divBdr>
        </w:div>
      </w:divsChild>
    </w:div>
    <w:div w:id="433021165">
      <w:bodyDiv w:val="1"/>
      <w:marLeft w:val="0"/>
      <w:marRight w:val="0"/>
      <w:marTop w:val="0"/>
      <w:marBottom w:val="0"/>
      <w:divBdr>
        <w:top w:val="none" w:sz="0" w:space="0" w:color="auto"/>
        <w:left w:val="none" w:sz="0" w:space="0" w:color="auto"/>
        <w:bottom w:val="none" w:sz="0" w:space="0" w:color="auto"/>
        <w:right w:val="none" w:sz="0" w:space="0" w:color="auto"/>
      </w:divBdr>
      <w:divsChild>
        <w:div w:id="1399485">
          <w:marLeft w:val="0"/>
          <w:marRight w:val="0"/>
          <w:marTop w:val="0"/>
          <w:marBottom w:val="0"/>
          <w:divBdr>
            <w:top w:val="none" w:sz="0" w:space="0" w:color="auto"/>
            <w:left w:val="none" w:sz="0" w:space="0" w:color="auto"/>
            <w:bottom w:val="none" w:sz="0" w:space="0" w:color="auto"/>
            <w:right w:val="none" w:sz="0" w:space="0" w:color="auto"/>
          </w:divBdr>
          <w:divsChild>
            <w:div w:id="1540893649">
              <w:marLeft w:val="0"/>
              <w:marRight w:val="0"/>
              <w:marTop w:val="0"/>
              <w:marBottom w:val="0"/>
              <w:divBdr>
                <w:top w:val="none" w:sz="0" w:space="0" w:color="auto"/>
                <w:left w:val="none" w:sz="0" w:space="0" w:color="auto"/>
                <w:bottom w:val="none" w:sz="0" w:space="0" w:color="auto"/>
                <w:right w:val="none" w:sz="0" w:space="0" w:color="auto"/>
              </w:divBdr>
              <w:divsChild>
                <w:div w:id="1424959740">
                  <w:marLeft w:val="0"/>
                  <w:marRight w:val="0"/>
                  <w:marTop w:val="0"/>
                  <w:marBottom w:val="0"/>
                  <w:divBdr>
                    <w:top w:val="none" w:sz="0" w:space="0" w:color="auto"/>
                    <w:left w:val="none" w:sz="0" w:space="0" w:color="auto"/>
                    <w:bottom w:val="none" w:sz="0" w:space="0" w:color="auto"/>
                    <w:right w:val="none" w:sz="0" w:space="0" w:color="auto"/>
                  </w:divBdr>
                  <w:divsChild>
                    <w:div w:id="678772893">
                      <w:marLeft w:val="250"/>
                      <w:marRight w:val="125"/>
                      <w:marTop w:val="0"/>
                      <w:marBottom w:val="0"/>
                      <w:divBdr>
                        <w:top w:val="none" w:sz="0" w:space="0" w:color="auto"/>
                        <w:left w:val="none" w:sz="0" w:space="0" w:color="auto"/>
                        <w:bottom w:val="none" w:sz="0" w:space="0" w:color="auto"/>
                        <w:right w:val="none" w:sz="0" w:space="0" w:color="auto"/>
                      </w:divBdr>
                      <w:divsChild>
                        <w:div w:id="18599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378469">
      <w:bodyDiv w:val="1"/>
      <w:marLeft w:val="0"/>
      <w:marRight w:val="0"/>
      <w:marTop w:val="0"/>
      <w:marBottom w:val="0"/>
      <w:divBdr>
        <w:top w:val="none" w:sz="0" w:space="0" w:color="auto"/>
        <w:left w:val="none" w:sz="0" w:space="0" w:color="auto"/>
        <w:bottom w:val="none" w:sz="0" w:space="0" w:color="auto"/>
        <w:right w:val="none" w:sz="0" w:space="0" w:color="auto"/>
      </w:divBdr>
    </w:div>
    <w:div w:id="645016821">
      <w:bodyDiv w:val="1"/>
      <w:marLeft w:val="0"/>
      <w:marRight w:val="0"/>
      <w:marTop w:val="0"/>
      <w:marBottom w:val="0"/>
      <w:divBdr>
        <w:top w:val="none" w:sz="0" w:space="0" w:color="auto"/>
        <w:left w:val="none" w:sz="0" w:space="0" w:color="auto"/>
        <w:bottom w:val="none" w:sz="0" w:space="0" w:color="auto"/>
        <w:right w:val="none" w:sz="0" w:space="0" w:color="auto"/>
      </w:divBdr>
    </w:div>
    <w:div w:id="646978570">
      <w:bodyDiv w:val="1"/>
      <w:marLeft w:val="0"/>
      <w:marRight w:val="0"/>
      <w:marTop w:val="0"/>
      <w:marBottom w:val="0"/>
      <w:divBdr>
        <w:top w:val="none" w:sz="0" w:space="0" w:color="auto"/>
        <w:left w:val="none" w:sz="0" w:space="0" w:color="auto"/>
        <w:bottom w:val="none" w:sz="0" w:space="0" w:color="auto"/>
        <w:right w:val="none" w:sz="0" w:space="0" w:color="auto"/>
      </w:divBdr>
      <w:divsChild>
        <w:div w:id="467288216">
          <w:marLeft w:val="0"/>
          <w:marRight w:val="0"/>
          <w:marTop w:val="0"/>
          <w:marBottom w:val="0"/>
          <w:divBdr>
            <w:top w:val="none" w:sz="0" w:space="0" w:color="auto"/>
            <w:left w:val="none" w:sz="0" w:space="0" w:color="auto"/>
            <w:bottom w:val="none" w:sz="0" w:space="0" w:color="auto"/>
            <w:right w:val="none" w:sz="0" w:space="0" w:color="auto"/>
          </w:divBdr>
          <w:divsChild>
            <w:div w:id="4362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9816">
      <w:bodyDiv w:val="1"/>
      <w:marLeft w:val="0"/>
      <w:marRight w:val="0"/>
      <w:marTop w:val="0"/>
      <w:marBottom w:val="0"/>
      <w:divBdr>
        <w:top w:val="none" w:sz="0" w:space="0" w:color="auto"/>
        <w:left w:val="none" w:sz="0" w:space="0" w:color="auto"/>
        <w:bottom w:val="none" w:sz="0" w:space="0" w:color="auto"/>
        <w:right w:val="none" w:sz="0" w:space="0" w:color="auto"/>
      </w:divBdr>
    </w:div>
    <w:div w:id="1665936173">
      <w:bodyDiv w:val="1"/>
      <w:marLeft w:val="0"/>
      <w:marRight w:val="0"/>
      <w:marTop w:val="0"/>
      <w:marBottom w:val="0"/>
      <w:divBdr>
        <w:top w:val="none" w:sz="0" w:space="0" w:color="auto"/>
        <w:left w:val="none" w:sz="0" w:space="0" w:color="auto"/>
        <w:bottom w:val="none" w:sz="0" w:space="0" w:color="auto"/>
        <w:right w:val="none" w:sz="0" w:space="0" w:color="auto"/>
      </w:divBdr>
      <w:divsChild>
        <w:div w:id="1235776653">
          <w:marLeft w:val="0"/>
          <w:marRight w:val="0"/>
          <w:marTop w:val="0"/>
          <w:marBottom w:val="0"/>
          <w:divBdr>
            <w:top w:val="none" w:sz="0" w:space="0" w:color="auto"/>
            <w:left w:val="none" w:sz="0" w:space="0" w:color="auto"/>
            <w:bottom w:val="none" w:sz="0" w:space="0" w:color="auto"/>
            <w:right w:val="none" w:sz="0" w:space="0" w:color="auto"/>
          </w:divBdr>
          <w:divsChild>
            <w:div w:id="447551058">
              <w:marLeft w:val="0"/>
              <w:marRight w:val="0"/>
              <w:marTop w:val="0"/>
              <w:marBottom w:val="0"/>
              <w:divBdr>
                <w:top w:val="none" w:sz="0" w:space="0" w:color="auto"/>
                <w:left w:val="none" w:sz="0" w:space="0" w:color="auto"/>
                <w:bottom w:val="none" w:sz="0" w:space="0" w:color="auto"/>
                <w:right w:val="none" w:sz="0" w:space="0" w:color="auto"/>
              </w:divBdr>
              <w:divsChild>
                <w:div w:id="873423109">
                  <w:marLeft w:val="0"/>
                  <w:marRight w:val="0"/>
                  <w:marTop w:val="0"/>
                  <w:marBottom w:val="0"/>
                  <w:divBdr>
                    <w:top w:val="none" w:sz="0" w:space="0" w:color="auto"/>
                    <w:left w:val="none" w:sz="0" w:space="0" w:color="auto"/>
                    <w:bottom w:val="none" w:sz="0" w:space="0" w:color="auto"/>
                    <w:right w:val="none" w:sz="0" w:space="0" w:color="auto"/>
                  </w:divBdr>
                  <w:divsChild>
                    <w:div w:id="958612172">
                      <w:marLeft w:val="250"/>
                      <w:marRight w:val="125"/>
                      <w:marTop w:val="0"/>
                      <w:marBottom w:val="0"/>
                      <w:divBdr>
                        <w:top w:val="none" w:sz="0" w:space="0" w:color="auto"/>
                        <w:left w:val="none" w:sz="0" w:space="0" w:color="auto"/>
                        <w:bottom w:val="none" w:sz="0" w:space="0" w:color="auto"/>
                        <w:right w:val="none" w:sz="0" w:space="0" w:color="auto"/>
                      </w:divBdr>
                      <w:divsChild>
                        <w:div w:id="20540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535598">
      <w:bodyDiv w:val="1"/>
      <w:marLeft w:val="0"/>
      <w:marRight w:val="0"/>
      <w:marTop w:val="0"/>
      <w:marBottom w:val="0"/>
      <w:divBdr>
        <w:top w:val="none" w:sz="0" w:space="0" w:color="auto"/>
        <w:left w:val="none" w:sz="0" w:space="0" w:color="auto"/>
        <w:bottom w:val="none" w:sz="0" w:space="0" w:color="auto"/>
        <w:right w:val="none" w:sz="0" w:space="0" w:color="auto"/>
      </w:divBdr>
      <w:divsChild>
        <w:div w:id="1412314922">
          <w:marLeft w:val="0"/>
          <w:marRight w:val="0"/>
          <w:marTop w:val="0"/>
          <w:marBottom w:val="0"/>
          <w:divBdr>
            <w:top w:val="none" w:sz="0" w:space="0" w:color="auto"/>
            <w:left w:val="none" w:sz="0" w:space="0" w:color="auto"/>
            <w:bottom w:val="none" w:sz="0" w:space="0" w:color="auto"/>
            <w:right w:val="none" w:sz="0" w:space="0" w:color="auto"/>
          </w:divBdr>
          <w:divsChild>
            <w:div w:id="619993647">
              <w:marLeft w:val="0"/>
              <w:marRight w:val="0"/>
              <w:marTop w:val="0"/>
              <w:marBottom w:val="0"/>
              <w:divBdr>
                <w:top w:val="none" w:sz="0" w:space="0" w:color="auto"/>
                <w:left w:val="none" w:sz="0" w:space="0" w:color="auto"/>
                <w:bottom w:val="none" w:sz="0" w:space="0" w:color="auto"/>
                <w:right w:val="none" w:sz="0" w:space="0" w:color="auto"/>
              </w:divBdr>
              <w:divsChild>
                <w:div w:id="266810396">
                  <w:marLeft w:val="0"/>
                  <w:marRight w:val="0"/>
                  <w:marTop w:val="0"/>
                  <w:marBottom w:val="0"/>
                  <w:divBdr>
                    <w:top w:val="none" w:sz="0" w:space="0" w:color="auto"/>
                    <w:left w:val="none" w:sz="0" w:space="0" w:color="auto"/>
                    <w:bottom w:val="none" w:sz="0" w:space="0" w:color="auto"/>
                    <w:right w:val="none" w:sz="0" w:space="0" w:color="auto"/>
                  </w:divBdr>
                  <w:divsChild>
                    <w:div w:id="1224637402">
                      <w:marLeft w:val="0"/>
                      <w:marRight w:val="0"/>
                      <w:marTop w:val="0"/>
                      <w:marBottom w:val="0"/>
                      <w:divBdr>
                        <w:top w:val="none" w:sz="0" w:space="0" w:color="auto"/>
                        <w:left w:val="none" w:sz="0" w:space="0" w:color="auto"/>
                        <w:bottom w:val="none" w:sz="0" w:space="0" w:color="auto"/>
                        <w:right w:val="none" w:sz="0" w:space="0" w:color="auto"/>
                      </w:divBdr>
                      <w:divsChild>
                        <w:div w:id="161316805">
                          <w:marLeft w:val="0"/>
                          <w:marRight w:val="0"/>
                          <w:marTop w:val="0"/>
                          <w:marBottom w:val="0"/>
                          <w:divBdr>
                            <w:top w:val="single" w:sz="6" w:space="0" w:color="828282"/>
                            <w:left w:val="single" w:sz="6" w:space="0" w:color="828282"/>
                            <w:bottom w:val="single" w:sz="6" w:space="0" w:color="828282"/>
                            <w:right w:val="single" w:sz="6" w:space="0" w:color="828282"/>
                          </w:divBdr>
                          <w:divsChild>
                            <w:div w:id="2138404649">
                              <w:marLeft w:val="0"/>
                              <w:marRight w:val="0"/>
                              <w:marTop w:val="0"/>
                              <w:marBottom w:val="0"/>
                              <w:divBdr>
                                <w:top w:val="none" w:sz="0" w:space="0" w:color="auto"/>
                                <w:left w:val="none" w:sz="0" w:space="0" w:color="auto"/>
                                <w:bottom w:val="none" w:sz="0" w:space="0" w:color="auto"/>
                                <w:right w:val="none" w:sz="0" w:space="0" w:color="auto"/>
                              </w:divBdr>
                              <w:divsChild>
                                <w:div w:id="346837468">
                                  <w:marLeft w:val="0"/>
                                  <w:marRight w:val="0"/>
                                  <w:marTop w:val="0"/>
                                  <w:marBottom w:val="0"/>
                                  <w:divBdr>
                                    <w:top w:val="none" w:sz="0" w:space="0" w:color="auto"/>
                                    <w:left w:val="none" w:sz="0" w:space="0" w:color="auto"/>
                                    <w:bottom w:val="none" w:sz="0" w:space="0" w:color="auto"/>
                                    <w:right w:val="none" w:sz="0" w:space="0" w:color="auto"/>
                                  </w:divBdr>
                                  <w:divsChild>
                                    <w:div w:id="375013481">
                                      <w:marLeft w:val="0"/>
                                      <w:marRight w:val="0"/>
                                      <w:marTop w:val="0"/>
                                      <w:marBottom w:val="0"/>
                                      <w:divBdr>
                                        <w:top w:val="none" w:sz="0" w:space="0" w:color="auto"/>
                                        <w:left w:val="none" w:sz="0" w:space="0" w:color="auto"/>
                                        <w:bottom w:val="none" w:sz="0" w:space="0" w:color="auto"/>
                                        <w:right w:val="none" w:sz="0" w:space="0" w:color="auto"/>
                                      </w:divBdr>
                                      <w:divsChild>
                                        <w:div w:id="1422332072">
                                          <w:marLeft w:val="0"/>
                                          <w:marRight w:val="0"/>
                                          <w:marTop w:val="0"/>
                                          <w:marBottom w:val="0"/>
                                          <w:divBdr>
                                            <w:top w:val="none" w:sz="0" w:space="0" w:color="auto"/>
                                            <w:left w:val="none" w:sz="0" w:space="0" w:color="auto"/>
                                            <w:bottom w:val="none" w:sz="0" w:space="0" w:color="auto"/>
                                            <w:right w:val="none" w:sz="0" w:space="0" w:color="auto"/>
                                          </w:divBdr>
                                          <w:divsChild>
                                            <w:div w:id="15927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anthaM\AppData\Local\Microsoft\Windows\Temporary%20Internet%20Files\Content.Outlook\8LDL8B11\PwC%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200" b="1" i="0" u="none" strike="noStrike" baseline="0"/>
              <a:t>Tipping points for family and single incomes – higher rate impact</a:t>
            </a:r>
            <a:endParaRPr lang="en-US" sz="1200"/>
          </a:p>
        </c:rich>
      </c:tx>
      <c:layout/>
      <c:overlay val="0"/>
    </c:title>
    <c:autoTitleDeleted val="0"/>
    <c:plotArea>
      <c:layout/>
      <c:barChart>
        <c:barDir val="col"/>
        <c:grouping val="clustered"/>
        <c:varyColors val="0"/>
        <c:ser>
          <c:idx val="0"/>
          <c:order val="0"/>
          <c:tx>
            <c:strRef>
              <c:f>'10. Policy Replacement - High'!$V$13</c:f>
              <c:strCache>
                <c:ptCount val="1"/>
                <c:pt idx="0">
                  <c:v>Fee = $7.30</c:v>
                </c:pt>
              </c:strCache>
            </c:strRef>
          </c:tx>
          <c:invertIfNegative val="0"/>
          <c:cat>
            <c:strRef>
              <c:f>'10. Policy Replacement - High'!$T$14:$T$17</c:f>
              <c:strCache>
                <c:ptCount val="4"/>
                <c:pt idx="0">
                  <c:v>Couple, one child in care</c:v>
                </c:pt>
                <c:pt idx="1">
                  <c:v>Couple, two children in care</c:v>
                </c:pt>
                <c:pt idx="2">
                  <c:v>Sole parent, one child in care</c:v>
                </c:pt>
                <c:pt idx="3">
                  <c:v>Sole parent, two children in care</c:v>
                </c:pt>
              </c:strCache>
            </c:strRef>
          </c:cat>
          <c:val>
            <c:numRef>
              <c:f>'10. Policy Replacement - High'!$V$14:$V$17</c:f>
              <c:numCache>
                <c:formatCode>"$"#,##0</c:formatCode>
                <c:ptCount val="4"/>
                <c:pt idx="0">
                  <c:v>280000</c:v>
                </c:pt>
                <c:pt idx="1">
                  <c:v>290000</c:v>
                </c:pt>
                <c:pt idx="2">
                  <c:v>160000</c:v>
                </c:pt>
                <c:pt idx="3">
                  <c:v>160000</c:v>
                </c:pt>
              </c:numCache>
            </c:numRef>
          </c:val>
        </c:ser>
        <c:ser>
          <c:idx val="1"/>
          <c:order val="1"/>
          <c:tx>
            <c:strRef>
              <c:f>'10. Policy Replacement - High'!$W$13</c:f>
              <c:strCache>
                <c:ptCount val="1"/>
                <c:pt idx="0">
                  <c:v>Fee = $8.50</c:v>
                </c:pt>
              </c:strCache>
            </c:strRef>
          </c:tx>
          <c:invertIfNegative val="0"/>
          <c:cat>
            <c:strRef>
              <c:f>'10. Policy Replacement - High'!$T$14:$T$17</c:f>
              <c:strCache>
                <c:ptCount val="4"/>
                <c:pt idx="0">
                  <c:v>Couple, one child in care</c:v>
                </c:pt>
                <c:pt idx="1">
                  <c:v>Couple, two children in care</c:v>
                </c:pt>
                <c:pt idx="2">
                  <c:v>Sole parent, one child in care</c:v>
                </c:pt>
                <c:pt idx="3">
                  <c:v>Sole parent, two children in care</c:v>
                </c:pt>
              </c:strCache>
            </c:strRef>
          </c:cat>
          <c:val>
            <c:numRef>
              <c:f>'10. Policy Replacement - High'!$W$14:$W$17</c:f>
              <c:numCache>
                <c:formatCode>"$"#,##0</c:formatCode>
                <c:ptCount val="4"/>
                <c:pt idx="0">
                  <c:v>112000</c:v>
                </c:pt>
                <c:pt idx="1">
                  <c:v>134000</c:v>
                </c:pt>
                <c:pt idx="2">
                  <c:v>110000</c:v>
                </c:pt>
                <c:pt idx="3">
                  <c:v>130000</c:v>
                </c:pt>
              </c:numCache>
            </c:numRef>
          </c:val>
        </c:ser>
        <c:ser>
          <c:idx val="2"/>
          <c:order val="2"/>
          <c:tx>
            <c:strRef>
              <c:f>'10. Policy Replacement - High'!$X$13</c:f>
              <c:strCache>
                <c:ptCount val="1"/>
                <c:pt idx="0">
                  <c:v>Fee = $10.00</c:v>
                </c:pt>
              </c:strCache>
            </c:strRef>
          </c:tx>
          <c:invertIfNegative val="0"/>
          <c:cat>
            <c:strRef>
              <c:f>'10. Policy Replacement - High'!$T$14:$T$17</c:f>
              <c:strCache>
                <c:ptCount val="4"/>
                <c:pt idx="0">
                  <c:v>Couple, one child in care</c:v>
                </c:pt>
                <c:pt idx="1">
                  <c:v>Couple, two children in care</c:v>
                </c:pt>
                <c:pt idx="2">
                  <c:v>Sole parent, one child in care</c:v>
                </c:pt>
                <c:pt idx="3">
                  <c:v>Sole parent, two children in care</c:v>
                </c:pt>
              </c:strCache>
            </c:strRef>
          </c:cat>
          <c:val>
            <c:numRef>
              <c:f>'10. Policy Replacement - High'!$X$14:$X$17</c:f>
              <c:numCache>
                <c:formatCode>"$"#,##0</c:formatCode>
                <c:ptCount val="4"/>
                <c:pt idx="0">
                  <c:v>110000</c:v>
                </c:pt>
                <c:pt idx="1">
                  <c:v>120000</c:v>
                </c:pt>
                <c:pt idx="2">
                  <c:v>110000</c:v>
                </c:pt>
                <c:pt idx="3">
                  <c:v>110000</c:v>
                </c:pt>
              </c:numCache>
            </c:numRef>
          </c:val>
        </c:ser>
        <c:ser>
          <c:idx val="3"/>
          <c:order val="3"/>
          <c:tx>
            <c:strRef>
              <c:f>'10. Policy Replacement - High'!$Y$13</c:f>
              <c:strCache>
                <c:ptCount val="1"/>
                <c:pt idx="0">
                  <c:v>Fee = $11.00</c:v>
                </c:pt>
              </c:strCache>
            </c:strRef>
          </c:tx>
          <c:invertIfNegative val="0"/>
          <c:cat>
            <c:strRef>
              <c:f>'10. Policy Replacement - High'!$T$14:$T$17</c:f>
              <c:strCache>
                <c:ptCount val="4"/>
                <c:pt idx="0">
                  <c:v>Couple, one child in care</c:v>
                </c:pt>
                <c:pt idx="1">
                  <c:v>Couple, two children in care</c:v>
                </c:pt>
                <c:pt idx="2">
                  <c:v>Sole parent, one child in care</c:v>
                </c:pt>
                <c:pt idx="3">
                  <c:v>Sole parent, two children in care</c:v>
                </c:pt>
              </c:strCache>
            </c:strRef>
          </c:cat>
          <c:val>
            <c:numRef>
              <c:f>'10. Policy Replacement - High'!$Y$14:$Y$17</c:f>
              <c:numCache>
                <c:formatCode>"$"#,##0</c:formatCode>
                <c:ptCount val="4"/>
                <c:pt idx="0">
                  <c:v>110000</c:v>
                </c:pt>
                <c:pt idx="1">
                  <c:v>110000</c:v>
                </c:pt>
                <c:pt idx="2">
                  <c:v>80000</c:v>
                </c:pt>
                <c:pt idx="3">
                  <c:v>110000</c:v>
                </c:pt>
              </c:numCache>
            </c:numRef>
          </c:val>
        </c:ser>
        <c:ser>
          <c:idx val="4"/>
          <c:order val="4"/>
          <c:tx>
            <c:strRef>
              <c:f>'10. Policy Replacement - High'!$Z$13</c:f>
              <c:strCache>
                <c:ptCount val="1"/>
                <c:pt idx="0">
                  <c:v>Fee = $12.00</c:v>
                </c:pt>
              </c:strCache>
            </c:strRef>
          </c:tx>
          <c:invertIfNegative val="0"/>
          <c:cat>
            <c:strRef>
              <c:f>'10. Policy Replacement - High'!$T$14:$T$17</c:f>
              <c:strCache>
                <c:ptCount val="4"/>
                <c:pt idx="0">
                  <c:v>Couple, one child in care</c:v>
                </c:pt>
                <c:pt idx="1">
                  <c:v>Couple, two children in care</c:v>
                </c:pt>
                <c:pt idx="2">
                  <c:v>Sole parent, one child in care</c:v>
                </c:pt>
                <c:pt idx="3">
                  <c:v>Sole parent, two children in care</c:v>
                </c:pt>
              </c:strCache>
            </c:strRef>
          </c:cat>
          <c:val>
            <c:numRef>
              <c:f>'10. Policy Replacement - High'!$Z$14:$Z$17</c:f>
              <c:numCache>
                <c:formatCode>"$"#,##0</c:formatCode>
                <c:ptCount val="4"/>
                <c:pt idx="0">
                  <c:v>80000</c:v>
                </c:pt>
                <c:pt idx="1">
                  <c:v>110000</c:v>
                </c:pt>
                <c:pt idx="2">
                  <c:v>70000</c:v>
                </c:pt>
                <c:pt idx="3">
                  <c:v>100000</c:v>
                </c:pt>
              </c:numCache>
            </c:numRef>
          </c:val>
        </c:ser>
        <c:dLbls>
          <c:showLegendKey val="0"/>
          <c:showVal val="0"/>
          <c:showCatName val="0"/>
          <c:showSerName val="0"/>
          <c:showPercent val="0"/>
          <c:showBubbleSize val="0"/>
        </c:dLbls>
        <c:gapWidth val="150"/>
        <c:axId val="176033792"/>
        <c:axId val="176035328"/>
      </c:barChart>
      <c:catAx>
        <c:axId val="176033792"/>
        <c:scaling>
          <c:orientation val="minMax"/>
        </c:scaling>
        <c:delete val="0"/>
        <c:axPos val="b"/>
        <c:majorTickMark val="out"/>
        <c:minorTickMark val="none"/>
        <c:tickLblPos val="nextTo"/>
        <c:crossAx val="176035328"/>
        <c:crosses val="autoZero"/>
        <c:auto val="1"/>
        <c:lblAlgn val="ctr"/>
        <c:lblOffset val="100"/>
        <c:noMultiLvlLbl val="0"/>
      </c:catAx>
      <c:valAx>
        <c:axId val="176035328"/>
        <c:scaling>
          <c:orientation val="minMax"/>
        </c:scaling>
        <c:delete val="0"/>
        <c:axPos val="l"/>
        <c:majorGridlines/>
        <c:numFmt formatCode="&quot;$&quot;#,##0" sourceLinked="1"/>
        <c:majorTickMark val="out"/>
        <c:minorTickMark val="none"/>
        <c:tickLblPos val="nextTo"/>
        <c:crossAx val="17603379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15581E-25E5-4AF8-9970-4B04A274F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6872</Words>
  <Characters>37374</Characters>
  <Application>Microsoft Office Word</Application>
  <DocSecurity>0</DocSecurity>
  <Lines>847</Lines>
  <Paragraphs>208</Paragraphs>
  <ScaleCrop>false</ScaleCrop>
  <HeadingPairs>
    <vt:vector size="2" baseType="variant">
      <vt:variant>
        <vt:lpstr>Title</vt:lpstr>
      </vt:variant>
      <vt:variant>
        <vt:i4>1</vt:i4>
      </vt:variant>
    </vt:vector>
  </HeadingPairs>
  <TitlesOfParts>
    <vt:vector size="1" baseType="lpstr">
      <vt:lpstr>Submission 439 - McMillan Shakespeare Group Ltd - Childcare and Early Childhood Learning - Public inquiry</vt:lpstr>
    </vt:vector>
  </TitlesOfParts>
  <Company>McMillan Shakespeare Group Ltd</Company>
  <LinksUpToDate>false</LinksUpToDate>
  <CharactersWithSpaces>44106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439 - McMillan Shakespeare Group Ltd - Childcare and Early Childhood Learning - Public inquiry</dc:title>
  <dc:creator>McMillan Shakespeare Group Ltd</dc:creator>
  <cp:lastModifiedBy>Productivity Commission</cp:lastModifiedBy>
  <cp:revision>2</cp:revision>
  <cp:lastPrinted>2014-03-25T06:14:00Z</cp:lastPrinted>
  <dcterms:created xsi:type="dcterms:W3CDTF">2014-03-27T02:03:00Z</dcterms:created>
  <dcterms:modified xsi:type="dcterms:W3CDTF">2014-03-27T02:03:00Z</dcterms:modified>
</cp:coreProperties>
</file>