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A38B05" w14:textId="77777777" w:rsidR="00146713" w:rsidRPr="00B611A6" w:rsidRDefault="00146713" w:rsidP="00146713">
      <w:pPr>
        <w:pStyle w:val="Heading1"/>
        <w:rPr>
          <w:color w:val="FFFFFF" w:themeColor="background1"/>
        </w:rPr>
      </w:pPr>
      <w:bookmarkStart w:id="0" w:name="ChapterNumber"/>
      <w:bookmarkStart w:id="1" w:name="_Toc488929968"/>
      <w:bookmarkStart w:id="2" w:name="_Toc489250050"/>
      <w:bookmarkEnd w:id="0"/>
      <w:r>
        <w:rPr>
          <w:noProof/>
          <w:color w:val="FFFFFF" w:themeColor="background1"/>
        </w:rPr>
        <w:drawing>
          <wp:anchor distT="0" distB="0" distL="114300" distR="114300" simplePos="0" relativeHeight="251658240" behindDoc="0" locked="0" layoutInCell="1" allowOverlap="1" wp14:anchorId="1EA3963A" wp14:editId="3BC4418F">
            <wp:simplePos x="0" y="0"/>
            <wp:positionH relativeFrom="page">
              <wp:align>right</wp:align>
            </wp:positionH>
            <wp:positionV relativeFrom="paragraph">
              <wp:posOffset>-1291070</wp:posOffset>
            </wp:positionV>
            <wp:extent cx="7558767" cy="10691998"/>
            <wp:effectExtent l="0" t="0" r="4445" b="0"/>
            <wp:wrapNone/>
            <wp:docPr id="21" name="Picture 21" descr="Cover of Supporting paper 5: Integrat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prod-review-supporting-papers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8767" cy="10691998"/>
                    </a:xfrm>
                    <a:prstGeom prst="rect">
                      <a:avLst/>
                    </a:prstGeom>
                  </pic:spPr>
                </pic:pic>
              </a:graphicData>
            </a:graphic>
            <wp14:sizeRelH relativeFrom="margin">
              <wp14:pctWidth>0</wp14:pctWidth>
            </wp14:sizeRelH>
            <wp14:sizeRelV relativeFrom="margin">
              <wp14:pctHeight>0</wp14:pctHeight>
            </wp14:sizeRelV>
          </wp:anchor>
        </w:drawing>
      </w:r>
      <w:r w:rsidRPr="00B611A6">
        <w:rPr>
          <w:color w:val="FFFFFF" w:themeColor="background1"/>
        </w:rPr>
        <w:t>Integrated care</w:t>
      </w:r>
      <w:bookmarkEnd w:id="1"/>
      <w:bookmarkEnd w:id="2"/>
    </w:p>
    <w:p w14:paraId="1EA38B06" w14:textId="77777777" w:rsidR="00146713" w:rsidRDefault="00146713" w:rsidP="00146713">
      <w:pPr>
        <w:pStyle w:val="BodyText"/>
        <w:rPr>
          <w:rFonts w:ascii="Arial" w:hAnsi="Arial"/>
          <w:sz w:val="22"/>
          <w:szCs w:val="26"/>
        </w:rPr>
      </w:pPr>
      <w:r w:rsidRPr="00B611A6">
        <w:rPr>
          <w:color w:val="FFFFFF" w:themeColor="background1"/>
        </w:rPr>
        <w:t>Shifting the Dial: 5 year Productivity Review — Supporting Paper No.8, Canberra, August 2017</w:t>
      </w:r>
      <w:r>
        <w:br w:type="page"/>
      </w:r>
    </w:p>
    <w:p w14:paraId="1EA38B07" w14:textId="77777777" w:rsidR="00146713" w:rsidRDefault="00146713" w:rsidP="00146713">
      <w:pPr>
        <w:pStyle w:val="Copyrightsubtitle"/>
        <w:spacing w:before="0"/>
      </w:pPr>
      <w:r w:rsidRPr="008C305F">
        <w:lastRenderedPageBreak/>
        <w:fldChar w:fldCharType="begin"/>
      </w:r>
      <w:r w:rsidRPr="008C305F">
        <w:instrText>SYMBOL 227 \f "Symbol"</w:instrText>
      </w:r>
      <w:r w:rsidRPr="008C305F">
        <w:fldChar w:fldCharType="end"/>
      </w:r>
      <w:r w:rsidRPr="008C305F">
        <w:t xml:space="preserve"> Commonwealth of Australia </w:t>
      </w:r>
      <w:r>
        <w:t>2017</w:t>
      </w:r>
    </w:p>
    <w:p w14:paraId="1EA38B08" w14:textId="77777777" w:rsidR="00146713" w:rsidRPr="007809B8" w:rsidRDefault="00146713" w:rsidP="00146713">
      <w:pPr>
        <w:pStyle w:val="BodyText"/>
        <w:tabs>
          <w:tab w:val="left" w:pos="851"/>
        </w:tabs>
        <w:spacing w:before="80" w:after="80"/>
        <w:jc w:val="left"/>
        <w:rPr>
          <w:b/>
        </w:rPr>
      </w:pPr>
      <w:r>
        <w:rPr>
          <w:b/>
        </w:rPr>
        <w:t>ISBN</w:t>
      </w:r>
      <w:r>
        <w:rPr>
          <w:b/>
        </w:rPr>
        <w:tab/>
      </w:r>
      <w:r w:rsidRPr="00667C72">
        <w:rPr>
          <w:b/>
        </w:rPr>
        <w:t>978-1-74037-633-4</w:t>
      </w:r>
      <w:r>
        <w:rPr>
          <w:b/>
        </w:rPr>
        <w:t xml:space="preserve"> (PDF)</w:t>
      </w:r>
    </w:p>
    <w:p w14:paraId="1EA38B09" w14:textId="77777777" w:rsidR="00146713" w:rsidRDefault="00146713" w:rsidP="00146713">
      <w:pPr>
        <w:pStyle w:val="BodyText"/>
        <w:spacing w:before="120" w:after="120"/>
      </w:pPr>
      <w:r w:rsidRPr="00862D8F">
        <w:rPr>
          <w:noProof/>
          <w:sz w:val="22"/>
          <w:szCs w:val="22"/>
        </w:rPr>
        <w:drawing>
          <wp:inline distT="0" distB="0" distL="0" distR="0" wp14:anchorId="1EA3963C" wp14:editId="1EA3963D">
            <wp:extent cx="843280" cy="295043"/>
            <wp:effectExtent l="0" t="0" r="0" b="0"/>
            <wp:docPr id="23" name="Picture 23"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1EA38B0A" w14:textId="77777777" w:rsidR="00146713" w:rsidRPr="008A3857" w:rsidRDefault="00146713" w:rsidP="00146713">
      <w:pPr>
        <w:pStyle w:val="Copyrightbodytext"/>
      </w:pPr>
      <w:r w:rsidRPr="008A3857">
        <w:t xml:space="preserve">Except for the Commonwealth Coat of Arms and content supplied by third parties, this copyright work is licensed under a Creative Commons Attribution 3.0 Australia licence. To view a copy of this licence, visit </w:t>
      </w:r>
      <w:r w:rsidRPr="00805FD7">
        <w:t>http://creativecommons.org/licenses/by/3.0/au</w:t>
      </w:r>
      <w:r w:rsidRPr="008A3857">
        <w:rPr>
          <w:szCs w:val="24"/>
        </w:rPr>
        <w:t>.</w:t>
      </w:r>
      <w:r w:rsidRPr="008A3857">
        <w:t xml:space="preserve"> In essence, you are free to copy, communicate and adapt the work, as long as you attribute the work to the Productivity Commission (but not in any way that suggests the Commission endorses you or your use) and abide by the other licence terms.</w:t>
      </w:r>
    </w:p>
    <w:p w14:paraId="1EA38B0B" w14:textId="77777777" w:rsidR="00146713" w:rsidRPr="008A3857" w:rsidRDefault="00146713" w:rsidP="00146713">
      <w:pPr>
        <w:pStyle w:val="Copyrightsubtitle"/>
        <w:spacing w:before="160"/>
      </w:pPr>
      <w:r w:rsidRPr="008A3857">
        <w:t>Use of the Commonwealth Coat of Arms</w:t>
      </w:r>
    </w:p>
    <w:p w14:paraId="1EA38B0C" w14:textId="77777777" w:rsidR="00146713" w:rsidRPr="008A3857" w:rsidRDefault="00146713" w:rsidP="00146713">
      <w:pPr>
        <w:pStyle w:val="Copyrightbodytext"/>
      </w:pPr>
      <w:r w:rsidRPr="008A3857">
        <w:t>For terms of use of the Coat of Arms visit the ‘</w:t>
      </w:r>
      <w:r w:rsidRPr="00805FD7">
        <w:t>It’s an Honour</w:t>
      </w:r>
      <w:r w:rsidRPr="008A3857">
        <w:t>’ website</w:t>
      </w:r>
      <w:r w:rsidRPr="00BA0B81">
        <w:t xml:space="preserve">: </w:t>
      </w:r>
      <w:r w:rsidRPr="00805FD7">
        <w:t>http://www.itsanhonour.gov.au</w:t>
      </w:r>
    </w:p>
    <w:p w14:paraId="1EA38B0D" w14:textId="77777777" w:rsidR="00146713" w:rsidRPr="008A3857" w:rsidRDefault="00146713" w:rsidP="00146713">
      <w:pPr>
        <w:pStyle w:val="Copyrightsubtitle"/>
        <w:spacing w:before="160"/>
      </w:pPr>
      <w:r w:rsidRPr="008A3857">
        <w:t>Third party copyright</w:t>
      </w:r>
    </w:p>
    <w:p w14:paraId="1EA38B0E" w14:textId="77777777" w:rsidR="00146713" w:rsidRPr="008A3857" w:rsidRDefault="00146713" w:rsidP="00146713">
      <w:pPr>
        <w:pStyle w:val="Copyrightbodytext"/>
      </w:pPr>
      <w:r w:rsidRPr="008A3857">
        <w:t>Wherever a third party holds copyright in this material, the copyright remains with that party. Their permission may be required to use the material, please contact them directly.</w:t>
      </w:r>
    </w:p>
    <w:p w14:paraId="1EA38B0F" w14:textId="77777777" w:rsidR="00146713" w:rsidRPr="008A3857" w:rsidRDefault="00146713" w:rsidP="007B5BF4">
      <w:pPr>
        <w:pStyle w:val="Copyrightsubtitle"/>
        <w:spacing w:before="160"/>
      </w:pPr>
      <w:r w:rsidRPr="008A3857">
        <w:t>Attribution</w:t>
      </w:r>
    </w:p>
    <w:p w14:paraId="1EA38B10" w14:textId="21512B5B" w:rsidR="00146713" w:rsidRPr="008A3857" w:rsidRDefault="00146713" w:rsidP="00146713">
      <w:pPr>
        <w:pStyle w:val="Copyrightbodytext"/>
      </w:pPr>
      <w:r w:rsidRPr="008A3857">
        <w:t xml:space="preserve">This work should be attributed as follows, </w:t>
      </w:r>
      <w:r>
        <w:rPr>
          <w:i/>
        </w:rPr>
        <w:t>So</w:t>
      </w:r>
      <w:r w:rsidR="00830661">
        <w:rPr>
          <w:i/>
        </w:rPr>
        <w:t>urce: Productivity Commission, Integrated C</w:t>
      </w:r>
      <w:r w:rsidRPr="00104F29">
        <w:rPr>
          <w:i/>
        </w:rPr>
        <w:t>are</w:t>
      </w:r>
      <w:r>
        <w:rPr>
          <w:i/>
        </w:rPr>
        <w:t>, Shifting the Dial: 5 year Productivity Review</w:t>
      </w:r>
      <w:r w:rsidR="00830661">
        <w:t xml:space="preserve">, </w:t>
      </w:r>
      <w:r>
        <w:rPr>
          <w:i/>
        </w:rPr>
        <w:t xml:space="preserve">Supporting Paper No. </w:t>
      </w:r>
      <w:r w:rsidR="00F813E7">
        <w:rPr>
          <w:i/>
        </w:rPr>
        <w:t>5</w:t>
      </w:r>
      <w:r>
        <w:rPr>
          <w:i/>
        </w:rPr>
        <w:t>.</w:t>
      </w:r>
    </w:p>
    <w:p w14:paraId="1EA38B11" w14:textId="0450955A" w:rsidR="00146713" w:rsidRPr="008A3857" w:rsidRDefault="00146713" w:rsidP="00146713">
      <w:pPr>
        <w:pStyle w:val="Copyrightbodytext"/>
      </w:pPr>
      <w:r w:rsidRPr="008A3857">
        <w:t xml:space="preserve">If you have adapted, modified or transformed this work in anyway, please use the following, </w:t>
      </w:r>
      <w:r w:rsidRPr="008E242D">
        <w:rPr>
          <w:i/>
        </w:rPr>
        <w:t>Source: based on Productivity Commission</w:t>
      </w:r>
      <w:r>
        <w:rPr>
          <w:i/>
        </w:rPr>
        <w:t xml:space="preserve"> data,</w:t>
      </w:r>
      <w:r w:rsidRPr="00FA5F03">
        <w:rPr>
          <w:i/>
        </w:rPr>
        <w:t xml:space="preserve"> </w:t>
      </w:r>
      <w:r w:rsidR="00830661">
        <w:rPr>
          <w:i/>
        </w:rPr>
        <w:t>Integrated C</w:t>
      </w:r>
      <w:r w:rsidR="00830661" w:rsidRPr="00104F29">
        <w:rPr>
          <w:i/>
        </w:rPr>
        <w:t>are</w:t>
      </w:r>
      <w:r>
        <w:rPr>
          <w:i/>
        </w:rPr>
        <w:t>, Shifting the Dial: 5 year Productivity Review</w:t>
      </w:r>
      <w:r w:rsidRPr="00713D24">
        <w:t xml:space="preserve"> </w:t>
      </w:r>
      <w:r>
        <w:t xml:space="preserve">— </w:t>
      </w:r>
      <w:r>
        <w:rPr>
          <w:i/>
        </w:rPr>
        <w:t xml:space="preserve">Supporting Paper No. </w:t>
      </w:r>
      <w:r w:rsidR="00F813E7">
        <w:rPr>
          <w:i/>
        </w:rPr>
        <w:t>5</w:t>
      </w:r>
      <w:r>
        <w:rPr>
          <w:i/>
        </w:rPr>
        <w:t>.</w:t>
      </w:r>
    </w:p>
    <w:p w14:paraId="1EA38B12" w14:textId="77777777" w:rsidR="00146713" w:rsidRPr="008A3857" w:rsidRDefault="00146713" w:rsidP="00146713">
      <w:pPr>
        <w:pStyle w:val="Copyrightsubtitle"/>
        <w:spacing w:before="160"/>
      </w:pPr>
      <w:r w:rsidRPr="008A3857">
        <w:t xml:space="preserve">An appropriate </w:t>
      </w:r>
      <w:r>
        <w:t>reference</w:t>
      </w:r>
      <w:r w:rsidRPr="008A3857">
        <w:t xml:space="preserve"> for this publication is:</w:t>
      </w:r>
    </w:p>
    <w:p w14:paraId="1EA38B13" w14:textId="4ACA5814" w:rsidR="00146713" w:rsidRDefault="00146713" w:rsidP="00146713">
      <w:pPr>
        <w:pStyle w:val="Copyrightbodytext"/>
        <w:rPr>
          <w:b/>
        </w:rPr>
      </w:pPr>
      <w:r>
        <w:t xml:space="preserve">Productivity Commission 2017, </w:t>
      </w:r>
      <w:r w:rsidR="00830661">
        <w:rPr>
          <w:i/>
        </w:rPr>
        <w:t>Integrated C</w:t>
      </w:r>
      <w:r w:rsidRPr="00104F29">
        <w:rPr>
          <w:i/>
        </w:rPr>
        <w:t>are</w:t>
      </w:r>
      <w:r>
        <w:rPr>
          <w:i/>
        </w:rPr>
        <w:t xml:space="preserve">, </w:t>
      </w:r>
      <w:r>
        <w:t xml:space="preserve">Shifting the Dial: 5 year </w:t>
      </w:r>
      <w:r w:rsidRPr="00713D24">
        <w:t>Productivity Review</w:t>
      </w:r>
      <w:r w:rsidR="00830661">
        <w:t xml:space="preserve">, </w:t>
      </w:r>
      <w:r w:rsidRPr="00713D24">
        <w:t xml:space="preserve">Supporting Paper No. </w:t>
      </w:r>
      <w:r w:rsidR="00F813E7">
        <w:t>5</w:t>
      </w:r>
      <w:r w:rsidRPr="00713D24">
        <w:t>, Canberra.</w:t>
      </w:r>
    </w:p>
    <w:p w14:paraId="1EA38B14" w14:textId="77777777" w:rsidR="00146713" w:rsidRPr="008A3857" w:rsidRDefault="00146713" w:rsidP="00146713">
      <w:pPr>
        <w:pStyle w:val="Copyrightsubtitle"/>
        <w:spacing w:before="160"/>
      </w:pPr>
      <w:r w:rsidRPr="008A3857">
        <w:t>Publications enquiries</w:t>
      </w:r>
    </w:p>
    <w:p w14:paraId="1EA38B15" w14:textId="77777777" w:rsidR="00146713" w:rsidRDefault="00146713" w:rsidP="00146713">
      <w:pPr>
        <w:pStyle w:val="Copyrightbodytext"/>
        <w:rPr>
          <w:szCs w:val="24"/>
        </w:rPr>
      </w:pPr>
      <w:r w:rsidRPr="008A3857">
        <w:t xml:space="preserve">Media and Publications, </w:t>
      </w:r>
      <w:r>
        <w:rPr>
          <w:szCs w:val="24"/>
        </w:rPr>
        <w:t>phone:</w:t>
      </w:r>
      <w:r w:rsidRPr="00BB5DCF">
        <w:rPr>
          <w:szCs w:val="24"/>
        </w:rPr>
        <w:t xml:space="preserve"> (03) 9653 2244 or email: </w:t>
      </w:r>
      <w:r w:rsidRPr="00084511">
        <w:rPr>
          <w:szCs w:val="24"/>
        </w:rPr>
        <w:t>maps@pc.gov.au</w:t>
      </w:r>
    </w:p>
    <w:p w14:paraId="1EA38B16" w14:textId="77777777" w:rsidR="00146713" w:rsidRDefault="00146713" w:rsidP="00146713">
      <w:pPr>
        <w:pStyle w:val="BoxSpaceAbove"/>
        <w:spacing w:before="80"/>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146713" w14:paraId="1EA38B18" w14:textId="77777777" w:rsidTr="00E6063C">
        <w:tc>
          <w:tcPr>
            <w:tcW w:w="8771" w:type="dxa"/>
            <w:tcBorders>
              <w:top w:val="single" w:sz="6" w:space="0" w:color="78A22F"/>
              <w:left w:val="nil"/>
              <w:bottom w:val="nil"/>
              <w:right w:val="nil"/>
            </w:tcBorders>
            <w:shd w:val="clear" w:color="auto" w:fill="F2F2F2" w:themeFill="background1" w:themeFillShade="F2"/>
          </w:tcPr>
          <w:p w14:paraId="1EA38B17" w14:textId="77777777" w:rsidR="00146713" w:rsidRPr="007B5BF4" w:rsidRDefault="00146713" w:rsidP="00384990">
            <w:pPr>
              <w:pStyle w:val="BoxTitle"/>
              <w:rPr>
                <w:sz w:val="20"/>
                <w:szCs w:val="20"/>
              </w:rPr>
            </w:pPr>
            <w:r w:rsidRPr="007B5BF4">
              <w:rPr>
                <w:sz w:val="20"/>
                <w:szCs w:val="20"/>
              </w:rPr>
              <w:t>The Productivity Commission</w:t>
            </w:r>
          </w:p>
        </w:tc>
      </w:tr>
      <w:tr w:rsidR="00146713" w14:paraId="1EA38B1C" w14:textId="77777777" w:rsidTr="00E6063C">
        <w:tc>
          <w:tcPr>
            <w:tcW w:w="8771" w:type="dxa"/>
            <w:tcBorders>
              <w:top w:val="nil"/>
              <w:left w:val="nil"/>
              <w:bottom w:val="nil"/>
              <w:right w:val="nil"/>
            </w:tcBorders>
            <w:shd w:val="clear" w:color="auto" w:fill="F2F2F2" w:themeFill="background1" w:themeFillShade="F2"/>
          </w:tcPr>
          <w:p w14:paraId="1EA38B19" w14:textId="77777777" w:rsidR="00384990" w:rsidRDefault="00384990" w:rsidP="007B5BF4">
            <w:pPr>
              <w:pStyle w:val="Box"/>
              <w:spacing w:before="80"/>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1EA38B1A" w14:textId="77777777" w:rsidR="00384990" w:rsidRDefault="00384990" w:rsidP="007B5BF4">
            <w:pPr>
              <w:pStyle w:val="Box"/>
              <w:spacing w:before="80"/>
            </w:pPr>
            <w:r w:rsidRPr="00BB5DCF">
              <w:t>The Commission’s independence is underpinned by an Act of Parliament. Its processes and outputs are open to public scrutiny and are driven by concern for the wellbeing of the community as a whole.</w:t>
            </w:r>
          </w:p>
          <w:p w14:paraId="1EA38B1B" w14:textId="77777777" w:rsidR="00146713" w:rsidRDefault="00384990" w:rsidP="007B5BF4">
            <w:pPr>
              <w:pStyle w:val="Box"/>
              <w:spacing w:before="80"/>
            </w:pPr>
            <w:r w:rsidRPr="00BB5DCF">
              <w:rPr>
                <w:szCs w:val="24"/>
              </w:rPr>
              <w:t>Further information on the Productivity Commission can be obtained from the Commission’s website (</w:t>
            </w:r>
            <w:hyperlink r:id="rId16" w:history="1">
              <w:r w:rsidRPr="00805FD7">
                <w:t>www.pc.gov.au</w:t>
              </w:r>
            </w:hyperlink>
            <w:r w:rsidRPr="00BB5DCF">
              <w:rPr>
                <w:szCs w:val="24"/>
              </w:rPr>
              <w:t>)</w:t>
            </w:r>
            <w:r>
              <w:rPr>
                <w:szCs w:val="24"/>
              </w:rPr>
              <w:t>.</w:t>
            </w:r>
          </w:p>
        </w:tc>
      </w:tr>
      <w:tr w:rsidR="00146713" w14:paraId="1EA38B1E" w14:textId="77777777" w:rsidTr="00E6063C">
        <w:tc>
          <w:tcPr>
            <w:tcW w:w="8771" w:type="dxa"/>
            <w:tcBorders>
              <w:top w:val="nil"/>
              <w:left w:val="nil"/>
              <w:bottom w:val="single" w:sz="6" w:space="0" w:color="78A22F"/>
              <w:right w:val="nil"/>
            </w:tcBorders>
            <w:shd w:val="clear" w:color="auto" w:fill="F2F2F2" w:themeFill="background1" w:themeFillShade="F2"/>
          </w:tcPr>
          <w:p w14:paraId="1EA38B1D" w14:textId="77777777" w:rsidR="00146713" w:rsidRDefault="00146713" w:rsidP="003D243B">
            <w:pPr>
              <w:pStyle w:val="Box"/>
              <w:spacing w:before="0" w:line="120" w:lineRule="exact"/>
            </w:pPr>
          </w:p>
        </w:tc>
      </w:tr>
    </w:tbl>
    <w:p w14:paraId="1EA38B1F" w14:textId="77777777" w:rsidR="00384990" w:rsidRDefault="00384990" w:rsidP="00384990">
      <w:pPr>
        <w:pStyle w:val="Box"/>
        <w:sectPr w:rsidR="00384990" w:rsidSect="00146713">
          <w:footerReference w:type="even" r:id="rId17"/>
          <w:footerReference w:type="default" r:id="rId18"/>
          <w:type w:val="oddPage"/>
          <w:pgSz w:w="11907" w:h="16840" w:code="9"/>
          <w:pgMar w:top="1985" w:right="1304" w:bottom="1418" w:left="1814" w:header="1701" w:footer="567" w:gutter="0"/>
          <w:pgNumType w:start="1" w:chapSep="period"/>
          <w:cols w:space="720"/>
        </w:sectPr>
      </w:pPr>
      <w:bookmarkStart w:id="3" w:name="_Toc488929969"/>
      <w:bookmarkStart w:id="4" w:name="_Toc489250051"/>
    </w:p>
    <w:p w14:paraId="1EA38B20" w14:textId="77777777" w:rsidR="000B3830" w:rsidRPr="000B3830" w:rsidRDefault="00146713" w:rsidP="00CF785F">
      <w:pPr>
        <w:pStyle w:val="Heading1"/>
      </w:pPr>
      <w:r>
        <w:lastRenderedPageBreak/>
        <w:t>Contents</w:t>
      </w:r>
      <w:bookmarkEnd w:id="3"/>
      <w:bookmarkEnd w:id="4"/>
    </w:p>
    <w:sdt>
      <w:sdtPr>
        <w:rPr>
          <w:rFonts w:ascii="Times New Roman" w:hAnsi="Times New Roman"/>
          <w:b w:val="0"/>
          <w:kern w:val="28"/>
          <w:sz w:val="52"/>
          <w:szCs w:val="24"/>
          <w:lang w:eastAsia="en-AU"/>
        </w:rPr>
        <w:id w:val="-1896505384"/>
        <w:docPartObj>
          <w:docPartGallery w:val="Table of Contents"/>
          <w:docPartUnique/>
        </w:docPartObj>
      </w:sdtPr>
      <w:sdtEndPr>
        <w:rPr>
          <w:kern w:val="0"/>
          <w:sz w:val="24"/>
        </w:rPr>
      </w:sdtEndPr>
      <w:sdtContent>
        <w:p w14:paraId="1EA38B21" w14:textId="77777777" w:rsidR="00905851" w:rsidRDefault="00905851">
          <w:pPr>
            <w:pStyle w:val="TOC1"/>
            <w:rPr>
              <w:rFonts w:asciiTheme="minorHAnsi" w:eastAsiaTheme="minorEastAsia" w:hAnsiTheme="minorHAnsi"/>
              <w:b w:val="0"/>
              <w:noProof/>
              <w:sz w:val="22"/>
              <w:szCs w:val="22"/>
              <w:lang w:eastAsia="en-AU"/>
            </w:rPr>
          </w:pPr>
          <w:r>
            <w:rPr>
              <w:noProof/>
            </w:rPr>
            <w:t>1</w:t>
          </w:r>
          <w:r>
            <w:rPr>
              <w:rFonts w:asciiTheme="minorHAnsi" w:eastAsiaTheme="minorEastAsia" w:hAnsiTheme="minorHAnsi"/>
              <w:b w:val="0"/>
              <w:noProof/>
              <w:sz w:val="22"/>
              <w:szCs w:val="22"/>
              <w:lang w:eastAsia="en-AU"/>
            </w:rPr>
            <w:tab/>
          </w:r>
          <w:r>
            <w:rPr>
              <w:noProof/>
            </w:rPr>
            <w:t>What should be the direction of Australia’s health care system?</w:t>
          </w:r>
          <w:r>
            <w:rPr>
              <w:noProof/>
            </w:rPr>
            <w:tab/>
          </w:r>
          <w:r w:rsidR="001E0A9C">
            <w:rPr>
              <w:noProof/>
            </w:rPr>
            <w:t>3</w:t>
          </w:r>
        </w:p>
        <w:p w14:paraId="1EA38B22" w14:textId="77777777" w:rsidR="00905851" w:rsidRDefault="00905851">
          <w:pPr>
            <w:pStyle w:val="TOC2"/>
            <w:tabs>
              <w:tab w:val="left" w:pos="1134"/>
            </w:tabs>
            <w:rPr>
              <w:rFonts w:asciiTheme="minorHAnsi" w:eastAsiaTheme="minorEastAsia" w:hAnsiTheme="minorHAnsi"/>
              <w:noProof/>
              <w:sz w:val="22"/>
              <w:szCs w:val="22"/>
              <w:lang w:eastAsia="en-AU"/>
            </w:rPr>
          </w:pPr>
          <w:r>
            <w:rPr>
              <w:noProof/>
            </w:rPr>
            <w:t>1.1</w:t>
          </w:r>
          <w:r>
            <w:rPr>
              <w:rFonts w:asciiTheme="minorHAnsi" w:eastAsiaTheme="minorEastAsia" w:hAnsiTheme="minorHAnsi"/>
              <w:noProof/>
              <w:sz w:val="22"/>
              <w:szCs w:val="22"/>
              <w:lang w:eastAsia="en-AU"/>
            </w:rPr>
            <w:tab/>
          </w:r>
          <w:r>
            <w:rPr>
              <w:noProof/>
            </w:rPr>
            <w:t>Introduction</w:t>
          </w:r>
          <w:r>
            <w:rPr>
              <w:noProof/>
            </w:rPr>
            <w:tab/>
          </w:r>
          <w:r w:rsidR="001E0A9C">
            <w:rPr>
              <w:noProof/>
            </w:rPr>
            <w:t>3</w:t>
          </w:r>
        </w:p>
        <w:p w14:paraId="1EA38B23" w14:textId="77777777" w:rsidR="00905851" w:rsidRDefault="00905851">
          <w:pPr>
            <w:pStyle w:val="TOC2"/>
            <w:tabs>
              <w:tab w:val="left" w:pos="1134"/>
            </w:tabs>
            <w:rPr>
              <w:rFonts w:asciiTheme="minorHAnsi" w:eastAsiaTheme="minorEastAsia" w:hAnsiTheme="minorHAnsi"/>
              <w:noProof/>
              <w:sz w:val="22"/>
              <w:szCs w:val="22"/>
              <w:lang w:eastAsia="en-AU"/>
            </w:rPr>
          </w:pPr>
          <w:r>
            <w:rPr>
              <w:noProof/>
            </w:rPr>
            <w:t>1.2</w:t>
          </w:r>
          <w:r>
            <w:rPr>
              <w:rFonts w:asciiTheme="minorHAnsi" w:eastAsiaTheme="minorEastAsia" w:hAnsiTheme="minorHAnsi"/>
              <w:noProof/>
              <w:sz w:val="22"/>
              <w:szCs w:val="22"/>
              <w:lang w:eastAsia="en-AU"/>
            </w:rPr>
            <w:tab/>
          </w:r>
          <w:r>
            <w:rPr>
              <w:noProof/>
            </w:rPr>
            <w:t xml:space="preserve">Seamless </w:t>
          </w:r>
          <w:r w:rsidRPr="00527BC5">
            <w:rPr>
              <w:i/>
              <w:noProof/>
            </w:rPr>
            <w:t>and</w:t>
          </w:r>
          <w:r>
            <w:rPr>
              <w:noProof/>
            </w:rPr>
            <w:t xml:space="preserve"> patient</w:t>
          </w:r>
          <w:r>
            <w:rPr>
              <w:noProof/>
            </w:rPr>
            <w:noBreakHyphen/>
            <w:t>centred care</w:t>
          </w:r>
          <w:r>
            <w:rPr>
              <w:noProof/>
            </w:rPr>
            <w:tab/>
          </w:r>
          <w:r w:rsidR="001E0A9C">
            <w:rPr>
              <w:noProof/>
            </w:rPr>
            <w:t>6</w:t>
          </w:r>
        </w:p>
        <w:p w14:paraId="1EA38B24" w14:textId="77777777" w:rsidR="00905851" w:rsidRDefault="00905851">
          <w:pPr>
            <w:pStyle w:val="TOC2"/>
            <w:tabs>
              <w:tab w:val="left" w:pos="1134"/>
            </w:tabs>
            <w:rPr>
              <w:rFonts w:asciiTheme="minorHAnsi" w:eastAsiaTheme="minorEastAsia" w:hAnsiTheme="minorHAnsi"/>
              <w:noProof/>
              <w:sz w:val="22"/>
              <w:szCs w:val="22"/>
              <w:lang w:eastAsia="en-AU"/>
            </w:rPr>
          </w:pPr>
          <w:r>
            <w:rPr>
              <w:noProof/>
            </w:rPr>
            <w:t>1.3</w:t>
          </w:r>
          <w:r>
            <w:rPr>
              <w:rFonts w:asciiTheme="minorHAnsi" w:eastAsiaTheme="minorEastAsia" w:hAnsiTheme="minorHAnsi"/>
              <w:noProof/>
              <w:sz w:val="22"/>
              <w:szCs w:val="22"/>
              <w:lang w:eastAsia="en-AU"/>
            </w:rPr>
            <w:tab/>
          </w:r>
          <w:r>
            <w:rPr>
              <w:noProof/>
            </w:rPr>
            <w:t>There is a consensus that a patient</w:t>
          </w:r>
          <w:r>
            <w:rPr>
              <w:noProof/>
            </w:rPr>
            <w:noBreakHyphen/>
            <w:t>centred integrated care approach is the right way to go</w:t>
          </w:r>
          <w:r>
            <w:rPr>
              <w:noProof/>
            </w:rPr>
            <w:tab/>
          </w:r>
          <w:r w:rsidR="001E0A9C">
            <w:rPr>
              <w:noProof/>
            </w:rPr>
            <w:t>7</w:t>
          </w:r>
        </w:p>
        <w:p w14:paraId="1EA38B25" w14:textId="77777777" w:rsidR="00905851" w:rsidRDefault="00905851">
          <w:pPr>
            <w:pStyle w:val="TOC1"/>
            <w:rPr>
              <w:rFonts w:asciiTheme="minorHAnsi" w:eastAsiaTheme="minorEastAsia" w:hAnsiTheme="minorHAnsi"/>
              <w:b w:val="0"/>
              <w:noProof/>
              <w:sz w:val="22"/>
              <w:szCs w:val="22"/>
              <w:lang w:eastAsia="en-AU"/>
            </w:rPr>
          </w:pPr>
          <w:r>
            <w:rPr>
              <w:noProof/>
            </w:rPr>
            <w:t>2</w:t>
          </w:r>
          <w:r>
            <w:rPr>
              <w:rFonts w:asciiTheme="minorHAnsi" w:eastAsiaTheme="minorEastAsia" w:hAnsiTheme="minorHAnsi"/>
              <w:b w:val="0"/>
              <w:noProof/>
              <w:sz w:val="22"/>
              <w:szCs w:val="22"/>
              <w:lang w:eastAsia="en-AU"/>
            </w:rPr>
            <w:tab/>
          </w:r>
          <w:r>
            <w:rPr>
              <w:noProof/>
            </w:rPr>
            <w:t>Patient</w:t>
          </w:r>
          <w:r>
            <w:rPr>
              <w:noProof/>
            </w:rPr>
            <w:noBreakHyphen/>
            <w:t>centred care is unfinished business</w:t>
          </w:r>
          <w:r>
            <w:rPr>
              <w:noProof/>
            </w:rPr>
            <w:tab/>
          </w:r>
          <w:r w:rsidR="00234DAB">
            <w:rPr>
              <w:noProof/>
            </w:rPr>
            <w:t>1</w:t>
          </w:r>
          <w:r w:rsidR="001E0A9C">
            <w:rPr>
              <w:noProof/>
            </w:rPr>
            <w:t>1</w:t>
          </w:r>
        </w:p>
        <w:p w14:paraId="1EA38B26" w14:textId="77777777" w:rsidR="00905851" w:rsidRDefault="00905851">
          <w:pPr>
            <w:pStyle w:val="TOC2"/>
            <w:tabs>
              <w:tab w:val="left" w:pos="1134"/>
            </w:tabs>
            <w:rPr>
              <w:rFonts w:asciiTheme="minorHAnsi" w:eastAsiaTheme="minorEastAsia" w:hAnsiTheme="minorHAnsi"/>
              <w:noProof/>
              <w:sz w:val="22"/>
              <w:szCs w:val="22"/>
              <w:lang w:eastAsia="en-AU"/>
            </w:rPr>
          </w:pPr>
          <w:r>
            <w:rPr>
              <w:noProof/>
            </w:rPr>
            <w:t>2.1</w:t>
          </w:r>
          <w:r>
            <w:rPr>
              <w:rFonts w:asciiTheme="minorHAnsi" w:eastAsiaTheme="minorEastAsia" w:hAnsiTheme="minorHAnsi"/>
              <w:noProof/>
              <w:sz w:val="22"/>
              <w:szCs w:val="22"/>
              <w:lang w:eastAsia="en-AU"/>
            </w:rPr>
            <w:tab/>
          </w:r>
          <w:r>
            <w:rPr>
              <w:noProof/>
            </w:rPr>
            <w:t>Defining the scope of a patient</w:t>
          </w:r>
          <w:r>
            <w:rPr>
              <w:noProof/>
            </w:rPr>
            <w:noBreakHyphen/>
            <w:t>centred model</w:t>
          </w:r>
          <w:r>
            <w:rPr>
              <w:noProof/>
            </w:rPr>
            <w:tab/>
          </w:r>
          <w:r w:rsidR="00234DAB">
            <w:rPr>
              <w:noProof/>
            </w:rPr>
            <w:t>1</w:t>
          </w:r>
          <w:r w:rsidR="001E0A9C">
            <w:rPr>
              <w:noProof/>
            </w:rPr>
            <w:t>1</w:t>
          </w:r>
        </w:p>
        <w:p w14:paraId="1EA38B27" w14:textId="77777777" w:rsidR="00905851" w:rsidRDefault="00905851">
          <w:pPr>
            <w:pStyle w:val="TOC2"/>
            <w:tabs>
              <w:tab w:val="left" w:pos="1134"/>
            </w:tabs>
            <w:rPr>
              <w:rFonts w:asciiTheme="minorHAnsi" w:eastAsiaTheme="minorEastAsia" w:hAnsiTheme="minorHAnsi"/>
              <w:noProof/>
              <w:sz w:val="22"/>
              <w:szCs w:val="22"/>
              <w:lang w:eastAsia="en-AU"/>
            </w:rPr>
          </w:pPr>
          <w:r>
            <w:rPr>
              <w:noProof/>
            </w:rPr>
            <w:t>2.2</w:t>
          </w:r>
          <w:r>
            <w:rPr>
              <w:rFonts w:asciiTheme="minorHAnsi" w:eastAsiaTheme="minorEastAsia" w:hAnsiTheme="minorHAnsi"/>
              <w:noProof/>
              <w:sz w:val="22"/>
              <w:szCs w:val="22"/>
              <w:lang w:eastAsia="en-AU"/>
            </w:rPr>
            <w:tab/>
          </w:r>
          <w:r>
            <w:rPr>
              <w:noProof/>
            </w:rPr>
            <w:t>Patient</w:t>
          </w:r>
          <w:r>
            <w:rPr>
              <w:noProof/>
            </w:rPr>
            <w:noBreakHyphen/>
            <w:t>centred care is not the dominant model in Australia</w:t>
          </w:r>
          <w:r>
            <w:rPr>
              <w:noProof/>
            </w:rPr>
            <w:tab/>
          </w:r>
          <w:r w:rsidR="00234DAB">
            <w:rPr>
              <w:noProof/>
            </w:rPr>
            <w:t>1</w:t>
          </w:r>
          <w:r w:rsidR="001E0A9C">
            <w:rPr>
              <w:noProof/>
            </w:rPr>
            <w:t>2</w:t>
          </w:r>
        </w:p>
        <w:p w14:paraId="1EA38B28" w14:textId="77777777" w:rsidR="00905851" w:rsidRDefault="00905851">
          <w:pPr>
            <w:pStyle w:val="TOC1"/>
            <w:rPr>
              <w:rFonts w:asciiTheme="minorHAnsi" w:eastAsiaTheme="minorEastAsia" w:hAnsiTheme="minorHAnsi"/>
              <w:b w:val="0"/>
              <w:noProof/>
              <w:sz w:val="22"/>
              <w:szCs w:val="22"/>
              <w:lang w:eastAsia="en-AU"/>
            </w:rPr>
          </w:pPr>
          <w:r>
            <w:rPr>
              <w:noProof/>
            </w:rPr>
            <w:t>3</w:t>
          </w:r>
          <w:r>
            <w:rPr>
              <w:rFonts w:asciiTheme="minorHAnsi" w:eastAsiaTheme="minorEastAsia" w:hAnsiTheme="minorHAnsi"/>
              <w:b w:val="0"/>
              <w:noProof/>
              <w:sz w:val="22"/>
              <w:szCs w:val="22"/>
              <w:lang w:eastAsia="en-AU"/>
            </w:rPr>
            <w:tab/>
          </w:r>
          <w:r>
            <w:rPr>
              <w:noProof/>
            </w:rPr>
            <w:t>How can Australia move closer to a patient centred system</w:t>
          </w:r>
          <w:r>
            <w:rPr>
              <w:noProof/>
            </w:rPr>
            <w:tab/>
          </w:r>
          <w:r w:rsidR="00234DAB">
            <w:rPr>
              <w:noProof/>
            </w:rPr>
            <w:t>1</w:t>
          </w:r>
          <w:r w:rsidR="001E0A9C">
            <w:rPr>
              <w:noProof/>
            </w:rPr>
            <w:t>7</w:t>
          </w:r>
        </w:p>
        <w:p w14:paraId="1EA38B29" w14:textId="77777777" w:rsidR="00905851" w:rsidRDefault="00905851">
          <w:pPr>
            <w:pStyle w:val="TOC2"/>
            <w:tabs>
              <w:tab w:val="left" w:pos="1134"/>
            </w:tabs>
            <w:rPr>
              <w:rFonts w:asciiTheme="minorHAnsi" w:eastAsiaTheme="minorEastAsia" w:hAnsiTheme="minorHAnsi"/>
              <w:noProof/>
              <w:sz w:val="22"/>
              <w:szCs w:val="22"/>
              <w:lang w:eastAsia="en-AU"/>
            </w:rPr>
          </w:pPr>
          <w:r>
            <w:rPr>
              <w:noProof/>
            </w:rPr>
            <w:t>3.1</w:t>
          </w:r>
          <w:r>
            <w:rPr>
              <w:rFonts w:asciiTheme="minorHAnsi" w:eastAsiaTheme="minorEastAsia" w:hAnsiTheme="minorHAnsi"/>
              <w:noProof/>
              <w:sz w:val="22"/>
              <w:szCs w:val="22"/>
              <w:lang w:eastAsia="en-AU"/>
            </w:rPr>
            <w:tab/>
          </w:r>
          <w:r>
            <w:rPr>
              <w:noProof/>
            </w:rPr>
            <w:t>Accepting the legitimacy of the concept</w:t>
          </w:r>
          <w:r>
            <w:rPr>
              <w:noProof/>
            </w:rPr>
            <w:tab/>
          </w:r>
          <w:r w:rsidR="00234DAB">
            <w:rPr>
              <w:noProof/>
            </w:rPr>
            <w:t>1</w:t>
          </w:r>
          <w:r w:rsidR="001E0A9C">
            <w:rPr>
              <w:noProof/>
            </w:rPr>
            <w:t>7</w:t>
          </w:r>
        </w:p>
        <w:p w14:paraId="1EA38B2A" w14:textId="77777777" w:rsidR="00905851" w:rsidRDefault="00905851">
          <w:pPr>
            <w:pStyle w:val="TOC2"/>
            <w:tabs>
              <w:tab w:val="left" w:pos="1134"/>
            </w:tabs>
            <w:rPr>
              <w:rFonts w:asciiTheme="minorHAnsi" w:eastAsiaTheme="minorEastAsia" w:hAnsiTheme="minorHAnsi"/>
              <w:noProof/>
              <w:sz w:val="22"/>
              <w:szCs w:val="22"/>
              <w:lang w:eastAsia="en-AU"/>
            </w:rPr>
          </w:pPr>
          <w:r>
            <w:rPr>
              <w:noProof/>
            </w:rPr>
            <w:t>3.2</w:t>
          </w:r>
          <w:r>
            <w:rPr>
              <w:rFonts w:asciiTheme="minorHAnsi" w:eastAsiaTheme="minorEastAsia" w:hAnsiTheme="minorHAnsi"/>
              <w:noProof/>
              <w:sz w:val="22"/>
              <w:szCs w:val="22"/>
              <w:lang w:eastAsia="en-AU"/>
            </w:rPr>
            <w:tab/>
          </w:r>
          <w:r>
            <w:rPr>
              <w:noProof/>
            </w:rPr>
            <w:t>Health literacy</w:t>
          </w:r>
          <w:r>
            <w:rPr>
              <w:noProof/>
            </w:rPr>
            <w:tab/>
          </w:r>
          <w:r w:rsidR="001E0A9C">
            <w:rPr>
              <w:noProof/>
            </w:rPr>
            <w:t>18</w:t>
          </w:r>
        </w:p>
        <w:p w14:paraId="1EA38B2B" w14:textId="77777777" w:rsidR="00905851" w:rsidRDefault="00905851">
          <w:pPr>
            <w:pStyle w:val="TOC2"/>
            <w:tabs>
              <w:tab w:val="left" w:pos="1134"/>
            </w:tabs>
            <w:rPr>
              <w:rFonts w:asciiTheme="minorHAnsi" w:eastAsiaTheme="minorEastAsia" w:hAnsiTheme="minorHAnsi"/>
              <w:noProof/>
              <w:sz w:val="22"/>
              <w:szCs w:val="22"/>
              <w:lang w:eastAsia="en-AU"/>
            </w:rPr>
          </w:pPr>
          <w:r>
            <w:rPr>
              <w:noProof/>
            </w:rPr>
            <w:t>3.3</w:t>
          </w:r>
          <w:r>
            <w:rPr>
              <w:rFonts w:asciiTheme="minorHAnsi" w:eastAsiaTheme="minorEastAsia" w:hAnsiTheme="minorHAnsi"/>
              <w:noProof/>
              <w:sz w:val="22"/>
              <w:szCs w:val="22"/>
              <w:lang w:eastAsia="en-AU"/>
            </w:rPr>
            <w:tab/>
          </w:r>
          <w:r>
            <w:rPr>
              <w:noProof/>
            </w:rPr>
            <w:t>Asking people about their experiences and outcomes</w:t>
          </w:r>
          <w:r>
            <w:rPr>
              <w:noProof/>
            </w:rPr>
            <w:tab/>
          </w:r>
          <w:r w:rsidR="00234DAB">
            <w:rPr>
              <w:noProof/>
            </w:rPr>
            <w:t>2</w:t>
          </w:r>
          <w:r w:rsidR="001E0A9C">
            <w:rPr>
              <w:noProof/>
            </w:rPr>
            <w:t>5</w:t>
          </w:r>
        </w:p>
        <w:p w14:paraId="1EA38B2C" w14:textId="77777777" w:rsidR="00905851" w:rsidRDefault="00905851">
          <w:pPr>
            <w:pStyle w:val="TOC2"/>
            <w:tabs>
              <w:tab w:val="left" w:pos="1134"/>
            </w:tabs>
            <w:rPr>
              <w:rFonts w:asciiTheme="minorHAnsi" w:eastAsiaTheme="minorEastAsia" w:hAnsiTheme="minorHAnsi"/>
              <w:noProof/>
              <w:sz w:val="22"/>
              <w:szCs w:val="22"/>
              <w:lang w:eastAsia="en-AU"/>
            </w:rPr>
          </w:pPr>
          <w:r>
            <w:rPr>
              <w:noProof/>
            </w:rPr>
            <w:t>3.4</w:t>
          </w:r>
          <w:r>
            <w:rPr>
              <w:rFonts w:asciiTheme="minorHAnsi" w:eastAsiaTheme="minorEastAsia" w:hAnsiTheme="minorHAnsi"/>
              <w:noProof/>
              <w:sz w:val="22"/>
              <w:szCs w:val="22"/>
              <w:lang w:eastAsia="en-AU"/>
            </w:rPr>
            <w:tab/>
          </w:r>
          <w:r>
            <w:rPr>
              <w:noProof/>
            </w:rPr>
            <w:t>Targeting patient</w:t>
          </w:r>
          <w:r>
            <w:rPr>
              <w:noProof/>
            </w:rPr>
            <w:noBreakHyphen/>
            <w:t>centred care</w:t>
          </w:r>
          <w:r>
            <w:rPr>
              <w:noProof/>
            </w:rPr>
            <w:tab/>
          </w:r>
          <w:r w:rsidR="001E0A9C">
            <w:rPr>
              <w:noProof/>
            </w:rPr>
            <w:t>28</w:t>
          </w:r>
        </w:p>
        <w:p w14:paraId="1EA38B2D" w14:textId="77777777" w:rsidR="00905851" w:rsidRDefault="00905851">
          <w:pPr>
            <w:pStyle w:val="TOC1"/>
            <w:rPr>
              <w:rFonts w:asciiTheme="minorHAnsi" w:eastAsiaTheme="minorEastAsia" w:hAnsiTheme="minorHAnsi"/>
              <w:b w:val="0"/>
              <w:noProof/>
              <w:sz w:val="22"/>
              <w:szCs w:val="22"/>
              <w:lang w:eastAsia="en-AU"/>
            </w:rPr>
          </w:pPr>
          <w:r>
            <w:rPr>
              <w:noProof/>
            </w:rPr>
            <w:t>4</w:t>
          </w:r>
          <w:r>
            <w:rPr>
              <w:rFonts w:asciiTheme="minorHAnsi" w:eastAsiaTheme="minorEastAsia" w:hAnsiTheme="minorHAnsi"/>
              <w:b w:val="0"/>
              <w:noProof/>
              <w:sz w:val="22"/>
              <w:szCs w:val="22"/>
              <w:lang w:eastAsia="en-AU"/>
            </w:rPr>
            <w:tab/>
          </w:r>
          <w:r>
            <w:rPr>
              <w:noProof/>
            </w:rPr>
            <w:t>A regional approach is needed in collaboration and funding</w:t>
          </w:r>
          <w:r>
            <w:rPr>
              <w:noProof/>
            </w:rPr>
            <w:tab/>
          </w:r>
          <w:r w:rsidR="00234DAB">
            <w:rPr>
              <w:noProof/>
            </w:rPr>
            <w:t>3</w:t>
          </w:r>
          <w:r w:rsidR="001E0A9C">
            <w:rPr>
              <w:noProof/>
            </w:rPr>
            <w:t>1</w:t>
          </w:r>
        </w:p>
        <w:p w14:paraId="1EA38B2E" w14:textId="77777777" w:rsidR="00905851" w:rsidRDefault="00905851">
          <w:pPr>
            <w:pStyle w:val="TOC2"/>
            <w:tabs>
              <w:tab w:val="left" w:pos="1134"/>
            </w:tabs>
            <w:rPr>
              <w:rFonts w:asciiTheme="minorHAnsi" w:eastAsiaTheme="minorEastAsia" w:hAnsiTheme="minorHAnsi"/>
              <w:noProof/>
              <w:sz w:val="22"/>
              <w:szCs w:val="22"/>
              <w:lang w:eastAsia="en-AU"/>
            </w:rPr>
          </w:pPr>
          <w:r>
            <w:rPr>
              <w:noProof/>
            </w:rPr>
            <w:t>4.1</w:t>
          </w:r>
          <w:r>
            <w:rPr>
              <w:rFonts w:asciiTheme="minorHAnsi" w:eastAsiaTheme="minorEastAsia" w:hAnsiTheme="minorHAnsi"/>
              <w:noProof/>
              <w:sz w:val="22"/>
              <w:szCs w:val="22"/>
              <w:lang w:eastAsia="en-AU"/>
            </w:rPr>
            <w:tab/>
          </w:r>
          <w:r>
            <w:rPr>
              <w:noProof/>
            </w:rPr>
            <w:t>Relationships matter</w:t>
          </w:r>
          <w:r>
            <w:rPr>
              <w:noProof/>
            </w:rPr>
            <w:tab/>
          </w:r>
          <w:r w:rsidR="00234DAB">
            <w:rPr>
              <w:noProof/>
            </w:rPr>
            <w:t>3</w:t>
          </w:r>
          <w:r w:rsidR="00290509">
            <w:rPr>
              <w:noProof/>
            </w:rPr>
            <w:t>2</w:t>
          </w:r>
        </w:p>
        <w:p w14:paraId="1EA38B2F" w14:textId="77777777" w:rsidR="00905851" w:rsidRDefault="00905851">
          <w:pPr>
            <w:pStyle w:val="TOC2"/>
            <w:tabs>
              <w:tab w:val="left" w:pos="1134"/>
            </w:tabs>
            <w:rPr>
              <w:rFonts w:asciiTheme="minorHAnsi" w:eastAsiaTheme="minorEastAsia" w:hAnsiTheme="minorHAnsi"/>
              <w:noProof/>
              <w:sz w:val="22"/>
              <w:szCs w:val="22"/>
              <w:lang w:eastAsia="en-AU"/>
            </w:rPr>
          </w:pPr>
          <w:r>
            <w:rPr>
              <w:noProof/>
            </w:rPr>
            <w:t>4.2</w:t>
          </w:r>
          <w:r>
            <w:rPr>
              <w:rFonts w:asciiTheme="minorHAnsi" w:eastAsiaTheme="minorEastAsia" w:hAnsiTheme="minorHAnsi"/>
              <w:noProof/>
              <w:sz w:val="22"/>
              <w:szCs w:val="22"/>
              <w:lang w:eastAsia="en-AU"/>
            </w:rPr>
            <w:tab/>
          </w:r>
          <w:r>
            <w:rPr>
              <w:noProof/>
            </w:rPr>
            <w:t>People and regions vary</w:t>
          </w:r>
          <w:r>
            <w:rPr>
              <w:noProof/>
            </w:rPr>
            <w:tab/>
          </w:r>
          <w:r w:rsidR="00234DAB">
            <w:rPr>
              <w:noProof/>
            </w:rPr>
            <w:t>3</w:t>
          </w:r>
          <w:r w:rsidR="001E0A9C">
            <w:rPr>
              <w:noProof/>
            </w:rPr>
            <w:t>4</w:t>
          </w:r>
        </w:p>
        <w:p w14:paraId="1EA38B30" w14:textId="77777777" w:rsidR="00905851" w:rsidRDefault="00905851">
          <w:pPr>
            <w:pStyle w:val="TOC2"/>
            <w:tabs>
              <w:tab w:val="left" w:pos="1134"/>
            </w:tabs>
            <w:rPr>
              <w:rFonts w:asciiTheme="minorHAnsi" w:eastAsiaTheme="minorEastAsia" w:hAnsiTheme="minorHAnsi"/>
              <w:noProof/>
              <w:sz w:val="22"/>
              <w:szCs w:val="22"/>
              <w:lang w:eastAsia="en-AU"/>
            </w:rPr>
          </w:pPr>
          <w:r>
            <w:rPr>
              <w:noProof/>
            </w:rPr>
            <w:t>4.3</w:t>
          </w:r>
          <w:r>
            <w:rPr>
              <w:rFonts w:asciiTheme="minorHAnsi" w:eastAsiaTheme="minorEastAsia" w:hAnsiTheme="minorHAnsi"/>
              <w:noProof/>
              <w:sz w:val="22"/>
              <w:szCs w:val="22"/>
              <w:lang w:eastAsia="en-AU"/>
            </w:rPr>
            <w:tab/>
          </w:r>
          <w:r>
            <w:rPr>
              <w:noProof/>
            </w:rPr>
            <w:t>Experimentation thrives among diverse thinkers and diverse environments</w:t>
          </w:r>
          <w:r>
            <w:rPr>
              <w:noProof/>
            </w:rPr>
            <w:tab/>
          </w:r>
          <w:r w:rsidR="00234DAB">
            <w:rPr>
              <w:noProof/>
            </w:rPr>
            <w:t>3</w:t>
          </w:r>
          <w:r w:rsidR="00290509">
            <w:rPr>
              <w:noProof/>
            </w:rPr>
            <w:t>5</w:t>
          </w:r>
        </w:p>
        <w:p w14:paraId="1EA38B31" w14:textId="77777777" w:rsidR="00905851" w:rsidRDefault="00905851">
          <w:pPr>
            <w:pStyle w:val="TOC2"/>
            <w:tabs>
              <w:tab w:val="left" w:pos="1134"/>
            </w:tabs>
            <w:rPr>
              <w:rFonts w:asciiTheme="minorHAnsi" w:eastAsiaTheme="minorEastAsia" w:hAnsiTheme="minorHAnsi"/>
              <w:noProof/>
              <w:sz w:val="22"/>
              <w:szCs w:val="22"/>
              <w:lang w:eastAsia="en-AU"/>
            </w:rPr>
          </w:pPr>
          <w:r>
            <w:rPr>
              <w:noProof/>
            </w:rPr>
            <w:t>4.4</w:t>
          </w:r>
          <w:r>
            <w:rPr>
              <w:rFonts w:asciiTheme="minorHAnsi" w:eastAsiaTheme="minorEastAsia" w:hAnsiTheme="minorHAnsi"/>
              <w:noProof/>
              <w:sz w:val="22"/>
              <w:szCs w:val="22"/>
              <w:lang w:eastAsia="en-AU"/>
            </w:rPr>
            <w:tab/>
          </w:r>
          <w:r>
            <w:rPr>
              <w:noProof/>
            </w:rPr>
            <w:t>There should be links to regional community services and public health initiatives</w:t>
          </w:r>
          <w:r>
            <w:rPr>
              <w:noProof/>
            </w:rPr>
            <w:tab/>
          </w:r>
          <w:r w:rsidR="001E0A9C">
            <w:rPr>
              <w:noProof/>
            </w:rPr>
            <w:t>39</w:t>
          </w:r>
        </w:p>
        <w:p w14:paraId="1EA38B32" w14:textId="77777777" w:rsidR="00905851" w:rsidRDefault="00905851">
          <w:pPr>
            <w:pStyle w:val="TOC2"/>
            <w:tabs>
              <w:tab w:val="left" w:pos="1134"/>
            </w:tabs>
            <w:rPr>
              <w:rFonts w:asciiTheme="minorHAnsi" w:eastAsiaTheme="minorEastAsia" w:hAnsiTheme="minorHAnsi"/>
              <w:noProof/>
              <w:sz w:val="22"/>
              <w:szCs w:val="22"/>
              <w:lang w:eastAsia="en-AU"/>
            </w:rPr>
          </w:pPr>
          <w:r>
            <w:rPr>
              <w:noProof/>
            </w:rPr>
            <w:t>4.</w:t>
          </w:r>
          <w:r w:rsidR="00234DAB">
            <w:rPr>
              <w:noProof/>
            </w:rPr>
            <w:t>5</w:t>
          </w:r>
          <w:r>
            <w:rPr>
              <w:rFonts w:asciiTheme="minorHAnsi" w:eastAsiaTheme="minorEastAsia" w:hAnsiTheme="minorHAnsi"/>
              <w:noProof/>
              <w:sz w:val="22"/>
              <w:szCs w:val="22"/>
              <w:lang w:eastAsia="en-AU"/>
            </w:rPr>
            <w:tab/>
          </w:r>
          <w:r>
            <w:rPr>
              <w:noProof/>
            </w:rPr>
            <w:t>Horses for courses — not everything should be devolved</w:t>
          </w:r>
          <w:r>
            <w:rPr>
              <w:noProof/>
            </w:rPr>
            <w:tab/>
          </w:r>
          <w:r w:rsidR="00234DAB">
            <w:rPr>
              <w:noProof/>
            </w:rPr>
            <w:t>4</w:t>
          </w:r>
          <w:r w:rsidR="001E0A9C">
            <w:rPr>
              <w:noProof/>
            </w:rPr>
            <w:t>1</w:t>
          </w:r>
        </w:p>
        <w:p w14:paraId="1EA38B33" w14:textId="77777777" w:rsidR="00905851" w:rsidRDefault="00905851">
          <w:pPr>
            <w:pStyle w:val="TOC1"/>
            <w:rPr>
              <w:rFonts w:asciiTheme="minorHAnsi" w:eastAsiaTheme="minorEastAsia" w:hAnsiTheme="minorHAnsi"/>
              <w:b w:val="0"/>
              <w:noProof/>
              <w:sz w:val="22"/>
              <w:szCs w:val="22"/>
              <w:lang w:eastAsia="en-AU"/>
            </w:rPr>
          </w:pPr>
          <w:r>
            <w:rPr>
              <w:noProof/>
            </w:rPr>
            <w:t>5</w:t>
          </w:r>
          <w:r>
            <w:rPr>
              <w:rFonts w:asciiTheme="minorHAnsi" w:eastAsiaTheme="minorEastAsia" w:hAnsiTheme="minorHAnsi"/>
              <w:b w:val="0"/>
              <w:noProof/>
              <w:sz w:val="22"/>
              <w:szCs w:val="22"/>
              <w:lang w:eastAsia="en-AU"/>
            </w:rPr>
            <w:tab/>
          </w:r>
          <w:r>
            <w:rPr>
              <w:noProof/>
            </w:rPr>
            <w:t>Insufficient incentives for a system</w:t>
          </w:r>
          <w:r>
            <w:rPr>
              <w:noProof/>
            </w:rPr>
            <w:noBreakHyphen/>
            <w:t>wide approach</w:t>
          </w:r>
          <w:r>
            <w:rPr>
              <w:noProof/>
            </w:rPr>
            <w:tab/>
          </w:r>
          <w:r w:rsidR="00234DAB">
            <w:rPr>
              <w:noProof/>
            </w:rPr>
            <w:t>4</w:t>
          </w:r>
          <w:r w:rsidR="001E0A9C">
            <w:rPr>
              <w:noProof/>
            </w:rPr>
            <w:t>5</w:t>
          </w:r>
        </w:p>
        <w:p w14:paraId="1EA38B34" w14:textId="77777777" w:rsidR="00905851" w:rsidRDefault="00905851">
          <w:pPr>
            <w:pStyle w:val="TOC2"/>
            <w:tabs>
              <w:tab w:val="left" w:pos="1134"/>
            </w:tabs>
            <w:rPr>
              <w:rFonts w:asciiTheme="minorHAnsi" w:eastAsiaTheme="minorEastAsia" w:hAnsiTheme="minorHAnsi"/>
              <w:noProof/>
              <w:sz w:val="22"/>
              <w:szCs w:val="22"/>
              <w:lang w:eastAsia="en-AU"/>
            </w:rPr>
          </w:pPr>
          <w:r>
            <w:rPr>
              <w:noProof/>
            </w:rPr>
            <w:t>5.1</w:t>
          </w:r>
          <w:r>
            <w:rPr>
              <w:rFonts w:asciiTheme="minorHAnsi" w:eastAsiaTheme="minorEastAsia" w:hAnsiTheme="minorHAnsi"/>
              <w:noProof/>
              <w:sz w:val="22"/>
              <w:szCs w:val="22"/>
              <w:lang w:eastAsia="en-AU"/>
            </w:rPr>
            <w:tab/>
          </w:r>
          <w:r>
            <w:rPr>
              <w:noProof/>
            </w:rPr>
            <w:t>Activity</w:t>
          </w:r>
          <w:r>
            <w:rPr>
              <w:noProof/>
            </w:rPr>
            <w:noBreakHyphen/>
            <w:t>based funding of hospitals has improved ‘seamless production’, but only within hospitals</w:t>
          </w:r>
          <w:r>
            <w:rPr>
              <w:noProof/>
            </w:rPr>
            <w:tab/>
          </w:r>
          <w:r w:rsidR="00234DAB">
            <w:rPr>
              <w:noProof/>
            </w:rPr>
            <w:t>4</w:t>
          </w:r>
          <w:r w:rsidR="001E0A9C">
            <w:rPr>
              <w:noProof/>
            </w:rPr>
            <w:t>5</w:t>
          </w:r>
        </w:p>
        <w:p w14:paraId="1EA38B35" w14:textId="77777777" w:rsidR="00905851" w:rsidRDefault="00905851">
          <w:pPr>
            <w:pStyle w:val="TOC2"/>
            <w:tabs>
              <w:tab w:val="left" w:pos="1134"/>
            </w:tabs>
            <w:rPr>
              <w:rFonts w:asciiTheme="minorHAnsi" w:eastAsiaTheme="minorEastAsia" w:hAnsiTheme="minorHAnsi"/>
              <w:noProof/>
              <w:sz w:val="22"/>
              <w:szCs w:val="22"/>
              <w:lang w:eastAsia="en-AU"/>
            </w:rPr>
          </w:pPr>
          <w:r>
            <w:rPr>
              <w:noProof/>
            </w:rPr>
            <w:t>5.2</w:t>
          </w:r>
          <w:r>
            <w:rPr>
              <w:rFonts w:asciiTheme="minorHAnsi" w:eastAsiaTheme="minorEastAsia" w:hAnsiTheme="minorHAnsi"/>
              <w:noProof/>
              <w:sz w:val="22"/>
              <w:szCs w:val="22"/>
              <w:lang w:eastAsia="en-AU"/>
            </w:rPr>
            <w:tab/>
          </w:r>
          <w:r>
            <w:rPr>
              <w:noProof/>
            </w:rPr>
            <w:t>Fee</w:t>
          </w:r>
          <w:r>
            <w:rPr>
              <w:noProof/>
            </w:rPr>
            <w:noBreakHyphen/>
            <w:t>for</w:t>
          </w:r>
          <w:r>
            <w:rPr>
              <w:noProof/>
            </w:rPr>
            <w:noBreakHyphen/>
            <w:t>service does not encourage fully</w:t>
          </w:r>
          <w:r>
            <w:rPr>
              <w:noProof/>
            </w:rPr>
            <w:noBreakHyphen/>
            <w:t>integrated care</w:t>
          </w:r>
          <w:r>
            <w:rPr>
              <w:noProof/>
            </w:rPr>
            <w:tab/>
          </w:r>
          <w:r w:rsidR="00234DAB">
            <w:rPr>
              <w:noProof/>
            </w:rPr>
            <w:t>4</w:t>
          </w:r>
          <w:r w:rsidR="001E0A9C">
            <w:rPr>
              <w:noProof/>
            </w:rPr>
            <w:t>7</w:t>
          </w:r>
        </w:p>
        <w:p w14:paraId="1EA38B36" w14:textId="77777777" w:rsidR="00905851" w:rsidRDefault="00905851">
          <w:pPr>
            <w:pStyle w:val="TOC2"/>
            <w:tabs>
              <w:tab w:val="left" w:pos="1134"/>
            </w:tabs>
            <w:rPr>
              <w:rFonts w:asciiTheme="minorHAnsi" w:eastAsiaTheme="minorEastAsia" w:hAnsiTheme="minorHAnsi"/>
              <w:noProof/>
              <w:sz w:val="22"/>
              <w:szCs w:val="22"/>
              <w:lang w:eastAsia="en-AU"/>
            </w:rPr>
          </w:pPr>
          <w:r>
            <w:rPr>
              <w:noProof/>
            </w:rPr>
            <w:t>5.3</w:t>
          </w:r>
          <w:r>
            <w:rPr>
              <w:rFonts w:asciiTheme="minorHAnsi" w:eastAsiaTheme="minorEastAsia" w:hAnsiTheme="minorHAnsi"/>
              <w:noProof/>
              <w:sz w:val="22"/>
              <w:szCs w:val="22"/>
              <w:lang w:eastAsia="en-AU"/>
            </w:rPr>
            <w:tab/>
          </w:r>
          <w:r>
            <w:rPr>
              <w:noProof/>
            </w:rPr>
            <w:t>Private health insurers face frustrating incentives</w:t>
          </w:r>
          <w:r>
            <w:rPr>
              <w:noProof/>
            </w:rPr>
            <w:tab/>
          </w:r>
          <w:r w:rsidR="00FD6D09">
            <w:rPr>
              <w:noProof/>
            </w:rPr>
            <w:t>49</w:t>
          </w:r>
        </w:p>
        <w:p w14:paraId="1EA38B37" w14:textId="77777777" w:rsidR="00905851" w:rsidRDefault="00905851">
          <w:pPr>
            <w:pStyle w:val="TOC1"/>
            <w:rPr>
              <w:rFonts w:asciiTheme="minorHAnsi" w:eastAsiaTheme="minorEastAsia" w:hAnsiTheme="minorHAnsi"/>
              <w:b w:val="0"/>
              <w:noProof/>
              <w:sz w:val="22"/>
              <w:szCs w:val="22"/>
              <w:lang w:eastAsia="en-AU"/>
            </w:rPr>
          </w:pPr>
          <w:r>
            <w:rPr>
              <w:noProof/>
            </w:rPr>
            <w:lastRenderedPageBreak/>
            <w:t>6</w:t>
          </w:r>
          <w:r>
            <w:rPr>
              <w:rFonts w:asciiTheme="minorHAnsi" w:eastAsiaTheme="minorEastAsia" w:hAnsiTheme="minorHAnsi"/>
              <w:b w:val="0"/>
              <w:noProof/>
              <w:sz w:val="22"/>
              <w:szCs w:val="22"/>
              <w:lang w:eastAsia="en-AU"/>
            </w:rPr>
            <w:tab/>
          </w:r>
          <w:r>
            <w:rPr>
              <w:noProof/>
            </w:rPr>
            <w:t>Show me the money — where from, to whom, and how allocated?</w:t>
          </w:r>
          <w:r>
            <w:rPr>
              <w:noProof/>
            </w:rPr>
            <w:tab/>
          </w:r>
          <w:r w:rsidR="00FD6D09">
            <w:rPr>
              <w:noProof/>
            </w:rPr>
            <w:t>5</w:t>
          </w:r>
          <w:r w:rsidR="00CF785F">
            <w:rPr>
              <w:noProof/>
            </w:rPr>
            <w:t>7</w:t>
          </w:r>
        </w:p>
        <w:p w14:paraId="1EA38B38" w14:textId="77777777" w:rsidR="00905851" w:rsidRDefault="00905851">
          <w:pPr>
            <w:pStyle w:val="TOC2"/>
            <w:tabs>
              <w:tab w:val="left" w:pos="1134"/>
            </w:tabs>
            <w:rPr>
              <w:rFonts w:asciiTheme="minorHAnsi" w:eastAsiaTheme="minorEastAsia" w:hAnsiTheme="minorHAnsi"/>
              <w:noProof/>
              <w:sz w:val="22"/>
              <w:szCs w:val="22"/>
              <w:lang w:eastAsia="en-AU"/>
            </w:rPr>
          </w:pPr>
          <w:r>
            <w:rPr>
              <w:noProof/>
            </w:rPr>
            <w:t>6.1</w:t>
          </w:r>
          <w:r>
            <w:rPr>
              <w:rFonts w:asciiTheme="minorHAnsi" w:eastAsiaTheme="minorEastAsia" w:hAnsiTheme="minorHAnsi"/>
              <w:noProof/>
              <w:sz w:val="22"/>
              <w:szCs w:val="22"/>
              <w:lang w:eastAsia="en-AU"/>
            </w:rPr>
            <w:tab/>
          </w:r>
          <w:r>
            <w:rPr>
              <w:noProof/>
            </w:rPr>
            <w:t>Changes to hospital funding</w:t>
          </w:r>
          <w:r>
            <w:rPr>
              <w:noProof/>
            </w:rPr>
            <w:tab/>
          </w:r>
          <w:r w:rsidR="00234DAB">
            <w:rPr>
              <w:noProof/>
            </w:rPr>
            <w:t>5</w:t>
          </w:r>
          <w:r w:rsidR="00CF785F">
            <w:rPr>
              <w:noProof/>
            </w:rPr>
            <w:t>7</w:t>
          </w:r>
        </w:p>
        <w:p w14:paraId="1EA38B39" w14:textId="77777777" w:rsidR="00905851" w:rsidRDefault="00905851">
          <w:pPr>
            <w:pStyle w:val="TOC2"/>
            <w:tabs>
              <w:tab w:val="left" w:pos="1134"/>
            </w:tabs>
            <w:rPr>
              <w:rFonts w:asciiTheme="minorHAnsi" w:eastAsiaTheme="minorEastAsia" w:hAnsiTheme="minorHAnsi"/>
              <w:noProof/>
              <w:sz w:val="22"/>
              <w:szCs w:val="22"/>
              <w:lang w:eastAsia="en-AU"/>
            </w:rPr>
          </w:pPr>
          <w:r>
            <w:rPr>
              <w:noProof/>
            </w:rPr>
            <w:t>6.2</w:t>
          </w:r>
          <w:r>
            <w:rPr>
              <w:rFonts w:asciiTheme="minorHAnsi" w:eastAsiaTheme="minorEastAsia" w:hAnsiTheme="minorHAnsi"/>
              <w:noProof/>
              <w:sz w:val="22"/>
              <w:szCs w:val="22"/>
              <w:lang w:eastAsia="en-AU"/>
            </w:rPr>
            <w:tab/>
          </w:r>
          <w:r>
            <w:rPr>
              <w:noProof/>
            </w:rPr>
            <w:t>Primary care</w:t>
          </w:r>
          <w:r>
            <w:rPr>
              <w:noProof/>
            </w:rPr>
            <w:tab/>
          </w:r>
          <w:r w:rsidR="00CF785F">
            <w:rPr>
              <w:noProof/>
            </w:rPr>
            <w:t>60</w:t>
          </w:r>
        </w:p>
        <w:p w14:paraId="1EA38B3A" w14:textId="77777777" w:rsidR="00905851" w:rsidRDefault="00905851">
          <w:pPr>
            <w:pStyle w:val="TOC2"/>
            <w:tabs>
              <w:tab w:val="left" w:pos="1134"/>
            </w:tabs>
            <w:rPr>
              <w:rFonts w:asciiTheme="minorHAnsi" w:eastAsiaTheme="minorEastAsia" w:hAnsiTheme="minorHAnsi"/>
              <w:noProof/>
              <w:sz w:val="22"/>
              <w:szCs w:val="22"/>
              <w:lang w:eastAsia="en-AU"/>
            </w:rPr>
          </w:pPr>
          <w:r>
            <w:rPr>
              <w:noProof/>
            </w:rPr>
            <w:t>6.3</w:t>
          </w:r>
          <w:r>
            <w:rPr>
              <w:rFonts w:asciiTheme="minorHAnsi" w:eastAsiaTheme="minorEastAsia" w:hAnsiTheme="minorHAnsi"/>
              <w:noProof/>
              <w:sz w:val="22"/>
              <w:szCs w:val="22"/>
              <w:lang w:eastAsia="en-AU"/>
            </w:rPr>
            <w:tab/>
          </w:r>
          <w:r>
            <w:rPr>
              <w:noProof/>
            </w:rPr>
            <w:t>In essence, reform needs to be underpinned by ‘win</w:t>
          </w:r>
          <w:r>
            <w:rPr>
              <w:noProof/>
            </w:rPr>
            <w:noBreakHyphen/>
            <w:t>win’ alliances</w:t>
          </w:r>
          <w:r>
            <w:rPr>
              <w:noProof/>
            </w:rPr>
            <w:tab/>
          </w:r>
          <w:r w:rsidR="00FD6D09">
            <w:rPr>
              <w:noProof/>
            </w:rPr>
            <w:t>6</w:t>
          </w:r>
          <w:r w:rsidR="00CF785F">
            <w:rPr>
              <w:noProof/>
            </w:rPr>
            <w:t>9</w:t>
          </w:r>
        </w:p>
        <w:p w14:paraId="1EA38B3B" w14:textId="77777777" w:rsidR="00905851" w:rsidRDefault="00905851">
          <w:pPr>
            <w:pStyle w:val="TOC2"/>
            <w:tabs>
              <w:tab w:val="left" w:pos="1134"/>
            </w:tabs>
            <w:rPr>
              <w:rFonts w:asciiTheme="minorHAnsi" w:eastAsiaTheme="minorEastAsia" w:hAnsiTheme="minorHAnsi"/>
              <w:noProof/>
              <w:sz w:val="22"/>
              <w:szCs w:val="22"/>
              <w:lang w:eastAsia="en-AU"/>
            </w:rPr>
          </w:pPr>
          <w:r>
            <w:rPr>
              <w:noProof/>
            </w:rPr>
            <w:t>6.4</w:t>
          </w:r>
          <w:r>
            <w:rPr>
              <w:rFonts w:asciiTheme="minorHAnsi" w:eastAsiaTheme="minorEastAsia" w:hAnsiTheme="minorHAnsi"/>
              <w:noProof/>
              <w:sz w:val="22"/>
              <w:szCs w:val="22"/>
              <w:lang w:eastAsia="en-AU"/>
            </w:rPr>
            <w:tab/>
          </w:r>
          <w:r>
            <w:rPr>
              <w:noProof/>
            </w:rPr>
            <w:t>Cooperation might be the best option for private health insurers</w:t>
          </w:r>
          <w:r>
            <w:rPr>
              <w:noProof/>
            </w:rPr>
            <w:tab/>
          </w:r>
          <w:r w:rsidR="00CF785F">
            <w:rPr>
              <w:noProof/>
            </w:rPr>
            <w:t>70</w:t>
          </w:r>
        </w:p>
        <w:p w14:paraId="1EA38B3C" w14:textId="77777777" w:rsidR="00905851" w:rsidRDefault="00905851">
          <w:pPr>
            <w:pStyle w:val="TOC2"/>
            <w:tabs>
              <w:tab w:val="left" w:pos="1134"/>
            </w:tabs>
            <w:rPr>
              <w:rFonts w:asciiTheme="minorHAnsi" w:eastAsiaTheme="minorEastAsia" w:hAnsiTheme="minorHAnsi"/>
              <w:noProof/>
              <w:sz w:val="22"/>
              <w:szCs w:val="22"/>
              <w:lang w:eastAsia="en-AU"/>
            </w:rPr>
          </w:pPr>
          <w:r>
            <w:rPr>
              <w:noProof/>
            </w:rPr>
            <w:t>6.5</w:t>
          </w:r>
          <w:r>
            <w:rPr>
              <w:rFonts w:asciiTheme="minorHAnsi" w:eastAsiaTheme="minorEastAsia" w:hAnsiTheme="minorHAnsi"/>
              <w:noProof/>
              <w:sz w:val="22"/>
              <w:szCs w:val="22"/>
              <w:lang w:eastAsia="en-AU"/>
            </w:rPr>
            <w:tab/>
          </w:r>
          <w:r>
            <w:rPr>
              <w:noProof/>
            </w:rPr>
            <w:t>Why not implement managed competition?</w:t>
          </w:r>
          <w:r>
            <w:rPr>
              <w:noProof/>
            </w:rPr>
            <w:tab/>
          </w:r>
          <w:r w:rsidR="00234DAB">
            <w:rPr>
              <w:noProof/>
            </w:rPr>
            <w:t>7</w:t>
          </w:r>
          <w:r w:rsidR="00CF785F">
            <w:rPr>
              <w:noProof/>
            </w:rPr>
            <w:t>1</w:t>
          </w:r>
        </w:p>
        <w:p w14:paraId="1EA38B3D" w14:textId="77777777" w:rsidR="00905851" w:rsidRDefault="00905851">
          <w:pPr>
            <w:pStyle w:val="TOC1"/>
            <w:rPr>
              <w:rFonts w:asciiTheme="minorHAnsi" w:eastAsiaTheme="minorEastAsia" w:hAnsiTheme="minorHAnsi"/>
              <w:b w:val="0"/>
              <w:noProof/>
              <w:sz w:val="22"/>
              <w:szCs w:val="22"/>
              <w:lang w:eastAsia="en-AU"/>
            </w:rPr>
          </w:pPr>
          <w:r>
            <w:rPr>
              <w:noProof/>
            </w:rPr>
            <w:t>7</w:t>
          </w:r>
          <w:r>
            <w:rPr>
              <w:rFonts w:asciiTheme="minorHAnsi" w:eastAsiaTheme="minorEastAsia" w:hAnsiTheme="minorHAnsi"/>
              <w:b w:val="0"/>
              <w:noProof/>
              <w:sz w:val="22"/>
              <w:szCs w:val="22"/>
              <w:lang w:eastAsia="en-AU"/>
            </w:rPr>
            <w:tab/>
          </w:r>
          <w:r>
            <w:rPr>
              <w:noProof/>
            </w:rPr>
            <w:t>Funding of quality care in an integrated system</w:t>
          </w:r>
          <w:r>
            <w:rPr>
              <w:noProof/>
            </w:rPr>
            <w:tab/>
          </w:r>
          <w:r w:rsidR="00234DAB">
            <w:rPr>
              <w:noProof/>
            </w:rPr>
            <w:t>7</w:t>
          </w:r>
          <w:r w:rsidR="00CF785F">
            <w:rPr>
              <w:noProof/>
            </w:rPr>
            <w:t>3</w:t>
          </w:r>
        </w:p>
        <w:p w14:paraId="1EA38B3E" w14:textId="77777777" w:rsidR="00905851" w:rsidRDefault="00905851">
          <w:pPr>
            <w:pStyle w:val="TOC2"/>
            <w:tabs>
              <w:tab w:val="left" w:pos="1134"/>
            </w:tabs>
            <w:rPr>
              <w:rFonts w:asciiTheme="minorHAnsi" w:eastAsiaTheme="minorEastAsia" w:hAnsiTheme="minorHAnsi"/>
              <w:noProof/>
              <w:sz w:val="22"/>
              <w:szCs w:val="22"/>
              <w:lang w:eastAsia="en-AU"/>
            </w:rPr>
          </w:pPr>
          <w:r>
            <w:rPr>
              <w:noProof/>
            </w:rPr>
            <w:t>7.1</w:t>
          </w:r>
          <w:r>
            <w:rPr>
              <w:rFonts w:asciiTheme="minorHAnsi" w:eastAsiaTheme="minorEastAsia" w:hAnsiTheme="minorHAnsi"/>
              <w:noProof/>
              <w:sz w:val="22"/>
              <w:szCs w:val="22"/>
              <w:lang w:eastAsia="en-AU"/>
            </w:rPr>
            <w:tab/>
          </w:r>
          <w:r>
            <w:rPr>
              <w:noProof/>
            </w:rPr>
            <w:t>Preventable events are now on the policy agenda</w:t>
          </w:r>
          <w:r>
            <w:rPr>
              <w:noProof/>
            </w:rPr>
            <w:tab/>
          </w:r>
          <w:r w:rsidR="00234DAB">
            <w:rPr>
              <w:noProof/>
            </w:rPr>
            <w:t>7</w:t>
          </w:r>
          <w:r w:rsidR="00CF785F">
            <w:rPr>
              <w:noProof/>
            </w:rPr>
            <w:t>3</w:t>
          </w:r>
        </w:p>
        <w:p w14:paraId="1EA38B3F" w14:textId="77777777" w:rsidR="00905851" w:rsidRDefault="00905851">
          <w:pPr>
            <w:pStyle w:val="TOC2"/>
            <w:tabs>
              <w:tab w:val="left" w:pos="1134"/>
            </w:tabs>
            <w:rPr>
              <w:rFonts w:asciiTheme="minorHAnsi" w:eastAsiaTheme="minorEastAsia" w:hAnsiTheme="minorHAnsi"/>
              <w:noProof/>
              <w:sz w:val="22"/>
              <w:szCs w:val="22"/>
              <w:lang w:eastAsia="en-AU"/>
            </w:rPr>
          </w:pPr>
          <w:r>
            <w:rPr>
              <w:noProof/>
            </w:rPr>
            <w:t>7.2</w:t>
          </w:r>
          <w:r>
            <w:rPr>
              <w:rFonts w:asciiTheme="minorHAnsi" w:eastAsiaTheme="minorEastAsia" w:hAnsiTheme="minorHAnsi"/>
              <w:noProof/>
              <w:sz w:val="22"/>
              <w:szCs w:val="22"/>
              <w:lang w:eastAsia="en-AU"/>
            </w:rPr>
            <w:tab/>
          </w:r>
          <w:r>
            <w:rPr>
              <w:noProof/>
            </w:rPr>
            <w:t>Progress to limit low or no</w:t>
          </w:r>
          <w:r>
            <w:rPr>
              <w:noProof/>
            </w:rPr>
            <w:noBreakHyphen/>
            <w:t>value services is less rapid</w:t>
          </w:r>
          <w:r>
            <w:rPr>
              <w:noProof/>
            </w:rPr>
            <w:tab/>
          </w:r>
          <w:r w:rsidR="00234DAB">
            <w:rPr>
              <w:noProof/>
            </w:rPr>
            <w:t>7</w:t>
          </w:r>
          <w:r w:rsidR="00CF785F">
            <w:rPr>
              <w:noProof/>
            </w:rPr>
            <w:t>5</w:t>
          </w:r>
        </w:p>
        <w:p w14:paraId="1EA38B40" w14:textId="77777777" w:rsidR="00905851" w:rsidRDefault="00905851">
          <w:pPr>
            <w:pStyle w:val="TOC2"/>
            <w:tabs>
              <w:tab w:val="left" w:pos="1134"/>
            </w:tabs>
            <w:rPr>
              <w:rFonts w:asciiTheme="minorHAnsi" w:eastAsiaTheme="minorEastAsia" w:hAnsiTheme="minorHAnsi"/>
              <w:noProof/>
              <w:sz w:val="22"/>
              <w:szCs w:val="22"/>
              <w:lang w:eastAsia="en-AU"/>
            </w:rPr>
          </w:pPr>
          <w:r>
            <w:rPr>
              <w:noProof/>
            </w:rPr>
            <w:t>7.3</w:t>
          </w:r>
          <w:r>
            <w:rPr>
              <w:rFonts w:asciiTheme="minorHAnsi" w:eastAsiaTheme="minorEastAsia" w:hAnsiTheme="minorHAnsi"/>
              <w:noProof/>
              <w:sz w:val="22"/>
              <w:szCs w:val="22"/>
              <w:lang w:eastAsia="en-AU"/>
            </w:rPr>
            <w:tab/>
          </w:r>
          <w:r>
            <w:rPr>
              <w:noProof/>
            </w:rPr>
            <w:t>Avoidance and management of chronic disease</w:t>
          </w:r>
          <w:r>
            <w:rPr>
              <w:noProof/>
            </w:rPr>
            <w:tab/>
          </w:r>
          <w:r w:rsidR="00FD6D09">
            <w:rPr>
              <w:noProof/>
            </w:rPr>
            <w:t>7</w:t>
          </w:r>
          <w:r w:rsidR="00CF785F">
            <w:rPr>
              <w:noProof/>
            </w:rPr>
            <w:t>9</w:t>
          </w:r>
        </w:p>
        <w:p w14:paraId="1EA38B41" w14:textId="77777777" w:rsidR="00905851" w:rsidRDefault="00905851">
          <w:pPr>
            <w:pStyle w:val="TOC2"/>
            <w:tabs>
              <w:tab w:val="left" w:pos="1134"/>
            </w:tabs>
            <w:rPr>
              <w:rFonts w:asciiTheme="minorHAnsi" w:eastAsiaTheme="minorEastAsia" w:hAnsiTheme="minorHAnsi"/>
              <w:noProof/>
              <w:sz w:val="22"/>
              <w:szCs w:val="22"/>
              <w:lang w:eastAsia="en-AU"/>
            </w:rPr>
          </w:pPr>
          <w:r>
            <w:rPr>
              <w:noProof/>
            </w:rPr>
            <w:t>7.4</w:t>
          </w:r>
          <w:r>
            <w:rPr>
              <w:rFonts w:asciiTheme="minorHAnsi" w:eastAsiaTheme="minorEastAsia" w:hAnsiTheme="minorHAnsi"/>
              <w:noProof/>
              <w:sz w:val="22"/>
              <w:szCs w:val="22"/>
              <w:lang w:eastAsia="en-AU"/>
            </w:rPr>
            <w:tab/>
          </w:r>
          <w:r>
            <w:rPr>
              <w:noProof/>
            </w:rPr>
            <w:t>What are the solutions?</w:t>
          </w:r>
          <w:r>
            <w:rPr>
              <w:noProof/>
            </w:rPr>
            <w:tab/>
          </w:r>
          <w:r w:rsidR="00CF785F">
            <w:rPr>
              <w:noProof/>
            </w:rPr>
            <w:t>80</w:t>
          </w:r>
        </w:p>
        <w:p w14:paraId="1EA38B42" w14:textId="77777777" w:rsidR="00905851" w:rsidRDefault="00905851">
          <w:pPr>
            <w:pStyle w:val="TOC1"/>
            <w:rPr>
              <w:rFonts w:asciiTheme="minorHAnsi" w:eastAsiaTheme="minorEastAsia" w:hAnsiTheme="minorHAnsi"/>
              <w:b w:val="0"/>
              <w:noProof/>
              <w:sz w:val="22"/>
              <w:szCs w:val="22"/>
              <w:lang w:eastAsia="en-AU"/>
            </w:rPr>
          </w:pPr>
          <w:r>
            <w:rPr>
              <w:noProof/>
            </w:rPr>
            <w:t>8</w:t>
          </w:r>
          <w:r>
            <w:rPr>
              <w:rFonts w:asciiTheme="minorHAnsi" w:eastAsiaTheme="minorEastAsia" w:hAnsiTheme="minorHAnsi"/>
              <w:b w:val="0"/>
              <w:noProof/>
              <w:sz w:val="22"/>
              <w:szCs w:val="22"/>
              <w:lang w:eastAsia="en-AU"/>
            </w:rPr>
            <w:tab/>
          </w:r>
          <w:r>
            <w:rPr>
              <w:noProof/>
            </w:rPr>
            <w:t xml:space="preserve">The role of </w:t>
          </w:r>
          <w:r w:rsidRPr="00527BC5">
            <w:rPr>
              <w:i/>
              <w:noProof/>
            </w:rPr>
            <w:t>patient</w:t>
          </w:r>
          <w:r>
            <w:rPr>
              <w:noProof/>
            </w:rPr>
            <w:t xml:space="preserve"> incentives in an integrated system</w:t>
          </w:r>
          <w:r>
            <w:rPr>
              <w:noProof/>
            </w:rPr>
            <w:tab/>
          </w:r>
          <w:r w:rsidR="00234DAB">
            <w:rPr>
              <w:noProof/>
            </w:rPr>
            <w:t>8</w:t>
          </w:r>
          <w:r w:rsidR="00FD6D09">
            <w:rPr>
              <w:noProof/>
            </w:rPr>
            <w:t>5</w:t>
          </w:r>
        </w:p>
        <w:p w14:paraId="1EA38B43" w14:textId="77777777" w:rsidR="00905851" w:rsidRDefault="00905851">
          <w:pPr>
            <w:pStyle w:val="TOC2"/>
            <w:tabs>
              <w:tab w:val="left" w:pos="1134"/>
            </w:tabs>
            <w:rPr>
              <w:rFonts w:asciiTheme="minorHAnsi" w:eastAsiaTheme="minorEastAsia" w:hAnsiTheme="minorHAnsi"/>
              <w:noProof/>
              <w:sz w:val="22"/>
              <w:szCs w:val="22"/>
              <w:lang w:eastAsia="en-AU"/>
            </w:rPr>
          </w:pPr>
          <w:r>
            <w:rPr>
              <w:noProof/>
            </w:rPr>
            <w:t>8.1</w:t>
          </w:r>
          <w:r>
            <w:rPr>
              <w:rFonts w:asciiTheme="minorHAnsi" w:eastAsiaTheme="minorEastAsia" w:hAnsiTheme="minorHAnsi"/>
              <w:noProof/>
              <w:sz w:val="22"/>
              <w:szCs w:val="22"/>
              <w:lang w:eastAsia="en-AU"/>
            </w:rPr>
            <w:tab/>
          </w:r>
          <w:r>
            <w:rPr>
              <w:noProof/>
            </w:rPr>
            <w:t>Patient charges</w:t>
          </w:r>
          <w:r>
            <w:rPr>
              <w:noProof/>
            </w:rPr>
            <w:tab/>
          </w:r>
          <w:r w:rsidR="00234DAB">
            <w:rPr>
              <w:noProof/>
            </w:rPr>
            <w:t>8</w:t>
          </w:r>
          <w:r w:rsidR="00FD6D09">
            <w:rPr>
              <w:noProof/>
            </w:rPr>
            <w:t>5</w:t>
          </w:r>
        </w:p>
        <w:p w14:paraId="1EA38B44" w14:textId="77777777" w:rsidR="00905851" w:rsidRDefault="00905851">
          <w:pPr>
            <w:pStyle w:val="TOC2"/>
            <w:tabs>
              <w:tab w:val="left" w:pos="1134"/>
            </w:tabs>
            <w:rPr>
              <w:rFonts w:asciiTheme="minorHAnsi" w:eastAsiaTheme="minorEastAsia" w:hAnsiTheme="minorHAnsi"/>
              <w:noProof/>
              <w:sz w:val="22"/>
              <w:szCs w:val="22"/>
              <w:lang w:eastAsia="en-AU"/>
            </w:rPr>
          </w:pPr>
          <w:r>
            <w:rPr>
              <w:noProof/>
            </w:rPr>
            <w:t>8.2</w:t>
          </w:r>
          <w:r>
            <w:rPr>
              <w:rFonts w:asciiTheme="minorHAnsi" w:eastAsiaTheme="minorEastAsia" w:hAnsiTheme="minorHAnsi"/>
              <w:noProof/>
              <w:sz w:val="22"/>
              <w:szCs w:val="22"/>
              <w:lang w:eastAsia="en-AU"/>
            </w:rPr>
            <w:tab/>
          </w:r>
          <w:r>
            <w:rPr>
              <w:noProof/>
            </w:rPr>
            <w:t>Rewards for people are an overlooked part of the picture</w:t>
          </w:r>
          <w:r>
            <w:rPr>
              <w:noProof/>
            </w:rPr>
            <w:tab/>
          </w:r>
          <w:r w:rsidR="00234DAB">
            <w:rPr>
              <w:noProof/>
            </w:rPr>
            <w:t>8</w:t>
          </w:r>
          <w:r w:rsidR="00FD6D09">
            <w:rPr>
              <w:noProof/>
            </w:rPr>
            <w:t>7</w:t>
          </w:r>
        </w:p>
        <w:p w14:paraId="1EA38B45" w14:textId="77777777" w:rsidR="00905851" w:rsidRDefault="00905851">
          <w:pPr>
            <w:pStyle w:val="TOC1"/>
            <w:rPr>
              <w:rFonts w:asciiTheme="minorHAnsi" w:eastAsiaTheme="minorEastAsia" w:hAnsiTheme="minorHAnsi"/>
              <w:b w:val="0"/>
              <w:noProof/>
              <w:sz w:val="22"/>
              <w:szCs w:val="22"/>
              <w:lang w:eastAsia="en-AU"/>
            </w:rPr>
          </w:pPr>
          <w:r>
            <w:rPr>
              <w:noProof/>
            </w:rPr>
            <w:t>9</w:t>
          </w:r>
          <w:r>
            <w:rPr>
              <w:rFonts w:asciiTheme="minorHAnsi" w:eastAsiaTheme="minorEastAsia" w:hAnsiTheme="minorHAnsi"/>
              <w:b w:val="0"/>
              <w:noProof/>
              <w:sz w:val="22"/>
              <w:szCs w:val="22"/>
              <w:lang w:eastAsia="en-AU"/>
            </w:rPr>
            <w:tab/>
          </w:r>
          <w:r>
            <w:rPr>
              <w:noProof/>
            </w:rPr>
            <w:t>Information collection and management — a focus on what works and what people need to know</w:t>
          </w:r>
          <w:r>
            <w:rPr>
              <w:noProof/>
            </w:rPr>
            <w:tab/>
          </w:r>
          <w:r w:rsidR="00234DAB">
            <w:rPr>
              <w:noProof/>
            </w:rPr>
            <w:t>9</w:t>
          </w:r>
          <w:r w:rsidR="00FD6D09">
            <w:rPr>
              <w:noProof/>
            </w:rPr>
            <w:t>1</w:t>
          </w:r>
        </w:p>
        <w:p w14:paraId="1EA38B46" w14:textId="77777777" w:rsidR="00905851" w:rsidRDefault="00905851">
          <w:pPr>
            <w:pStyle w:val="TOC2"/>
            <w:tabs>
              <w:tab w:val="left" w:pos="1134"/>
            </w:tabs>
            <w:rPr>
              <w:rFonts w:asciiTheme="minorHAnsi" w:eastAsiaTheme="minorEastAsia" w:hAnsiTheme="minorHAnsi"/>
              <w:noProof/>
              <w:sz w:val="22"/>
              <w:szCs w:val="22"/>
              <w:lang w:eastAsia="en-AU"/>
            </w:rPr>
          </w:pPr>
          <w:r>
            <w:rPr>
              <w:noProof/>
            </w:rPr>
            <w:t>9.1</w:t>
          </w:r>
          <w:r>
            <w:rPr>
              <w:rFonts w:asciiTheme="minorHAnsi" w:eastAsiaTheme="minorEastAsia" w:hAnsiTheme="minorHAnsi"/>
              <w:noProof/>
              <w:sz w:val="22"/>
              <w:szCs w:val="22"/>
              <w:lang w:eastAsia="en-AU"/>
            </w:rPr>
            <w:tab/>
          </w:r>
          <w:r>
            <w:rPr>
              <w:noProof/>
            </w:rPr>
            <w:t>Poor information flows and coordination for users of the health system</w:t>
          </w:r>
          <w:r>
            <w:rPr>
              <w:noProof/>
            </w:rPr>
            <w:tab/>
          </w:r>
          <w:r w:rsidR="00234DAB">
            <w:rPr>
              <w:noProof/>
            </w:rPr>
            <w:t>9</w:t>
          </w:r>
          <w:r w:rsidR="00FD6D09">
            <w:rPr>
              <w:noProof/>
            </w:rPr>
            <w:t>2</w:t>
          </w:r>
        </w:p>
        <w:p w14:paraId="1EA38B47" w14:textId="77777777" w:rsidR="00905851" w:rsidRDefault="00905851">
          <w:pPr>
            <w:pStyle w:val="TOC2"/>
            <w:tabs>
              <w:tab w:val="left" w:pos="1134"/>
            </w:tabs>
            <w:rPr>
              <w:rFonts w:asciiTheme="minorHAnsi" w:eastAsiaTheme="minorEastAsia" w:hAnsiTheme="minorHAnsi"/>
              <w:noProof/>
              <w:sz w:val="22"/>
              <w:szCs w:val="22"/>
              <w:lang w:eastAsia="en-AU"/>
            </w:rPr>
          </w:pPr>
          <w:r>
            <w:rPr>
              <w:noProof/>
            </w:rPr>
            <w:t>9.2</w:t>
          </w:r>
          <w:r>
            <w:rPr>
              <w:rFonts w:asciiTheme="minorHAnsi" w:eastAsiaTheme="minorEastAsia" w:hAnsiTheme="minorHAnsi"/>
              <w:noProof/>
              <w:sz w:val="22"/>
              <w:szCs w:val="22"/>
              <w:lang w:eastAsia="en-AU"/>
            </w:rPr>
            <w:tab/>
          </w:r>
          <w:r>
            <w:rPr>
              <w:noProof/>
            </w:rPr>
            <w:t>Using data for evidence</w:t>
          </w:r>
          <w:r>
            <w:rPr>
              <w:noProof/>
            </w:rPr>
            <w:noBreakHyphen/>
            <w:t>based policy and practice</w:t>
          </w:r>
          <w:r>
            <w:rPr>
              <w:noProof/>
            </w:rPr>
            <w:tab/>
          </w:r>
          <w:r w:rsidR="00FD6D09">
            <w:rPr>
              <w:noProof/>
            </w:rPr>
            <w:t>99</w:t>
          </w:r>
        </w:p>
        <w:p w14:paraId="1EA38B48" w14:textId="77777777" w:rsidR="00905851" w:rsidRDefault="00905851">
          <w:pPr>
            <w:pStyle w:val="TOC2"/>
            <w:tabs>
              <w:tab w:val="left" w:pos="1134"/>
            </w:tabs>
            <w:rPr>
              <w:rFonts w:asciiTheme="minorHAnsi" w:eastAsiaTheme="minorEastAsia" w:hAnsiTheme="minorHAnsi"/>
              <w:noProof/>
              <w:sz w:val="22"/>
              <w:szCs w:val="22"/>
              <w:lang w:eastAsia="en-AU"/>
            </w:rPr>
          </w:pPr>
          <w:r>
            <w:rPr>
              <w:noProof/>
            </w:rPr>
            <w:t>9.3</w:t>
          </w:r>
          <w:r>
            <w:rPr>
              <w:rFonts w:asciiTheme="minorHAnsi" w:eastAsiaTheme="minorEastAsia" w:hAnsiTheme="minorHAnsi"/>
              <w:noProof/>
              <w:sz w:val="22"/>
              <w:szCs w:val="22"/>
              <w:lang w:eastAsia="en-AU"/>
            </w:rPr>
            <w:tab/>
          </w:r>
          <w:r>
            <w:rPr>
              <w:noProof/>
            </w:rPr>
            <w:t>Disseminating best</w:t>
          </w:r>
          <w:r>
            <w:rPr>
              <w:noProof/>
            </w:rPr>
            <w:noBreakHyphen/>
            <w:t>practice</w:t>
          </w:r>
          <w:r>
            <w:rPr>
              <w:noProof/>
            </w:rPr>
            <w:tab/>
          </w:r>
          <w:r w:rsidR="00234DAB">
            <w:rPr>
              <w:noProof/>
            </w:rPr>
            <w:t>10</w:t>
          </w:r>
          <w:r w:rsidR="00C30F74">
            <w:rPr>
              <w:noProof/>
            </w:rPr>
            <w:t>1</w:t>
          </w:r>
        </w:p>
        <w:p w14:paraId="1EA38B49" w14:textId="77777777" w:rsidR="00905851" w:rsidRDefault="00905851">
          <w:pPr>
            <w:pStyle w:val="TOC1"/>
            <w:rPr>
              <w:rFonts w:asciiTheme="minorHAnsi" w:eastAsiaTheme="minorEastAsia" w:hAnsiTheme="minorHAnsi"/>
              <w:b w:val="0"/>
              <w:noProof/>
              <w:sz w:val="22"/>
              <w:szCs w:val="22"/>
              <w:lang w:eastAsia="en-AU"/>
            </w:rPr>
          </w:pPr>
          <w:r>
            <w:rPr>
              <w:noProof/>
            </w:rPr>
            <w:t>10</w:t>
          </w:r>
          <w:r>
            <w:rPr>
              <w:rFonts w:asciiTheme="minorHAnsi" w:eastAsiaTheme="minorEastAsia" w:hAnsiTheme="minorHAnsi"/>
              <w:b w:val="0"/>
              <w:noProof/>
              <w:sz w:val="22"/>
              <w:szCs w:val="22"/>
              <w:lang w:eastAsia="en-AU"/>
            </w:rPr>
            <w:tab/>
          </w:r>
          <w:r>
            <w:rPr>
              <w:noProof/>
            </w:rPr>
            <w:t>Transitioning to a new system</w:t>
          </w:r>
          <w:r>
            <w:rPr>
              <w:noProof/>
            </w:rPr>
            <w:tab/>
          </w:r>
          <w:r w:rsidR="00234DAB">
            <w:rPr>
              <w:noProof/>
            </w:rPr>
            <w:t>10</w:t>
          </w:r>
          <w:r w:rsidR="00FD6D09">
            <w:rPr>
              <w:noProof/>
            </w:rPr>
            <w:t>5</w:t>
          </w:r>
        </w:p>
        <w:p w14:paraId="1EA38B4A" w14:textId="77777777" w:rsidR="00905851" w:rsidRDefault="00905851">
          <w:pPr>
            <w:pStyle w:val="TOC1"/>
            <w:rPr>
              <w:rFonts w:asciiTheme="minorHAnsi" w:eastAsiaTheme="minorEastAsia" w:hAnsiTheme="minorHAnsi"/>
              <w:b w:val="0"/>
              <w:noProof/>
              <w:sz w:val="22"/>
              <w:szCs w:val="22"/>
              <w:lang w:eastAsia="en-AU"/>
            </w:rPr>
          </w:pPr>
          <w:r>
            <w:rPr>
              <w:noProof/>
            </w:rPr>
            <w:t>A</w:t>
          </w:r>
          <w:r>
            <w:rPr>
              <w:rFonts w:asciiTheme="minorHAnsi" w:eastAsiaTheme="minorEastAsia" w:hAnsiTheme="minorHAnsi"/>
              <w:b w:val="0"/>
              <w:noProof/>
              <w:sz w:val="22"/>
              <w:szCs w:val="22"/>
              <w:lang w:eastAsia="en-AU"/>
            </w:rPr>
            <w:tab/>
          </w:r>
          <w:r>
            <w:rPr>
              <w:noProof/>
            </w:rPr>
            <w:t>Integrated care in Australia</w:t>
          </w:r>
          <w:r>
            <w:rPr>
              <w:noProof/>
            </w:rPr>
            <w:tab/>
          </w:r>
          <w:r w:rsidR="00234DAB">
            <w:rPr>
              <w:noProof/>
            </w:rPr>
            <w:t>11</w:t>
          </w:r>
          <w:r w:rsidR="00FD6D09">
            <w:rPr>
              <w:noProof/>
            </w:rPr>
            <w:t>1</w:t>
          </w:r>
        </w:p>
        <w:p w14:paraId="1EA38B4B" w14:textId="77777777" w:rsidR="00905851" w:rsidRDefault="00905851" w:rsidP="00AF098D">
          <w:pPr>
            <w:pStyle w:val="TOC1"/>
            <w:rPr>
              <w:rFonts w:asciiTheme="minorHAnsi" w:eastAsiaTheme="minorEastAsia" w:hAnsiTheme="minorHAnsi"/>
              <w:noProof/>
              <w:sz w:val="22"/>
              <w:szCs w:val="22"/>
              <w:lang w:eastAsia="en-AU"/>
            </w:rPr>
          </w:pPr>
          <w:r>
            <w:rPr>
              <w:noProof/>
            </w:rPr>
            <w:t>B</w:t>
          </w:r>
          <w:r>
            <w:rPr>
              <w:rFonts w:asciiTheme="minorHAnsi" w:eastAsiaTheme="minorEastAsia" w:hAnsiTheme="minorHAnsi"/>
              <w:b w:val="0"/>
              <w:noProof/>
              <w:sz w:val="22"/>
              <w:szCs w:val="22"/>
              <w:lang w:eastAsia="en-AU"/>
            </w:rPr>
            <w:tab/>
          </w:r>
          <w:r>
            <w:rPr>
              <w:noProof/>
            </w:rPr>
            <w:t>What does the international evidence show?</w:t>
          </w:r>
          <w:r>
            <w:rPr>
              <w:noProof/>
            </w:rPr>
            <w:tab/>
          </w:r>
          <w:r w:rsidR="00234DAB">
            <w:rPr>
              <w:noProof/>
            </w:rPr>
            <w:t>1</w:t>
          </w:r>
          <w:r w:rsidR="00D1453C">
            <w:rPr>
              <w:noProof/>
            </w:rPr>
            <w:t>39</w:t>
          </w:r>
        </w:p>
        <w:p w14:paraId="1EA38B4C" w14:textId="77777777" w:rsidR="00905851" w:rsidRDefault="00905851">
          <w:pPr>
            <w:pStyle w:val="TOC1"/>
            <w:rPr>
              <w:rFonts w:asciiTheme="minorHAnsi" w:eastAsiaTheme="minorEastAsia" w:hAnsiTheme="minorHAnsi"/>
              <w:b w:val="0"/>
              <w:noProof/>
              <w:sz w:val="22"/>
              <w:szCs w:val="22"/>
              <w:lang w:eastAsia="en-AU"/>
            </w:rPr>
          </w:pPr>
          <w:r w:rsidRPr="00527BC5">
            <w:rPr>
              <w:noProof/>
            </w:rPr>
            <w:t>C</w:t>
          </w:r>
          <w:r>
            <w:rPr>
              <w:rFonts w:asciiTheme="minorHAnsi" w:eastAsiaTheme="minorEastAsia" w:hAnsiTheme="minorHAnsi"/>
              <w:b w:val="0"/>
              <w:noProof/>
              <w:sz w:val="22"/>
              <w:szCs w:val="22"/>
              <w:lang w:eastAsia="en-AU"/>
            </w:rPr>
            <w:tab/>
          </w:r>
          <w:r>
            <w:rPr>
              <w:noProof/>
            </w:rPr>
            <w:t>Technology and the changing role of professions in integrated care: a case study of pharmacists</w:t>
          </w:r>
          <w:r>
            <w:rPr>
              <w:noProof/>
            </w:rPr>
            <w:tab/>
          </w:r>
          <w:r w:rsidR="00234DAB">
            <w:rPr>
              <w:noProof/>
            </w:rPr>
            <w:t>1</w:t>
          </w:r>
          <w:r w:rsidR="00C30F74">
            <w:rPr>
              <w:noProof/>
            </w:rPr>
            <w:t>4</w:t>
          </w:r>
          <w:r w:rsidR="00CF785F">
            <w:rPr>
              <w:noProof/>
            </w:rPr>
            <w:t>9</w:t>
          </w:r>
        </w:p>
        <w:p w14:paraId="1EA38B4D" w14:textId="77777777" w:rsidR="00905851" w:rsidRDefault="00905851">
          <w:pPr>
            <w:pStyle w:val="TOC1"/>
            <w:rPr>
              <w:rFonts w:asciiTheme="minorHAnsi" w:eastAsiaTheme="minorEastAsia" w:hAnsiTheme="minorHAnsi"/>
              <w:b w:val="0"/>
              <w:noProof/>
              <w:sz w:val="22"/>
              <w:szCs w:val="22"/>
              <w:lang w:eastAsia="en-AU"/>
            </w:rPr>
          </w:pPr>
          <w:r>
            <w:rPr>
              <w:noProof/>
            </w:rPr>
            <w:t>D</w:t>
          </w:r>
          <w:r>
            <w:rPr>
              <w:rFonts w:asciiTheme="minorHAnsi" w:eastAsiaTheme="minorEastAsia" w:hAnsiTheme="minorHAnsi"/>
              <w:b w:val="0"/>
              <w:noProof/>
              <w:sz w:val="22"/>
              <w:szCs w:val="22"/>
              <w:lang w:eastAsia="en-AU"/>
            </w:rPr>
            <w:tab/>
          </w:r>
          <w:r>
            <w:rPr>
              <w:noProof/>
            </w:rPr>
            <w:t>Preventative Health</w:t>
          </w:r>
          <w:r>
            <w:rPr>
              <w:noProof/>
            </w:rPr>
            <w:tab/>
          </w:r>
          <w:r w:rsidR="00234DAB">
            <w:rPr>
              <w:noProof/>
            </w:rPr>
            <w:t>15</w:t>
          </w:r>
          <w:r w:rsidR="00980137">
            <w:rPr>
              <w:noProof/>
            </w:rPr>
            <w:t>5</w:t>
          </w:r>
        </w:p>
        <w:p w14:paraId="1EA38B4E" w14:textId="77777777" w:rsidR="00905851" w:rsidRDefault="00905851">
          <w:pPr>
            <w:pStyle w:val="TOC1"/>
            <w:rPr>
              <w:rFonts w:asciiTheme="minorHAnsi" w:eastAsiaTheme="minorEastAsia" w:hAnsiTheme="minorHAnsi"/>
              <w:b w:val="0"/>
              <w:noProof/>
              <w:sz w:val="22"/>
              <w:szCs w:val="22"/>
              <w:lang w:eastAsia="en-AU"/>
            </w:rPr>
          </w:pPr>
          <w:r>
            <w:rPr>
              <w:noProof/>
            </w:rPr>
            <w:t>References</w:t>
          </w:r>
          <w:r>
            <w:rPr>
              <w:noProof/>
            </w:rPr>
            <w:tab/>
          </w:r>
          <w:r w:rsidR="0065476E">
            <w:rPr>
              <w:noProof/>
            </w:rPr>
            <w:t>1</w:t>
          </w:r>
          <w:r w:rsidR="00FD6D09">
            <w:rPr>
              <w:noProof/>
            </w:rPr>
            <w:t>7</w:t>
          </w:r>
          <w:r w:rsidR="006662CF">
            <w:rPr>
              <w:noProof/>
            </w:rPr>
            <w:t>9</w:t>
          </w:r>
        </w:p>
        <w:p w14:paraId="1EA38B4F" w14:textId="77777777" w:rsidR="00146713" w:rsidRDefault="00B60A52"/>
      </w:sdtContent>
    </w:sdt>
    <w:p w14:paraId="1EA38B50" w14:textId="77777777" w:rsidR="00146713" w:rsidRDefault="00146713"/>
    <w:p w14:paraId="1EA38B51" w14:textId="77777777" w:rsidR="00C33974" w:rsidRDefault="00C33974">
      <w:pPr>
        <w:sectPr w:rsidR="00C33974" w:rsidSect="00D41EC1">
          <w:headerReference w:type="even" r:id="rId19"/>
          <w:headerReference w:type="default" r:id="rId20"/>
          <w:footerReference w:type="even" r:id="rId21"/>
          <w:footerReference w:type="default" r:id="rId22"/>
          <w:pgSz w:w="11907" w:h="16840" w:code="9"/>
          <w:pgMar w:top="1985" w:right="1304" w:bottom="1418" w:left="1814" w:header="1701" w:footer="397" w:gutter="0"/>
          <w:pgNumType w:start="1" w:chapSep="period"/>
          <w:cols w:space="720"/>
          <w:docGrid w:linePitch="326"/>
        </w:sectPr>
      </w:pPr>
    </w:p>
    <w:p w14:paraId="1EA38B52" w14:textId="77777777" w:rsidR="00A33DFF" w:rsidRDefault="008C4504" w:rsidP="00977233">
      <w:pPr>
        <w:pStyle w:val="Heading1"/>
        <w:spacing w:before="0"/>
      </w:pPr>
      <w:bookmarkStart w:id="5" w:name="_Toc488929674"/>
      <w:bookmarkStart w:id="6" w:name="_Toc489250052"/>
      <w:r>
        <w:lastRenderedPageBreak/>
        <w:t>1</w:t>
      </w:r>
      <w:r>
        <w:tab/>
      </w:r>
      <w:r w:rsidR="0051166F">
        <w:t>What should be the direction of Australia’s health care system?</w:t>
      </w:r>
      <w:bookmarkEnd w:id="5"/>
      <w:bookmarkEnd w:id="6"/>
    </w:p>
    <w:p w14:paraId="1EA38B53" w14:textId="77777777" w:rsidR="00B42B57" w:rsidRDefault="00146713" w:rsidP="00B42B57">
      <w:pPr>
        <w:pStyle w:val="Heading2"/>
      </w:pPr>
      <w:bookmarkStart w:id="7" w:name="begin"/>
      <w:bookmarkStart w:id="8" w:name="_Toc488929675"/>
      <w:bookmarkStart w:id="9" w:name="_Toc489250053"/>
      <w:bookmarkEnd w:id="7"/>
      <w:r>
        <w:t>1.</w:t>
      </w:r>
      <w:r w:rsidR="004A5A13">
        <w:rPr>
          <w:noProof/>
        </w:rPr>
        <w:t>1</w:t>
      </w:r>
      <w:r>
        <w:tab/>
        <w:t>I</w:t>
      </w:r>
      <w:r w:rsidR="00B42B57">
        <w:t>ntroduction</w:t>
      </w:r>
      <w:bookmarkEnd w:id="8"/>
      <w:bookmarkEnd w:id="9"/>
    </w:p>
    <w:p w14:paraId="1EA38B54" w14:textId="77777777" w:rsidR="00B152FB" w:rsidRPr="00AF098D" w:rsidRDefault="00EE2F9F" w:rsidP="00AF098D">
      <w:pPr>
        <w:pStyle w:val="BodyText"/>
      </w:pPr>
      <w:r w:rsidRPr="00AF098D">
        <w:t>An ideal</w:t>
      </w:r>
      <w:r w:rsidR="00182C3D" w:rsidRPr="00AF098D">
        <w:t xml:space="preserve"> health system must bring together a range of critical resources and processes geared to keeping people well and addressing their needs and preferences when not. Those needs have changed. </w:t>
      </w:r>
      <w:r w:rsidR="002203E2" w:rsidRPr="00AF098D">
        <w:t>Like all other developed countries, chronic illness is now the main focus of Australia’s health care system </w:t>
      </w:r>
      <w:r w:rsidR="00D96FF6" w:rsidRPr="00AF098D">
        <w:t>(OECD 2015a)</w:t>
      </w:r>
      <w:r w:rsidR="00B152FB" w:rsidRPr="00AF098D">
        <w:t>.</w:t>
      </w:r>
    </w:p>
    <w:p w14:paraId="1EA38B55" w14:textId="77777777" w:rsidR="002203E2" w:rsidRPr="003C7CC2" w:rsidRDefault="002203E2" w:rsidP="003C7CC2">
      <w:pPr>
        <w:pStyle w:val="BodyText"/>
      </w:pPr>
      <w:r w:rsidRPr="003C7CC2">
        <w:t xml:space="preserve">In part, this is a story of success. Chronic illness is what is left over if a system has solved many of other sources of morbidity and death, such as infection, infant mortality, and premature death after the onset of a disease. While prevalence rates of some chronic illnesses appear to be stable (cancer for example), the reported prevalence rates of affective disorders, like anxiety, are rising. Population ageing </w:t>
      </w:r>
      <w:r w:rsidR="0065021E" w:rsidRPr="003C7CC2">
        <w:t xml:space="preserve">and rising public health problems, such as obesity, </w:t>
      </w:r>
      <w:r w:rsidRPr="003C7CC2">
        <w:t>will also increase the share of Australians with complex and chronic conditions, a trend that is evident across the</w:t>
      </w:r>
      <w:r w:rsidR="007C4E3D" w:rsidRPr="003C7CC2">
        <w:t xml:space="preserve"> Organisation for Economic Co-operation and Development</w:t>
      </w:r>
      <w:r w:rsidRPr="003C7CC2">
        <w:t> </w:t>
      </w:r>
      <w:r w:rsidR="00D96FF6" w:rsidRPr="003C7CC2">
        <w:t>(OECD 2015a)</w:t>
      </w:r>
      <w:r w:rsidRPr="003C7CC2">
        <w:t>.</w:t>
      </w:r>
    </w:p>
    <w:p w14:paraId="1EA38B56" w14:textId="77777777" w:rsidR="00F349A3" w:rsidRPr="003C7CC2" w:rsidRDefault="002203E2" w:rsidP="003C7CC2">
      <w:pPr>
        <w:pStyle w:val="BodyText"/>
      </w:pPr>
      <w:r w:rsidRPr="003C7CC2">
        <w:t xml:space="preserve">By definition, chronic illnesses are enduring and, therefore, where they have serious </w:t>
      </w:r>
      <w:r w:rsidR="003C575A" w:rsidRPr="003C7CC2">
        <w:t>effects</w:t>
      </w:r>
      <w:r w:rsidRPr="003C7CC2">
        <w:t xml:space="preserve"> on a person’s life, they require ongoing and often costly management from different parts of the health system. Given their persistent nature, they are also inviting prospects for prevention — or at least, </w:t>
      </w:r>
      <w:r w:rsidR="00C61C56" w:rsidRPr="003C7CC2">
        <w:t xml:space="preserve">for </w:t>
      </w:r>
      <w:r w:rsidRPr="003C7CC2">
        <w:t xml:space="preserve">attempts to delay the onset of more severe and costly harms to their sufferers. </w:t>
      </w:r>
    </w:p>
    <w:p w14:paraId="1EA38B57" w14:textId="77777777" w:rsidR="00F040A0" w:rsidRPr="003C7CC2" w:rsidRDefault="00DE4552" w:rsidP="003C7CC2">
      <w:pPr>
        <w:pStyle w:val="BodyText"/>
      </w:pPr>
      <w:r w:rsidRPr="003C7CC2">
        <w:t xml:space="preserve">Against that background, </w:t>
      </w:r>
      <w:r w:rsidR="00E82801" w:rsidRPr="003C7CC2">
        <w:t xml:space="preserve">health </w:t>
      </w:r>
      <w:r w:rsidR="00370CB8" w:rsidRPr="003C7CC2">
        <w:t xml:space="preserve">policymakers </w:t>
      </w:r>
      <w:r w:rsidR="00E82801" w:rsidRPr="003C7CC2">
        <w:t xml:space="preserve">have embraced the concept of </w:t>
      </w:r>
      <w:r w:rsidRPr="003C7CC2">
        <w:t>integrating the actions of, and information from, the different parts of the health and community sector to provide care suited to the personal circumstances of the patient</w:t>
      </w:r>
      <w:r w:rsidR="00E82801" w:rsidRPr="003C7CC2">
        <w:t xml:space="preserve"> —</w:t>
      </w:r>
      <w:r w:rsidR="009C49CA" w:rsidRPr="003C7CC2">
        <w:t xml:space="preserve"> </w:t>
      </w:r>
      <w:r w:rsidR="00E82801" w:rsidRPr="003C7CC2">
        <w:t>‘integrated patient</w:t>
      </w:r>
      <w:r w:rsidR="00E82801" w:rsidRPr="003C7CC2">
        <w:noBreakHyphen/>
        <w:t>centred care’.</w:t>
      </w:r>
      <w:r w:rsidR="00E663CE" w:rsidRPr="003C7CC2">
        <w:t xml:space="preserve"> </w:t>
      </w:r>
      <w:r w:rsidR="00F040A0" w:rsidRPr="003C7CC2">
        <w:t xml:space="preserve">The objective is </w:t>
      </w:r>
      <w:r w:rsidR="00212F08" w:rsidRPr="003C7CC2">
        <w:t>fourfold – to improve health outcomes while at the same time delivering a higher quality service to patients, lowering costs and ensuring the wellbeing of the health workforce (Berwick, Nolan and Whittington 2008; Bodenheimer and Sinsky 2014). These provide a balanced measure of the success of a health reform and motivate an integrated patient</w:t>
      </w:r>
      <w:r w:rsidR="00212F08" w:rsidRPr="003C7CC2">
        <w:noBreakHyphen/>
        <w:t xml:space="preserve">centred approach to care. </w:t>
      </w:r>
    </w:p>
    <w:p w14:paraId="1EA38B58" w14:textId="77777777" w:rsidR="000C2C65" w:rsidRDefault="0094738E" w:rsidP="001A1A96">
      <w:pPr>
        <w:pStyle w:val="BodyText"/>
      </w:pPr>
      <w:r>
        <w:lastRenderedPageBreak/>
        <w:t>Th</w:t>
      </w:r>
      <w:r w:rsidR="00370CB8">
        <w:t xml:space="preserve">e boundaries of </w:t>
      </w:r>
      <w:r w:rsidR="0014353F">
        <w:t>the terms ‘integrated’ and ‘patient</w:t>
      </w:r>
      <w:r w:rsidR="0014353F">
        <w:noBreakHyphen/>
        <w:t>centred’</w:t>
      </w:r>
      <w:r w:rsidR="00370CB8">
        <w:t xml:space="preserve"> are imprecisely defined</w:t>
      </w:r>
      <w:r w:rsidR="0014353F">
        <w:t xml:space="preserve">. </w:t>
      </w:r>
      <w:r w:rsidR="00CD0ED8">
        <w:t>T</w:t>
      </w:r>
      <w:r w:rsidR="0014353F">
        <w:t xml:space="preserve">his </w:t>
      </w:r>
      <w:r w:rsidR="00CD0ED8">
        <w:t xml:space="preserve">partly </w:t>
      </w:r>
      <w:r w:rsidR="0014353F">
        <w:t xml:space="preserve">reflects that </w:t>
      </w:r>
      <w:r w:rsidR="00984D8A">
        <w:t>there are no si</w:t>
      </w:r>
      <w:r w:rsidR="00970413">
        <w:t>ngle definitions of these terms</w:t>
      </w:r>
      <w:r w:rsidR="00984D8A" w:rsidRPr="003D243B">
        <w:rPr>
          <w:rStyle w:val="FootnoteReference"/>
        </w:rPr>
        <w:footnoteReference w:id="2"/>
      </w:r>
      <w:r w:rsidR="00984D8A">
        <w:t xml:space="preserve"> and that </w:t>
      </w:r>
      <w:r w:rsidR="0014353F">
        <w:t xml:space="preserve">their positive connotation </w:t>
      </w:r>
      <w:r w:rsidR="00970413">
        <w:t>means that they are used to describe</w:t>
      </w:r>
      <w:r w:rsidR="00CD0ED8">
        <w:t xml:space="preserve"> policies that </w:t>
      </w:r>
      <w:r w:rsidR="0014353F">
        <w:t xml:space="preserve">may only entail a </w:t>
      </w:r>
      <w:r w:rsidR="00CD0ED8">
        <w:t xml:space="preserve">few aspects of </w:t>
      </w:r>
      <w:r w:rsidR="00984D8A">
        <w:t>integration and patient</w:t>
      </w:r>
      <w:r w:rsidR="00984D8A">
        <w:noBreakHyphen/>
        <w:t>centredeness.</w:t>
      </w:r>
      <w:r w:rsidR="0014353F">
        <w:t xml:space="preserve"> </w:t>
      </w:r>
    </w:p>
    <w:p w14:paraId="1EA38B59" w14:textId="77777777" w:rsidR="0014353F" w:rsidRDefault="00370CB8" w:rsidP="001A1A96">
      <w:pPr>
        <w:pStyle w:val="BodyText"/>
      </w:pPr>
      <w:r>
        <w:t xml:space="preserve">The Australian Government’s Diabetes Care Program (appendix A) had some key elements of integrated care through its funding model, electronic medical records, care plans and </w:t>
      </w:r>
      <w:r w:rsidR="00C43A8B">
        <w:t>multidisciplinary</w:t>
      </w:r>
      <w:r>
        <w:t xml:space="preserve"> </w:t>
      </w:r>
      <w:r w:rsidR="00C43A8B">
        <w:t xml:space="preserve">focus. </w:t>
      </w:r>
      <w:r w:rsidR="00EE2F9F">
        <w:t>However,</w:t>
      </w:r>
      <w:r w:rsidR="00C43A8B">
        <w:t xml:space="preserve"> the boundaries of integration were largely </w:t>
      </w:r>
      <w:r w:rsidR="00965F19">
        <w:t>limited to the areas</w:t>
      </w:r>
      <w:r w:rsidR="00C43A8B">
        <w:t xml:space="preserve"> fund</w:t>
      </w:r>
      <w:r w:rsidR="00965F19">
        <w:t xml:space="preserve">ed by </w:t>
      </w:r>
      <w:r w:rsidR="00C43A8B">
        <w:t>the Australian Government</w:t>
      </w:r>
      <w:r w:rsidR="0014353F">
        <w:t>.</w:t>
      </w:r>
      <w:r w:rsidR="00C43A8B">
        <w:t xml:space="preserve"> </w:t>
      </w:r>
      <w:r w:rsidR="0014353F">
        <w:t xml:space="preserve">Accordingly, </w:t>
      </w:r>
      <w:r w:rsidR="00C43A8B">
        <w:t xml:space="preserve">hospitals — the responsibility of </w:t>
      </w:r>
      <w:r w:rsidR="0014353F">
        <w:t>State and T</w:t>
      </w:r>
      <w:r w:rsidR="00C43A8B">
        <w:t>erritory Government</w:t>
      </w:r>
      <w:r w:rsidR="0014353F">
        <w:t>s</w:t>
      </w:r>
      <w:r w:rsidR="00C43A8B">
        <w:t xml:space="preserve"> — were not included in managing </w:t>
      </w:r>
      <w:r w:rsidR="0014353F">
        <w:t>patients</w:t>
      </w:r>
      <w:r w:rsidR="00C43A8B">
        <w:t>.</w:t>
      </w:r>
      <w:r w:rsidR="0014353F">
        <w:t xml:space="preserve"> </w:t>
      </w:r>
    </w:p>
    <w:p w14:paraId="1EA38B5A" w14:textId="77777777" w:rsidR="00EF71D7" w:rsidRDefault="001A1A96" w:rsidP="00EF71D7">
      <w:pPr>
        <w:pStyle w:val="BodyText"/>
      </w:pPr>
      <w:r>
        <w:t>Consequently, when someone describes some aspect of a health reform as integrated or patient</w:t>
      </w:r>
      <w:r w:rsidR="005534A3">
        <w:noBreakHyphen/>
      </w:r>
      <w:r>
        <w:t>centred, it is important to examine what this means in practice. A failure to do so makes it harder to draw the lessons from the multiple applications of these practices in Australia and globally</w:t>
      </w:r>
      <w:r w:rsidR="00504B5E">
        <w:t xml:space="preserve"> (appendix</w:t>
      </w:r>
      <w:r w:rsidR="007C6680">
        <w:t>es</w:t>
      </w:r>
      <w:r w:rsidR="00504B5E">
        <w:t xml:space="preserve"> A and </w:t>
      </w:r>
      <w:r w:rsidR="007C6680">
        <w:t>B)</w:t>
      </w:r>
      <w:r>
        <w:t xml:space="preserve">. For example, </w:t>
      </w:r>
      <w:r w:rsidR="00EF71D7">
        <w:t>t</w:t>
      </w:r>
      <w:r w:rsidR="00984D8A">
        <w:t>he failure of the Diabetes Care Program to achieve cost</w:t>
      </w:r>
      <w:r w:rsidR="00984D8A">
        <w:noBreakHyphen/>
        <w:t xml:space="preserve">effective gains was </w:t>
      </w:r>
      <w:r w:rsidR="006A1FE7">
        <w:t xml:space="preserve">not a failure of integrated care, but a </w:t>
      </w:r>
      <w:r w:rsidR="00EF71D7">
        <w:t>reflection</w:t>
      </w:r>
      <w:r w:rsidR="006A1FE7">
        <w:t xml:space="preserve"> of </w:t>
      </w:r>
      <w:r w:rsidR="00EF71D7">
        <w:t xml:space="preserve">the problems that occur when implementation of the model is incomplete. </w:t>
      </w:r>
      <w:r w:rsidR="000C2C65">
        <w:t>Health Care Homes — an Australian Government trial due to shortly begin — also involves incomplete recognition o</w:t>
      </w:r>
      <w:r w:rsidR="00FB2F62">
        <w:t xml:space="preserve">f some key parts of health care. (The Commission </w:t>
      </w:r>
      <w:r w:rsidR="00030A42">
        <w:t>proposes</w:t>
      </w:r>
      <w:r w:rsidR="00FB2F62">
        <w:t xml:space="preserve"> changes to </w:t>
      </w:r>
      <w:r w:rsidR="00DF04EE">
        <w:t>the trial</w:t>
      </w:r>
      <w:r w:rsidR="00FB2F62">
        <w:t xml:space="preserve"> that </w:t>
      </w:r>
      <w:r w:rsidR="00DF04EE">
        <w:t>would integrate</w:t>
      </w:r>
      <w:r w:rsidR="00FB2F62">
        <w:t xml:space="preserve"> it better into the whole health care system.)</w:t>
      </w:r>
    </w:p>
    <w:p w14:paraId="1EA38B5B" w14:textId="77777777" w:rsidR="000E3089" w:rsidRDefault="002325D8" w:rsidP="002325D8">
      <w:pPr>
        <w:pStyle w:val="BodyText"/>
      </w:pPr>
      <w:r w:rsidRPr="00EC798F">
        <w:t>The Commission’s concept is that integrated patient</w:t>
      </w:r>
      <w:r w:rsidRPr="00EC798F">
        <w:noBreakHyphen/>
        <w:t>centred care involves the entire health care system, such that all services — community</w:t>
      </w:r>
      <w:r>
        <w:t>,</w:t>
      </w:r>
      <w:r w:rsidRPr="00EC798F">
        <w:t xml:space="preserve"> primary, secondary, tertiary (and quaternary) — are integrated to achieve good health outcomes and </w:t>
      </w:r>
      <w:r w:rsidR="00500EAD">
        <w:t xml:space="preserve">to efficiently </w:t>
      </w:r>
      <w:r w:rsidRPr="00EC798F">
        <w:t>deliver a high quality of service to people over their lives.</w:t>
      </w:r>
      <w:r w:rsidR="00863D49">
        <w:t xml:space="preserve"> Figures 1.1 and 1.2 describe</w:t>
      </w:r>
      <w:r>
        <w:t xml:space="preserve"> the key elements of integrated care as we define it, and the roles of the parties in such a care model. </w:t>
      </w:r>
      <w:r w:rsidR="000E3089">
        <w:t xml:space="preserve">Any given person in the current system may try to integrate services — developing care plans, communicating with fellow clinicians and involving allied health professionals, following up on hospital admissions and linking to family members to deliver quality outcomes. But they are swimming against the tide of a </w:t>
      </w:r>
      <w:r w:rsidR="000E3089" w:rsidRPr="00591750">
        <w:rPr>
          <w:i/>
        </w:rPr>
        <w:t>system</w:t>
      </w:r>
      <w:r w:rsidR="000E3089">
        <w:t xml:space="preserve"> that frustrates that model — funding </w:t>
      </w:r>
      <w:r w:rsidR="00591750">
        <w:t>models</w:t>
      </w:r>
      <w:r w:rsidR="000E3089">
        <w:t xml:space="preserve"> that discourage this mode of practice, incompatible information systems, </w:t>
      </w:r>
      <w:r w:rsidR="002C4406">
        <w:t xml:space="preserve">poor linkages between the various health professionals, </w:t>
      </w:r>
      <w:r w:rsidR="000E3089">
        <w:t xml:space="preserve">and gaps </w:t>
      </w:r>
      <w:r w:rsidR="00AD171C">
        <w:t>in the availability of services</w:t>
      </w:r>
      <w:r w:rsidR="000E3089">
        <w:t>, among other obstacles</w:t>
      </w:r>
      <w:r w:rsidR="00AD171C">
        <w:t>.</w:t>
      </w:r>
      <w:r w:rsidR="002C4406">
        <w:t xml:space="preserve"> As </w:t>
      </w:r>
      <w:r w:rsidR="00080158">
        <w:t>two Australian health experts commented:</w:t>
      </w:r>
    </w:p>
    <w:p w14:paraId="1EA38B5C" w14:textId="77777777" w:rsidR="002C4406" w:rsidRDefault="002C4406" w:rsidP="00080158">
      <w:pPr>
        <w:pStyle w:val="Quote"/>
      </w:pPr>
      <w:r>
        <w:t xml:space="preserve">Currently, most interventions remain focused on episodic pharmaceutical treatment and medical procedures. Care coordination is usually limited to referral and information exchange. There is little active team management across specialist medical practitioners, nursing, pharmacy and allied health services. </w:t>
      </w:r>
      <w:r w:rsidR="00B212EE" w:rsidRPr="00B212EE">
        <w:rPr>
          <w:szCs w:val="24"/>
        </w:rPr>
        <w:t>(Swerissen and Duckett 2016, p. 18)</w:t>
      </w:r>
    </w:p>
    <w:p w14:paraId="1EA38B5D" w14:textId="77777777" w:rsidR="00EC798F" w:rsidRDefault="00EC798F" w:rsidP="00EC79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EC798F" w14:paraId="1EA38B5F" w14:textId="77777777" w:rsidTr="00E471E0">
        <w:trPr>
          <w:tblHeader/>
        </w:trPr>
        <w:tc>
          <w:tcPr>
            <w:tcW w:w="5000" w:type="pct"/>
            <w:tcBorders>
              <w:top w:val="single" w:sz="6" w:space="0" w:color="78A22F"/>
              <w:left w:val="nil"/>
              <w:bottom w:val="nil"/>
              <w:right w:val="nil"/>
            </w:tcBorders>
            <w:shd w:val="clear" w:color="auto" w:fill="auto"/>
          </w:tcPr>
          <w:p w14:paraId="1EA38B5E" w14:textId="77777777" w:rsidR="00EC798F" w:rsidRPr="00AF098D" w:rsidRDefault="00EC798F" w:rsidP="00AF098D">
            <w:pPr>
              <w:pStyle w:val="FigureTitle"/>
            </w:pPr>
            <w:r w:rsidRPr="00944790">
              <w:rPr>
                <w:b w:val="0"/>
              </w:rPr>
              <w:t xml:space="preserve">Figure </w:t>
            </w:r>
            <w:r w:rsidR="00B42B57" w:rsidRPr="00944790">
              <w:rPr>
                <w:b w:val="0"/>
              </w:rPr>
              <w:t>1.1</w:t>
            </w:r>
            <w:r w:rsidRPr="00AF098D">
              <w:tab/>
              <w:t>The essential elements of integrated care</w:t>
            </w:r>
          </w:p>
        </w:tc>
      </w:tr>
      <w:tr w:rsidR="00EC798F" w14:paraId="1EA38B63" w14:textId="77777777" w:rsidTr="00E471E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27"/>
            </w:tblGrid>
            <w:tr w:rsidR="00EC798F" w:rsidRPr="00B1465D" w14:paraId="1EA38B61" w14:textId="77777777" w:rsidTr="00E471E0">
              <w:trPr>
                <w:tblHeader/>
                <w:jc w:val="center"/>
              </w:trPr>
              <w:tc>
                <w:tcPr>
                  <w:tcW w:w="5000" w:type="pct"/>
                  <w:tcBorders>
                    <w:top w:val="nil"/>
                    <w:bottom w:val="nil"/>
                  </w:tcBorders>
                </w:tcPr>
                <w:p w14:paraId="1EA38B60" w14:textId="77777777" w:rsidR="00EC798F" w:rsidRPr="00B1465D" w:rsidRDefault="00AD171C" w:rsidP="00E471E0">
                  <w:pPr>
                    <w:pStyle w:val="Figure"/>
                    <w:spacing w:before="60" w:after="60"/>
                    <w:rPr>
                      <w:rFonts w:ascii="Arial" w:hAnsi="Arial" w:cs="Arial"/>
                      <w:sz w:val="18"/>
                      <w:szCs w:val="18"/>
                    </w:rPr>
                  </w:pPr>
                  <w:r>
                    <w:rPr>
                      <w:rFonts w:ascii="Arial" w:hAnsi="Arial" w:cs="Arial"/>
                      <w:noProof/>
                      <w:sz w:val="18"/>
                      <w:szCs w:val="18"/>
                    </w:rPr>
                    <w:drawing>
                      <wp:inline distT="0" distB="0" distL="0" distR="0" wp14:anchorId="1EA3963E" wp14:editId="47C1E2AC">
                        <wp:extent cx="5414779" cy="4393870"/>
                        <wp:effectExtent l="0" t="0" r="0" b="6985"/>
                        <wp:docPr id="19" name="Picture 19" descr="This figure depicts the essential elements of integrated health care. At the highest level these elements involve person centred care; seamless lifetime care; dynamic efficiency; and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425049" cy="4402204"/>
                                </a:xfrm>
                                <a:prstGeom prst="rect">
                                  <a:avLst/>
                                </a:prstGeom>
                                <a:noFill/>
                              </pic:spPr>
                            </pic:pic>
                          </a:graphicData>
                        </a:graphic>
                      </wp:inline>
                    </w:drawing>
                  </w:r>
                </w:p>
              </w:tc>
            </w:tr>
          </w:tbl>
          <w:p w14:paraId="1EA38B62" w14:textId="77777777" w:rsidR="00EC798F" w:rsidRDefault="00EC798F" w:rsidP="00E471E0">
            <w:pPr>
              <w:pStyle w:val="Figure"/>
            </w:pPr>
          </w:p>
        </w:tc>
      </w:tr>
      <w:tr w:rsidR="00EC798F" w14:paraId="1EA38B65" w14:textId="77777777" w:rsidTr="00E471E0">
        <w:tc>
          <w:tcPr>
            <w:tcW w:w="5000" w:type="pct"/>
            <w:tcBorders>
              <w:top w:val="nil"/>
              <w:left w:val="nil"/>
              <w:bottom w:val="single" w:sz="6" w:space="0" w:color="78A22F"/>
              <w:right w:val="nil"/>
            </w:tcBorders>
            <w:shd w:val="clear" w:color="auto" w:fill="auto"/>
          </w:tcPr>
          <w:p w14:paraId="1EA38B64" w14:textId="77777777" w:rsidR="00EC798F" w:rsidRDefault="00EC798F" w:rsidP="00E471E0">
            <w:pPr>
              <w:pStyle w:val="Figurespace"/>
            </w:pPr>
          </w:p>
        </w:tc>
      </w:tr>
      <w:tr w:rsidR="00EC798F" w:rsidRPr="000863A5" w14:paraId="1EA38B67" w14:textId="77777777" w:rsidTr="00E471E0">
        <w:tc>
          <w:tcPr>
            <w:tcW w:w="5000" w:type="pct"/>
            <w:tcBorders>
              <w:top w:val="single" w:sz="6" w:space="0" w:color="78A22F"/>
              <w:left w:val="nil"/>
              <w:bottom w:val="nil"/>
              <w:right w:val="nil"/>
            </w:tcBorders>
          </w:tcPr>
          <w:p w14:paraId="1EA38B66" w14:textId="77777777" w:rsidR="00EC798F" w:rsidRPr="00626D32" w:rsidRDefault="00EC798F" w:rsidP="00E471E0">
            <w:pPr>
              <w:pStyle w:val="BoxSpaceBelow"/>
            </w:pPr>
          </w:p>
        </w:tc>
      </w:tr>
    </w:tbl>
    <w:p w14:paraId="1EA38B68" w14:textId="77777777" w:rsidR="00EC798F" w:rsidRDefault="00EC798F" w:rsidP="00EC798F">
      <w:pPr>
        <w:pStyle w:val="BodyText"/>
      </w:pPr>
    </w:p>
    <w:p w14:paraId="1EA38B69" w14:textId="77777777" w:rsidR="00EC798F" w:rsidRDefault="00EC798F" w:rsidP="00EC798F">
      <w:pPr>
        <w:pStyle w:val="BoxSpaceAbove"/>
      </w:pPr>
    </w:p>
    <w:tbl>
      <w:tblPr>
        <w:tblW w:w="8771"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EC798F" w14:paraId="1EA38B6B" w14:textId="77777777" w:rsidTr="00CA301B">
        <w:trPr>
          <w:tblHeader/>
        </w:trPr>
        <w:tc>
          <w:tcPr>
            <w:tcW w:w="8771" w:type="dxa"/>
            <w:tcBorders>
              <w:top w:val="single" w:sz="6" w:space="0" w:color="78A22F"/>
              <w:left w:val="nil"/>
              <w:bottom w:val="nil"/>
              <w:right w:val="nil"/>
            </w:tcBorders>
            <w:shd w:val="clear" w:color="auto" w:fill="auto"/>
          </w:tcPr>
          <w:p w14:paraId="1EA38B6A" w14:textId="77777777" w:rsidR="00EC798F" w:rsidRPr="00176D3F" w:rsidRDefault="00EC798F" w:rsidP="00AF098D">
            <w:pPr>
              <w:pStyle w:val="FigureTitle"/>
            </w:pPr>
            <w:r w:rsidRPr="00944790">
              <w:rPr>
                <w:b w:val="0"/>
              </w:rPr>
              <w:t>Figure 1.</w:t>
            </w:r>
            <w:r w:rsidR="00B42B57" w:rsidRPr="00944790">
              <w:rPr>
                <w:b w:val="0"/>
              </w:rPr>
              <w:t>2</w:t>
            </w:r>
            <w:r>
              <w:tab/>
              <w:t>How integrated care affects different parties</w:t>
            </w:r>
          </w:p>
        </w:tc>
      </w:tr>
      <w:tr w:rsidR="00EC798F" w14:paraId="1EA38B6F" w14:textId="77777777" w:rsidTr="00CA301B">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EC798F" w:rsidRPr="00B1465D" w14:paraId="1EA38B6D" w14:textId="77777777" w:rsidTr="00E471E0">
              <w:trPr>
                <w:tblHeader/>
                <w:jc w:val="center"/>
              </w:trPr>
              <w:tc>
                <w:tcPr>
                  <w:tcW w:w="5000" w:type="pct"/>
                  <w:tcBorders>
                    <w:top w:val="nil"/>
                    <w:bottom w:val="nil"/>
                  </w:tcBorders>
                </w:tcPr>
                <w:p w14:paraId="1EA38B6C" w14:textId="77777777" w:rsidR="00EC798F" w:rsidRPr="00B1465D" w:rsidRDefault="002E757B" w:rsidP="00E471E0">
                  <w:pPr>
                    <w:pStyle w:val="Figure"/>
                    <w:spacing w:before="60" w:after="60"/>
                    <w:rPr>
                      <w:rFonts w:ascii="Arial" w:hAnsi="Arial" w:cs="Arial"/>
                      <w:sz w:val="18"/>
                      <w:szCs w:val="18"/>
                    </w:rPr>
                  </w:pPr>
                  <w:r>
                    <w:rPr>
                      <w:rFonts w:ascii="Arial" w:hAnsi="Arial" w:cs="Arial"/>
                      <w:noProof/>
                      <w:sz w:val="18"/>
                      <w:szCs w:val="18"/>
                    </w:rPr>
                    <w:drawing>
                      <wp:inline distT="0" distB="0" distL="0" distR="0" wp14:anchorId="1EA39640" wp14:editId="73514D9C">
                        <wp:extent cx="5213218" cy="6151189"/>
                        <wp:effectExtent l="0" t="0" r="6985" b="2540"/>
                        <wp:docPr id="14" name="Picture 14" descr="This figure depicts how integrated care affects eight different parties. 1. Policymakers are responsible for designing institutions that facilitate integrated care and for developing systems that support integrated care. 2. Purchasing agents take a coordinated approach, including by remunerating suppliers for efficient, high quality services. 3. Users are empowered, gain better access to services and have lower health risks. 4. Supplier managers build and sustain a shared culture, maintain oversight of pooled resources and funding streams, and coordinate joint targets. 5. In an integrated care system, care professionals provide quality services, communicate effectively, use IT and data to improve quality, apply best practice, advocate for users and provide coordinated health and social care. 6. In the community, integrated care shapes local services and enhances social capital. 7. Regulators register integrated providers, assess care provision, measure and monitor standards of care and create data repositories. 8. In the public health system, integrated care reduces environmental and behavioural ri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l="1315" r="2492" b="1562"/>
                                <a:stretch/>
                              </pic:blipFill>
                              <pic:spPr bwMode="auto">
                                <a:xfrm>
                                  <a:off x="0" y="0"/>
                                  <a:ext cx="5213413" cy="615141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EA38B6E" w14:textId="77777777" w:rsidR="00EC798F" w:rsidRDefault="00EC798F" w:rsidP="00E471E0">
            <w:pPr>
              <w:pStyle w:val="Figure"/>
            </w:pPr>
          </w:p>
        </w:tc>
      </w:tr>
      <w:tr w:rsidR="00EC798F" w14:paraId="1EA38B71" w14:textId="77777777" w:rsidTr="00CA301B">
        <w:tc>
          <w:tcPr>
            <w:tcW w:w="8771" w:type="dxa"/>
            <w:tcBorders>
              <w:top w:val="nil"/>
              <w:left w:val="nil"/>
              <w:bottom w:val="single" w:sz="6" w:space="0" w:color="78A22F"/>
              <w:right w:val="nil"/>
            </w:tcBorders>
            <w:shd w:val="clear" w:color="auto" w:fill="auto"/>
          </w:tcPr>
          <w:p w14:paraId="1EA38B70" w14:textId="77777777" w:rsidR="00EC798F" w:rsidRDefault="00EC798F" w:rsidP="00E471E0">
            <w:pPr>
              <w:pStyle w:val="Figurespace"/>
            </w:pPr>
          </w:p>
        </w:tc>
      </w:tr>
      <w:tr w:rsidR="00EC798F" w:rsidRPr="000863A5" w14:paraId="1EA38B73" w14:textId="77777777" w:rsidTr="00CA301B">
        <w:tc>
          <w:tcPr>
            <w:tcW w:w="8771" w:type="dxa"/>
            <w:tcBorders>
              <w:top w:val="single" w:sz="6" w:space="0" w:color="78A22F"/>
              <w:left w:val="nil"/>
              <w:bottom w:val="nil"/>
              <w:right w:val="nil"/>
            </w:tcBorders>
          </w:tcPr>
          <w:p w14:paraId="1EA38B72" w14:textId="77777777" w:rsidR="00EC798F" w:rsidRPr="00626D32" w:rsidRDefault="00EC798F" w:rsidP="00E471E0">
            <w:pPr>
              <w:pStyle w:val="BoxSpaceBelow"/>
            </w:pPr>
          </w:p>
        </w:tc>
      </w:tr>
    </w:tbl>
    <w:p w14:paraId="1EA38B74" w14:textId="77777777" w:rsidR="006049BB" w:rsidRDefault="006049BB" w:rsidP="006049BB">
      <w:pPr>
        <w:pStyle w:val="Heading2"/>
      </w:pPr>
      <w:bookmarkStart w:id="10" w:name="_Toc488929676"/>
      <w:bookmarkStart w:id="11" w:name="_Toc489250054"/>
      <w:r>
        <w:t>1.2</w:t>
      </w:r>
      <w:r>
        <w:tab/>
        <w:t xml:space="preserve">Seamless </w:t>
      </w:r>
      <w:r w:rsidRPr="00B15FB8">
        <w:rPr>
          <w:i/>
        </w:rPr>
        <w:t>and</w:t>
      </w:r>
      <w:r>
        <w:t xml:space="preserve"> patient</w:t>
      </w:r>
      <w:r>
        <w:noBreakHyphen/>
        <w:t>centred care</w:t>
      </w:r>
      <w:bookmarkEnd w:id="10"/>
      <w:bookmarkEnd w:id="11"/>
    </w:p>
    <w:p w14:paraId="1EA38B75" w14:textId="77777777" w:rsidR="006049BB" w:rsidRDefault="006049BB" w:rsidP="006049BB">
      <w:pPr>
        <w:pStyle w:val="BodyText"/>
      </w:pPr>
      <w:r>
        <w:t>An integrated system must deliver customised services to people, but its processes must be highly organised to provide consistency and to reduce costs. This is probably best seen in parts of the system, p</w:t>
      </w:r>
      <w:r w:rsidR="00324229">
        <w:t>articularly hospital care. One</w:t>
      </w:r>
      <w:r w:rsidR="003A6421">
        <w:t xml:space="preserve"> important</w:t>
      </w:r>
      <w:r>
        <w:t xml:space="preserve"> aspect of integrated care involves the adoption of production and operations planning akin to those in modern commercial enterprises — sometimes referred to as ‘clinical redesign’ — to manage the patient journey through the system. Under such management processes, all aspects of operations are coordinated to provide quality outcomes at minimum cost to a mix of customers with different preferences and needs.</w:t>
      </w:r>
    </w:p>
    <w:p w14:paraId="1EA38B76" w14:textId="2E9484A2" w:rsidR="006049BB" w:rsidRDefault="006049BB" w:rsidP="006049BB">
      <w:pPr>
        <w:pStyle w:val="BodyText"/>
      </w:pPr>
      <w:r>
        <w:t xml:space="preserve">Sometimes the methods for achieving this are simple, as in Patient Journey Boards — a prominently displayed board in hospital wards that provide members of </w:t>
      </w:r>
      <w:r w:rsidR="003C431F">
        <w:t>interdisciplinary</w:t>
      </w:r>
      <w:r>
        <w:t xml:space="preserve"> teams information to coordinate care and monitor progress of multiple patients through the hospital</w:t>
      </w:r>
      <w:r w:rsidR="006F3B3B">
        <w:t> </w:t>
      </w:r>
      <w:r w:rsidR="00F42D36">
        <w:rPr>
          <w:szCs w:val="24"/>
        </w:rPr>
        <w:t>(NSWM</w:t>
      </w:r>
      <w:r w:rsidR="00090650" w:rsidRPr="00090650">
        <w:rPr>
          <w:szCs w:val="24"/>
        </w:rPr>
        <w:t>oH 2013)</w:t>
      </w:r>
      <w:r>
        <w:t>.</w:t>
      </w:r>
      <w:r w:rsidRPr="003D243B">
        <w:rPr>
          <w:rStyle w:val="FootnoteReference"/>
        </w:rPr>
        <w:footnoteReference w:id="3"/>
      </w:r>
    </w:p>
    <w:p w14:paraId="1EA38B77" w14:textId="77777777" w:rsidR="006049BB" w:rsidRDefault="006049BB" w:rsidP="006049BB">
      <w:pPr>
        <w:pStyle w:val="BodyText"/>
      </w:pPr>
      <w:r>
        <w:t>Within the hospital part of the system, so</w:t>
      </w:r>
      <w:r>
        <w:noBreakHyphen/>
        <w:t>called ‘lean care models’ adapted from Toyota have also been used. In one instance, application of this approach was able to massively increase the capacity utilisation of operating theatres</w:t>
      </w:r>
      <w:r w:rsidR="006F3B3B">
        <w:t> </w:t>
      </w:r>
      <w:r w:rsidRPr="00933FB9">
        <w:rPr>
          <w:szCs w:val="24"/>
        </w:rPr>
        <w:t>(PC 2013, p. 250)</w:t>
      </w:r>
      <w:r>
        <w:t>. Another illustration is the</w:t>
      </w:r>
      <w:r w:rsidRPr="00742209">
        <w:t xml:space="preserve"> </w:t>
      </w:r>
      <w:r>
        <w:t>High Volume Short Stay model of care for suitable planned surgical cases being implemented in New South Wales (NSW). Infrastructure NSW</w:t>
      </w:r>
      <w:r w:rsidR="006F3B3B">
        <w:t> </w:t>
      </w:r>
      <w:r w:rsidRPr="00C65A42">
        <w:t>(2014)</w:t>
      </w:r>
      <w:r>
        <w:t xml:space="preserve"> indicated preliminary forecasts of productivity gains in the order of $100 million over 10 years based on reduced length of stay. Organ donation in Australia has also taken a similar coordinated approach to better manage the critical stages that maximise the rate of successful donations (appendix A).</w:t>
      </w:r>
    </w:p>
    <w:p w14:paraId="1EA38B78" w14:textId="77777777" w:rsidR="00550757" w:rsidRDefault="00550757" w:rsidP="00550757">
      <w:pPr>
        <w:pStyle w:val="BodyText"/>
      </w:pPr>
      <w:r>
        <w:t xml:space="preserve">It should be emphasised that seamless care </w:t>
      </w:r>
      <w:r w:rsidR="00CD599D">
        <w:t>does not have to be</w:t>
      </w:r>
      <w:r>
        <w:t xml:space="preserve"> impersonal. To the contrary, </w:t>
      </w:r>
      <w:r w:rsidR="00DF2413">
        <w:t>i</w:t>
      </w:r>
      <w:r w:rsidR="00CD599D">
        <w:t xml:space="preserve">f executed within the framework we propose, </w:t>
      </w:r>
      <w:r>
        <w:t xml:space="preserve">it treats the person as the central party around whom resources and processes that improve their wellbeing are methodically assembled. </w:t>
      </w:r>
    </w:p>
    <w:p w14:paraId="1EA38B79" w14:textId="77777777" w:rsidR="00B15FB8" w:rsidRDefault="00B15FB8" w:rsidP="00B15FB8">
      <w:pPr>
        <w:pStyle w:val="BodyText"/>
      </w:pPr>
      <w:r>
        <w:t>There is a danger in seeing integrated care just in terms of ‘who does what to who’</w:t>
      </w:r>
      <w:r w:rsidR="00CD599D">
        <w:t>. This would risk</w:t>
      </w:r>
      <w:r>
        <w:t xml:space="preserve"> losing sight of some overarching ideas central to a patient</w:t>
      </w:r>
      <w:r>
        <w:noBreakHyphen/>
        <w:t>centred model: the person, the process in which they participate, the needs for links outside the system, and the requirement that what is done to people has a proven basis and adapts through innovation.</w:t>
      </w:r>
    </w:p>
    <w:p w14:paraId="1EA38B7A" w14:textId="77777777" w:rsidR="00B15FB8" w:rsidRDefault="00B42B57" w:rsidP="00B42B57">
      <w:pPr>
        <w:pStyle w:val="Heading2"/>
      </w:pPr>
      <w:bookmarkStart w:id="12" w:name="_Toc488929677"/>
      <w:bookmarkStart w:id="13" w:name="_Toc489250055"/>
      <w:r>
        <w:t>1.3</w:t>
      </w:r>
      <w:r>
        <w:tab/>
      </w:r>
      <w:r w:rsidR="00B15FB8">
        <w:t>There is a consensus that a patient</w:t>
      </w:r>
      <w:r w:rsidR="00B15FB8">
        <w:noBreakHyphen/>
        <w:t>centred integrated care approach is the right way to go</w:t>
      </w:r>
      <w:bookmarkEnd w:id="12"/>
      <w:bookmarkEnd w:id="13"/>
    </w:p>
    <w:p w14:paraId="1EA38B7B" w14:textId="77777777" w:rsidR="00904315" w:rsidRDefault="00DC71B0" w:rsidP="00904315">
      <w:pPr>
        <w:pStyle w:val="BodyText"/>
      </w:pPr>
      <w:r>
        <w:t>A</w:t>
      </w:r>
      <w:r w:rsidR="00904315">
        <w:t>n integrated system of patient</w:t>
      </w:r>
      <w:r w:rsidR="00904315">
        <w:noBreakHyphen/>
        <w:t xml:space="preserve">centred health care has been a policy objective in all Australian jurisdictions </w:t>
      </w:r>
      <w:r w:rsidR="007B77BB">
        <w:t xml:space="preserve">at least </w:t>
      </w:r>
      <w:r w:rsidR="00904315">
        <w:t xml:space="preserve">since a </w:t>
      </w:r>
      <w:r w:rsidR="00395FF2">
        <w:t>Council of Australian Governments (</w:t>
      </w:r>
      <w:r w:rsidR="00904315">
        <w:t>COAG</w:t>
      </w:r>
      <w:r w:rsidR="00395FF2">
        <w:t>)</w:t>
      </w:r>
      <w:r w:rsidR="00904315">
        <w:t xml:space="preserve"> agreement in 1995. </w:t>
      </w:r>
    </w:p>
    <w:p w14:paraId="1EA38B7C" w14:textId="77777777" w:rsidR="00F32F55" w:rsidRDefault="00CC4BBF" w:rsidP="00904315">
      <w:pPr>
        <w:pStyle w:val="BodyText"/>
      </w:pPr>
      <w:r>
        <w:t xml:space="preserve">The consensus is not isolated to governments. </w:t>
      </w:r>
      <w:r w:rsidR="007C512B">
        <w:t>Consumer groups have embraced the concept</w:t>
      </w:r>
      <w:r w:rsidR="006F3B3B">
        <w:t> </w:t>
      </w:r>
      <w:r w:rsidR="00F65FF0" w:rsidRPr="00F65FF0">
        <w:rPr>
          <w:szCs w:val="24"/>
        </w:rPr>
        <w:t>(GIGH and CHF 2016)</w:t>
      </w:r>
      <w:r w:rsidR="007C512B">
        <w:t xml:space="preserve">. </w:t>
      </w:r>
      <w:r w:rsidR="002370A8">
        <w:t xml:space="preserve">The Royal </w:t>
      </w:r>
      <w:r w:rsidR="00980817">
        <w:t xml:space="preserve">Australasian </w:t>
      </w:r>
      <w:r w:rsidR="002370A8">
        <w:t>College of Physicians</w:t>
      </w:r>
      <w:r w:rsidR="006F3B3B">
        <w:t> </w:t>
      </w:r>
      <w:r w:rsidR="00C65A42" w:rsidRPr="00C65A42">
        <w:rPr>
          <w:szCs w:val="24"/>
        </w:rPr>
        <w:t>(RACP 2015)</w:t>
      </w:r>
      <w:r w:rsidR="002370A8">
        <w:t xml:space="preserve"> advocates patient</w:t>
      </w:r>
      <w:r w:rsidR="009C49CA">
        <w:noBreakHyphen/>
      </w:r>
      <w:r w:rsidR="002370A8">
        <w:t xml:space="preserve">centred integrated health care as the right direction for policy. </w:t>
      </w:r>
      <w:r w:rsidR="004C5945">
        <w:t>The Queensland Nurses Union advocate funding reform to better ensure providers work together and to contain rising health care costs (sub.</w:t>
      </w:r>
      <w:r w:rsidR="00211F40">
        <w:t> </w:t>
      </w:r>
      <w:r w:rsidR="004C5945">
        <w:t>10,</w:t>
      </w:r>
      <w:r w:rsidR="00211F40">
        <w:t> </w:t>
      </w:r>
      <w:r w:rsidR="004C5945">
        <w:t>p.</w:t>
      </w:r>
      <w:r w:rsidR="00777314">
        <w:t> </w:t>
      </w:r>
      <w:r w:rsidR="004C5945">
        <w:t xml:space="preserve">19). </w:t>
      </w:r>
      <w:r w:rsidR="00F32F55">
        <w:t>In its submission to this inquiry, the Australian Chamber of Commerce and Industry</w:t>
      </w:r>
      <w:r w:rsidR="00211F40">
        <w:t> </w:t>
      </w:r>
      <w:r w:rsidR="00F32F55">
        <w:t>(sub.</w:t>
      </w:r>
      <w:r w:rsidR="00211F40">
        <w:t> </w:t>
      </w:r>
      <w:r w:rsidR="00F32F55">
        <w:t>37,</w:t>
      </w:r>
      <w:r w:rsidR="00211F40">
        <w:t> </w:t>
      </w:r>
      <w:r w:rsidR="00F32F55">
        <w:t>p.</w:t>
      </w:r>
      <w:r w:rsidR="00777314">
        <w:t> </w:t>
      </w:r>
      <w:r w:rsidR="00F32F55">
        <w:t xml:space="preserve">15) state: </w:t>
      </w:r>
    </w:p>
    <w:p w14:paraId="1EA38B7D" w14:textId="77777777" w:rsidR="00F32F55" w:rsidRDefault="00F32F55" w:rsidP="00000E32">
      <w:pPr>
        <w:pStyle w:val="Quote"/>
      </w:pPr>
      <w:r w:rsidRPr="00F32F55">
        <w:t>Current funding arrangements and financial incentives are structured around providers rather than health outcomes as funding is provided on the basis of activity, rather than on improvements in people’s health.</w:t>
      </w:r>
    </w:p>
    <w:p w14:paraId="1EA38B7E" w14:textId="77777777" w:rsidR="00CC4BBF" w:rsidRDefault="002370A8" w:rsidP="00904315">
      <w:pPr>
        <w:pStyle w:val="BodyText"/>
      </w:pPr>
      <w:r>
        <w:t>Likewise, t</w:t>
      </w:r>
      <w:r w:rsidR="00CC4BBF">
        <w:t xml:space="preserve">he Business Council of Australia identifies </w:t>
      </w:r>
      <w:r w:rsidR="00F32F55">
        <w:t>patient</w:t>
      </w:r>
      <w:r w:rsidR="00F32F55">
        <w:noBreakHyphen/>
        <w:t xml:space="preserve">centred integrated care </w:t>
      </w:r>
      <w:r w:rsidR="00CC4BBF">
        <w:t xml:space="preserve">as a key microeconomic reform, and like past reforms in other </w:t>
      </w:r>
      <w:r w:rsidR="00930208">
        <w:t>parts</w:t>
      </w:r>
      <w:r w:rsidR="00CC4BBF">
        <w:t xml:space="preserve"> of the economy, </w:t>
      </w:r>
      <w:r w:rsidR="007C512B">
        <w:t xml:space="preserve">argues it must be supported by </w:t>
      </w:r>
      <w:r w:rsidR="00CC4BBF">
        <w:t>new governance arrangements, consumer power and metrics on performance to ensure progress</w:t>
      </w:r>
      <w:r w:rsidR="006F3B3B">
        <w:t> </w:t>
      </w:r>
      <w:r w:rsidR="00C65A42" w:rsidRPr="00C65A42">
        <w:rPr>
          <w:szCs w:val="24"/>
        </w:rPr>
        <w:t>(BCA 2011)</w:t>
      </w:r>
      <w:r w:rsidR="003537D3">
        <w:t>.</w:t>
      </w:r>
      <w:r>
        <w:t xml:space="preserve"> </w:t>
      </w:r>
      <w:r w:rsidR="000C5B99">
        <w:t>And</w:t>
      </w:r>
      <w:r w:rsidR="007865C1">
        <w:t xml:space="preserve"> health experts, in Australia and overseas, </w:t>
      </w:r>
      <w:r w:rsidR="000C5B99">
        <w:t>ha</w:t>
      </w:r>
      <w:r w:rsidR="007865C1">
        <w:t xml:space="preserve">ve long argued for its adoption. </w:t>
      </w:r>
      <w:r>
        <w:t>It is rare to have a consensus from such disparate groups.</w:t>
      </w:r>
    </w:p>
    <w:p w14:paraId="1EA38B7F" w14:textId="77777777" w:rsidR="00832969" w:rsidRDefault="00832969" w:rsidP="00832969">
      <w:pPr>
        <w:pStyle w:val="BodyText"/>
      </w:pPr>
      <w:r>
        <w:t xml:space="preserve">There have been many experiments in what might loosely be called integrated care (appendix A). </w:t>
      </w:r>
      <w:r w:rsidR="00D9633B">
        <w:t>However, Australia’s progress towards an Australia</w:t>
      </w:r>
      <w:r w:rsidR="00D9633B">
        <w:noBreakHyphen/>
        <w:t>wide integrated system of care across primary, hospital and other sectors has been poor, hampered by weak information flows and coordination, inadequate attention to the experiences of patients, and flawed incentives and fragmented governance arrangements (in large part created by</w:t>
      </w:r>
      <w:r w:rsidR="00D9633B" w:rsidRPr="00857373">
        <w:t xml:space="preserve"> </w:t>
      </w:r>
      <w:r w:rsidR="00D9633B">
        <w:t>the Commonwealth</w:t>
      </w:r>
      <w:r w:rsidR="00D9633B">
        <w:noBreakHyphen/>
        <w:t>State divide in funding arrangements).</w:t>
      </w:r>
      <w:r w:rsidR="00D9633B" w:rsidRPr="000E0FC1">
        <w:t xml:space="preserve"> </w:t>
      </w:r>
    </w:p>
    <w:p w14:paraId="1EA38B80" w14:textId="77777777" w:rsidR="00832969" w:rsidRDefault="00832969" w:rsidP="00832969">
      <w:pPr>
        <w:pStyle w:val="BodyText"/>
      </w:pPr>
      <w:r>
        <w:t>A simple illustration of the problem is the proportion of a hospital’s patients whose GPs are provided with a discharge summary within twenty</w:t>
      </w:r>
      <w:r>
        <w:noBreakHyphen/>
        <w:t xml:space="preserve">four hours of discharge. Currently, Australia’s performance </w:t>
      </w:r>
      <w:r w:rsidR="002D5962">
        <w:t>is</w:t>
      </w:r>
      <w:r>
        <w:t xml:space="preserve"> </w:t>
      </w:r>
      <w:r w:rsidR="002D5962">
        <w:t>weak</w:t>
      </w:r>
      <w:r>
        <w:t xml:space="preserve">. An international survey found that less than 20 per cent of Australian GPs were always told when a patient was seen in an emergency department compared with 68 per cent in the Netherlands, 56 per cent in New Zealand and 49 per cent in the </w:t>
      </w:r>
      <w:r w:rsidR="0083038E">
        <w:t>United Kingdom</w:t>
      </w:r>
      <w:r w:rsidR="006F3B3B">
        <w:t> </w:t>
      </w:r>
      <w:r>
        <w:t>(Osborn et al. 2015).</w:t>
      </w:r>
    </w:p>
    <w:p w14:paraId="1EA38B81" w14:textId="77777777" w:rsidR="00D9633B" w:rsidRDefault="00832969" w:rsidP="00832969">
      <w:pPr>
        <w:pStyle w:val="BodyText"/>
      </w:pPr>
      <w:r>
        <w:t>In addition, while not always conceived this way, an integrated patient</w:t>
      </w:r>
      <w:r>
        <w:noBreakHyphen/>
        <w:t>centred system should also give prominence to</w:t>
      </w:r>
      <w:r w:rsidR="00006864">
        <w:t xml:space="preserve"> the quality of service and efficiency</w:t>
      </w:r>
      <w:r w:rsidR="00BA5CF2">
        <w:t>.</w:t>
      </w:r>
    </w:p>
    <w:p w14:paraId="1EA38B82" w14:textId="77777777" w:rsidR="00832969" w:rsidRDefault="00006864" w:rsidP="00BA5CF2">
      <w:pPr>
        <w:pStyle w:val="BodyText"/>
      </w:pPr>
      <w:r>
        <w:t>Q</w:t>
      </w:r>
      <w:r w:rsidR="00832969">
        <w:t xml:space="preserve">uality of services includes </w:t>
      </w:r>
      <w:r w:rsidR="001148D4">
        <w:t>not providing</w:t>
      </w:r>
      <w:r w:rsidR="00832969">
        <w:t xml:space="preserve"> low</w:t>
      </w:r>
      <w:r w:rsidR="00832969">
        <w:noBreakHyphen/>
        <w:t>value care, which by definition is care that either has no effect, causes harm or is not worth its cost. In consumer law, this would be a product that someone would return as unfit for purpose. Similarly, no patient likes to be subject to sentinel events or hospital acquired complications, and their presence is an indicator of poor processes</w:t>
      </w:r>
      <w:r w:rsidR="00930208">
        <w:t>.</w:t>
      </w:r>
    </w:p>
    <w:p w14:paraId="1EA38B83" w14:textId="77777777" w:rsidR="00B62432" w:rsidRDefault="00006864" w:rsidP="00BA5CF2">
      <w:pPr>
        <w:pStyle w:val="BodyText"/>
      </w:pPr>
      <w:r>
        <w:t>E</w:t>
      </w:r>
      <w:r w:rsidR="00832969">
        <w:t>fficiency</w:t>
      </w:r>
      <w:r>
        <w:t xml:space="preserve"> also matters</w:t>
      </w:r>
      <w:r w:rsidR="00832969">
        <w:t xml:space="preserve">. NASA is a brilliant integrator of all the processes required to launch a spacecraft, but that is a fabulously extravagant exercise that no health system should seek to emulate. There are finite resources available for health care, and a choice to spend here is a decision not to spend there. </w:t>
      </w:r>
      <w:r w:rsidR="002D5962">
        <w:t>A failure to consider efficiency and value for money across the health care system (and public health) is to forgo better value services in exchange for poorer value services. That is not in the interest of people.</w:t>
      </w:r>
    </w:p>
    <w:p w14:paraId="1EA38B84" w14:textId="77777777" w:rsidR="00B62432" w:rsidRDefault="00B437EB" w:rsidP="00BA5CF2">
      <w:pPr>
        <w:pStyle w:val="BodyText"/>
      </w:pPr>
      <w:r>
        <w:t>To that end, an integrated approach to care should concentrate most on those whose health conditions are critical and for whom the returns will be greatest in terms of better health outcomes and lower health costs. Nonetheless, aspects of an integrated system can be cost</w:t>
      </w:r>
      <w:r>
        <w:noBreakHyphen/>
      </w:r>
      <w:r w:rsidR="00006864">
        <w:t>effective for the population more generally, such as a widespread patient record system like My</w:t>
      </w:r>
      <w:r w:rsidR="00000E32">
        <w:t xml:space="preserve"> </w:t>
      </w:r>
      <w:r w:rsidR="00006864">
        <w:t>Health</w:t>
      </w:r>
      <w:r w:rsidR="00000E32">
        <w:t xml:space="preserve"> Record</w:t>
      </w:r>
      <w:r w:rsidR="00006864">
        <w:t>.</w:t>
      </w:r>
    </w:p>
    <w:p w14:paraId="1EA38B85" w14:textId="77777777" w:rsidR="00D9633B" w:rsidRDefault="00B62432" w:rsidP="00BA5CF2">
      <w:pPr>
        <w:pStyle w:val="BodyText"/>
      </w:pPr>
      <w:r>
        <w:t>Such as system should also embrace new technologies that lower costs, and increase convenience and quality, though this often seems to have been slow in Australia.</w:t>
      </w:r>
      <w:r w:rsidR="0081432D" w:rsidRPr="003D243B">
        <w:rPr>
          <w:rStyle w:val="FootnoteReference"/>
        </w:rPr>
        <w:footnoteReference w:id="4"/>
      </w:r>
    </w:p>
    <w:p w14:paraId="1EA38B86" w14:textId="77777777" w:rsidR="0081432D" w:rsidRDefault="0081432D" w:rsidP="00904315">
      <w:pPr>
        <w:pStyle w:val="BodyText"/>
      </w:pPr>
      <w:r>
        <w:t xml:space="preserve">Finally, an integrated health system extends to </w:t>
      </w:r>
      <w:r w:rsidR="009D44FA">
        <w:t>preventative</w:t>
      </w:r>
      <w:r>
        <w:t xml:space="preserve"> activities (appendix </w:t>
      </w:r>
      <w:r w:rsidR="006E7CCF">
        <w:t>D</w:t>
      </w:r>
      <w:r>
        <w:t xml:space="preserve">) and to social policies that can have potentially large ancillary health benefits, such as addressing social isolation. </w:t>
      </w:r>
    </w:p>
    <w:p w14:paraId="1EA38B87" w14:textId="77777777" w:rsidR="002D5962" w:rsidRDefault="0081432D" w:rsidP="00904315">
      <w:pPr>
        <w:pStyle w:val="BodyText"/>
      </w:pPr>
      <w:r>
        <w:t>Accordingly, it is clear then</w:t>
      </w:r>
      <w:r w:rsidR="002D5962">
        <w:t xml:space="preserve"> the term ‘an integrated and patient</w:t>
      </w:r>
      <w:r w:rsidR="002D5962">
        <w:noBreakHyphen/>
        <w:t>centred health care system</w:t>
      </w:r>
      <w:r w:rsidR="007B0375">
        <w:t>’</w:t>
      </w:r>
      <w:r w:rsidR="002D5962">
        <w:t xml:space="preserve"> embraces many dimensions</w:t>
      </w:r>
      <w:r>
        <w:t>, which in turn requires complex inter</w:t>
      </w:r>
      <w:r>
        <w:noBreakHyphen/>
        <w:t>linked policy initiatives to make it function well</w:t>
      </w:r>
      <w:r w:rsidR="002D5962" w:rsidDel="0081432D">
        <w:t>.</w:t>
      </w:r>
    </w:p>
    <w:p w14:paraId="1EA38B88" w14:textId="77777777" w:rsidR="00A81258" w:rsidRPr="006B102C" w:rsidRDefault="00A81258" w:rsidP="006B102C">
      <w:pPr>
        <w:pStyle w:val="BodyText"/>
        <w:rPr>
          <w:b/>
        </w:rPr>
      </w:pPr>
      <w:r w:rsidRPr="006B102C">
        <w:rPr>
          <w:b/>
        </w:rPr>
        <w:t>We do not need to wait another 20 years since the first halting steps were taken.</w:t>
      </w:r>
    </w:p>
    <w:p w14:paraId="1EA38B89" w14:textId="77777777" w:rsidR="00EC798F" w:rsidRDefault="00EC798F" w:rsidP="00EC798F">
      <w:pPr>
        <w:pStyle w:val="Heading3"/>
      </w:pPr>
      <w:r>
        <w:t xml:space="preserve">This paper </w:t>
      </w:r>
      <w:r w:rsidR="00560F51">
        <w:t>sets out a roadmap …</w:t>
      </w:r>
    </w:p>
    <w:p w14:paraId="1EA38B8A" w14:textId="77777777" w:rsidR="00583DCF" w:rsidRDefault="00583DCF" w:rsidP="00904315">
      <w:pPr>
        <w:pStyle w:val="BodyText"/>
      </w:pPr>
      <w:r>
        <w:t xml:space="preserve">This </w:t>
      </w:r>
      <w:r w:rsidR="00193642">
        <w:t>paper</w:t>
      </w:r>
      <w:r>
        <w:t xml:space="preserve"> e</w:t>
      </w:r>
      <w:r w:rsidR="00193642">
        <w:t>x</w:t>
      </w:r>
      <w:r>
        <w:t xml:space="preserve">plores the importance of the key elements of an integrated </w:t>
      </w:r>
      <w:r w:rsidR="00193642">
        <w:t>patient</w:t>
      </w:r>
      <w:r>
        <w:noBreakHyphen/>
      </w:r>
      <w:r w:rsidR="00193642">
        <w:t>centred</w:t>
      </w:r>
      <w:r>
        <w:t xml:space="preserve"> health care system, the problems Australia faces in realising the ‘ideal’, and what can be done to improve the system, covering:</w:t>
      </w:r>
    </w:p>
    <w:p w14:paraId="1EA38B8B" w14:textId="77777777" w:rsidR="00F14BF7" w:rsidRPr="008540A1" w:rsidRDefault="00F14BF7" w:rsidP="00E03253">
      <w:pPr>
        <w:pStyle w:val="ListBullet"/>
      </w:pPr>
      <w:r w:rsidRPr="00E03253">
        <w:t xml:space="preserve">the role of </w:t>
      </w:r>
      <w:r w:rsidR="00583DCF" w:rsidRPr="00E03253">
        <w:t>patient</w:t>
      </w:r>
      <w:r w:rsidR="00583DCF" w:rsidRPr="00E03253">
        <w:noBreakHyphen/>
        <w:t>centred care</w:t>
      </w:r>
      <w:r w:rsidRPr="00E03253">
        <w:t>, the degree to which Australia’s health care system has embraced the concept, and the policies to shift the current system away from its producer</w:t>
      </w:r>
      <w:r w:rsidRPr="00E03253">
        <w:noBreakHyphen/>
        <w:t>centric model</w:t>
      </w:r>
      <w:r w:rsidR="0060143E" w:rsidRPr="00E03253">
        <w:t xml:space="preserve"> </w:t>
      </w:r>
      <w:r w:rsidRPr="00E03253">
        <w:t>(chapters 2 and 3)</w:t>
      </w:r>
    </w:p>
    <w:p w14:paraId="1EA38B8C" w14:textId="77777777" w:rsidR="00CF7DFA" w:rsidRDefault="00CF7DFA" w:rsidP="00E03253">
      <w:pPr>
        <w:pStyle w:val="ListBullet"/>
      </w:pPr>
      <w:r>
        <w:t>the need for a regional focus in health care (chapter 4)</w:t>
      </w:r>
    </w:p>
    <w:p w14:paraId="1EA38B8D" w14:textId="77777777" w:rsidR="00A74137" w:rsidRDefault="00A74137" w:rsidP="00E03253">
      <w:pPr>
        <w:pStyle w:val="ListBullet"/>
      </w:pPr>
      <w:r>
        <w:t>the debilitating effects of poorly designed incentives (chapter 5)</w:t>
      </w:r>
    </w:p>
    <w:p w14:paraId="1EA38B8E" w14:textId="77777777" w:rsidR="00560F51" w:rsidRDefault="00560F51" w:rsidP="00560F51">
      <w:pPr>
        <w:pStyle w:val="ListBullet"/>
      </w:pPr>
      <w:r>
        <w:t>new approaches to pooling funding and collaborating at the local level, including the role that might be played by Health Care Homes (chapter</w:t>
      </w:r>
      <w:r w:rsidR="009C49CA">
        <w:t> </w:t>
      </w:r>
      <w:r>
        <w:t>6)</w:t>
      </w:r>
    </w:p>
    <w:p w14:paraId="1EA38B8F" w14:textId="77777777" w:rsidR="00560F51" w:rsidRDefault="00560F51" w:rsidP="00560F51">
      <w:pPr>
        <w:pStyle w:val="ListBullet"/>
      </w:pPr>
      <w:r>
        <w:t>changes to funding arrangements to address the persistence of low</w:t>
      </w:r>
      <w:r>
        <w:noBreakHyphen/>
        <w:t>value care and adverse events (chapter 7)</w:t>
      </w:r>
    </w:p>
    <w:p w14:paraId="1EA38B90" w14:textId="77777777" w:rsidR="00560F51" w:rsidRDefault="00560F51" w:rsidP="00560F51">
      <w:pPr>
        <w:pStyle w:val="ListBullet"/>
      </w:pPr>
      <w:r>
        <w:t>the role of patient incentives in an integrated system, but with an emphasis on carrots not sticks (chapter 8)</w:t>
      </w:r>
    </w:p>
    <w:p w14:paraId="1EA38B91" w14:textId="77777777" w:rsidR="00560F51" w:rsidRDefault="00560F51" w:rsidP="00560F51">
      <w:pPr>
        <w:pStyle w:val="ListBullet"/>
      </w:pPr>
      <w:r>
        <w:t>data and information as the lubricant for evidence</w:t>
      </w:r>
      <w:r w:rsidR="009C49CA">
        <w:noBreakHyphen/>
      </w:r>
      <w:r>
        <w:t>based policy and coordinated care of patients across a complex system (chapter 9)</w:t>
      </w:r>
    </w:p>
    <w:p w14:paraId="1EA38B92" w14:textId="77777777" w:rsidR="00560F51" w:rsidRDefault="00560F51" w:rsidP="00560F51">
      <w:pPr>
        <w:pStyle w:val="ListBullet"/>
      </w:pPr>
      <w:r>
        <w:t>a brief consideration of how to make the transition from the current system to a better one (chapter 10).</w:t>
      </w:r>
    </w:p>
    <w:p w14:paraId="1EA38B93" w14:textId="77777777" w:rsidR="00A74137" w:rsidRDefault="00560F51" w:rsidP="00904315">
      <w:pPr>
        <w:pStyle w:val="BodyText"/>
      </w:pPr>
      <w:r>
        <w:t xml:space="preserve">This paper also includes several </w:t>
      </w:r>
      <w:r w:rsidR="00395FF2">
        <w:t>appendixes</w:t>
      </w:r>
      <w:r>
        <w:t xml:space="preserve"> that describe the various Australian attempts at integrated care (appendix A), some of the leading overseas examples of successful integrated models (appendix B)</w:t>
      </w:r>
      <w:r w:rsidR="008559A0">
        <w:t>, the capacity to shift the current retailing model of pharmacy into one that plays a role in an integrated care system (appendix C)</w:t>
      </w:r>
      <w:r w:rsidR="004A5A13">
        <w:t xml:space="preserve"> and the important role of preventative care</w:t>
      </w:r>
      <w:r w:rsidR="00E9342B">
        <w:t>, including, as a case study, the issue of taxes on sugar sweetened beverages</w:t>
      </w:r>
      <w:r w:rsidR="004A5A13">
        <w:t xml:space="preserve"> (appendix D)</w:t>
      </w:r>
      <w:r>
        <w:t xml:space="preserve">. </w:t>
      </w:r>
    </w:p>
    <w:p w14:paraId="1EA38B94" w14:textId="77777777" w:rsidR="001C6695" w:rsidRDefault="001C6695" w:rsidP="001C6695">
      <w:pPr>
        <w:pStyle w:val="BodyText"/>
        <w:rPr>
          <w:rFonts w:ascii="Arial" w:hAnsi="Arial"/>
        </w:rPr>
      </w:pPr>
      <w:r>
        <w:br w:type="page"/>
      </w:r>
    </w:p>
    <w:p w14:paraId="1EA38B95" w14:textId="77777777" w:rsidR="001C6695" w:rsidRDefault="001C6695" w:rsidP="001C6695">
      <w:pPr>
        <w:pStyle w:val="Heading1"/>
        <w:spacing w:before="0"/>
      </w:pPr>
      <w:bookmarkStart w:id="14" w:name="_Toc488929678"/>
      <w:bookmarkStart w:id="15" w:name="_Toc489250056"/>
      <w:r>
        <w:t>2</w:t>
      </w:r>
      <w:r>
        <w:tab/>
        <w:t>Patient</w:t>
      </w:r>
      <w:r>
        <w:noBreakHyphen/>
        <w:t>centred care</w:t>
      </w:r>
      <w:r w:rsidR="00B42B57">
        <w:t xml:space="preserve"> is unfinished business</w:t>
      </w:r>
      <w:bookmarkEnd w:id="14"/>
      <w:bookmarkEnd w:id="15"/>
    </w:p>
    <w:p w14:paraId="1EA38B96" w14:textId="77777777" w:rsidR="00D06842" w:rsidRDefault="00B42B57" w:rsidP="00D06842">
      <w:pPr>
        <w:pStyle w:val="Heading2"/>
      </w:pPr>
      <w:bookmarkStart w:id="16" w:name="_Toc488929679"/>
      <w:bookmarkStart w:id="17" w:name="_Toc489250057"/>
      <w:r>
        <w:t>2.1</w:t>
      </w:r>
      <w:r w:rsidR="00D06842">
        <w:tab/>
      </w:r>
      <w:r w:rsidR="00F349A3">
        <w:t>Defining the scope of a patient</w:t>
      </w:r>
      <w:r w:rsidR="00F349A3">
        <w:noBreakHyphen/>
        <w:t>centred model</w:t>
      </w:r>
      <w:bookmarkEnd w:id="16"/>
      <w:bookmarkEnd w:id="17"/>
      <w:r w:rsidR="00D06842">
        <w:t xml:space="preserve"> </w:t>
      </w:r>
    </w:p>
    <w:p w14:paraId="1EA38B97" w14:textId="77777777" w:rsidR="007D795C" w:rsidRDefault="00E3611C" w:rsidP="00D06842">
      <w:pPr>
        <w:pStyle w:val="BodyText"/>
      </w:pPr>
      <w:r>
        <w:t>‘Patient</w:t>
      </w:r>
      <w:r w:rsidR="00EB6BDE">
        <w:noBreakHyphen/>
      </w:r>
      <w:r>
        <w:t xml:space="preserve">centred’ care gives prominence to the preferences, needs and values of consumers. </w:t>
      </w:r>
      <w:r w:rsidR="007D795C">
        <w:t>The prominent American cardiologist and geneticist, Eric Topol summed up the change of direction with the title of his book on the matter:</w:t>
      </w:r>
      <w:r w:rsidR="007D795C" w:rsidRPr="00A61C5D">
        <w:rPr>
          <w:i/>
        </w:rPr>
        <w:t xml:space="preserve"> The Patient </w:t>
      </w:r>
      <w:r w:rsidR="00A61C5D" w:rsidRPr="00A61C5D">
        <w:rPr>
          <w:i/>
        </w:rPr>
        <w:t>Will See You Now</w:t>
      </w:r>
      <w:r w:rsidR="006F3B3B">
        <w:t> </w:t>
      </w:r>
      <w:r w:rsidR="00C65A42" w:rsidRPr="00C65A42">
        <w:t>(2016)</w:t>
      </w:r>
      <w:r w:rsidR="00A61C5D">
        <w:t>.</w:t>
      </w:r>
    </w:p>
    <w:p w14:paraId="1EA38B98" w14:textId="77777777" w:rsidR="00E3611C" w:rsidRDefault="00A61C5D" w:rsidP="00D06842">
      <w:pPr>
        <w:pStyle w:val="BodyText"/>
      </w:pPr>
      <w:r>
        <w:t>Patient</w:t>
      </w:r>
      <w:r w:rsidR="009C49CA">
        <w:noBreakHyphen/>
      </w:r>
      <w:r>
        <w:t>centred care</w:t>
      </w:r>
      <w:r w:rsidR="00E3611C">
        <w:t xml:space="preserve"> has many dimensions.</w:t>
      </w:r>
    </w:p>
    <w:p w14:paraId="1EA38B99" w14:textId="77777777" w:rsidR="00D06842" w:rsidRDefault="00D06842" w:rsidP="00D06842">
      <w:pPr>
        <w:pStyle w:val="BodyText"/>
      </w:pPr>
      <w:r>
        <w:t>In some instances, it is about how patients experience their treatment in the health care system (respected, listened to, treated compassionately). In palliative care, the medical outcome is death, regardless of the treatment options. What people want is pain management, proximity to family members and often being at home, rather than being in a hospital.</w:t>
      </w:r>
      <w:r w:rsidRPr="003D243B">
        <w:rPr>
          <w:rStyle w:val="FootnoteReference"/>
        </w:rPr>
        <w:footnoteReference w:id="5"/>
      </w:r>
      <w:r>
        <w:t xml:space="preserve"> Effective care largely revolves around meeting these needs. While the health system is still poorly engineered to meet those needs, it is no longer controversial for clinicians to advocate for end</w:t>
      </w:r>
      <w:r>
        <w:noBreakHyphen/>
        <w:t>of</w:t>
      </w:r>
      <w:r>
        <w:noBreakHyphen/>
        <w:t>life care centred on the preferences of patients and their families rather than a hospital</w:t>
      </w:r>
      <w:r>
        <w:noBreakHyphen/>
        <w:t xml:space="preserve">oriented model </w:t>
      </w:r>
      <w:r w:rsidR="00DF6E67" w:rsidRPr="00DF6E67">
        <w:rPr>
          <w:szCs w:val="24"/>
        </w:rPr>
        <w:t>(for example, as discussed by the RACP 2016)</w:t>
      </w:r>
      <w:r>
        <w:t xml:space="preserve">. </w:t>
      </w:r>
    </w:p>
    <w:p w14:paraId="1EA38B9A" w14:textId="77777777" w:rsidR="00D06842" w:rsidRDefault="00D06842" w:rsidP="00D06842">
      <w:pPr>
        <w:pStyle w:val="BodyText"/>
      </w:pPr>
      <w:r>
        <w:t>In another context, it enables a more individually</w:t>
      </w:r>
      <w:r>
        <w:noBreakHyphen/>
        <w:t>based assessment of clinical outcomes. After all, in most cases, ill</w:t>
      </w:r>
      <w:r>
        <w:noBreakHyphen/>
        <w:t>health matters to people because it creates distress, inconvenience and functional deficits — whose extent is often best gauged by the person</w:t>
      </w:r>
      <w:r w:rsidR="00F853F5">
        <w:t xml:space="preserve"> or carer</w:t>
      </w:r>
      <w:r>
        <w:t xml:space="preserve">. </w:t>
      </w:r>
    </w:p>
    <w:p w14:paraId="1EA38B9B" w14:textId="77777777" w:rsidR="00D06842" w:rsidRDefault="00D06842" w:rsidP="00D06842">
      <w:pPr>
        <w:pStyle w:val="BodyText"/>
      </w:pPr>
      <w:r>
        <w:t>In yet another, it is a question of power, which revolves around patient choice and collaboration between the patient and clinicians. Patient choice is a major aspect of a parallel Commission inquiry into human services</w:t>
      </w:r>
      <w:r w:rsidR="006F3B3B">
        <w:t> </w:t>
      </w:r>
      <w:r w:rsidR="00C65A42" w:rsidRPr="00C65A42">
        <w:rPr>
          <w:szCs w:val="24"/>
        </w:rPr>
        <w:t>(PC 2017b)</w:t>
      </w:r>
      <w:r>
        <w:t xml:space="preserve">. </w:t>
      </w:r>
    </w:p>
    <w:p w14:paraId="1EA38B9C" w14:textId="77777777" w:rsidR="00D06842" w:rsidRDefault="00D06842" w:rsidP="00D06842">
      <w:pPr>
        <w:pStyle w:val="BodyText"/>
      </w:pPr>
      <w:r>
        <w:t xml:space="preserve">It is all very well to observe that patient views are important, but acting on them requires behavioural and system changes, and measurement of people’s experiences. </w:t>
      </w:r>
    </w:p>
    <w:p w14:paraId="1EA38B9D" w14:textId="77777777" w:rsidR="00D06842" w:rsidRDefault="00D06842" w:rsidP="00D06842">
      <w:pPr>
        <w:pStyle w:val="BodyText"/>
      </w:pPr>
      <w:r>
        <w:t xml:space="preserve">In its most simple terms, a key goal of a health system is ‘mechanical’ — to avoid, repair or mitigate the damage that genes, bad luck, lifestyles and ageing have on all people. However, to limit the health system to that goal neglects the importance of how the system deals with people as people. If a health system </w:t>
      </w:r>
      <w:r w:rsidR="003B38E8">
        <w:t>were</w:t>
      </w:r>
      <w:r>
        <w:t xml:space="preserve"> only aimed at maximisation of the functioning of the human body, the concept of a ‘good death’ would be nonsensical if it came at the expense of a longer life. </w:t>
      </w:r>
    </w:p>
    <w:p w14:paraId="1EA38B9E" w14:textId="77777777" w:rsidR="00D06842" w:rsidRDefault="00D06842" w:rsidP="00D06842">
      <w:pPr>
        <w:pStyle w:val="BodyText"/>
      </w:pPr>
      <w:r w:rsidRPr="001D4DDF">
        <w:t>As in social and disability policy, there is an increasing expectation that the publicly funded he</w:t>
      </w:r>
      <w:r>
        <w:t>alth care system should involve</w:t>
      </w:r>
      <w:r w:rsidRPr="001D4DDF">
        <w:t xml:space="preserve"> people in all the important processes that directly affect them. </w:t>
      </w:r>
      <w:r>
        <w:t>A patient</w:t>
      </w:r>
      <w:r>
        <w:noBreakHyphen/>
        <w:t>centred health services system therefore revolves around the patient, giving them agency through choice, shared decision</w:t>
      </w:r>
      <w:r w:rsidR="00090993">
        <w:t xml:space="preserve"> </w:t>
      </w:r>
      <w:r>
        <w:t>making with medical professionals, and the capacity for self</w:t>
      </w:r>
      <w:r w:rsidR="009C49CA">
        <w:noBreakHyphen/>
      </w:r>
      <w:r>
        <w:t>management where feasible. Just as is the case in disability care, the potential for such agency requires capabilities and changes in mindsets. People need:</w:t>
      </w:r>
    </w:p>
    <w:p w14:paraId="1EA38B9F" w14:textId="77777777" w:rsidR="00D06842" w:rsidRDefault="00D06842" w:rsidP="00D06842">
      <w:pPr>
        <w:pStyle w:val="ListBullet"/>
      </w:pPr>
      <w:r>
        <w:t xml:space="preserve">access to relevant information. This involves good communication from medical professionals, the availability of </w:t>
      </w:r>
      <w:r w:rsidR="00395FF2">
        <w:t>information technology (</w:t>
      </w:r>
      <w:r>
        <w:t>IT</w:t>
      </w:r>
      <w:r w:rsidR="00395FF2">
        <w:t>)</w:t>
      </w:r>
      <w:r>
        <w:t xml:space="preserve"> platforms that let people record and retrieve their own data, and information on the price and quality of services</w:t>
      </w:r>
    </w:p>
    <w:p w14:paraId="1EA38BA0" w14:textId="77777777" w:rsidR="00D06842" w:rsidRDefault="00D06842" w:rsidP="00D06842">
      <w:pPr>
        <w:pStyle w:val="ListBullet"/>
      </w:pPr>
      <w:r>
        <w:t>a capacity to make sense of information about their health and the factors that impinge on it (health literacy)</w:t>
      </w:r>
    </w:p>
    <w:p w14:paraId="1EA38BA1" w14:textId="77777777" w:rsidR="00D06842" w:rsidRDefault="00D06842" w:rsidP="00D06842">
      <w:pPr>
        <w:pStyle w:val="ListBullet"/>
      </w:pPr>
      <w:r>
        <w:t>to shift from passive to active engagement with health care professionals, and to acquire a capacity to exercise greater responsibilities for management of their health care needs.</w:t>
      </w:r>
    </w:p>
    <w:p w14:paraId="1EA38BA2" w14:textId="41BBA239" w:rsidR="00D06842" w:rsidRDefault="00D06842" w:rsidP="00D06842">
      <w:pPr>
        <w:pStyle w:val="BodyText"/>
      </w:pPr>
      <w:r>
        <w:t>There is also a dynamic aspect to patient</w:t>
      </w:r>
      <w:r>
        <w:noBreakHyphen/>
        <w:t>centred care. People’s health care preferences, risks, conditions, and system usage change over time. A system can recognise this in several ways. One is to collect and recognise in advance people’s future preferences for care, such as in Advance Care Directives and organ donor registration. Another is to better meet people’s needs through the more systematic collection and use of information about their long</w:t>
      </w:r>
      <w:r w:rsidR="009C49CA">
        <w:noBreakHyphen/>
      </w:r>
      <w:r>
        <w:t>term engagement with the health system and associated services, like housing, disability services, and community services. This is increasingly based on large linked longitudinal data sets and new custom made collections like the Sax Institute’s 45 and Up database</w:t>
      </w:r>
      <w:r w:rsidR="006F3B3B">
        <w:t> </w:t>
      </w:r>
      <w:r w:rsidR="00C65A42" w:rsidRPr="00C65A42">
        <w:rPr>
          <w:szCs w:val="24"/>
        </w:rPr>
        <w:t>(</w:t>
      </w:r>
      <w:r w:rsidR="00044558">
        <w:rPr>
          <w:szCs w:val="24"/>
        </w:rPr>
        <w:t xml:space="preserve">NSW </w:t>
      </w:r>
      <w:r w:rsidR="00C65A42" w:rsidRPr="00C65A42">
        <w:rPr>
          <w:szCs w:val="24"/>
        </w:rPr>
        <w:t>BHI 2015</w:t>
      </w:r>
      <w:r w:rsidR="00E429B5">
        <w:rPr>
          <w:szCs w:val="24"/>
        </w:rPr>
        <w:t>a</w:t>
      </w:r>
      <w:r w:rsidR="00C65A42" w:rsidRPr="00C65A42">
        <w:rPr>
          <w:szCs w:val="24"/>
        </w:rPr>
        <w:t>; Weber et al. 2017)</w:t>
      </w:r>
      <w:r>
        <w:t xml:space="preserve">. As the analysis becomes more sophisticated, vulnerable subgroups can be identified for individualised care at critical points in their lifetime before hazardous, debilitating and costly episodes of illness and care. </w:t>
      </w:r>
    </w:p>
    <w:p w14:paraId="1EA38BA3" w14:textId="77777777" w:rsidR="00D8776A" w:rsidRDefault="00B42B57" w:rsidP="00D8776A">
      <w:pPr>
        <w:pStyle w:val="Heading2"/>
      </w:pPr>
      <w:bookmarkStart w:id="18" w:name="_Toc488929680"/>
      <w:bookmarkStart w:id="19" w:name="_Toc489250058"/>
      <w:r>
        <w:t>2.2</w:t>
      </w:r>
      <w:r w:rsidR="00D8776A">
        <w:tab/>
        <w:t>Patient</w:t>
      </w:r>
      <w:r w:rsidR="00D8776A">
        <w:noBreakHyphen/>
        <w:t>centred care is not the dominant model in Australia</w:t>
      </w:r>
      <w:bookmarkEnd w:id="18"/>
      <w:bookmarkEnd w:id="19"/>
    </w:p>
    <w:p w14:paraId="1EA38BA4" w14:textId="77777777" w:rsidR="00644B2F" w:rsidRDefault="00644B2F" w:rsidP="00644B2F">
      <w:pPr>
        <w:pStyle w:val="BodyText"/>
      </w:pPr>
      <w:r>
        <w:t>In most of the service sector, the concept that a good consumer experience is a somewhat desirable but peripheral objective would be seen as (undelightfully) antiquated. Yet, there is no consensus by the medical and associated workforce about whether the design, performance measurement, funding and ethos of the health system should give much prominence to encouraging patients to participate in their own care (‘agency’) or to give much weight to patients’ experiences in the system</w:t>
      </w:r>
      <w:r w:rsidR="006F3B3B">
        <w:t> </w:t>
      </w:r>
      <w:r w:rsidR="00F65FF0" w:rsidRPr="00F65FF0">
        <w:rPr>
          <w:szCs w:val="24"/>
        </w:rPr>
        <w:t>(GIGH and CHF 2016)</w:t>
      </w:r>
      <w:r>
        <w:t xml:space="preserve">. </w:t>
      </w:r>
    </w:p>
    <w:p w14:paraId="1EA38BA5" w14:textId="77777777" w:rsidR="00644B2F" w:rsidRDefault="00644B2F" w:rsidP="00644B2F">
      <w:pPr>
        <w:pStyle w:val="BodyText"/>
      </w:pPr>
      <w:r>
        <w:t xml:space="preserve">This is not an Antipodean peculiarity. One </w:t>
      </w:r>
      <w:r w:rsidR="0083038E">
        <w:t>US</w:t>
      </w:r>
      <w:r>
        <w:t xml:space="preserve"> physician observed the tensions in the profession:</w:t>
      </w:r>
    </w:p>
    <w:p w14:paraId="1EA38BA6" w14:textId="77777777" w:rsidR="00644B2F" w:rsidRDefault="00644B2F" w:rsidP="00644B2F">
      <w:pPr>
        <w:pStyle w:val="Quote"/>
      </w:pPr>
      <w:r>
        <w:t>The larger question is:</w:t>
      </w:r>
      <w:r w:rsidRPr="00B3693A">
        <w:t xml:space="preserve"> is health care a service industry? Many physicians do not believe that patient satisfaction is a legitimate pursuit. In this viewpoint, enhancing patient experience offers no value to medical care.</w:t>
      </w:r>
      <w:r>
        <w:t xml:space="preserve"> … [Yet] </w:t>
      </w:r>
      <w:r w:rsidRPr="00F034B7">
        <w:t>The ideal patient experience merges excellent medical care, high</w:t>
      </w:r>
      <w:r>
        <w:noBreakHyphen/>
      </w:r>
      <w:r w:rsidRPr="00F034B7">
        <w:t xml:space="preserve">quality outcomes, compassion, and empathy that address the emotional needs of patients. </w:t>
      </w:r>
      <w:r w:rsidR="00DC7E13" w:rsidRPr="00DC7E13">
        <w:rPr>
          <w:szCs w:val="24"/>
        </w:rPr>
        <w:t>(Rosen 2017, p. 1)</w:t>
      </w:r>
    </w:p>
    <w:p w14:paraId="1EA38BA7" w14:textId="77777777" w:rsidR="00B47F27" w:rsidRDefault="003E1AE8" w:rsidP="00B47F27">
      <w:pPr>
        <w:pStyle w:val="BodyText"/>
      </w:pPr>
      <w:r>
        <w:t xml:space="preserve">Some have characterised medical care, </w:t>
      </w:r>
      <w:r w:rsidR="00944EF3">
        <w:t>especially</w:t>
      </w:r>
      <w:r>
        <w:t xml:space="preserve"> outside primary care</w:t>
      </w:r>
      <w:r w:rsidR="00944EF3">
        <w:t>,</w:t>
      </w:r>
      <w:r>
        <w:t xml:space="preserve"> as </w:t>
      </w:r>
      <w:r w:rsidR="00EB773C">
        <w:t>too frequently</w:t>
      </w:r>
      <w:r>
        <w:t xml:space="preserve"> </w:t>
      </w:r>
      <w:r w:rsidR="00944EF3">
        <w:t>impersonal</w:t>
      </w:r>
      <w:r w:rsidR="00EB773C">
        <w:t>,</w:t>
      </w:r>
      <w:r w:rsidR="00944EF3">
        <w:t xml:space="preserve"> </w:t>
      </w:r>
      <w:r w:rsidR="005103B9">
        <w:t xml:space="preserve">treating </w:t>
      </w:r>
      <w:r w:rsidR="00944EF3">
        <w:t xml:space="preserve">the </w:t>
      </w:r>
      <w:r w:rsidR="00EB773C">
        <w:t>patient</w:t>
      </w:r>
      <w:r w:rsidR="00944EF3">
        <w:t xml:space="preserve"> </w:t>
      </w:r>
      <w:r w:rsidR="005103B9">
        <w:t>as a body</w:t>
      </w:r>
      <w:r w:rsidR="00944EF3">
        <w:t xml:space="preserve"> requiring expert care, but with little interest in the </w:t>
      </w:r>
      <w:r w:rsidR="00AA3172">
        <w:t>person’</w:t>
      </w:r>
      <w:r w:rsidR="00944EF3">
        <w:t xml:space="preserve"> agency</w:t>
      </w:r>
      <w:r w:rsidR="0045215F">
        <w:t>, experiences or perspectives</w:t>
      </w:r>
      <w:r w:rsidR="006F3B3B">
        <w:t> </w:t>
      </w:r>
      <w:r w:rsidR="00EB773C" w:rsidRPr="00F31E94">
        <w:t>(Haque and Waytz 2012)</w:t>
      </w:r>
      <w:r w:rsidR="00AA3172">
        <w:t xml:space="preserve">. </w:t>
      </w:r>
      <w:r w:rsidR="00B47F27">
        <w:t>It is notable that when doctors become patients, they often recognise the importance of patient experiences and preferences</w:t>
      </w:r>
      <w:r w:rsidR="006F3B3B">
        <w:t> </w:t>
      </w:r>
      <w:r w:rsidR="00C65A42" w:rsidRPr="00C65A42">
        <w:rPr>
          <w:szCs w:val="24"/>
        </w:rPr>
        <w:t>(Murray 2012; Tomlinson 2014)</w:t>
      </w:r>
      <w:r w:rsidR="00B47F27">
        <w:t xml:space="preserve">. </w:t>
      </w:r>
    </w:p>
    <w:p w14:paraId="1EA38BA8" w14:textId="77777777" w:rsidR="00E3611C" w:rsidRDefault="00B47F27" w:rsidP="00644B2F">
      <w:pPr>
        <w:pStyle w:val="BodyText"/>
      </w:pPr>
      <w:r>
        <w:t>T</w:t>
      </w:r>
      <w:r w:rsidR="00644B2F">
        <w:t>here is some evidence that Australian clinicians might be less oriented to the concept of patient</w:t>
      </w:r>
      <w:r w:rsidR="00644B2F">
        <w:noBreakHyphen/>
        <w:t xml:space="preserve">centric care than some other countries. </w:t>
      </w:r>
    </w:p>
    <w:p w14:paraId="1EA38BA9" w14:textId="77777777" w:rsidR="00A45D06" w:rsidRDefault="00A45D06" w:rsidP="00A45D06">
      <w:pPr>
        <w:pStyle w:val="BodyText"/>
      </w:pPr>
      <w:r>
        <w:t>Evidence on patient experiences provides startling incidents of inadequate communication between clinicians and patients. In 2015</w:t>
      </w:r>
      <w:r>
        <w:noBreakHyphen/>
        <w:t xml:space="preserve">16, among those who saw three or more health professionals for the same condition, one in eight reported that there were issues caused by a lack of communication between the health professionals, and this was worst </w:t>
      </w:r>
      <w:r w:rsidR="00822832">
        <w:t xml:space="preserve">(more than one in six) </w:t>
      </w:r>
      <w:r>
        <w:t>for those who were least healthy</w:t>
      </w:r>
      <w:r w:rsidR="006F3B3B">
        <w:t> </w:t>
      </w:r>
      <w:r w:rsidR="00C65A42" w:rsidRPr="00C65A42">
        <w:rPr>
          <w:szCs w:val="24"/>
        </w:rPr>
        <w:t>(ABS 2016b)</w:t>
      </w:r>
      <w:r>
        <w:t xml:space="preserve">. </w:t>
      </w:r>
    </w:p>
    <w:p w14:paraId="1EA38BAA" w14:textId="77777777" w:rsidR="00A45D06" w:rsidRDefault="00A45D06" w:rsidP="00A45D06">
      <w:pPr>
        <w:pStyle w:val="BodyText"/>
      </w:pPr>
      <w:r>
        <w:t xml:space="preserve">In Queensland emergency departments, only 46 per cent </w:t>
      </w:r>
      <w:r w:rsidR="006E1421">
        <w:t xml:space="preserve">of people </w:t>
      </w:r>
      <w:r>
        <w:t>were fully advised about the side effects of new medications, and 80 per cent were not advised about how long they might wait to be examined</w:t>
      </w:r>
      <w:r w:rsidR="006F3B3B">
        <w:t> </w:t>
      </w:r>
      <w:r w:rsidR="00C65A42" w:rsidRPr="00C65A42">
        <w:rPr>
          <w:szCs w:val="24"/>
        </w:rPr>
        <w:t>(QGSO 2016)</w:t>
      </w:r>
      <w:r>
        <w:t xml:space="preserve">. The same survey found profound differences across regions </w:t>
      </w:r>
      <w:r w:rsidR="00493613">
        <w:t xml:space="preserve">in </w:t>
      </w:r>
      <w:r>
        <w:t xml:space="preserve">all dimensions of the experience of care. For instance, full advice about side effects varied from 61 to 32 per cent across the best and worst performing Queensland hospitals, while the share of people who said that health practitioners talked in front of them as if they were not there varied from 4 per cent to 23 per cent. </w:t>
      </w:r>
      <w:r w:rsidR="007865C1">
        <w:t>Greater trust and respect, an</w:t>
      </w:r>
      <w:r w:rsidR="00B62432">
        <w:t>d</w:t>
      </w:r>
      <w:r w:rsidR="007865C1">
        <w:t xml:space="preserve"> better communication between patients and doctors would improve medication adherence — to the benefit of the person and the health care system.</w:t>
      </w:r>
    </w:p>
    <w:p w14:paraId="1EA38BAB" w14:textId="77777777" w:rsidR="00A45D06" w:rsidRDefault="00A45D06" w:rsidP="00A45D06">
      <w:pPr>
        <w:pStyle w:val="BodyText"/>
      </w:pPr>
      <w:r>
        <w:t xml:space="preserve">While most Australians can get access to clinicians, about 16 per cent of patients considered that they waited longer times than acceptable to get an appointment with a GP, and this was nearly 25 per cent for specialists. </w:t>
      </w:r>
    </w:p>
    <w:p w14:paraId="1EA38BAC" w14:textId="77777777" w:rsidR="00BC3755" w:rsidRDefault="00BC3755" w:rsidP="00BC3755">
      <w:pPr>
        <w:pStyle w:val="BodyText"/>
      </w:pPr>
      <w:r>
        <w:t>Even apparently mundane aspects of the health system can have large impacts on people’s experiences of the system, can waste resources and have adverse effects of behaviour, for example, through non</w:t>
      </w:r>
      <w:r>
        <w:noBreakHyphen/>
        <w:t xml:space="preserve">attendance </w:t>
      </w:r>
      <w:r w:rsidR="00C65A42" w:rsidRPr="00C65A42">
        <w:rPr>
          <w:szCs w:val="24"/>
        </w:rPr>
        <w:t>(van Baar et al. 2006)</w:t>
      </w:r>
      <w:r>
        <w:t>. In a study of a particular approach to the care of diabetics, one Australian study found:</w:t>
      </w:r>
    </w:p>
    <w:p w14:paraId="1EA38BAD" w14:textId="77777777" w:rsidR="00BC3755" w:rsidRDefault="00BC3755" w:rsidP="00BC3755">
      <w:pPr>
        <w:pStyle w:val="Quote"/>
      </w:pPr>
      <w:r w:rsidRPr="005E0B6F">
        <w:t>When patients were referred to different health professionals, the logistics of scheduling and at</w:t>
      </w:r>
      <w:r>
        <w:t>tending various appointments, ﬁ</w:t>
      </w:r>
      <w:r w:rsidRPr="005E0B6F">
        <w:t>nding time, transport and support to get there, re</w:t>
      </w:r>
      <w:r>
        <w:noBreakHyphen/>
      </w:r>
      <w:r w:rsidRPr="005E0B6F">
        <w:t>telling the medical history and remembering treatment were burdensome. Information</w:t>
      </w:r>
      <w:r>
        <w:t xml:space="preserve"> received was found to be conﬂ</w:t>
      </w:r>
      <w:r w:rsidRPr="005E0B6F">
        <w:t>icting in some cases and often the quantity of information received was deemed too much and overwhelming by some patients. Integrated care appears to be a middle class concept with little applicability to those from disadvantaged backgrounds or those with several chronic conditions.</w:t>
      </w:r>
      <w:r>
        <w:t xml:space="preserve"> </w:t>
      </w:r>
      <w:r w:rsidR="00C65A42" w:rsidRPr="00C65A42">
        <w:rPr>
          <w:szCs w:val="24"/>
        </w:rPr>
        <w:t>(Maneze et al. 2014, p. 23)</w:t>
      </w:r>
    </w:p>
    <w:p w14:paraId="1EA38BAE" w14:textId="77777777" w:rsidR="001F297C" w:rsidRDefault="00A45D06" w:rsidP="00A45D06">
      <w:pPr>
        <w:pStyle w:val="BodyText"/>
      </w:pPr>
      <w:r>
        <w:t xml:space="preserve">Waiting </w:t>
      </w:r>
      <w:r w:rsidR="00D83664">
        <w:t xml:space="preserve">times in waiting rooms </w:t>
      </w:r>
      <w:r w:rsidR="00BC341B">
        <w:t>imposes a cost on patients</w:t>
      </w:r>
      <w:r>
        <w:t xml:space="preserve">. Most people say that being seen by a GP at the appointed time is very important </w:t>
      </w:r>
      <w:r w:rsidR="0079520E" w:rsidRPr="0079520E">
        <w:rPr>
          <w:szCs w:val="24"/>
        </w:rPr>
        <w:t>(Haas and de Abreu Lourenco 2016)</w:t>
      </w:r>
      <w:r>
        <w:t xml:space="preserve">. While it may seem that the costs of waiting in a waiting room are trivial for any given person, the cumulative effects of waiting times in doctors’ offices is likely to impose costs on Australians </w:t>
      </w:r>
      <w:r w:rsidR="002562BF">
        <w:t>approaching</w:t>
      </w:r>
      <w:r>
        <w:t xml:space="preserve"> one </w:t>
      </w:r>
      <w:r>
        <w:rPr>
          <w:i/>
        </w:rPr>
        <w:t>billion dollars</w:t>
      </w:r>
      <w:r>
        <w:t xml:space="preserve"> annually — testimony to the millions of physicians visits (</w:t>
      </w:r>
      <w:r w:rsidR="00D36B95">
        <w:t>box 2.1</w:t>
      </w:r>
      <w:r>
        <w:t xml:space="preserve">). </w:t>
      </w:r>
      <w:r w:rsidR="00D36B95">
        <w:t>By effectively raising the price of access, unnecessary waiting could be expected to sometimes reduce clinically</w:t>
      </w:r>
      <w:r w:rsidR="00D36B95">
        <w:noBreakHyphen/>
        <w:t>desirable demand.</w:t>
      </w:r>
      <w:r w:rsidR="00B47F27">
        <w:t xml:space="preserve"> </w:t>
      </w:r>
      <w:r>
        <w:t xml:space="preserve">The use of telehealth for just 10 per cent of consultations would save </w:t>
      </w:r>
      <w:r w:rsidR="00BD734A">
        <w:t>about</w:t>
      </w:r>
      <w:r>
        <w:t xml:space="preserve"> $</w:t>
      </w:r>
      <w:r w:rsidR="009B5FB9">
        <w:t>3</w:t>
      </w:r>
      <w:r w:rsidR="002562BF">
        <w:t>00 </w:t>
      </w:r>
      <w:r>
        <w:t>million annually in travel and waiting times. Even when waiting is unavoidable — as it is any customer service industry — waiting rooms could be used as a place for community health initiatives about risks</w:t>
      </w:r>
      <w:r w:rsidR="0079520E">
        <w:t>. F</w:t>
      </w:r>
      <w:r>
        <w:t xml:space="preserve">or example, </w:t>
      </w:r>
      <w:r w:rsidR="0079520E">
        <w:t xml:space="preserve">this might include </w:t>
      </w:r>
      <w:r>
        <w:t xml:space="preserve">the simple COPD Assessment Test and the Royal Australian College of General Practitioners’ Family history screening questionnaire </w:t>
      </w:r>
      <w:r w:rsidR="00C65A42" w:rsidRPr="00C65A42">
        <w:rPr>
          <w:szCs w:val="24"/>
        </w:rPr>
        <w:t>(RACGP 2016)</w:t>
      </w:r>
      <w:r w:rsidR="0079520E">
        <w:t>). The</w:t>
      </w:r>
      <w:r>
        <w:t xml:space="preserve"> use of rooms for such purposes seems to be rare. </w:t>
      </w:r>
    </w:p>
    <w:p w14:paraId="1EA38BAF" w14:textId="77777777" w:rsidR="00DC7E13" w:rsidRDefault="00B47F27" w:rsidP="00A45D06">
      <w:pPr>
        <w:pStyle w:val="BodyText"/>
      </w:pPr>
      <w:r w:rsidRPr="00B47F27">
        <w:t xml:space="preserve">Australian doctors are, by international standards, less receptive to patients’ capacity to access their own medical records. </w:t>
      </w:r>
      <w:r w:rsidR="00644B2F">
        <w:t>One indicator of this is an international survey by Accenture about patient access to their medical records</w:t>
      </w:r>
      <w:r w:rsidR="00E3611C">
        <w:t xml:space="preserve"> — a prerequisite for patient participation in care, and in any case, an obvious element in any model that gives patients agency. </w:t>
      </w:r>
      <w:r w:rsidR="00644B2F">
        <w:t>16 per cent of Australian doctors said that patients should have no access to their own medical record, 65 per cent favoured limited access, and 18 per cent supported full access</w:t>
      </w:r>
      <w:r w:rsidR="00353A45">
        <w:t xml:space="preserve"> (table 2.1). They were also less likely to accept that patients be able to amend their record to take account of medical events, such as allergic reactions or medication side effects.</w:t>
      </w:r>
      <w:r w:rsidR="00353A45" w:rsidRPr="00353A45">
        <w:t xml:space="preserve"> </w:t>
      </w:r>
      <w:r w:rsidR="00353A45">
        <w:t>Australian doctors were significantly less open to access than were those in the United States.</w:t>
      </w:r>
    </w:p>
    <w:p w14:paraId="1EA38BB2" w14:textId="77777777" w:rsidR="00DC7E13" w:rsidRDefault="00DC7E13" w:rsidP="00DC7E1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9073"/>
      </w:tblGrid>
      <w:tr w:rsidR="00DC7E13" w14:paraId="1EA38BB5" w14:textId="77777777" w:rsidTr="00DC7E13">
        <w:tc>
          <w:tcPr>
            <w:tcW w:w="5000" w:type="pct"/>
            <w:tcBorders>
              <w:top w:val="single" w:sz="6" w:space="0" w:color="78A22F"/>
              <w:left w:val="nil"/>
              <w:bottom w:val="nil"/>
              <w:right w:val="nil"/>
            </w:tcBorders>
            <w:shd w:val="clear" w:color="auto" w:fill="auto"/>
          </w:tcPr>
          <w:p w14:paraId="1EA38BB3" w14:textId="10B41F36" w:rsidR="006B102C" w:rsidRPr="00AF098D" w:rsidRDefault="00DC7E13" w:rsidP="00AF098D">
            <w:pPr>
              <w:pStyle w:val="TableTitle"/>
            </w:pPr>
            <w:r w:rsidRPr="00944790">
              <w:rPr>
                <w:b w:val="0"/>
              </w:rPr>
              <w:t xml:space="preserve">Table </w:t>
            </w:r>
            <w:r w:rsidR="00353A45" w:rsidRPr="00944790">
              <w:rPr>
                <w:b w:val="0"/>
              </w:rPr>
              <w:t>2.1</w:t>
            </w:r>
            <w:r w:rsidRPr="00AF098D">
              <w:tab/>
            </w:r>
            <w:r w:rsidR="003560AE" w:rsidRPr="00AF098D">
              <w:t>Doctors’ attitudes to patient right to access and update electronic medical records</w:t>
            </w:r>
            <w:r w:rsidR="00D21B92" w:rsidRPr="00D21B92">
              <w:rPr>
                <w:rStyle w:val="NoteLabel"/>
              </w:rPr>
              <w:t>a</w:t>
            </w:r>
          </w:p>
          <w:p w14:paraId="1EA38BB4" w14:textId="77777777" w:rsidR="00DC7E13" w:rsidRPr="00CA301B" w:rsidRDefault="003560AE" w:rsidP="006B102C">
            <w:pPr>
              <w:pStyle w:val="Subtitle"/>
            </w:pPr>
            <w:r w:rsidRPr="006B102C">
              <w:rPr>
                <w:rStyle w:val="SubtitleChar"/>
              </w:rPr>
              <w:t>2013</w:t>
            </w:r>
          </w:p>
        </w:tc>
      </w:tr>
      <w:tr w:rsidR="00DC7E13" w14:paraId="1EA38BF3" w14:textId="77777777" w:rsidTr="00DC7E13">
        <w:tc>
          <w:tcPr>
            <w:tcW w:w="5000" w:type="pct"/>
            <w:tcBorders>
              <w:top w:val="nil"/>
              <w:left w:val="nil"/>
              <w:bottom w:val="nil"/>
              <w:right w:val="nil"/>
            </w:tcBorders>
            <w:shd w:val="clear" w:color="auto" w:fill="auto"/>
          </w:tcPr>
          <w:tbl>
            <w:tblPr>
              <w:tblW w:w="4962" w:type="pct"/>
              <w:tblCellMar>
                <w:top w:w="28" w:type="dxa"/>
                <w:left w:w="0" w:type="dxa"/>
                <w:right w:w="0" w:type="dxa"/>
              </w:tblCellMar>
              <w:tblLook w:val="0000" w:firstRow="0" w:lastRow="0" w:firstColumn="0" w:lastColumn="0" w:noHBand="0" w:noVBand="0"/>
            </w:tblPr>
            <w:tblGrid>
              <w:gridCol w:w="2270"/>
              <w:gridCol w:w="816"/>
              <w:gridCol w:w="748"/>
              <w:gridCol w:w="815"/>
              <w:gridCol w:w="815"/>
              <w:gridCol w:w="815"/>
              <w:gridCol w:w="815"/>
              <w:gridCol w:w="815"/>
              <w:gridCol w:w="813"/>
            </w:tblGrid>
            <w:tr w:rsidR="008D2193" w14:paraId="1EA38BBF" w14:textId="77777777" w:rsidTr="00B624AE">
              <w:trPr>
                <w:tblHeader/>
              </w:trPr>
              <w:tc>
                <w:tcPr>
                  <w:tcW w:w="1300" w:type="pct"/>
                  <w:tcBorders>
                    <w:top w:val="single" w:sz="6" w:space="0" w:color="BFBFBF"/>
                    <w:bottom w:val="single" w:sz="6" w:space="0" w:color="BFBFBF"/>
                  </w:tcBorders>
                  <w:shd w:val="clear" w:color="auto" w:fill="auto"/>
                  <w:tcMar>
                    <w:top w:w="28" w:type="dxa"/>
                  </w:tcMar>
                </w:tcPr>
                <w:p w14:paraId="1EA38BB6" w14:textId="77777777" w:rsidR="00DC7E13" w:rsidRDefault="003560AE" w:rsidP="00DC7E13">
                  <w:pPr>
                    <w:pStyle w:val="TableColumnHeading"/>
                    <w:jc w:val="left"/>
                  </w:pPr>
                  <w:r>
                    <w:t>Patients should…</w:t>
                  </w:r>
                </w:p>
              </w:tc>
              <w:tc>
                <w:tcPr>
                  <w:tcW w:w="468" w:type="pct"/>
                  <w:tcBorders>
                    <w:top w:val="single" w:sz="6" w:space="0" w:color="BFBFBF"/>
                    <w:bottom w:val="single" w:sz="6" w:space="0" w:color="BFBFBF"/>
                  </w:tcBorders>
                  <w:shd w:val="clear" w:color="auto" w:fill="auto"/>
                </w:tcPr>
                <w:p w14:paraId="1EA38BB7" w14:textId="77777777" w:rsidR="00DC7E13" w:rsidRDefault="008D2193" w:rsidP="00BD66DA">
                  <w:pPr>
                    <w:pStyle w:val="TableColumnHeading"/>
                  </w:pPr>
                  <w:r>
                    <w:t>AUS</w:t>
                  </w:r>
                </w:p>
              </w:tc>
              <w:tc>
                <w:tcPr>
                  <w:tcW w:w="429" w:type="pct"/>
                  <w:tcBorders>
                    <w:top w:val="single" w:sz="6" w:space="0" w:color="BFBFBF"/>
                    <w:bottom w:val="single" w:sz="6" w:space="0" w:color="BFBFBF"/>
                  </w:tcBorders>
                </w:tcPr>
                <w:p w14:paraId="1EA38BB8" w14:textId="77777777" w:rsidR="00DC7E13" w:rsidRDefault="008D2193" w:rsidP="00DC7E13">
                  <w:pPr>
                    <w:pStyle w:val="TableColumnHeading"/>
                  </w:pPr>
                  <w:r>
                    <w:t>ENG</w:t>
                  </w:r>
                </w:p>
              </w:tc>
              <w:tc>
                <w:tcPr>
                  <w:tcW w:w="467" w:type="pct"/>
                  <w:tcBorders>
                    <w:top w:val="single" w:sz="6" w:space="0" w:color="BFBFBF"/>
                    <w:bottom w:val="single" w:sz="6" w:space="0" w:color="BFBFBF"/>
                  </w:tcBorders>
                </w:tcPr>
                <w:p w14:paraId="1EA38BB9" w14:textId="77777777" w:rsidR="00DC7E13" w:rsidRDefault="008D2193" w:rsidP="00DC7E13">
                  <w:pPr>
                    <w:pStyle w:val="TableColumnHeading"/>
                  </w:pPr>
                  <w:r>
                    <w:t>US</w:t>
                  </w:r>
                </w:p>
              </w:tc>
              <w:tc>
                <w:tcPr>
                  <w:tcW w:w="467" w:type="pct"/>
                  <w:tcBorders>
                    <w:top w:val="single" w:sz="6" w:space="0" w:color="BFBFBF"/>
                    <w:bottom w:val="single" w:sz="6" w:space="0" w:color="BFBFBF"/>
                  </w:tcBorders>
                  <w:shd w:val="clear" w:color="auto" w:fill="auto"/>
                  <w:tcMar>
                    <w:top w:w="28" w:type="dxa"/>
                  </w:tcMar>
                </w:tcPr>
                <w:p w14:paraId="1EA38BBA" w14:textId="77777777" w:rsidR="00DC7E13" w:rsidRDefault="008D2193" w:rsidP="00DC7E13">
                  <w:pPr>
                    <w:pStyle w:val="TableColumnHeading"/>
                  </w:pPr>
                  <w:r>
                    <w:t>SING</w:t>
                  </w:r>
                </w:p>
              </w:tc>
              <w:tc>
                <w:tcPr>
                  <w:tcW w:w="467" w:type="pct"/>
                  <w:tcBorders>
                    <w:top w:val="single" w:sz="6" w:space="0" w:color="BFBFBF"/>
                    <w:bottom w:val="single" w:sz="6" w:space="0" w:color="BFBFBF"/>
                  </w:tcBorders>
                  <w:shd w:val="clear" w:color="auto" w:fill="auto"/>
                </w:tcPr>
                <w:p w14:paraId="1EA38BBB" w14:textId="77777777" w:rsidR="00DC7E13" w:rsidRDefault="008D2193" w:rsidP="00DC7E13">
                  <w:pPr>
                    <w:pStyle w:val="TableColumnHeading"/>
                  </w:pPr>
                  <w:r>
                    <w:t>CAN</w:t>
                  </w:r>
                </w:p>
              </w:tc>
              <w:tc>
                <w:tcPr>
                  <w:tcW w:w="467" w:type="pct"/>
                  <w:tcBorders>
                    <w:top w:val="single" w:sz="6" w:space="0" w:color="BFBFBF"/>
                    <w:bottom w:val="single" w:sz="6" w:space="0" w:color="BFBFBF"/>
                  </w:tcBorders>
                  <w:shd w:val="clear" w:color="auto" w:fill="auto"/>
                  <w:tcMar>
                    <w:top w:w="28" w:type="dxa"/>
                  </w:tcMar>
                </w:tcPr>
                <w:p w14:paraId="1EA38BBC" w14:textId="77777777" w:rsidR="00DC7E13" w:rsidRDefault="008D2193" w:rsidP="00DC7E13">
                  <w:pPr>
                    <w:pStyle w:val="TableColumnHeading"/>
                    <w:ind w:right="28"/>
                  </w:pPr>
                  <w:r>
                    <w:t>SPAIN</w:t>
                  </w:r>
                </w:p>
              </w:tc>
              <w:tc>
                <w:tcPr>
                  <w:tcW w:w="467" w:type="pct"/>
                  <w:tcBorders>
                    <w:top w:val="single" w:sz="6" w:space="0" w:color="BFBFBF"/>
                    <w:bottom w:val="single" w:sz="6" w:space="0" w:color="BFBFBF"/>
                  </w:tcBorders>
                  <w:shd w:val="clear" w:color="auto" w:fill="auto"/>
                </w:tcPr>
                <w:p w14:paraId="1EA38BBD" w14:textId="2D03D4EB" w:rsidR="00DC7E13" w:rsidRDefault="008D2193" w:rsidP="001C2773">
                  <w:pPr>
                    <w:pStyle w:val="TableColumnHeading"/>
                    <w:ind w:right="28"/>
                  </w:pPr>
                  <w:r>
                    <w:t>FRA</w:t>
                  </w:r>
                </w:p>
              </w:tc>
              <w:tc>
                <w:tcPr>
                  <w:tcW w:w="466" w:type="pct"/>
                  <w:tcBorders>
                    <w:top w:val="single" w:sz="6" w:space="0" w:color="BFBFBF"/>
                    <w:bottom w:val="single" w:sz="6" w:space="0" w:color="BFBFBF"/>
                  </w:tcBorders>
                  <w:shd w:val="clear" w:color="auto" w:fill="auto"/>
                </w:tcPr>
                <w:p w14:paraId="1EA38BBE" w14:textId="49F05875" w:rsidR="00DC7E13" w:rsidRDefault="008D2193" w:rsidP="001C2773">
                  <w:pPr>
                    <w:pStyle w:val="TableColumnHeading"/>
                    <w:ind w:right="28"/>
                  </w:pPr>
                  <w:r>
                    <w:t>GER</w:t>
                  </w:r>
                </w:p>
              </w:tc>
            </w:tr>
            <w:tr w:rsidR="008D2193" w14:paraId="1EA38BC9" w14:textId="77777777" w:rsidTr="00B624AE">
              <w:tc>
                <w:tcPr>
                  <w:tcW w:w="1300" w:type="pct"/>
                  <w:tcBorders>
                    <w:top w:val="single" w:sz="6" w:space="0" w:color="BFBFBF"/>
                  </w:tcBorders>
                </w:tcPr>
                <w:p w14:paraId="1EA38BC0" w14:textId="77777777" w:rsidR="00DC7E13" w:rsidRDefault="003560AE" w:rsidP="003560AE">
                  <w:pPr>
                    <w:pStyle w:val="TableUnitsRow"/>
                    <w:jc w:val="left"/>
                  </w:pPr>
                  <w:r>
                    <w:t>have n</w:t>
                  </w:r>
                  <w:r w:rsidR="008D2193">
                    <w:t>o access to EMR</w:t>
                  </w:r>
                </w:p>
              </w:tc>
              <w:tc>
                <w:tcPr>
                  <w:tcW w:w="468" w:type="pct"/>
                  <w:tcBorders>
                    <w:top w:val="single" w:sz="6" w:space="0" w:color="BFBFBF"/>
                  </w:tcBorders>
                </w:tcPr>
                <w:p w14:paraId="1EA38BC1" w14:textId="77777777" w:rsidR="00DC7E13" w:rsidRDefault="008D2193" w:rsidP="00BD66DA">
                  <w:pPr>
                    <w:pStyle w:val="TableUnitsRow"/>
                  </w:pPr>
                  <w:r>
                    <w:t>16</w:t>
                  </w:r>
                </w:p>
              </w:tc>
              <w:tc>
                <w:tcPr>
                  <w:tcW w:w="429" w:type="pct"/>
                  <w:tcBorders>
                    <w:top w:val="single" w:sz="6" w:space="0" w:color="BFBFBF"/>
                  </w:tcBorders>
                </w:tcPr>
                <w:p w14:paraId="1EA38BC2" w14:textId="77777777" w:rsidR="00DC7E13" w:rsidRDefault="008D2193" w:rsidP="00DC7E13">
                  <w:pPr>
                    <w:pStyle w:val="TableUnitsRow"/>
                  </w:pPr>
                  <w:r>
                    <w:t>6</w:t>
                  </w:r>
                </w:p>
              </w:tc>
              <w:tc>
                <w:tcPr>
                  <w:tcW w:w="467" w:type="pct"/>
                  <w:tcBorders>
                    <w:top w:val="single" w:sz="6" w:space="0" w:color="BFBFBF"/>
                  </w:tcBorders>
                </w:tcPr>
                <w:p w14:paraId="1EA38BC3" w14:textId="77777777" w:rsidR="00DC7E13" w:rsidRDefault="008D2193" w:rsidP="00DC7E13">
                  <w:pPr>
                    <w:pStyle w:val="TableUnitsRow"/>
                  </w:pPr>
                  <w:r>
                    <w:t>4</w:t>
                  </w:r>
                </w:p>
              </w:tc>
              <w:tc>
                <w:tcPr>
                  <w:tcW w:w="467" w:type="pct"/>
                  <w:tcBorders>
                    <w:top w:val="single" w:sz="6" w:space="0" w:color="BFBFBF"/>
                  </w:tcBorders>
                </w:tcPr>
                <w:p w14:paraId="1EA38BC4" w14:textId="77777777" w:rsidR="00DC7E13" w:rsidRDefault="008D2193" w:rsidP="00DC7E13">
                  <w:pPr>
                    <w:pStyle w:val="TableUnitsRow"/>
                  </w:pPr>
                  <w:r>
                    <w:t>7</w:t>
                  </w:r>
                </w:p>
              </w:tc>
              <w:tc>
                <w:tcPr>
                  <w:tcW w:w="467" w:type="pct"/>
                  <w:tcBorders>
                    <w:top w:val="single" w:sz="6" w:space="0" w:color="BFBFBF"/>
                  </w:tcBorders>
                </w:tcPr>
                <w:p w14:paraId="1EA38BC5" w14:textId="77777777" w:rsidR="00DC7E13" w:rsidRDefault="008D2193" w:rsidP="00DC7E13">
                  <w:pPr>
                    <w:pStyle w:val="TableUnitsRow"/>
                  </w:pPr>
                  <w:r>
                    <w:t>14</w:t>
                  </w:r>
                </w:p>
              </w:tc>
              <w:tc>
                <w:tcPr>
                  <w:tcW w:w="467" w:type="pct"/>
                  <w:tcBorders>
                    <w:top w:val="single" w:sz="6" w:space="0" w:color="BFBFBF"/>
                  </w:tcBorders>
                </w:tcPr>
                <w:p w14:paraId="1EA38BC6" w14:textId="77777777" w:rsidR="00DC7E13" w:rsidRDefault="008D2193" w:rsidP="00DC7E13">
                  <w:pPr>
                    <w:pStyle w:val="TableUnitsRow"/>
                    <w:ind w:right="28"/>
                  </w:pPr>
                  <w:r>
                    <w:t>13</w:t>
                  </w:r>
                </w:p>
              </w:tc>
              <w:tc>
                <w:tcPr>
                  <w:tcW w:w="467" w:type="pct"/>
                  <w:tcBorders>
                    <w:top w:val="single" w:sz="6" w:space="0" w:color="BFBFBF"/>
                  </w:tcBorders>
                </w:tcPr>
                <w:p w14:paraId="1EA38BC7" w14:textId="77777777" w:rsidR="00DC7E13" w:rsidRDefault="008D2193" w:rsidP="00DC7E13">
                  <w:pPr>
                    <w:pStyle w:val="TableUnitsRow"/>
                    <w:ind w:right="28"/>
                  </w:pPr>
                  <w:r>
                    <w:t>11</w:t>
                  </w:r>
                </w:p>
              </w:tc>
              <w:tc>
                <w:tcPr>
                  <w:tcW w:w="466" w:type="pct"/>
                  <w:tcBorders>
                    <w:top w:val="single" w:sz="6" w:space="0" w:color="BFBFBF"/>
                  </w:tcBorders>
                </w:tcPr>
                <w:p w14:paraId="1EA38BC8" w14:textId="77777777" w:rsidR="00DC7E13" w:rsidRDefault="008D2193" w:rsidP="00DC7E13">
                  <w:pPr>
                    <w:pStyle w:val="TableUnitsRow"/>
                    <w:ind w:right="28"/>
                  </w:pPr>
                  <w:r>
                    <w:t>34</w:t>
                  </w:r>
                </w:p>
              </w:tc>
            </w:tr>
            <w:tr w:rsidR="008D2193" w14:paraId="1EA38BD3" w14:textId="77777777" w:rsidTr="00B624AE">
              <w:tc>
                <w:tcPr>
                  <w:tcW w:w="1300" w:type="pct"/>
                </w:tcPr>
                <w:p w14:paraId="1EA38BCA" w14:textId="77777777" w:rsidR="008D2193" w:rsidRDefault="003560AE" w:rsidP="003560AE">
                  <w:pPr>
                    <w:pStyle w:val="TableBodyText"/>
                    <w:jc w:val="left"/>
                  </w:pPr>
                  <w:r>
                    <w:t>have l</w:t>
                  </w:r>
                  <w:r w:rsidR="008D2193">
                    <w:t>imited access</w:t>
                  </w:r>
                </w:p>
              </w:tc>
              <w:tc>
                <w:tcPr>
                  <w:tcW w:w="468" w:type="pct"/>
                </w:tcPr>
                <w:p w14:paraId="1EA38BCB" w14:textId="77777777" w:rsidR="008D2193" w:rsidRDefault="008D2193" w:rsidP="00BD66DA">
                  <w:pPr>
                    <w:pStyle w:val="TableBodyText"/>
                  </w:pPr>
                  <w:r>
                    <w:t>65</w:t>
                  </w:r>
                </w:p>
              </w:tc>
              <w:tc>
                <w:tcPr>
                  <w:tcW w:w="429" w:type="pct"/>
                </w:tcPr>
                <w:p w14:paraId="1EA38BCC" w14:textId="77777777" w:rsidR="008D2193" w:rsidRDefault="008D2193" w:rsidP="00DC7E13">
                  <w:pPr>
                    <w:pStyle w:val="TableBodyText"/>
                  </w:pPr>
                  <w:r>
                    <w:t>60</w:t>
                  </w:r>
                </w:p>
              </w:tc>
              <w:tc>
                <w:tcPr>
                  <w:tcW w:w="467" w:type="pct"/>
                </w:tcPr>
                <w:p w14:paraId="1EA38BCD" w14:textId="77777777" w:rsidR="008D2193" w:rsidRDefault="008D2193" w:rsidP="00DC7E13">
                  <w:pPr>
                    <w:pStyle w:val="TableBodyText"/>
                  </w:pPr>
                  <w:r>
                    <w:t>65</w:t>
                  </w:r>
                </w:p>
              </w:tc>
              <w:tc>
                <w:tcPr>
                  <w:tcW w:w="467" w:type="pct"/>
                </w:tcPr>
                <w:p w14:paraId="1EA38BCE" w14:textId="77777777" w:rsidR="008D2193" w:rsidRDefault="008D2193" w:rsidP="00DC7E13">
                  <w:pPr>
                    <w:pStyle w:val="TableBodyText"/>
                  </w:pPr>
                  <w:r>
                    <w:t>63</w:t>
                  </w:r>
                </w:p>
              </w:tc>
              <w:tc>
                <w:tcPr>
                  <w:tcW w:w="467" w:type="pct"/>
                </w:tcPr>
                <w:p w14:paraId="1EA38BCF" w14:textId="77777777" w:rsidR="008D2193" w:rsidRDefault="008D2193" w:rsidP="00DC7E13">
                  <w:pPr>
                    <w:pStyle w:val="TableBodyText"/>
                  </w:pPr>
                  <w:r>
                    <w:t>57</w:t>
                  </w:r>
                </w:p>
              </w:tc>
              <w:tc>
                <w:tcPr>
                  <w:tcW w:w="467" w:type="pct"/>
                </w:tcPr>
                <w:p w14:paraId="1EA38BD0" w14:textId="77777777" w:rsidR="008D2193" w:rsidRDefault="008D2193" w:rsidP="00DC7E13">
                  <w:pPr>
                    <w:pStyle w:val="TableBodyText"/>
                    <w:ind w:right="28"/>
                  </w:pPr>
                  <w:r>
                    <w:t>65</w:t>
                  </w:r>
                </w:p>
              </w:tc>
              <w:tc>
                <w:tcPr>
                  <w:tcW w:w="467" w:type="pct"/>
                </w:tcPr>
                <w:p w14:paraId="1EA38BD1" w14:textId="77777777" w:rsidR="008D2193" w:rsidRDefault="008D2193" w:rsidP="00DC7E13">
                  <w:pPr>
                    <w:pStyle w:val="TableBodyText"/>
                    <w:ind w:right="28"/>
                  </w:pPr>
                  <w:r>
                    <w:t>68</w:t>
                  </w:r>
                </w:p>
              </w:tc>
              <w:tc>
                <w:tcPr>
                  <w:tcW w:w="466" w:type="pct"/>
                </w:tcPr>
                <w:p w14:paraId="1EA38BD2" w14:textId="77777777" w:rsidR="008D2193" w:rsidRDefault="008D2193" w:rsidP="00DC7E13">
                  <w:pPr>
                    <w:pStyle w:val="TableBodyText"/>
                    <w:ind w:right="28"/>
                  </w:pPr>
                  <w:r>
                    <w:t>54</w:t>
                  </w:r>
                </w:p>
              </w:tc>
            </w:tr>
            <w:tr w:rsidR="008D2193" w14:paraId="1EA38BDD" w14:textId="77777777" w:rsidTr="00B624AE">
              <w:tc>
                <w:tcPr>
                  <w:tcW w:w="1300" w:type="pct"/>
                </w:tcPr>
                <w:p w14:paraId="1EA38BD4" w14:textId="77777777" w:rsidR="008D2193" w:rsidRDefault="003560AE" w:rsidP="008D2193">
                  <w:pPr>
                    <w:pStyle w:val="TableBodyText"/>
                    <w:jc w:val="left"/>
                  </w:pPr>
                  <w:r>
                    <w:t>b</w:t>
                  </w:r>
                  <w:r w:rsidR="008D2193">
                    <w:t>e able to update family medical history</w:t>
                  </w:r>
                </w:p>
              </w:tc>
              <w:tc>
                <w:tcPr>
                  <w:tcW w:w="468" w:type="pct"/>
                </w:tcPr>
                <w:p w14:paraId="1EA38BD5" w14:textId="77777777" w:rsidR="008D2193" w:rsidRDefault="008D2193" w:rsidP="00BD66DA">
                  <w:pPr>
                    <w:pStyle w:val="TableBodyText"/>
                  </w:pPr>
                  <w:r>
                    <w:t>49</w:t>
                  </w:r>
                </w:p>
              </w:tc>
              <w:tc>
                <w:tcPr>
                  <w:tcW w:w="429" w:type="pct"/>
                </w:tcPr>
                <w:p w14:paraId="1EA38BD6" w14:textId="77777777" w:rsidR="008D2193" w:rsidRDefault="008D2193" w:rsidP="00DC7E13">
                  <w:pPr>
                    <w:pStyle w:val="TableBodyText"/>
                  </w:pPr>
                  <w:r>
                    <w:t>47</w:t>
                  </w:r>
                </w:p>
              </w:tc>
              <w:tc>
                <w:tcPr>
                  <w:tcW w:w="467" w:type="pct"/>
                </w:tcPr>
                <w:p w14:paraId="1EA38BD7" w14:textId="77777777" w:rsidR="008D2193" w:rsidRDefault="008D2193" w:rsidP="00DC7E13">
                  <w:pPr>
                    <w:pStyle w:val="TableBodyText"/>
                  </w:pPr>
                  <w:r>
                    <w:t>67</w:t>
                  </w:r>
                </w:p>
              </w:tc>
              <w:tc>
                <w:tcPr>
                  <w:tcW w:w="467" w:type="pct"/>
                </w:tcPr>
                <w:p w14:paraId="1EA38BD8" w14:textId="77777777" w:rsidR="008D2193" w:rsidRDefault="008D2193" w:rsidP="00DC7E13">
                  <w:pPr>
                    <w:pStyle w:val="TableBodyText"/>
                  </w:pPr>
                  <w:r>
                    <w:t>54</w:t>
                  </w:r>
                </w:p>
              </w:tc>
              <w:tc>
                <w:tcPr>
                  <w:tcW w:w="467" w:type="pct"/>
                </w:tcPr>
                <w:p w14:paraId="1EA38BD9" w14:textId="77777777" w:rsidR="008D2193" w:rsidRDefault="008D2193" w:rsidP="00DC7E13">
                  <w:pPr>
                    <w:pStyle w:val="TableBodyText"/>
                  </w:pPr>
                  <w:r>
                    <w:t>54</w:t>
                  </w:r>
                </w:p>
              </w:tc>
              <w:tc>
                <w:tcPr>
                  <w:tcW w:w="467" w:type="pct"/>
                </w:tcPr>
                <w:p w14:paraId="1EA38BDA" w14:textId="77777777" w:rsidR="008D2193" w:rsidRDefault="008D2193" w:rsidP="00DC7E13">
                  <w:pPr>
                    <w:pStyle w:val="TableBodyText"/>
                    <w:ind w:right="28"/>
                  </w:pPr>
                  <w:r>
                    <w:t>43</w:t>
                  </w:r>
                </w:p>
              </w:tc>
              <w:tc>
                <w:tcPr>
                  <w:tcW w:w="467" w:type="pct"/>
                </w:tcPr>
                <w:p w14:paraId="1EA38BDB" w14:textId="77777777" w:rsidR="008D2193" w:rsidRDefault="008D2193" w:rsidP="00DC7E13">
                  <w:pPr>
                    <w:pStyle w:val="TableBodyText"/>
                    <w:ind w:right="28"/>
                  </w:pPr>
                  <w:r>
                    <w:t>65</w:t>
                  </w:r>
                </w:p>
              </w:tc>
              <w:tc>
                <w:tcPr>
                  <w:tcW w:w="466" w:type="pct"/>
                </w:tcPr>
                <w:p w14:paraId="1EA38BDC" w14:textId="77777777" w:rsidR="008D2193" w:rsidRDefault="008D2193" w:rsidP="00DC7E13">
                  <w:pPr>
                    <w:pStyle w:val="TableBodyText"/>
                    <w:ind w:right="28"/>
                  </w:pPr>
                  <w:r>
                    <w:t>37</w:t>
                  </w:r>
                </w:p>
              </w:tc>
            </w:tr>
            <w:tr w:rsidR="008D2193" w14:paraId="1EA38BE7" w14:textId="77777777" w:rsidTr="00B624AE">
              <w:tc>
                <w:tcPr>
                  <w:tcW w:w="1300" w:type="pct"/>
                </w:tcPr>
                <w:p w14:paraId="1EA38BDE" w14:textId="77777777" w:rsidR="008D2193" w:rsidRDefault="003560AE" w:rsidP="008D2193">
                  <w:pPr>
                    <w:pStyle w:val="TableBodyText"/>
                    <w:jc w:val="left"/>
                  </w:pPr>
                  <w:r>
                    <w:t>n</w:t>
                  </w:r>
                  <w:r w:rsidR="00C16ED6">
                    <w:t xml:space="preserve">ot </w:t>
                  </w:r>
                  <w:r>
                    <w:t xml:space="preserve">be </w:t>
                  </w:r>
                  <w:r w:rsidR="008D2193">
                    <w:t>able to update allergic episodes</w:t>
                  </w:r>
                </w:p>
              </w:tc>
              <w:tc>
                <w:tcPr>
                  <w:tcW w:w="468" w:type="pct"/>
                </w:tcPr>
                <w:p w14:paraId="1EA38BDF" w14:textId="77777777" w:rsidR="008D2193" w:rsidRDefault="00C16ED6" w:rsidP="00BD66DA">
                  <w:pPr>
                    <w:pStyle w:val="TableBodyText"/>
                  </w:pPr>
                  <w:r>
                    <w:t>26</w:t>
                  </w:r>
                </w:p>
              </w:tc>
              <w:tc>
                <w:tcPr>
                  <w:tcW w:w="429" w:type="pct"/>
                </w:tcPr>
                <w:p w14:paraId="1EA38BE0" w14:textId="77777777" w:rsidR="008D2193" w:rsidRDefault="00C16ED6" w:rsidP="00DC7E13">
                  <w:pPr>
                    <w:pStyle w:val="TableBodyText"/>
                  </w:pPr>
                  <w:r>
                    <w:t>23</w:t>
                  </w:r>
                </w:p>
              </w:tc>
              <w:tc>
                <w:tcPr>
                  <w:tcW w:w="467" w:type="pct"/>
                </w:tcPr>
                <w:p w14:paraId="1EA38BE1" w14:textId="77777777" w:rsidR="008D2193" w:rsidRDefault="00C16ED6" w:rsidP="00DC7E13">
                  <w:pPr>
                    <w:pStyle w:val="TableBodyText"/>
                  </w:pPr>
                  <w:r>
                    <w:t>15</w:t>
                  </w:r>
                </w:p>
              </w:tc>
              <w:tc>
                <w:tcPr>
                  <w:tcW w:w="467" w:type="pct"/>
                </w:tcPr>
                <w:p w14:paraId="1EA38BE2" w14:textId="77777777" w:rsidR="008D2193" w:rsidRDefault="00C16ED6" w:rsidP="00DC7E13">
                  <w:pPr>
                    <w:pStyle w:val="TableBodyText"/>
                  </w:pPr>
                  <w:r>
                    <w:t>20</w:t>
                  </w:r>
                </w:p>
              </w:tc>
              <w:tc>
                <w:tcPr>
                  <w:tcW w:w="467" w:type="pct"/>
                </w:tcPr>
                <w:p w14:paraId="1EA38BE3" w14:textId="77777777" w:rsidR="008D2193" w:rsidRDefault="00C16ED6" w:rsidP="00DC7E13">
                  <w:pPr>
                    <w:pStyle w:val="TableBodyText"/>
                  </w:pPr>
                  <w:r>
                    <w:t>21</w:t>
                  </w:r>
                </w:p>
              </w:tc>
              <w:tc>
                <w:tcPr>
                  <w:tcW w:w="467" w:type="pct"/>
                </w:tcPr>
                <w:p w14:paraId="1EA38BE4" w14:textId="77777777" w:rsidR="008D2193" w:rsidRDefault="00C16ED6" w:rsidP="00DC7E13">
                  <w:pPr>
                    <w:pStyle w:val="TableBodyText"/>
                    <w:ind w:right="28"/>
                  </w:pPr>
                  <w:r>
                    <w:t>17</w:t>
                  </w:r>
                </w:p>
              </w:tc>
              <w:tc>
                <w:tcPr>
                  <w:tcW w:w="467" w:type="pct"/>
                </w:tcPr>
                <w:p w14:paraId="1EA38BE5" w14:textId="77777777" w:rsidR="008D2193" w:rsidRDefault="00C16ED6" w:rsidP="00DC7E13">
                  <w:pPr>
                    <w:pStyle w:val="TableBodyText"/>
                    <w:ind w:right="28"/>
                  </w:pPr>
                  <w:r>
                    <w:t>10</w:t>
                  </w:r>
                </w:p>
              </w:tc>
              <w:tc>
                <w:tcPr>
                  <w:tcW w:w="466" w:type="pct"/>
                </w:tcPr>
                <w:p w14:paraId="1EA38BE6" w14:textId="77777777" w:rsidR="008D2193" w:rsidRDefault="00C16ED6" w:rsidP="00DC7E13">
                  <w:pPr>
                    <w:pStyle w:val="TableBodyText"/>
                    <w:ind w:right="28"/>
                  </w:pPr>
                  <w:r>
                    <w:t>19</w:t>
                  </w:r>
                </w:p>
              </w:tc>
            </w:tr>
            <w:tr w:rsidR="003560AE" w14:paraId="1EA38BF1" w14:textId="77777777" w:rsidTr="00B624AE">
              <w:tc>
                <w:tcPr>
                  <w:tcW w:w="1300" w:type="pct"/>
                  <w:tcBorders>
                    <w:bottom w:val="single" w:sz="6" w:space="0" w:color="BFBFBF"/>
                  </w:tcBorders>
                  <w:shd w:val="clear" w:color="auto" w:fill="auto"/>
                </w:tcPr>
                <w:p w14:paraId="1EA38BE8" w14:textId="77777777" w:rsidR="003560AE" w:rsidRDefault="003560AE" w:rsidP="003560AE">
                  <w:pPr>
                    <w:pStyle w:val="TableBodyText"/>
                    <w:jc w:val="left"/>
                  </w:pPr>
                  <w:r>
                    <w:t>not be able to update medication side effects</w:t>
                  </w:r>
                </w:p>
              </w:tc>
              <w:tc>
                <w:tcPr>
                  <w:tcW w:w="468" w:type="pct"/>
                  <w:tcBorders>
                    <w:bottom w:val="single" w:sz="6" w:space="0" w:color="BFBFBF"/>
                  </w:tcBorders>
                  <w:shd w:val="clear" w:color="auto" w:fill="auto"/>
                </w:tcPr>
                <w:p w14:paraId="1EA38BE9" w14:textId="77777777" w:rsidR="003560AE" w:rsidRDefault="003560AE" w:rsidP="00BD66DA">
                  <w:pPr>
                    <w:pStyle w:val="TableBodyText"/>
                  </w:pPr>
                  <w:r>
                    <w:t>28</w:t>
                  </w:r>
                </w:p>
              </w:tc>
              <w:tc>
                <w:tcPr>
                  <w:tcW w:w="429" w:type="pct"/>
                  <w:tcBorders>
                    <w:bottom w:val="single" w:sz="6" w:space="0" w:color="BFBFBF"/>
                  </w:tcBorders>
                </w:tcPr>
                <w:p w14:paraId="1EA38BEA" w14:textId="77777777" w:rsidR="003560AE" w:rsidRDefault="003560AE" w:rsidP="003560AE">
                  <w:pPr>
                    <w:pStyle w:val="TableBodyText"/>
                  </w:pPr>
                  <w:r>
                    <w:t>21</w:t>
                  </w:r>
                </w:p>
              </w:tc>
              <w:tc>
                <w:tcPr>
                  <w:tcW w:w="467" w:type="pct"/>
                  <w:tcBorders>
                    <w:bottom w:val="single" w:sz="6" w:space="0" w:color="BFBFBF"/>
                  </w:tcBorders>
                </w:tcPr>
                <w:p w14:paraId="1EA38BEB" w14:textId="77777777" w:rsidR="003560AE" w:rsidRDefault="003560AE" w:rsidP="003560AE">
                  <w:pPr>
                    <w:pStyle w:val="TableBodyText"/>
                  </w:pPr>
                  <w:r>
                    <w:t>18</w:t>
                  </w:r>
                </w:p>
              </w:tc>
              <w:tc>
                <w:tcPr>
                  <w:tcW w:w="467" w:type="pct"/>
                  <w:tcBorders>
                    <w:bottom w:val="single" w:sz="6" w:space="0" w:color="BFBFBF"/>
                  </w:tcBorders>
                  <w:shd w:val="clear" w:color="auto" w:fill="auto"/>
                </w:tcPr>
                <w:p w14:paraId="1EA38BEC" w14:textId="77777777" w:rsidR="003560AE" w:rsidRDefault="003560AE" w:rsidP="003560AE">
                  <w:pPr>
                    <w:pStyle w:val="TableBodyText"/>
                  </w:pPr>
                  <w:r>
                    <w:t>18</w:t>
                  </w:r>
                </w:p>
              </w:tc>
              <w:tc>
                <w:tcPr>
                  <w:tcW w:w="467" w:type="pct"/>
                  <w:tcBorders>
                    <w:bottom w:val="single" w:sz="6" w:space="0" w:color="BFBFBF"/>
                  </w:tcBorders>
                  <w:shd w:val="clear" w:color="auto" w:fill="auto"/>
                </w:tcPr>
                <w:p w14:paraId="1EA38BED" w14:textId="77777777" w:rsidR="003560AE" w:rsidRDefault="003560AE" w:rsidP="003560AE">
                  <w:pPr>
                    <w:pStyle w:val="TableBodyText"/>
                  </w:pPr>
                  <w:r>
                    <w:t>22</w:t>
                  </w:r>
                </w:p>
              </w:tc>
              <w:tc>
                <w:tcPr>
                  <w:tcW w:w="467" w:type="pct"/>
                  <w:tcBorders>
                    <w:bottom w:val="single" w:sz="6" w:space="0" w:color="BFBFBF"/>
                  </w:tcBorders>
                  <w:shd w:val="clear" w:color="auto" w:fill="auto"/>
                </w:tcPr>
                <w:p w14:paraId="1EA38BEE" w14:textId="77777777" w:rsidR="003560AE" w:rsidRDefault="003560AE" w:rsidP="003560AE">
                  <w:pPr>
                    <w:pStyle w:val="TableBodyText"/>
                    <w:ind w:right="28"/>
                  </w:pPr>
                  <w:r>
                    <w:t>20</w:t>
                  </w:r>
                </w:p>
              </w:tc>
              <w:tc>
                <w:tcPr>
                  <w:tcW w:w="467" w:type="pct"/>
                  <w:tcBorders>
                    <w:bottom w:val="single" w:sz="6" w:space="0" w:color="BFBFBF"/>
                  </w:tcBorders>
                  <w:shd w:val="clear" w:color="auto" w:fill="auto"/>
                </w:tcPr>
                <w:p w14:paraId="1EA38BEF" w14:textId="77777777" w:rsidR="003560AE" w:rsidRDefault="003560AE" w:rsidP="003560AE">
                  <w:pPr>
                    <w:pStyle w:val="TableBodyText"/>
                    <w:ind w:right="28"/>
                  </w:pPr>
                  <w:r>
                    <w:t>16</w:t>
                  </w:r>
                </w:p>
              </w:tc>
              <w:tc>
                <w:tcPr>
                  <w:tcW w:w="466" w:type="pct"/>
                  <w:tcBorders>
                    <w:bottom w:val="single" w:sz="6" w:space="0" w:color="BFBFBF"/>
                  </w:tcBorders>
                  <w:shd w:val="clear" w:color="auto" w:fill="auto"/>
                </w:tcPr>
                <w:p w14:paraId="1EA38BF0" w14:textId="77777777" w:rsidR="003560AE" w:rsidRDefault="003560AE" w:rsidP="003560AE">
                  <w:pPr>
                    <w:pStyle w:val="TableBodyText"/>
                    <w:ind w:right="28"/>
                  </w:pPr>
                  <w:r>
                    <w:t>22</w:t>
                  </w:r>
                </w:p>
              </w:tc>
            </w:tr>
          </w:tbl>
          <w:p w14:paraId="1EA38BF2" w14:textId="77777777" w:rsidR="00DC7E13" w:rsidRDefault="00DC7E13" w:rsidP="00DC7E13">
            <w:pPr>
              <w:pStyle w:val="Box"/>
            </w:pPr>
          </w:p>
        </w:tc>
      </w:tr>
      <w:tr w:rsidR="00DC7E13" w14:paraId="1EA38BF5" w14:textId="77777777" w:rsidTr="00DC7E13">
        <w:tc>
          <w:tcPr>
            <w:tcW w:w="5000" w:type="pct"/>
            <w:tcBorders>
              <w:top w:val="nil"/>
              <w:left w:val="nil"/>
              <w:bottom w:val="nil"/>
              <w:right w:val="nil"/>
            </w:tcBorders>
            <w:shd w:val="clear" w:color="auto" w:fill="auto"/>
          </w:tcPr>
          <w:p w14:paraId="3FA3B053" w14:textId="10BF24B4" w:rsidR="00D21B92" w:rsidRDefault="0044698F" w:rsidP="003560AE">
            <w:pPr>
              <w:pStyle w:val="Source"/>
              <w:rPr>
                <w:i/>
              </w:rPr>
            </w:pPr>
            <w:r w:rsidRPr="0044698F">
              <w:rPr>
                <w:rStyle w:val="NoteLabel"/>
              </w:rPr>
              <w:t>a</w:t>
            </w:r>
            <w:r w:rsidR="00D21B92">
              <w:rPr>
                <w:i/>
              </w:rPr>
              <w:t xml:space="preserve"> </w:t>
            </w:r>
            <w:r w:rsidR="00D21B92" w:rsidRPr="0044698F">
              <w:t xml:space="preserve">AUS is Australia, ENG is England, US is United States, SING is Singapore, </w:t>
            </w:r>
            <w:r w:rsidRPr="0044698F">
              <w:t>CAN is Canada</w:t>
            </w:r>
            <w:r w:rsidR="001C2773">
              <w:t>, FRA is France</w:t>
            </w:r>
            <w:r w:rsidRPr="0044698F">
              <w:t xml:space="preserve"> and GER is Germany.</w:t>
            </w:r>
          </w:p>
          <w:p w14:paraId="1EA38BF4" w14:textId="05B038B9" w:rsidR="00DC7E13" w:rsidRDefault="003560AE" w:rsidP="003560AE">
            <w:pPr>
              <w:pStyle w:val="Source"/>
            </w:pPr>
            <w:r>
              <w:rPr>
                <w:i/>
              </w:rPr>
              <w:t>Source</w:t>
            </w:r>
            <w:r w:rsidR="00DC7E13" w:rsidRPr="00167F06">
              <w:t xml:space="preserve">: </w:t>
            </w:r>
            <w:r>
              <w:t>Accenture</w:t>
            </w:r>
            <w:r w:rsidR="00353A45">
              <w:t xml:space="preserve"> </w:t>
            </w:r>
            <w:r w:rsidR="00353A45" w:rsidRPr="00353A45">
              <w:rPr>
                <w:rFonts w:cs="Arial"/>
              </w:rPr>
              <w:t>(2013)</w:t>
            </w:r>
            <w:r w:rsidR="00DC7E13">
              <w:t>.</w:t>
            </w:r>
          </w:p>
        </w:tc>
      </w:tr>
      <w:tr w:rsidR="00DC7E13" w14:paraId="1EA38BF7" w14:textId="77777777" w:rsidTr="00DC7E13">
        <w:tc>
          <w:tcPr>
            <w:tcW w:w="5000" w:type="pct"/>
            <w:tcBorders>
              <w:top w:val="nil"/>
              <w:left w:val="nil"/>
              <w:bottom w:val="single" w:sz="6" w:space="0" w:color="78A22F"/>
              <w:right w:val="nil"/>
            </w:tcBorders>
            <w:shd w:val="clear" w:color="auto" w:fill="auto"/>
          </w:tcPr>
          <w:p w14:paraId="1EA38BF6" w14:textId="77777777" w:rsidR="00DC7E13" w:rsidRDefault="00DC7E13" w:rsidP="00DC7E13">
            <w:pPr>
              <w:pStyle w:val="Box"/>
              <w:spacing w:before="0" w:line="120" w:lineRule="exact"/>
            </w:pPr>
          </w:p>
        </w:tc>
      </w:tr>
      <w:tr w:rsidR="00DC7E13" w:rsidRPr="000863A5" w14:paraId="1EA38BF9" w14:textId="77777777" w:rsidTr="00DC7E13">
        <w:tc>
          <w:tcPr>
            <w:tcW w:w="5000" w:type="pct"/>
            <w:tcBorders>
              <w:top w:val="single" w:sz="6" w:space="0" w:color="78A22F"/>
              <w:left w:val="nil"/>
              <w:bottom w:val="nil"/>
              <w:right w:val="nil"/>
            </w:tcBorders>
          </w:tcPr>
          <w:p w14:paraId="1EA38BF8" w14:textId="77777777" w:rsidR="00DC7E13" w:rsidRPr="00626D32" w:rsidRDefault="00DC7E13" w:rsidP="00DC7E13">
            <w:pPr>
              <w:pStyle w:val="BoxSpaceBelow"/>
            </w:pPr>
          </w:p>
        </w:tc>
      </w:tr>
    </w:tbl>
    <w:p w14:paraId="7E25CCEB" w14:textId="77777777" w:rsidR="007A37B5" w:rsidRDefault="007A37B5" w:rsidP="007A37B5">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073"/>
      </w:tblGrid>
      <w:tr w:rsidR="007A37B5" w:rsidRPr="00291FE3" w14:paraId="344095C3" w14:textId="77777777" w:rsidTr="007D1F76">
        <w:tc>
          <w:tcPr>
            <w:tcW w:w="5000" w:type="pct"/>
            <w:tcBorders>
              <w:top w:val="single" w:sz="6" w:space="0" w:color="78A22F"/>
              <w:left w:val="nil"/>
              <w:bottom w:val="nil"/>
              <w:right w:val="nil"/>
            </w:tcBorders>
            <w:shd w:val="clear" w:color="auto" w:fill="F2F2F2"/>
          </w:tcPr>
          <w:p w14:paraId="5882FD69" w14:textId="77777777" w:rsidR="007A37B5" w:rsidRPr="00291FE3" w:rsidRDefault="007A37B5" w:rsidP="007D1F76">
            <w:pPr>
              <w:pStyle w:val="BoxTitle"/>
            </w:pPr>
            <w:r w:rsidRPr="00944790">
              <w:rPr>
                <w:b w:val="0"/>
              </w:rPr>
              <w:t>Box 2.1</w:t>
            </w:r>
            <w:r w:rsidRPr="00944790">
              <w:rPr>
                <w:b w:val="0"/>
              </w:rPr>
              <w:tab/>
            </w:r>
            <w:r w:rsidRPr="00291FE3">
              <w:t xml:space="preserve">Waiting, waiting, waiting … </w:t>
            </w:r>
          </w:p>
        </w:tc>
      </w:tr>
      <w:tr w:rsidR="007A37B5" w:rsidRPr="00291FE3" w14:paraId="5F0A07DC" w14:textId="77777777" w:rsidTr="007D1F76">
        <w:tc>
          <w:tcPr>
            <w:tcW w:w="5000" w:type="pct"/>
            <w:tcBorders>
              <w:top w:val="nil"/>
              <w:left w:val="nil"/>
              <w:bottom w:val="nil"/>
              <w:right w:val="nil"/>
            </w:tcBorders>
            <w:shd w:val="clear" w:color="auto" w:fill="F2F2F2"/>
          </w:tcPr>
          <w:p w14:paraId="2CBE33E8" w14:textId="77777777" w:rsidR="007A37B5" w:rsidRDefault="007A37B5" w:rsidP="007D1F76">
            <w:pPr>
              <w:pStyle w:val="Box"/>
            </w:pPr>
            <w:r w:rsidRPr="00291FE3">
              <w:t>The concept of a ‘waiting room’ is an oddly doctor</w:t>
            </w:r>
            <w:r w:rsidRPr="00291FE3">
              <w:noBreakHyphen/>
              <w:t>centric expression. It accepts as its basic premise that waiting after the allotted appointment time is expected and normal, when in other services, it is not. A more patient</w:t>
            </w:r>
            <w:r w:rsidRPr="00291FE3">
              <w:noBreakHyphen/>
              <w:t xml:space="preserve">centred system would use modern technology, such as SMS, to alert people of delays before they came to the practice or use available appointment management systems. The Commission estimates that the annual costs for patients of excessive waiting times for attending GP and specialist clinics might amount to </w:t>
            </w:r>
            <w:r>
              <w:t>about</w:t>
            </w:r>
            <w:r w:rsidRPr="00291FE3">
              <w:t xml:space="preserve"> 0.1 per cent reduction in Australia’s annual labour supply and a cost of the order of $</w:t>
            </w:r>
            <w:r>
              <w:t>900 m</w:t>
            </w:r>
            <w:r w:rsidRPr="00291FE3">
              <w:t xml:space="preserve">illion costs for patients — waste that is preventable </w:t>
            </w:r>
            <w:r w:rsidRPr="00EF7B94">
              <w:t>(Knight et al. 2005; Knight and Lembkie 2013)</w:t>
            </w:r>
            <w:r w:rsidRPr="00291FE3">
              <w:t>.</w:t>
            </w:r>
            <w:r w:rsidRPr="00AF098D">
              <w:footnoteReference w:id="6"/>
            </w:r>
            <w:r w:rsidRPr="00291FE3">
              <w:t xml:space="preserve"> This reflects the fact that small costs for each of the roughly 170 million annual physician attendances accumulate to large costs.</w:t>
            </w:r>
            <w:r w:rsidRPr="00AF098D">
              <w:rPr>
                <w:rStyle w:val="FootnoteTextChar"/>
              </w:rPr>
              <w:footnoteReference w:id="7"/>
            </w:r>
            <w:r w:rsidRPr="00AF098D">
              <w:rPr>
                <w:rFonts w:ascii="Times New Roman" w:hAnsi="Times New Roman"/>
              </w:rPr>
              <w:t xml:space="preserve"> </w:t>
            </w:r>
            <w:r w:rsidRPr="00291FE3">
              <w:t xml:space="preserve">There is strong evidence that waiting times affect people’s satisfaction with general practice </w:t>
            </w:r>
            <w:r w:rsidRPr="00EF7B94">
              <w:t>(Potiriadis et al. 2008)</w:t>
            </w:r>
            <w:r w:rsidRPr="00291FE3">
              <w:t>.</w:t>
            </w:r>
            <w:r>
              <w:t xml:space="preserve"> </w:t>
            </w:r>
          </w:p>
          <w:p w14:paraId="17DA0B7F" w14:textId="77777777" w:rsidR="007A37B5" w:rsidRPr="00291FE3" w:rsidRDefault="007A37B5" w:rsidP="007D1F76">
            <w:pPr>
              <w:pStyle w:val="Box"/>
            </w:pPr>
            <w:r w:rsidRPr="00291FE3">
              <w:t>Similarly, online and phone based consultations could avoid both waiting room and travel costs. Even if only 10</w:t>
            </w:r>
            <w:r>
              <w:t> </w:t>
            </w:r>
            <w:r w:rsidRPr="00291FE3">
              <w:t xml:space="preserve">per cent of consultations could be undertaken this way, annual savings to consumers would be </w:t>
            </w:r>
            <w:r>
              <w:t>about</w:t>
            </w:r>
            <w:r w:rsidRPr="00291FE3">
              <w:t xml:space="preserve"> $</w:t>
            </w:r>
            <w:r>
              <w:t>300 </w:t>
            </w:r>
            <w:r w:rsidRPr="00291FE3">
              <w:t>million.</w:t>
            </w:r>
            <w:r w:rsidRPr="00AF098D">
              <w:footnoteReference w:id="8"/>
            </w:r>
            <w:r w:rsidRPr="00291FE3">
              <w:t xml:space="preserve"> </w:t>
            </w:r>
          </w:p>
          <w:p w14:paraId="22F7D42A" w14:textId="77777777" w:rsidR="007A37B5" w:rsidRPr="00AF098D" w:rsidRDefault="007A37B5" w:rsidP="007D1F76">
            <w:pPr>
              <w:pStyle w:val="Box"/>
            </w:pPr>
            <w:r w:rsidRPr="00EF7B94">
              <w:t>These experimental estimates relate to something that policymakers might regard as trivial, but that is because the health system concentrates on practitioners, and ignores the invisible burdens fa</w:t>
            </w:r>
            <w:r w:rsidRPr="001E0A9C">
              <w:t>lling on patients (and employers). Moreover, such invisible costs are like co</w:t>
            </w:r>
            <w:r w:rsidRPr="009A6B77">
              <w:t>payments, and discourage people from physician visits despite illness. For patients, this is an adverse outcome. But for government funders, increases in service provision would h</w:t>
            </w:r>
            <w:r w:rsidRPr="00AF098D">
              <w:t xml:space="preserve">ave (initial) budgetary impacts (Ray et al. 2015), which may be one reason for the lack of policy prominence given to this issue. </w:t>
            </w:r>
          </w:p>
          <w:p w14:paraId="18931E9C" w14:textId="77777777" w:rsidR="007A37B5" w:rsidRPr="00291FE3" w:rsidRDefault="007A37B5" w:rsidP="007D1F76">
            <w:pPr>
              <w:pStyle w:val="Box"/>
            </w:pPr>
            <w:r w:rsidRPr="00AF098D">
              <w:t>Even if the scope for reducing waiting time was less than suggested above, more value could be obtained from waiting (Cass, Ball and Leveritt 2016; Sherwin et al. 2013). Waiting rooms could be used as a place for community health initiatives about lifestyle risks (for example, using surveys of the kind available on the UK’s NHS Choices website) or to seek or give information relevant to the given patient prior to the formal consultation (for instance, the Patient Health Questionnaire and the COPD Assessment Test). It would also be a place for initiating Advance Care Planning, in which patients with advanced illness or serious injuries can set down their preferences for care if, in the future, they are unable to make their own decisions (using the tools and guidance outlined in https://www.advancecareplanning.org.au/state</w:t>
            </w:r>
            <w:r w:rsidRPr="00AF098D">
              <w:noBreakHyphen/>
              <w:t>information).</w:t>
            </w:r>
          </w:p>
        </w:tc>
      </w:tr>
      <w:tr w:rsidR="007A37B5" w:rsidRPr="00291FE3" w14:paraId="0707B4B4" w14:textId="77777777" w:rsidTr="007D1F76">
        <w:tc>
          <w:tcPr>
            <w:tcW w:w="5000" w:type="pct"/>
            <w:tcBorders>
              <w:top w:val="nil"/>
              <w:left w:val="nil"/>
              <w:bottom w:val="single" w:sz="6" w:space="0" w:color="78A22F"/>
              <w:right w:val="nil"/>
            </w:tcBorders>
            <w:shd w:val="clear" w:color="auto" w:fill="F2F2F2"/>
          </w:tcPr>
          <w:p w14:paraId="1EDC5DD0" w14:textId="77777777" w:rsidR="007A37B5" w:rsidRPr="00291FE3" w:rsidRDefault="007A37B5" w:rsidP="007D1F76">
            <w:pPr>
              <w:pStyle w:val="BoxSpaceBelow"/>
            </w:pPr>
          </w:p>
        </w:tc>
      </w:tr>
      <w:tr w:rsidR="007A37B5" w:rsidRPr="00291FE3" w14:paraId="5FD8C63F" w14:textId="77777777" w:rsidTr="007D1F76">
        <w:tc>
          <w:tcPr>
            <w:tcW w:w="5000" w:type="pct"/>
            <w:tcBorders>
              <w:top w:val="single" w:sz="6" w:space="0" w:color="78A22F"/>
              <w:left w:val="nil"/>
              <w:bottom w:val="nil"/>
              <w:right w:val="nil"/>
            </w:tcBorders>
          </w:tcPr>
          <w:p w14:paraId="4DAC2373" w14:textId="77777777" w:rsidR="007A37B5" w:rsidRPr="00291FE3" w:rsidRDefault="007A37B5" w:rsidP="007D1F76">
            <w:pPr>
              <w:spacing w:before="60" w:after="60" w:line="80" w:lineRule="exact"/>
              <w:jc w:val="both"/>
              <w:rPr>
                <w:rFonts w:ascii="Arial" w:hAnsi="Arial"/>
                <w:sz w:val="14"/>
              </w:rPr>
            </w:pPr>
          </w:p>
        </w:tc>
      </w:tr>
    </w:tbl>
    <w:p w14:paraId="1C018E0B" w14:textId="44E43189" w:rsidR="007A37B5" w:rsidRDefault="007A37B5" w:rsidP="007A37B5">
      <w:pPr>
        <w:pStyle w:val="BodyText"/>
      </w:pPr>
      <w:r>
        <w:t>There are legitimate reasons for doctors to be concerned about access to some records, such as pathology test</w:t>
      </w:r>
      <w:r w:rsidR="00E452BD">
        <w:t>s</w:t>
      </w:r>
      <w:r>
        <w:t xml:space="preserve"> unguided by clinical guidance, but that has to be balanced by patients’ right to information often paid by them and about them. Accenture noted:</w:t>
      </w:r>
    </w:p>
    <w:p w14:paraId="02B3014F" w14:textId="77777777" w:rsidR="007A37B5" w:rsidRPr="00B97386" w:rsidRDefault="007A37B5" w:rsidP="007A37B5">
      <w:pPr>
        <w:pStyle w:val="Quote"/>
      </w:pPr>
      <w:r>
        <w:t>You see countries at one end of the continuum like the US where it seems that clinicians’ attitudes are that not only should patients have access to much of the record, but they should be able to play an active role as a co</w:t>
      </w:r>
      <w:r>
        <w:noBreakHyphen/>
        <w:t>contributor. Australia is towards the other end of the continuum with countries like Germany, where doctors are more reluctant. … the comparison across countries that points to a more deep</w:t>
      </w:r>
      <w:r>
        <w:noBreakHyphen/>
        <w:t xml:space="preserve">seated cultural issue around perceptions of the patient and the role that the patients play and should play in the management of their own care. I think some of it is a lack of familiarity with models of care where the patient is actively involved and plays a useful role. </w:t>
      </w:r>
      <w:r w:rsidRPr="00DF6E67">
        <w:rPr>
          <w:szCs w:val="24"/>
        </w:rPr>
        <w:t>(McDonald 2013, p. 1)</w:t>
      </w:r>
    </w:p>
    <w:p w14:paraId="2845E7DA" w14:textId="77777777" w:rsidR="007A37B5" w:rsidRDefault="007A37B5" w:rsidP="007A37B5">
      <w:pPr>
        <w:pStyle w:val="BodyText"/>
      </w:pPr>
      <w:r>
        <w:t xml:space="preserve">Not all is bad. Most patients have a reasonably high regard for their doctor’s interactions with them. Patient survey evidence indicates that about 75 per cent of patients thought that GPs always listened carefully, while only about one in twelve considered that their GP did this ‘sometimes, rarely or never’ </w:t>
      </w:r>
      <w:r w:rsidRPr="00C65A42">
        <w:rPr>
          <w:szCs w:val="24"/>
        </w:rPr>
        <w:t xml:space="preserve">(ABS 2016b; SCRGSP 2017, </w:t>
      </w:r>
      <w:r>
        <w:rPr>
          <w:szCs w:val="24"/>
        </w:rPr>
        <w:t>t</w:t>
      </w:r>
      <w:r w:rsidRPr="00C65A42">
        <w:rPr>
          <w:szCs w:val="24"/>
        </w:rPr>
        <w:t>able</w:t>
      </w:r>
      <w:r>
        <w:rPr>
          <w:szCs w:val="24"/>
        </w:rPr>
        <w:t> </w:t>
      </w:r>
      <w:r w:rsidRPr="00C65A42">
        <w:rPr>
          <w:szCs w:val="24"/>
        </w:rPr>
        <w:t>10A.65)</w:t>
      </w:r>
      <w:r>
        <w:t xml:space="preserve">. Perceptions of respect were also generally positive (with 80 per cent saying their GP always showed respect). Outcomes were similar for specialists. However, people who had the highest level of socioeconomic disadvantage and the worst health status fared least well on most of these measures, which is a concern because they are the most vulnerable. It is also notable that the share of dentists who only ‘sometimes to never’ respected, listened or gave enough time to their patients were 40 to 60 per cent lower than GPs and specialists </w:t>
      </w:r>
      <w:r w:rsidRPr="00C65A42">
        <w:rPr>
          <w:szCs w:val="24"/>
        </w:rPr>
        <w:t xml:space="preserve">(SCRGSP 2017 </w:t>
      </w:r>
      <w:r>
        <w:rPr>
          <w:szCs w:val="24"/>
        </w:rPr>
        <w:t>table </w:t>
      </w:r>
      <w:r w:rsidRPr="00C65A42">
        <w:rPr>
          <w:szCs w:val="24"/>
        </w:rPr>
        <w:t>10A.65)</w:t>
      </w:r>
      <w:r>
        <w:t>.</w:t>
      </w:r>
    </w:p>
    <w:p w14:paraId="1CDC59DC" w14:textId="77777777" w:rsidR="007A37B5" w:rsidRDefault="007A37B5" w:rsidP="007A37B5">
      <w:pPr>
        <w:pStyle w:val="BodyText"/>
      </w:pPr>
      <w:r>
        <w:t>The Commission’s analysis also suggests that some practitioners have already taken a far more patient</w:t>
      </w:r>
      <w:r>
        <w:noBreakHyphen/>
        <w:t xml:space="preserve">centric approach (often with benefits to them as well), for example by improving appointment management processes </w:t>
      </w:r>
      <w:r w:rsidRPr="00C65A42">
        <w:rPr>
          <w:szCs w:val="24"/>
        </w:rPr>
        <w:t>(Montague Farm Medical Centre 2012)</w:t>
      </w:r>
      <w:r>
        <w:t xml:space="preserve"> and using waiting rooms for health education and assessment purposes with the aid of electronic media and information technology </w:t>
      </w:r>
      <w:r w:rsidRPr="00C65A42">
        <w:rPr>
          <w:szCs w:val="24"/>
        </w:rPr>
        <w:t>(AMA 2014)</w:t>
      </w:r>
      <w:r>
        <w:t>. Diffusion of best practice is then the challenge (section 9.3).</w:t>
      </w:r>
    </w:p>
    <w:p w14:paraId="33AB3F66" w14:textId="77777777" w:rsidR="007A37B5" w:rsidRDefault="007A37B5" w:rsidP="00BC3755">
      <w:pPr>
        <w:pStyle w:val="BodyText"/>
      </w:pPr>
    </w:p>
    <w:p w14:paraId="1A3552C0" w14:textId="77777777" w:rsidR="007A37B5" w:rsidRDefault="007A37B5">
      <w:pPr>
        <w:rPr>
          <w:szCs w:val="20"/>
        </w:rPr>
      </w:pPr>
      <w:r>
        <w:br w:type="page"/>
      </w:r>
    </w:p>
    <w:p w14:paraId="1EA38C08" w14:textId="77777777" w:rsidR="00B42B57" w:rsidRDefault="00B42B57" w:rsidP="00B42B57">
      <w:pPr>
        <w:pStyle w:val="Heading1"/>
        <w:spacing w:before="0"/>
      </w:pPr>
      <w:bookmarkStart w:id="20" w:name="_Toc488929681"/>
      <w:bookmarkStart w:id="21" w:name="_Toc489250059"/>
      <w:r>
        <w:t>3</w:t>
      </w:r>
      <w:r>
        <w:tab/>
      </w:r>
      <w:r w:rsidRPr="00B42B57">
        <w:t>How can Australia move closer to a patient</w:t>
      </w:r>
      <w:r w:rsidR="00EB6BDE">
        <w:noBreakHyphen/>
      </w:r>
      <w:r w:rsidRPr="00B42B57">
        <w:t>centred system</w:t>
      </w:r>
      <w:bookmarkEnd w:id="20"/>
      <w:bookmarkEnd w:id="21"/>
    </w:p>
    <w:p w14:paraId="1EA38C09" w14:textId="77777777" w:rsidR="00A97F52" w:rsidRDefault="00E20281" w:rsidP="00A97F52">
      <w:pPr>
        <w:pStyle w:val="BodyText"/>
      </w:pPr>
      <w:r>
        <w:t xml:space="preserve">There are </w:t>
      </w:r>
      <w:r w:rsidR="00A97F52">
        <w:t>many</w:t>
      </w:r>
      <w:r>
        <w:t xml:space="preserve"> elements in </w:t>
      </w:r>
      <w:r w:rsidR="00A97F52">
        <w:t xml:space="preserve">the </w:t>
      </w:r>
      <w:r>
        <w:t>succe</w:t>
      </w:r>
      <w:r w:rsidR="00A97F52">
        <w:t>ssful</w:t>
      </w:r>
      <w:r>
        <w:t xml:space="preserve"> </w:t>
      </w:r>
      <w:r w:rsidR="00A97F52">
        <w:t>transition</w:t>
      </w:r>
      <w:r>
        <w:t xml:space="preserve"> to a more patient</w:t>
      </w:r>
      <w:r>
        <w:noBreakHyphen/>
        <w:t>centred model of care:</w:t>
      </w:r>
    </w:p>
    <w:p w14:paraId="1EA38C0A" w14:textId="77777777" w:rsidR="00E20281" w:rsidRDefault="00E20281" w:rsidP="00A97F52">
      <w:pPr>
        <w:pStyle w:val="ListBullet"/>
      </w:pPr>
      <w:r>
        <w:t>an ethos by all actors in the system in favour of it</w:t>
      </w:r>
    </w:p>
    <w:p w14:paraId="1EA38C0B" w14:textId="77777777" w:rsidR="00A97F52" w:rsidRDefault="00A97F52" w:rsidP="007A27D3">
      <w:pPr>
        <w:pStyle w:val="ListBullet"/>
      </w:pPr>
      <w:r>
        <w:t>raising people’s health literacy</w:t>
      </w:r>
      <w:r w:rsidR="007A27D3">
        <w:t>, and associated with that</w:t>
      </w:r>
      <w:r w:rsidR="00DF265A">
        <w:t>,</w:t>
      </w:r>
      <w:r w:rsidR="007A27D3">
        <w:t xml:space="preserve"> </w:t>
      </w:r>
      <w:r>
        <w:t>giving people information that allows them to be participants in their care</w:t>
      </w:r>
      <w:r w:rsidR="007A27D3">
        <w:t>, including a capacity to self</w:t>
      </w:r>
      <w:r w:rsidR="007A27D3">
        <w:noBreakHyphen/>
        <w:t>manage</w:t>
      </w:r>
      <w:r w:rsidR="00441067">
        <w:t>. The rights to patient data would be one element of any such strategy (with the Productivity Commission seeing such rights to data as a broad requirement across many public and private services</w:t>
      </w:r>
      <w:r w:rsidR="003E4AF1">
        <w:t>)</w:t>
      </w:r>
    </w:p>
    <w:p w14:paraId="1EA38C0C" w14:textId="77777777" w:rsidR="00AB3CA0" w:rsidRDefault="00AB3CA0" w:rsidP="00AB3CA0">
      <w:pPr>
        <w:pStyle w:val="ListBullet"/>
      </w:pPr>
      <w:r>
        <w:t xml:space="preserve">providing choice to people where it can realistically be exercised, underpinned by readily interpretable measures of health providers’ performance, accessibility, waiting times and prices. </w:t>
      </w:r>
      <w:r w:rsidR="00AC5ADE">
        <w:t>E</w:t>
      </w:r>
      <w:r>
        <w:t>xtensive parts of the Australian health system already do allow some measure of choice, such as for GPs, pathology services, dentists, and many allied health professional services. There are however, still big gaps for acute and outpatient care</w:t>
      </w:r>
      <w:r w:rsidR="00A60551">
        <w:t>.</w:t>
      </w:r>
      <w:r w:rsidR="00A60551" w:rsidRPr="00A60551">
        <w:t xml:space="preserve"> </w:t>
      </w:r>
      <w:r w:rsidR="00A60551">
        <w:t xml:space="preserve">We do not cover the issue of choice to any great extent in this paper or the main report because it is a central concern in a parallel Commission inquiry into human services </w:t>
      </w:r>
      <w:r w:rsidR="00A60551" w:rsidRPr="00C65A42">
        <w:rPr>
          <w:szCs w:val="24"/>
        </w:rPr>
        <w:t>(PC 2017b)</w:t>
      </w:r>
    </w:p>
    <w:p w14:paraId="1EA38C0D" w14:textId="77777777" w:rsidR="002F7C85" w:rsidRDefault="002F7C85" w:rsidP="002F7C85">
      <w:pPr>
        <w:pStyle w:val="ListBullet"/>
      </w:pPr>
      <w:r>
        <w:t>measuring the degree to which health providers meet people’s needs — particularly through patient</w:t>
      </w:r>
      <w:r>
        <w:noBreakHyphen/>
        <w:t xml:space="preserve">reported </w:t>
      </w:r>
      <w:r w:rsidR="00A93B63">
        <w:t>outcome</w:t>
      </w:r>
      <w:r>
        <w:t xml:space="preserve"> and </w:t>
      </w:r>
      <w:r w:rsidR="00A93B63">
        <w:t>experience measures (PROMs and PREMs)</w:t>
      </w:r>
      <w:r>
        <w:t>, not just clinical judgments or administrative statistics about deaths and hospitalisation rates</w:t>
      </w:r>
    </w:p>
    <w:p w14:paraId="1EA38C0E" w14:textId="77777777" w:rsidR="000F7970" w:rsidRDefault="000F7970" w:rsidP="000F7970">
      <w:pPr>
        <w:pStyle w:val="ListBullet"/>
      </w:pPr>
      <w:r>
        <w:t>incentives for providers to take into account patient experiences</w:t>
      </w:r>
    </w:p>
    <w:p w14:paraId="1EA38C0F" w14:textId="77777777" w:rsidR="00267611" w:rsidRDefault="00267611" w:rsidP="007A27D3">
      <w:pPr>
        <w:pStyle w:val="ListBullet"/>
      </w:pPr>
      <w:r>
        <w:t>identifying those people where the system should devote the greatest attention</w:t>
      </w:r>
    </w:p>
    <w:p w14:paraId="1EA38C10" w14:textId="77777777" w:rsidR="00804E67" w:rsidRDefault="00763CD9" w:rsidP="007A27D3">
      <w:pPr>
        <w:pStyle w:val="ListBullet"/>
      </w:pPr>
      <w:r>
        <w:t xml:space="preserve">expectations that </w:t>
      </w:r>
      <w:r w:rsidR="00804E67">
        <w:t xml:space="preserve">people </w:t>
      </w:r>
      <w:r>
        <w:t xml:space="preserve">would </w:t>
      </w:r>
      <w:r w:rsidR="00804E67">
        <w:t xml:space="preserve">take some </w:t>
      </w:r>
      <w:r w:rsidR="007F66E3">
        <w:t>responsibility</w:t>
      </w:r>
      <w:r w:rsidR="00804E67">
        <w:t xml:space="preserve"> for their own health</w:t>
      </w:r>
      <w:r w:rsidR="00AC5ADE">
        <w:t>. P</w:t>
      </w:r>
      <w:r w:rsidR="00752699">
        <w:t xml:space="preserve">atient passivity </w:t>
      </w:r>
      <w:r w:rsidR="00037947">
        <w:t>reduces the scope for self</w:t>
      </w:r>
      <w:r w:rsidR="009C49CA">
        <w:noBreakHyphen/>
      </w:r>
      <w:r w:rsidR="00037947">
        <w:t>management of conditions</w:t>
      </w:r>
      <w:r w:rsidR="009E1E85">
        <w:t xml:space="preserve"> and</w:t>
      </w:r>
      <w:r w:rsidR="00037947">
        <w:t xml:space="preserve"> </w:t>
      </w:r>
      <w:r w:rsidR="00752699">
        <w:t>reinforces a provider</w:t>
      </w:r>
      <w:r w:rsidR="00752699">
        <w:noBreakHyphen/>
        <w:t>based system</w:t>
      </w:r>
      <w:r w:rsidR="00804E67">
        <w:t xml:space="preserve">. </w:t>
      </w:r>
      <w:r w:rsidR="00AC5ADE">
        <w:t>Nonetheless</w:t>
      </w:r>
      <w:r w:rsidR="009E1E85">
        <w:t xml:space="preserve">, the potential for exercising responsibility requires the system to be responsive to it and for adequate health literacy, issues that are considered below. </w:t>
      </w:r>
    </w:p>
    <w:p w14:paraId="1EA38C11" w14:textId="77777777" w:rsidR="007F66E3" w:rsidRDefault="00B42B57" w:rsidP="00B42B57">
      <w:pPr>
        <w:pStyle w:val="Heading2"/>
      </w:pPr>
      <w:bookmarkStart w:id="22" w:name="_Toc488929682"/>
      <w:bookmarkStart w:id="23" w:name="_Toc489250060"/>
      <w:r>
        <w:t>3.1</w:t>
      </w:r>
      <w:r>
        <w:tab/>
      </w:r>
      <w:r w:rsidR="007F66E3">
        <w:t>Accepting the legitimacy of the concept</w:t>
      </w:r>
      <w:bookmarkEnd w:id="22"/>
      <w:bookmarkEnd w:id="23"/>
    </w:p>
    <w:p w14:paraId="1EA38C12" w14:textId="77777777" w:rsidR="00FD7BEE" w:rsidRDefault="00FD7BEE" w:rsidP="00FD7BEE">
      <w:pPr>
        <w:pStyle w:val="BodyText"/>
      </w:pPr>
      <w:r>
        <w:t>There needs to be acceptance by all the actors in the health</w:t>
      </w:r>
      <w:r w:rsidR="00F11B7A">
        <w:t xml:space="preserve"> </w:t>
      </w:r>
      <w:r>
        <w:t xml:space="preserve">care sector of a premise that patients are the centre of the system in the same way that disability care has shifted. </w:t>
      </w:r>
      <w:r w:rsidR="006D1038">
        <w:t>Many Australian governments have accepted this premise, but patient</w:t>
      </w:r>
      <w:r w:rsidR="009C49CA">
        <w:noBreakHyphen/>
      </w:r>
      <w:r w:rsidR="006D1038">
        <w:t xml:space="preserve">centredness requires structural reforms and attitudinal changes by clinicians </w:t>
      </w:r>
      <w:r w:rsidR="006D1038" w:rsidRPr="006D1038">
        <w:rPr>
          <w:i/>
        </w:rPr>
        <w:t>and</w:t>
      </w:r>
      <w:r w:rsidR="006D1038">
        <w:t xml:space="preserve"> patients. Many of these changes are not complete. </w:t>
      </w:r>
      <w:r w:rsidR="001236ED">
        <w:t xml:space="preserve">In considering the receptiveness to measures of patient experience, one </w:t>
      </w:r>
      <w:r w:rsidR="00CE5D36">
        <w:t>health researcher remarked:</w:t>
      </w:r>
    </w:p>
    <w:p w14:paraId="1EA38C13" w14:textId="77777777" w:rsidR="00CE5D36" w:rsidRDefault="00CE5D36" w:rsidP="00CE5D36">
      <w:pPr>
        <w:pStyle w:val="Quote"/>
      </w:pPr>
      <w:r>
        <w:t xml:space="preserve">Evidence suggests that the extent to which patients’ experiences are utilized may be associated with health professionals’ attitudes, including their willingness to consider and act upon the patient perspective. </w:t>
      </w:r>
      <w:r w:rsidR="00C65A42" w:rsidRPr="00C65A42">
        <w:rPr>
          <w:szCs w:val="24"/>
        </w:rPr>
        <w:t>(Harrison et al. 2015, p. 17)</w:t>
      </w:r>
    </w:p>
    <w:p w14:paraId="1EA38C14" w14:textId="77777777" w:rsidR="00B9127D" w:rsidRDefault="00465186" w:rsidP="0010779B">
      <w:pPr>
        <w:pStyle w:val="BodyText"/>
      </w:pPr>
      <w:r>
        <w:t>G</w:t>
      </w:r>
      <w:r w:rsidR="0010779B">
        <w:t>overnments and others could take several practical steps</w:t>
      </w:r>
      <w:r w:rsidR="007F66E3">
        <w:t>.</w:t>
      </w:r>
      <w:r w:rsidR="0010779B">
        <w:t xml:space="preserve"> </w:t>
      </w:r>
    </w:p>
    <w:p w14:paraId="1EA38C15" w14:textId="77777777" w:rsidR="0010779B" w:rsidRDefault="00D25F36" w:rsidP="0010779B">
      <w:pPr>
        <w:pStyle w:val="BodyText"/>
      </w:pPr>
      <w:r>
        <w:t xml:space="preserve">Health professional </w:t>
      </w:r>
      <w:r w:rsidR="0010779B">
        <w:t>education and training needs to reflect the changing model of care. Governments play a role in shaping such education, and can put more emphasis on diffusing a patient</w:t>
      </w:r>
      <w:r w:rsidR="0010779B">
        <w:noBreakHyphen/>
        <w:t xml:space="preserve">centred approach into the emerging </w:t>
      </w:r>
      <w:r w:rsidR="00002AFF">
        <w:t>health</w:t>
      </w:r>
      <w:r w:rsidR="0010779B">
        <w:t xml:space="preserve"> workforce. While not mature, there is already acceptance of the need for this </w:t>
      </w:r>
      <w:r w:rsidR="00C65A42" w:rsidRPr="00C65A42">
        <w:rPr>
          <w:szCs w:val="24"/>
        </w:rPr>
        <w:t>(Collins 2014)</w:t>
      </w:r>
      <w:r w:rsidR="0010779B">
        <w:t>. Similarly, the various medical colleges will need to play a role in encouraging acceptance of a patient</w:t>
      </w:r>
      <w:r w:rsidR="009C49CA">
        <w:noBreakHyphen/>
      </w:r>
      <w:r w:rsidR="0010779B">
        <w:t>centred system among current clinicians — and its implications for thei</w:t>
      </w:r>
      <w:r w:rsidR="00611D48">
        <w:t>r practices. As one participant</w:t>
      </w:r>
      <w:r w:rsidR="0010779B">
        <w:t xml:space="preserve"> told us, ‘patient</w:t>
      </w:r>
      <w:r w:rsidR="009C49CA">
        <w:noBreakHyphen/>
      </w:r>
      <w:r w:rsidR="0010779B">
        <w:t>centric’ is not ‘just about being nice’.</w:t>
      </w:r>
    </w:p>
    <w:p w14:paraId="1EA38C16" w14:textId="77777777" w:rsidR="00B9127D" w:rsidRDefault="00B9127D" w:rsidP="00DD1D09">
      <w:pPr>
        <w:pStyle w:val="BodyText"/>
      </w:pPr>
      <w:r>
        <w:t>G</w:t>
      </w:r>
      <w:r w:rsidR="00DD1D09">
        <w:t>iv</w:t>
      </w:r>
      <w:r>
        <w:t>ing</w:t>
      </w:r>
      <w:r w:rsidR="00DD1D09">
        <w:t xml:space="preserve"> greater weight to patient convenience </w:t>
      </w:r>
      <w:r>
        <w:t xml:space="preserve">would represent a major shift in the orientation of the health care system. The change would be underpinned by not just attitude changes, but through the </w:t>
      </w:r>
      <w:r w:rsidR="00DD1D09">
        <w:t>develop</w:t>
      </w:r>
      <w:r>
        <w:t xml:space="preserve">ment, </w:t>
      </w:r>
      <w:r w:rsidR="00DD1D09">
        <w:t>disseminat</w:t>
      </w:r>
      <w:r>
        <w:t>ion</w:t>
      </w:r>
      <w:r w:rsidR="00DD1D09">
        <w:t xml:space="preserve"> </w:t>
      </w:r>
      <w:r>
        <w:t xml:space="preserve">and (if necessary) funding of the </w:t>
      </w:r>
      <w:r w:rsidR="00DD1D09">
        <w:t xml:space="preserve">technologies that assist this. </w:t>
      </w:r>
    </w:p>
    <w:p w14:paraId="1EA38C17" w14:textId="77777777" w:rsidR="00DD1D09" w:rsidRDefault="00DD1D09" w:rsidP="00DD1D09">
      <w:pPr>
        <w:pStyle w:val="BodyText"/>
      </w:pPr>
      <w:r>
        <w:t xml:space="preserve">Another </w:t>
      </w:r>
      <w:r w:rsidR="00B9127D">
        <w:t xml:space="preserve">important change </w:t>
      </w:r>
      <w:r>
        <w:t xml:space="preserve">is to give people a greater capacity for making choices between alternative suppliers, </w:t>
      </w:r>
      <w:r w:rsidR="00B9127D">
        <w:t>buttressed</w:t>
      </w:r>
      <w:r>
        <w:t xml:space="preserve"> by transparent measures of prices and performance</w:t>
      </w:r>
      <w:r w:rsidR="00C751D5">
        <w:t>. This is</w:t>
      </w:r>
      <w:r>
        <w:t xml:space="preserve"> a key message from the Productivity </w:t>
      </w:r>
      <w:r w:rsidR="00B9127D">
        <w:t>Commission’s</w:t>
      </w:r>
      <w:r>
        <w:t xml:space="preserve"> inquiry into human services </w:t>
      </w:r>
      <w:r w:rsidR="008A72D5" w:rsidRPr="008A72D5">
        <w:rPr>
          <w:szCs w:val="24"/>
        </w:rPr>
        <w:t>(PC 2017b)</w:t>
      </w:r>
      <w:r w:rsidR="00B9127D">
        <w:t>. However, doing this, needs capable consumers, clinicians as willing partners and relevant information</w:t>
      </w:r>
      <w:r w:rsidR="00832D9E">
        <w:t xml:space="preserve"> (section 3.2)</w:t>
      </w:r>
      <w:r w:rsidR="00B9127D">
        <w:t xml:space="preserve">. </w:t>
      </w:r>
    </w:p>
    <w:p w14:paraId="1EA38C18" w14:textId="77777777" w:rsidR="00832D9E" w:rsidRDefault="00832D9E" w:rsidP="00832D9E">
      <w:pPr>
        <w:pStyle w:val="BodyText"/>
      </w:pPr>
      <w:r w:rsidRPr="00501E59">
        <w:t xml:space="preserve">It should be emphasised </w:t>
      </w:r>
      <w:r w:rsidR="008F603A" w:rsidRPr="00314111">
        <w:t>that patient</w:t>
      </w:r>
      <w:r w:rsidR="008F603A" w:rsidRPr="00314111">
        <w:noBreakHyphen/>
        <w:t xml:space="preserve">centred care does not equate with giving people what they want if the services are not clinically </w:t>
      </w:r>
      <w:r w:rsidR="00730828" w:rsidRPr="00314111">
        <w:t>justified</w:t>
      </w:r>
      <w:r w:rsidR="008F603A" w:rsidRPr="00314111">
        <w:t xml:space="preserve"> or fail cost</w:t>
      </w:r>
      <w:r w:rsidR="008F603A" w:rsidRPr="00314111">
        <w:noBreakHyphen/>
        <w:t>effectiveness criteria for the group to which a patient belongs.</w:t>
      </w:r>
      <w:r w:rsidRPr="00314111">
        <w:t xml:space="preserve"> </w:t>
      </w:r>
      <w:r w:rsidRPr="00832D9E">
        <w:t>While sometimes a patient might say they have had a bad experience because the system did not deliver what they wanted (say antibiotics for a viral infection or a CAT scan after infrequent headaches), few would regard it as desirable or ethical to provide services that harmed people</w:t>
      </w:r>
      <w:r w:rsidR="008F603A">
        <w:t xml:space="preserve"> or that used scarce resources </w:t>
      </w:r>
      <w:r w:rsidR="005A3129">
        <w:t xml:space="preserve">better </w:t>
      </w:r>
      <w:r w:rsidR="008F603A">
        <w:t>applied elsewhere</w:t>
      </w:r>
      <w:r w:rsidRPr="00832D9E">
        <w:t xml:space="preserve">. </w:t>
      </w:r>
      <w:r w:rsidR="00BF70CF">
        <w:t>As observed in section 7.2, clinicians sometimes feel pres</w:t>
      </w:r>
      <w:r w:rsidR="00C90513">
        <w:t>s</w:t>
      </w:r>
      <w:r w:rsidR="00BF70CF">
        <w:t>ured to provide low</w:t>
      </w:r>
      <w:r w:rsidR="00BF70CF">
        <w:noBreakHyphen/>
        <w:t xml:space="preserve">value services by demanding patients. </w:t>
      </w:r>
      <w:r w:rsidR="00002AFF">
        <w:t>Of course, t</w:t>
      </w:r>
      <w:r w:rsidRPr="00832D9E">
        <w:t>hat there are instances where physicians should not act to improve patient experiences does not invalidate the presumption that in most cases they should.</w:t>
      </w:r>
    </w:p>
    <w:p w14:paraId="1EA38C19" w14:textId="77777777" w:rsidR="00154337" w:rsidRDefault="00B42B57" w:rsidP="00B42B57">
      <w:pPr>
        <w:pStyle w:val="Heading2"/>
      </w:pPr>
      <w:bookmarkStart w:id="24" w:name="_Toc488929683"/>
      <w:bookmarkStart w:id="25" w:name="_Toc489250061"/>
      <w:r>
        <w:t>3.2</w:t>
      </w:r>
      <w:r>
        <w:tab/>
      </w:r>
      <w:r w:rsidR="00154337">
        <w:t>Health literacy</w:t>
      </w:r>
      <w:bookmarkEnd w:id="24"/>
      <w:bookmarkEnd w:id="25"/>
    </w:p>
    <w:p w14:paraId="1EA38C1A" w14:textId="00CB8C09" w:rsidR="00BA1AE1" w:rsidRDefault="00154337" w:rsidP="00762BF7">
      <w:pPr>
        <w:pStyle w:val="BodyText"/>
      </w:pPr>
      <w:r>
        <w:t>There are strong arguments for greater health literacy —</w:t>
      </w:r>
      <w:r w:rsidR="00F93C70">
        <w:t xml:space="preserve"> </w:t>
      </w:r>
      <w:r w:rsidR="00762BF7">
        <w:t xml:space="preserve">‘how people understand information about health and health care, and how they apply that information to their lives, use it to make decisions and act on it’ </w:t>
      </w:r>
      <w:r w:rsidR="00C65A42" w:rsidRPr="00C65A42">
        <w:rPr>
          <w:szCs w:val="24"/>
        </w:rPr>
        <w:t>(ACSQHC 2014, p. 2)</w:t>
      </w:r>
      <w:r w:rsidR="00762BF7">
        <w:t>. S</w:t>
      </w:r>
      <w:r>
        <w:t>everal health experts consulted as part of this inquiry considered it to be a critical feature of patient</w:t>
      </w:r>
      <w:r>
        <w:noBreakHyphen/>
        <w:t xml:space="preserve">centred care and effective choice. </w:t>
      </w:r>
      <w:r w:rsidR="00F32F55">
        <w:t>The Australian Chamber of Commerce and Industry likewise identify the lack of health literacy as a key imped</w:t>
      </w:r>
      <w:r w:rsidR="003E01C4">
        <w:t>iment to improving health (sub. </w:t>
      </w:r>
      <w:r w:rsidR="00F32F55">
        <w:t>37, p.</w:t>
      </w:r>
      <w:r w:rsidR="00777314">
        <w:t> </w:t>
      </w:r>
      <w:r w:rsidR="00F32F55">
        <w:t xml:space="preserve">14). </w:t>
      </w:r>
      <w:r w:rsidR="00BA1AE1">
        <w:t>Health literacy is an enabler of prevention, better self</w:t>
      </w:r>
      <w:r w:rsidR="00BA1AE1">
        <w:noBreakHyphen/>
        <w:t xml:space="preserve">management of chronic conditions, patient collaboration with </w:t>
      </w:r>
      <w:r w:rsidR="007C61E8">
        <w:t>clinicians</w:t>
      </w:r>
      <w:r w:rsidR="00672457">
        <w:t xml:space="preserve">, </w:t>
      </w:r>
      <w:r w:rsidR="007C61E8">
        <w:t>a greater capacity for informed choice</w:t>
      </w:r>
      <w:r w:rsidR="00672457">
        <w:t xml:space="preserve"> and effective advocacy</w:t>
      </w:r>
      <w:r w:rsidR="00BA1AE1">
        <w:t>.</w:t>
      </w:r>
      <w:r w:rsidR="00762BF7">
        <w:t xml:space="preserve"> </w:t>
      </w:r>
      <w:r w:rsidR="003A1364">
        <w:t>While</w:t>
      </w:r>
      <w:r w:rsidR="00F62E0F">
        <w:t xml:space="preserve"> the results vary, programs aimed at improving health literacy have been </w:t>
      </w:r>
      <w:r w:rsidR="003A1364">
        <w:t>demonstrated</w:t>
      </w:r>
      <w:r w:rsidR="00F62E0F">
        <w:t xml:space="preserve"> as effective in changing health </w:t>
      </w:r>
      <w:r w:rsidR="003A1364">
        <w:t>outcomes</w:t>
      </w:r>
      <w:r w:rsidR="00F62E0F">
        <w:t xml:space="preserve"> and </w:t>
      </w:r>
      <w:r w:rsidR="00D741EF">
        <w:t xml:space="preserve">in </w:t>
      </w:r>
      <w:r w:rsidR="00F62E0F">
        <w:t>reduc</w:t>
      </w:r>
      <w:r w:rsidR="00D741EF">
        <w:t>ing</w:t>
      </w:r>
      <w:r w:rsidR="00F62E0F">
        <w:t xml:space="preserve"> usage of high</w:t>
      </w:r>
      <w:r w:rsidR="00F62E0F">
        <w:noBreakHyphen/>
        <w:t xml:space="preserve">cost parts of the health care system </w:t>
      </w:r>
      <w:r w:rsidR="00C65A42" w:rsidRPr="00C65A42">
        <w:rPr>
          <w:szCs w:val="24"/>
        </w:rPr>
        <w:t>(AHRQ 2011)</w:t>
      </w:r>
      <w:r w:rsidR="003A1364">
        <w:t>.</w:t>
      </w:r>
    </w:p>
    <w:p w14:paraId="1EA38C1B" w14:textId="77777777" w:rsidR="00C93495" w:rsidRDefault="00DB6BF5" w:rsidP="00154337">
      <w:pPr>
        <w:pStyle w:val="BodyText"/>
      </w:pPr>
      <w:r>
        <w:t xml:space="preserve">Yet health literacy is often poor. </w:t>
      </w:r>
      <w:r w:rsidR="000039AE">
        <w:t>About</w:t>
      </w:r>
      <w:r w:rsidR="00154337">
        <w:t xml:space="preserve"> 60 per cent of Australians have inadequate health literacy.</w:t>
      </w:r>
      <w:r w:rsidR="00154337" w:rsidRPr="003D243B">
        <w:rPr>
          <w:rStyle w:val="FootnoteReference"/>
        </w:rPr>
        <w:footnoteReference w:id="9"/>
      </w:r>
      <w:r w:rsidR="00154337">
        <w:t xml:space="preserve"> </w:t>
      </w:r>
      <w:r>
        <w:t>This rate is higher, at nearly 75 per cent, for Australians aged 55 years or more, and they are those with the highest likelihood of chronic disease.</w:t>
      </w:r>
      <w:r w:rsidR="00E239B6">
        <w:t xml:space="preserve"> </w:t>
      </w:r>
      <w:r w:rsidR="00672457">
        <w:t xml:space="preserve">People with lower education qualifications and income, </w:t>
      </w:r>
      <w:r w:rsidR="007C2323">
        <w:t xml:space="preserve">whose parents have low education, </w:t>
      </w:r>
      <w:r w:rsidR="00672457">
        <w:t>liv</w:t>
      </w:r>
      <w:r w:rsidR="007C2323">
        <w:t>e</w:t>
      </w:r>
      <w:r w:rsidR="00672457">
        <w:t xml:space="preserve"> in regional areas</w:t>
      </w:r>
      <w:r w:rsidR="007C2323">
        <w:t>,</w:t>
      </w:r>
      <w:r w:rsidR="00672457">
        <w:t xml:space="preserve"> or hav</w:t>
      </w:r>
      <w:r w:rsidR="007C2323">
        <w:t>e</w:t>
      </w:r>
      <w:r w:rsidR="00672457">
        <w:t xml:space="preserve"> four or more chronic conditions were much more likely to have poor health literacy levels</w:t>
      </w:r>
      <w:r w:rsidR="00511764">
        <w:t xml:space="preserve"> </w:t>
      </w:r>
      <w:r w:rsidR="00C65A42" w:rsidRPr="00C65A42">
        <w:rPr>
          <w:szCs w:val="24"/>
        </w:rPr>
        <w:t>(ABS 2008; Williams et al. 2016b)</w:t>
      </w:r>
      <w:r w:rsidR="00672457">
        <w:t xml:space="preserve">. </w:t>
      </w:r>
      <w:r w:rsidR="007C2323">
        <w:t>Remarkably,</w:t>
      </w:r>
      <w:r w:rsidR="00925EA1">
        <w:t xml:space="preserve"> </w:t>
      </w:r>
      <w:r w:rsidR="007C2323">
        <w:t>about</w:t>
      </w:r>
      <w:r w:rsidR="00925EA1">
        <w:t xml:space="preserve"> 40 per cent of people whose qualification related to health had inadequate health literacy. </w:t>
      </w:r>
    </w:p>
    <w:p w14:paraId="1EA38C1C" w14:textId="77777777" w:rsidR="00DB6BF5" w:rsidRDefault="00E239B6" w:rsidP="00154337">
      <w:pPr>
        <w:pStyle w:val="BodyText"/>
      </w:pPr>
      <w:r>
        <w:t>While many Australians search for health information online,</w:t>
      </w:r>
      <w:r w:rsidR="00672457">
        <w:t xml:space="preserve"> there is evidence that </w:t>
      </w:r>
      <w:r>
        <w:t xml:space="preserve">99.6 per cent of online health information is beyond the average comprehension level of Australians </w:t>
      </w:r>
      <w:r w:rsidR="00C65A42" w:rsidRPr="00C65A42">
        <w:rPr>
          <w:szCs w:val="24"/>
        </w:rPr>
        <w:t>(Cheng and Dunn 2015)</w:t>
      </w:r>
      <w:r w:rsidR="00672457">
        <w:t>.</w:t>
      </w:r>
      <w:r w:rsidR="003A1364" w:rsidRPr="003A1364">
        <w:rPr>
          <w:szCs w:val="24"/>
        </w:rPr>
        <w:t xml:space="preserve"> </w:t>
      </w:r>
      <w:r w:rsidR="003A1364" w:rsidRPr="00854880">
        <w:rPr>
          <w:szCs w:val="24"/>
        </w:rPr>
        <w:t>In the United States, the situation is so bad, that the term ‘the health literacy epidemic’ has gained currency</w:t>
      </w:r>
      <w:r w:rsidR="003A1364">
        <w:rPr>
          <w:szCs w:val="24"/>
        </w:rPr>
        <w:t xml:space="preserve"> </w:t>
      </w:r>
      <w:r w:rsidR="00C65A42" w:rsidRPr="00C65A42">
        <w:rPr>
          <w:szCs w:val="24"/>
        </w:rPr>
        <w:t>(Sørensen et al. 2012)</w:t>
      </w:r>
      <w:r w:rsidR="003A1364">
        <w:rPr>
          <w:szCs w:val="24"/>
        </w:rPr>
        <w:t>.</w:t>
      </w:r>
      <w:r w:rsidR="00854880">
        <w:t xml:space="preserve"> </w:t>
      </w:r>
    </w:p>
    <w:p w14:paraId="1EA38C1D" w14:textId="77777777" w:rsidR="00531B2B" w:rsidRDefault="00DB6BF5" w:rsidP="00154337">
      <w:pPr>
        <w:pStyle w:val="BodyText"/>
      </w:pPr>
      <w:r>
        <w:t>H</w:t>
      </w:r>
      <w:r w:rsidR="00154337">
        <w:t>ealth</w:t>
      </w:r>
      <w:r w:rsidR="00923B4C">
        <w:t xml:space="preserve"> </w:t>
      </w:r>
      <w:r w:rsidR="00154337">
        <w:t xml:space="preserve">care costs and poor health outcomes are higher for people with low health literacy, for example because they fail to follow medication directions </w:t>
      </w:r>
      <w:r w:rsidR="00C65A42" w:rsidRPr="00C65A42">
        <w:rPr>
          <w:szCs w:val="24"/>
        </w:rPr>
        <w:t>(ACSQHC 2014; Chesser et al. 2016; Levy and Janke 2016; MacLeod et al. 2017)</w:t>
      </w:r>
      <w:r w:rsidR="00154337">
        <w:t xml:space="preserve">. One study suggests that after controlling for health behaviours and status (among other factors), limited health literacy has an impact that is nearly the same as chronic disease </w:t>
      </w:r>
      <w:r w:rsidR="00C65A42" w:rsidRPr="00C65A42">
        <w:rPr>
          <w:szCs w:val="24"/>
        </w:rPr>
        <w:t>(Volandes and Paasche-Orlow 2007)</w:t>
      </w:r>
      <w:r w:rsidR="00154337">
        <w:t xml:space="preserve">, though meta analyses suggests that this is likely to be an inflated assessment. </w:t>
      </w:r>
    </w:p>
    <w:p w14:paraId="1EA38C1E" w14:textId="77777777" w:rsidR="00A90F31" w:rsidRDefault="00A90F31" w:rsidP="00154337">
      <w:pPr>
        <w:pStyle w:val="BodyText"/>
      </w:pPr>
      <w:r>
        <w:t xml:space="preserve">There are several strategies for improving health literacy, with roles for all levels of Australian </w:t>
      </w:r>
      <w:r w:rsidR="006A1C6D">
        <w:t>governments</w:t>
      </w:r>
      <w:r>
        <w:t>.</w:t>
      </w:r>
    </w:p>
    <w:p w14:paraId="1EA38C1F" w14:textId="77777777" w:rsidR="004D650F" w:rsidRDefault="00511764" w:rsidP="00154337">
      <w:pPr>
        <w:pStyle w:val="BodyText"/>
      </w:pPr>
      <w:r>
        <w:t>Populations var</w:t>
      </w:r>
      <w:r w:rsidR="00477C7E">
        <w:t xml:space="preserve">y regionally in their health literacy, and in the health </w:t>
      </w:r>
      <w:r w:rsidR="00DB7A6D">
        <w:t xml:space="preserve">issues that might best be the target of efforts to lift literacy. At the regional level, the key local health entities — PHNs, LHNs, community health centres and clinicians — are best able to identify the needs of communities for targeted efforts to measure and improve health literacy. </w:t>
      </w:r>
      <w:r w:rsidR="004D650F">
        <w:t xml:space="preserve">They are also valuable sources of experimentation. </w:t>
      </w:r>
      <w:r w:rsidR="00541F2C">
        <w:t>As an example, the No</w:t>
      </w:r>
      <w:r w:rsidR="001A6512">
        <w:t>rthern NSW Local Health District</w:t>
      </w:r>
      <w:r w:rsidR="00541F2C">
        <w:t xml:space="preserve"> (a LHN) and the North Coast Primary Health </w:t>
      </w:r>
      <w:r w:rsidR="004D650F">
        <w:t>Network</w:t>
      </w:r>
      <w:r w:rsidR="00541F2C">
        <w:t xml:space="preserve"> are currently developing a health literacy initiative in their region</w:t>
      </w:r>
      <w:r w:rsidR="004D650F">
        <w:t xml:space="preserve">, with a particular focus on raising the capabilities of local clinicians </w:t>
      </w:r>
      <w:r w:rsidR="00090650" w:rsidRPr="00090650">
        <w:rPr>
          <w:szCs w:val="24"/>
        </w:rPr>
        <w:t>(NNSWLHD and NCPHN 2016)</w:t>
      </w:r>
      <w:r w:rsidR="004D650F">
        <w:t>.</w:t>
      </w:r>
      <w:r w:rsidR="00541F2C">
        <w:t xml:space="preserve"> </w:t>
      </w:r>
      <w:r w:rsidR="00DB7A6D">
        <w:t xml:space="preserve">It is intended that Health Care Homes </w:t>
      </w:r>
      <w:r w:rsidR="004D650F">
        <w:t xml:space="preserve">— which are </w:t>
      </w:r>
      <w:r w:rsidR="00891371">
        <w:t xml:space="preserve">to be embedded in the local community — </w:t>
      </w:r>
      <w:r w:rsidR="00DB7A6D">
        <w:t>include assessment of people’s health literacy</w:t>
      </w:r>
      <w:r w:rsidR="002975E7">
        <w:t xml:space="preserve"> </w:t>
      </w:r>
      <w:r w:rsidR="00C65A42" w:rsidRPr="00C65A42">
        <w:rPr>
          <w:szCs w:val="24"/>
        </w:rPr>
        <w:t>(PHCAG 2016, p. 22)</w:t>
      </w:r>
      <w:r w:rsidR="00DB7A6D">
        <w:t xml:space="preserve">. </w:t>
      </w:r>
      <w:r w:rsidR="006E629A">
        <w:t>Hospitals and waiting rooms are potentially also attractive places for raising health literacy because people are already in a health</w:t>
      </w:r>
      <w:r w:rsidR="00541F2C">
        <w:t xml:space="preserve"> </w:t>
      </w:r>
      <w:r w:rsidR="0018692E">
        <w:t>setting</w:t>
      </w:r>
      <w:r w:rsidR="00541F2C">
        <w:t xml:space="preserve"> and usually have time.</w:t>
      </w:r>
      <w:r w:rsidR="006E629A">
        <w:t xml:space="preserve"> </w:t>
      </w:r>
      <w:r w:rsidR="00C640AC">
        <w:t xml:space="preserve">All such programs are readily amenable to high quality evaluation — of the kind being used in a recent NSW trial for raising health literacy in socially disadvantaged adults </w:t>
      </w:r>
      <w:r w:rsidR="00C65A42" w:rsidRPr="00C65A42">
        <w:rPr>
          <w:szCs w:val="24"/>
        </w:rPr>
        <w:t>(McCaffery et al. 2016)</w:t>
      </w:r>
      <w:r w:rsidR="00A448E1">
        <w:t>.</w:t>
      </w:r>
    </w:p>
    <w:p w14:paraId="1EA38C20" w14:textId="77777777" w:rsidR="00DB1375" w:rsidRDefault="008F413C" w:rsidP="00154337">
      <w:pPr>
        <w:pStyle w:val="BodyText"/>
      </w:pPr>
      <w:r>
        <w:t xml:space="preserve">Schools </w:t>
      </w:r>
      <w:r w:rsidR="00E57FA9">
        <w:t xml:space="preserve">are </w:t>
      </w:r>
      <w:r w:rsidR="00904FE5">
        <w:t xml:space="preserve">the dominant place for raising health literacy as they </w:t>
      </w:r>
      <w:r w:rsidR="00891371">
        <w:t xml:space="preserve">are </w:t>
      </w:r>
      <w:r w:rsidR="00E57FA9">
        <w:t xml:space="preserve">mandated to teach health education </w:t>
      </w:r>
      <w:r w:rsidR="00904FE5">
        <w:t>nationally</w:t>
      </w:r>
      <w:r w:rsidR="003A1364">
        <w:t xml:space="preserve">, and prima facie are an ideal platform for raising </w:t>
      </w:r>
      <w:r w:rsidR="00BF1505">
        <w:t>people’s</w:t>
      </w:r>
      <w:r w:rsidR="003A1364">
        <w:t xml:space="preserve"> capabilities. Their role in doing so</w:t>
      </w:r>
      <w:r w:rsidR="00BF1505">
        <w:t xml:space="preserve"> is </w:t>
      </w:r>
      <w:r w:rsidR="00B63880">
        <w:t>affirmed</w:t>
      </w:r>
      <w:r w:rsidR="00BF1505">
        <w:t xml:space="preserve"> by key medical bo</w:t>
      </w:r>
      <w:r w:rsidR="003A1364">
        <w:t>d</w:t>
      </w:r>
      <w:r w:rsidR="00BF1505">
        <w:t>i</w:t>
      </w:r>
      <w:r w:rsidR="003A1364">
        <w:t>es, such as the Australian Medical Association</w:t>
      </w:r>
      <w:r w:rsidR="00214E9D">
        <w:t xml:space="preserve"> </w:t>
      </w:r>
      <w:r w:rsidR="00C65A42" w:rsidRPr="00C65A42">
        <w:rPr>
          <w:szCs w:val="24"/>
        </w:rPr>
        <w:t>(AMA 2015b)</w:t>
      </w:r>
      <w:r w:rsidR="00214E9D">
        <w:t xml:space="preserve">. </w:t>
      </w:r>
    </w:p>
    <w:p w14:paraId="1EA38C21" w14:textId="77777777" w:rsidR="00460A2D" w:rsidRDefault="00460A2D" w:rsidP="00154337">
      <w:pPr>
        <w:pStyle w:val="BodyText"/>
      </w:pPr>
      <w:r>
        <w:t>However,</w:t>
      </w:r>
      <w:r w:rsidR="008F413C">
        <w:t xml:space="preserve"> their </w:t>
      </w:r>
      <w:r w:rsidR="00B91636">
        <w:t>effectiveness</w:t>
      </w:r>
      <w:r w:rsidR="008F413C">
        <w:t xml:space="preserve"> in </w:t>
      </w:r>
      <w:r w:rsidR="00130976">
        <w:t xml:space="preserve">increasing health literacy </w:t>
      </w:r>
      <w:r w:rsidR="008F413C">
        <w:t>is not clear. For instance, in one study it was found that 50 per cent of teachers delivering health education in public lower secondary schools were not qualified or trained in the area</w:t>
      </w:r>
      <w:r w:rsidR="001D3401">
        <w:t>, with evidence that this is also a national problem</w:t>
      </w:r>
      <w:r w:rsidR="008F413C">
        <w:t xml:space="preserve"> </w:t>
      </w:r>
      <w:r w:rsidR="00C65A42" w:rsidRPr="00C65A42">
        <w:rPr>
          <w:szCs w:val="24"/>
        </w:rPr>
        <w:t>(Barwood et al. 2016; Lynch 2013)</w:t>
      </w:r>
      <w:r w:rsidR="00485DC0">
        <w:t>.</w:t>
      </w:r>
      <w:r w:rsidR="00B91636">
        <w:t xml:space="preserve"> </w:t>
      </w:r>
      <w:r w:rsidR="0051290E">
        <w:t xml:space="preserve">Also </w:t>
      </w:r>
      <w:r w:rsidR="00BD734A">
        <w:t>approximately</w:t>
      </w:r>
      <w:r w:rsidR="0051290E">
        <w:t xml:space="preserve"> one third of teachers have inadequate health literacy </w:t>
      </w:r>
      <w:r w:rsidR="00C65A42" w:rsidRPr="00C65A42">
        <w:rPr>
          <w:szCs w:val="24"/>
        </w:rPr>
        <w:t>(ABS 2008)</w:t>
      </w:r>
      <w:r w:rsidR="0051290E">
        <w:t xml:space="preserve">. </w:t>
      </w:r>
      <w:r>
        <w:t>One recent initiative in Ip</w:t>
      </w:r>
      <w:r w:rsidR="007C6EE5">
        <w:t>s</w:t>
      </w:r>
      <w:r>
        <w:t xml:space="preserve">wich demonstrated the complexities of achieving outcomes </w:t>
      </w:r>
      <w:r w:rsidR="00C65A42" w:rsidRPr="00C65A42">
        <w:rPr>
          <w:szCs w:val="24"/>
        </w:rPr>
        <w:t>(McCuaig et al. 2012)</w:t>
      </w:r>
      <w:r>
        <w:t xml:space="preserve">. </w:t>
      </w:r>
      <w:r w:rsidR="00305FEC">
        <w:t>Notably</w:t>
      </w:r>
      <w:r w:rsidR="009C1164">
        <w:t xml:space="preserve">, inadequate health literacy </w:t>
      </w:r>
      <w:r w:rsidR="007C6EE5">
        <w:t>is</w:t>
      </w:r>
      <w:r w:rsidR="009C1164">
        <w:t xml:space="preserve"> high</w:t>
      </w:r>
      <w:r w:rsidR="007C6EE5">
        <w:t>est</w:t>
      </w:r>
      <w:r w:rsidR="009C1164">
        <w:t xml:space="preserve"> </w:t>
      </w:r>
      <w:r w:rsidR="00305FEC">
        <w:t>among</w:t>
      </w:r>
      <w:r w:rsidR="009C1164">
        <w:t xml:space="preserve"> 15</w:t>
      </w:r>
      <w:r w:rsidR="009C1164">
        <w:noBreakHyphen/>
        <w:t>19 year olds</w:t>
      </w:r>
      <w:r w:rsidR="005F51D4">
        <w:t xml:space="preserve"> and </w:t>
      </w:r>
      <w:r w:rsidR="007C6EE5">
        <w:t>falls</w:t>
      </w:r>
      <w:r w:rsidR="005F51D4">
        <w:t xml:space="preserve"> in post</w:t>
      </w:r>
      <w:r w:rsidR="005F51D4">
        <w:noBreakHyphen/>
        <w:t>school years</w:t>
      </w:r>
      <w:r w:rsidR="009C1164">
        <w:t xml:space="preserve">, </w:t>
      </w:r>
      <w:r w:rsidR="005F51D4">
        <w:t xml:space="preserve">suggesting that health education </w:t>
      </w:r>
      <w:r w:rsidR="0051290E">
        <w:t>may not be</w:t>
      </w:r>
      <w:r w:rsidR="005F51D4">
        <w:t xml:space="preserve"> achieving good results</w:t>
      </w:r>
      <w:r w:rsidR="0051290E">
        <w:t xml:space="preserve"> (figure </w:t>
      </w:r>
      <w:r w:rsidR="00EE33D8">
        <w:t>3.1</w:t>
      </w:r>
      <w:r w:rsidR="0051290E">
        <w:t>)</w:t>
      </w:r>
      <w:r w:rsidR="005F51D4">
        <w:t xml:space="preserve">. </w:t>
      </w:r>
    </w:p>
    <w:p w14:paraId="1EA38C22" w14:textId="77777777" w:rsidR="005F51D4" w:rsidRDefault="005F51D4" w:rsidP="0080083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5F51D4" w14:paraId="1EA38C24" w14:textId="77777777" w:rsidTr="00800831">
        <w:trPr>
          <w:tblHeader/>
        </w:trPr>
        <w:tc>
          <w:tcPr>
            <w:tcW w:w="5000" w:type="pct"/>
            <w:tcBorders>
              <w:top w:val="single" w:sz="6" w:space="0" w:color="78A22F"/>
              <w:left w:val="nil"/>
              <w:bottom w:val="nil"/>
              <w:right w:val="nil"/>
            </w:tcBorders>
            <w:shd w:val="clear" w:color="auto" w:fill="auto"/>
          </w:tcPr>
          <w:p w14:paraId="1EA38C23" w14:textId="04ECEE76" w:rsidR="005F51D4" w:rsidRPr="00176D3F" w:rsidRDefault="005F51D4" w:rsidP="006B102C">
            <w:pPr>
              <w:pStyle w:val="FigureTitle"/>
              <w:spacing w:after="120"/>
            </w:pPr>
            <w:r w:rsidRPr="00944790">
              <w:rPr>
                <w:b w:val="0"/>
              </w:rPr>
              <w:t xml:space="preserve">Figure </w:t>
            </w:r>
            <w:r w:rsidR="00B42B57" w:rsidRPr="00944790">
              <w:rPr>
                <w:b w:val="0"/>
              </w:rPr>
              <w:t>3.1</w:t>
            </w:r>
            <w:r w:rsidRPr="00AF098D">
              <w:tab/>
            </w:r>
            <w:r w:rsidRPr="006B102C">
              <w:rPr>
                <w:spacing w:val="-4"/>
              </w:rPr>
              <w:t>Inadequate health literacy</w:t>
            </w:r>
            <w:r w:rsidR="001E3D89">
              <w:rPr>
                <w:rStyle w:val="NoteLabel"/>
              </w:rPr>
              <w:t xml:space="preserve"> a</w:t>
            </w:r>
            <w:r w:rsidRPr="006B102C">
              <w:rPr>
                <w:spacing w:val="-4"/>
              </w:rPr>
              <w:t xml:space="preserve"> is highest for the young and the old</w:t>
            </w:r>
          </w:p>
        </w:tc>
      </w:tr>
      <w:tr w:rsidR="005F51D4" w14:paraId="1EA38C28" w14:textId="77777777" w:rsidTr="0080083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35"/>
            </w:tblGrid>
            <w:tr w:rsidR="005F51D4" w:rsidRPr="00B1465D" w14:paraId="1EA38C26" w14:textId="77777777" w:rsidTr="00800831">
              <w:trPr>
                <w:tblHeader/>
                <w:jc w:val="center"/>
              </w:trPr>
              <w:tc>
                <w:tcPr>
                  <w:tcW w:w="5000" w:type="pct"/>
                  <w:tcBorders>
                    <w:top w:val="nil"/>
                    <w:bottom w:val="nil"/>
                  </w:tcBorders>
                </w:tcPr>
                <w:p w14:paraId="1EA38C25" w14:textId="77777777" w:rsidR="005F51D4" w:rsidRPr="00B1465D" w:rsidRDefault="005F51D4" w:rsidP="006B102C">
                  <w:pPr>
                    <w:pStyle w:val="Figure"/>
                    <w:spacing w:before="100" w:beforeAutospacing="1" w:after="60"/>
                    <w:rPr>
                      <w:rFonts w:ascii="Arial" w:hAnsi="Arial" w:cs="Arial"/>
                      <w:sz w:val="18"/>
                      <w:szCs w:val="18"/>
                    </w:rPr>
                  </w:pPr>
                  <w:r>
                    <w:rPr>
                      <w:rFonts w:ascii="Arial" w:hAnsi="Arial" w:cs="Arial"/>
                      <w:noProof/>
                      <w:sz w:val="18"/>
                      <w:szCs w:val="18"/>
                    </w:rPr>
                    <w:drawing>
                      <wp:inline distT="0" distB="0" distL="0" distR="0" wp14:anchorId="1EA39642" wp14:editId="1D259AE8">
                        <wp:extent cx="5419725" cy="2826327"/>
                        <wp:effectExtent l="0" t="0" r="0" b="0"/>
                        <wp:docPr id="11" name="Picture 11" descr="This figure depicts inadequate health literacy across different age groups from 15-19 years to 65-74 years. It is relatively high for the young (15-19 years) at around 70 per cent, is around 50 per cent for most age groups ranging from 20 to 49 years, and then rises with age to over 80 per cent for those aged 65 to 74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b="3618"/>
                                <a:stretch/>
                              </pic:blipFill>
                              <pic:spPr bwMode="auto">
                                <a:xfrm>
                                  <a:off x="0" y="0"/>
                                  <a:ext cx="5419725" cy="282632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EA38C27" w14:textId="77777777" w:rsidR="005F51D4" w:rsidRDefault="005F51D4" w:rsidP="00800831">
            <w:pPr>
              <w:pStyle w:val="Figure"/>
            </w:pPr>
          </w:p>
        </w:tc>
      </w:tr>
      <w:tr w:rsidR="005F51D4" w:rsidRPr="00176D3F" w14:paraId="1EA38C2A" w14:textId="77777777" w:rsidTr="00800831">
        <w:tc>
          <w:tcPr>
            <w:tcW w:w="5000" w:type="pct"/>
            <w:tcBorders>
              <w:top w:val="nil"/>
              <w:left w:val="nil"/>
              <w:bottom w:val="nil"/>
              <w:right w:val="nil"/>
            </w:tcBorders>
            <w:shd w:val="clear" w:color="auto" w:fill="auto"/>
          </w:tcPr>
          <w:p w14:paraId="1EA38C29" w14:textId="77777777" w:rsidR="005F51D4" w:rsidRPr="00176D3F" w:rsidRDefault="005F51D4" w:rsidP="006B102C">
            <w:pPr>
              <w:pStyle w:val="Note"/>
              <w:spacing w:before="0"/>
            </w:pPr>
            <w:r>
              <w:rPr>
                <w:rStyle w:val="NoteLabel"/>
              </w:rPr>
              <w:t>a</w:t>
            </w:r>
            <w:r>
              <w:t xml:space="preserve"> </w:t>
            </w:r>
            <w:r w:rsidRPr="005F51D4">
              <w:t>Defined as having competencies of level one or two on a five level scale</w:t>
            </w:r>
            <w:r>
              <w:t>.</w:t>
            </w:r>
          </w:p>
        </w:tc>
      </w:tr>
      <w:tr w:rsidR="005F51D4" w:rsidRPr="00176D3F" w14:paraId="1EA38C2C" w14:textId="77777777" w:rsidTr="00800831">
        <w:tc>
          <w:tcPr>
            <w:tcW w:w="5000" w:type="pct"/>
            <w:tcBorders>
              <w:top w:val="nil"/>
              <w:left w:val="nil"/>
              <w:bottom w:val="nil"/>
              <w:right w:val="nil"/>
            </w:tcBorders>
            <w:shd w:val="clear" w:color="auto" w:fill="auto"/>
          </w:tcPr>
          <w:p w14:paraId="1EA38C2B" w14:textId="77777777" w:rsidR="005F51D4" w:rsidRPr="00176D3F" w:rsidRDefault="005F51D4" w:rsidP="006B102C">
            <w:pPr>
              <w:pStyle w:val="Source"/>
              <w:spacing w:before="60"/>
            </w:pPr>
            <w:r>
              <w:rPr>
                <w:i/>
              </w:rPr>
              <w:t>S</w:t>
            </w:r>
            <w:r w:rsidRPr="00784A05">
              <w:rPr>
                <w:i/>
              </w:rPr>
              <w:t>ource</w:t>
            </w:r>
            <w:r w:rsidR="009C49CA">
              <w:rPr>
                <w:i/>
              </w:rPr>
              <w:t>s</w:t>
            </w:r>
            <w:r w:rsidRPr="00176D3F">
              <w:t xml:space="preserve">: </w:t>
            </w:r>
            <w:r w:rsidRPr="005F51D4">
              <w:t xml:space="preserve">ABS 2008, </w:t>
            </w:r>
            <w:r w:rsidRPr="005F51D4">
              <w:rPr>
                <w:i/>
              </w:rPr>
              <w:t>Health Literacy Australia, 2006</w:t>
            </w:r>
            <w:r w:rsidR="0082473D">
              <w:t>, Cat. no. </w:t>
            </w:r>
            <w:r w:rsidRPr="005F51D4">
              <w:t>4233.0</w:t>
            </w:r>
            <w:r>
              <w:t>.</w:t>
            </w:r>
          </w:p>
        </w:tc>
      </w:tr>
      <w:tr w:rsidR="005F51D4" w14:paraId="1EA38C2E" w14:textId="77777777" w:rsidTr="00800831">
        <w:tc>
          <w:tcPr>
            <w:tcW w:w="5000" w:type="pct"/>
            <w:tcBorders>
              <w:top w:val="nil"/>
              <w:left w:val="nil"/>
              <w:bottom w:val="single" w:sz="6" w:space="0" w:color="78A22F"/>
              <w:right w:val="nil"/>
            </w:tcBorders>
            <w:shd w:val="clear" w:color="auto" w:fill="auto"/>
          </w:tcPr>
          <w:p w14:paraId="1EA38C2D" w14:textId="77777777" w:rsidR="005F51D4" w:rsidRDefault="005F51D4" w:rsidP="00800831">
            <w:pPr>
              <w:pStyle w:val="Figurespace"/>
            </w:pPr>
          </w:p>
        </w:tc>
      </w:tr>
      <w:tr w:rsidR="005F51D4" w:rsidRPr="000863A5" w14:paraId="1EA38C30" w14:textId="77777777" w:rsidTr="00800831">
        <w:tc>
          <w:tcPr>
            <w:tcW w:w="5000" w:type="pct"/>
            <w:tcBorders>
              <w:top w:val="single" w:sz="6" w:space="0" w:color="78A22F"/>
              <w:left w:val="nil"/>
              <w:bottom w:val="nil"/>
              <w:right w:val="nil"/>
            </w:tcBorders>
          </w:tcPr>
          <w:p w14:paraId="1EA38C2F" w14:textId="77777777" w:rsidR="005F51D4" w:rsidRPr="00626D32" w:rsidRDefault="005F51D4" w:rsidP="00800831">
            <w:pPr>
              <w:pStyle w:val="BoxSpaceBelow"/>
            </w:pPr>
          </w:p>
        </w:tc>
      </w:tr>
    </w:tbl>
    <w:p w14:paraId="1EA38C31" w14:textId="1F7AA21D" w:rsidR="001754BF" w:rsidRDefault="001754BF" w:rsidP="001754BF">
      <w:pPr>
        <w:pStyle w:val="BodyText"/>
      </w:pPr>
      <w:r>
        <w:t>A particular challenge for schools is that inadequate health literacy is strongly associated with poor academic achievement, raising the importance of foundational skills as a complement to any efforts (chapter </w:t>
      </w:r>
      <w:r w:rsidR="00F813E7">
        <w:t>3</w:t>
      </w:r>
      <w:r>
        <w:t xml:space="preserve"> in the main report). The Commission is not aware of many high</w:t>
      </w:r>
      <w:r>
        <w:noBreakHyphen/>
        <w:t>quality evaluations of school</w:t>
      </w:r>
      <w:r>
        <w:noBreakHyphen/>
        <w:t xml:space="preserve">based programs to raise health literacy </w:t>
      </w:r>
      <w:r w:rsidRPr="00C65A42">
        <w:rPr>
          <w:szCs w:val="24"/>
        </w:rPr>
        <w:t>(Perry et al. 2014 being a rare example in the area of mental health literacy)</w:t>
      </w:r>
      <w:r>
        <w:t xml:space="preserve">. </w:t>
      </w:r>
      <w:r w:rsidR="00C93495">
        <w:t>E</w:t>
      </w:r>
      <w:r>
        <w:t>valuation is needed to substantiate the post</w:t>
      </w:r>
      <w:r>
        <w:noBreakHyphen/>
        <w:t xml:space="preserve">school effects of health literacy programs in schools, especially for those students whose general academic achievement and schooling duration is lowest. </w:t>
      </w:r>
    </w:p>
    <w:p w14:paraId="1EA38C32" w14:textId="77777777" w:rsidR="00B91636" w:rsidRDefault="00B91636" w:rsidP="00154337">
      <w:pPr>
        <w:pStyle w:val="BodyText"/>
      </w:pPr>
      <w:r>
        <w:t>Not</w:t>
      </w:r>
      <w:r>
        <w:noBreakHyphen/>
        <w:t>for</w:t>
      </w:r>
      <w:r>
        <w:noBreakHyphen/>
        <w:t xml:space="preserve">profit agencies like </w:t>
      </w:r>
      <w:r w:rsidRPr="002F0FA3">
        <w:rPr>
          <w:i/>
        </w:rPr>
        <w:t>headspace</w:t>
      </w:r>
      <w:r>
        <w:t xml:space="preserve"> can also play a role both with employers and schools in promoting health literacy — and engagement with such groups are best orchestrated at the local level.</w:t>
      </w:r>
      <w:r w:rsidR="009C1164">
        <w:t xml:space="preserve"> </w:t>
      </w:r>
    </w:p>
    <w:p w14:paraId="1EA38C33" w14:textId="77777777" w:rsidR="00FF3D3F" w:rsidRDefault="00FF3D3F" w:rsidP="001754BF">
      <w:pPr>
        <w:pStyle w:val="Heading3"/>
        <w:spacing w:before="400"/>
      </w:pPr>
      <w:r>
        <w:t>What role could My Health Record play?</w:t>
      </w:r>
    </w:p>
    <w:p w14:paraId="1EA38C34" w14:textId="77777777" w:rsidR="006A1C6D" w:rsidRDefault="00A90F31" w:rsidP="00154337">
      <w:pPr>
        <w:pStyle w:val="BodyText"/>
      </w:pPr>
      <w:r>
        <w:t xml:space="preserve">At the national level, My Health </w:t>
      </w:r>
      <w:r w:rsidR="002F0FA3">
        <w:t xml:space="preserve">Record </w:t>
      </w:r>
      <w:r w:rsidR="004D650F">
        <w:t>would be</w:t>
      </w:r>
      <w:r>
        <w:t xml:space="preserve"> a</w:t>
      </w:r>
      <w:r w:rsidR="004D650F">
        <w:t xml:space="preserve"> new </w:t>
      </w:r>
      <w:r w:rsidR="00C93495">
        <w:t xml:space="preserve">way of </w:t>
      </w:r>
      <w:r>
        <w:t xml:space="preserve">raising health literacy </w:t>
      </w:r>
      <w:r w:rsidR="00DE0AF3">
        <w:t>as</w:t>
      </w:r>
      <w:r>
        <w:t xml:space="preserve"> it will become a ubiquitous way of engaging with nearly all Australians (following </w:t>
      </w:r>
      <w:r w:rsidR="00BE578E">
        <w:t>adoption</w:t>
      </w:r>
      <w:r>
        <w:t xml:space="preserve"> of an opt</w:t>
      </w:r>
      <w:r>
        <w:noBreakHyphen/>
        <w:t xml:space="preserve">out system). First, it </w:t>
      </w:r>
      <w:r w:rsidR="00284203">
        <w:t>sh</w:t>
      </w:r>
      <w:r>
        <w:t xml:space="preserve">ould </w:t>
      </w:r>
      <w:r w:rsidR="00284203">
        <w:t xml:space="preserve">link </w:t>
      </w:r>
      <w:r>
        <w:t>to information on health issues in a similar way to the</w:t>
      </w:r>
      <w:r w:rsidR="00BE578E">
        <w:t xml:space="preserve"> UK’s NHS </w:t>
      </w:r>
      <w:r w:rsidR="00BE578E" w:rsidRPr="00BE578E">
        <w:t>Choices website</w:t>
      </w:r>
      <w:r w:rsidR="00BE578E">
        <w:t xml:space="preserve"> (figure </w:t>
      </w:r>
      <w:r w:rsidR="00441604">
        <w:t>3.2</w:t>
      </w:r>
      <w:r w:rsidR="00BE578E">
        <w:t xml:space="preserve">). </w:t>
      </w:r>
      <w:r w:rsidR="00B77463">
        <w:t>It could include access to information about low</w:t>
      </w:r>
      <w:r w:rsidR="00B77463">
        <w:noBreakHyphen/>
        <w:t>value inter</w:t>
      </w:r>
      <w:r w:rsidR="00834410">
        <w:t>v</w:t>
      </w:r>
      <w:r w:rsidR="00B77463">
        <w:t>entions</w:t>
      </w:r>
      <w:r w:rsidR="00834410">
        <w:t xml:space="preserve">, along the lines of the technically accessible </w:t>
      </w:r>
      <w:r w:rsidR="00DB5EE2">
        <w:t>Choosing Wisely Australia guidelines</w:t>
      </w:r>
      <w:r w:rsidR="00B77463">
        <w:t>.</w:t>
      </w:r>
      <w:r w:rsidR="00DB5EE2" w:rsidRPr="003D243B">
        <w:rPr>
          <w:rStyle w:val="FootnoteReference"/>
        </w:rPr>
        <w:footnoteReference w:id="10"/>
      </w:r>
      <w:r w:rsidR="00B77463">
        <w:t xml:space="preserve"> </w:t>
      </w:r>
      <w:r w:rsidR="007A4A3F">
        <w:t>The information would have to be contemporary and evidence</w:t>
      </w:r>
      <w:r w:rsidR="007A4A3F">
        <w:noBreakHyphen/>
        <w:t>based</w:t>
      </w:r>
      <w:r w:rsidR="00E815E6">
        <w:t xml:space="preserve"> (a role that could be performed by the </w:t>
      </w:r>
      <w:r w:rsidR="00EA7CD5">
        <w:t>Australian Commission on Safety and Quality in Health Care)</w:t>
      </w:r>
      <w:r w:rsidR="007A4A3F">
        <w:t xml:space="preserve">, while its form would have to be tested for its comprehensibility. The various medical colleges would have to </w:t>
      </w:r>
      <w:r w:rsidR="00E815E6">
        <w:t>play</w:t>
      </w:r>
      <w:r w:rsidR="007A4A3F">
        <w:t xml:space="preserve"> a major role </w:t>
      </w:r>
      <w:r w:rsidR="0058709C">
        <w:t>as collaborators in the development of content and in</w:t>
      </w:r>
      <w:r w:rsidR="007A4A3F">
        <w:t xml:space="preserve"> </w:t>
      </w:r>
      <w:r w:rsidR="00E815E6">
        <w:t>educating clinicians about the benefits of informed patients</w:t>
      </w:r>
      <w:r w:rsidR="0058709C">
        <w:t>.</w:t>
      </w:r>
      <w:r w:rsidR="00E815E6">
        <w:t xml:space="preserve"> </w:t>
      </w:r>
    </w:p>
    <w:p w14:paraId="1EA38C35" w14:textId="77777777" w:rsidR="00FB46C5" w:rsidRDefault="00BE578E" w:rsidP="00154337">
      <w:pPr>
        <w:pStyle w:val="BodyText"/>
      </w:pPr>
      <w:r>
        <w:t xml:space="preserve">Second, </w:t>
      </w:r>
      <w:r w:rsidR="00A47997">
        <w:t>My Health</w:t>
      </w:r>
      <w:r>
        <w:t xml:space="preserve"> </w:t>
      </w:r>
      <w:r w:rsidR="002F0FA3">
        <w:t xml:space="preserve">Record </w:t>
      </w:r>
      <w:r>
        <w:t xml:space="preserve">would be an accessible platform for simple tests of health literacy, such as the Health Literacy </w:t>
      </w:r>
      <w:r w:rsidR="006A1C6D">
        <w:t>Q</w:t>
      </w:r>
      <w:r>
        <w:t>uestionnaire or the Newest Vital Sign test, to identify whether a person has a good capacity for assimilating health information —</w:t>
      </w:r>
      <w:r w:rsidR="009C49CA">
        <w:t xml:space="preserve"> </w:t>
      </w:r>
      <w:r>
        <w:t xml:space="preserve">for their benefit and for clinicians </w:t>
      </w:r>
      <w:r w:rsidR="00C65A42" w:rsidRPr="00C65A42">
        <w:rPr>
          <w:szCs w:val="24"/>
        </w:rPr>
        <w:t>(Beauchamp et al. 2015; Weiss et al. 2005)</w:t>
      </w:r>
      <w:r>
        <w:t xml:space="preserve">. In turn, this would inform </w:t>
      </w:r>
      <w:r w:rsidR="00FB46C5">
        <w:t>clinicians</w:t>
      </w:r>
      <w:r>
        <w:t xml:space="preserve">’ approaches to advising their patients. The capacity to link data on </w:t>
      </w:r>
      <w:r w:rsidR="00FB46C5">
        <w:t>outcomes</w:t>
      </w:r>
      <w:r>
        <w:t xml:space="preserve"> would also enable continued refinement of any information provided to consumers.</w:t>
      </w:r>
      <w:r w:rsidR="00284203">
        <w:t xml:space="preserve"> </w:t>
      </w:r>
      <w:r w:rsidR="006A1C6D">
        <w:t>I</w:t>
      </w:r>
      <w:r w:rsidR="00284203">
        <w:t xml:space="preserve">t would be possible to test whether any given approach to improving health literacy had any </w:t>
      </w:r>
      <w:r w:rsidR="003C575A">
        <w:t>effects</w:t>
      </w:r>
      <w:r w:rsidR="00284203">
        <w:t xml:space="preserve"> on hospitalisation rates, and indeed using random controlled trials </w:t>
      </w:r>
      <w:r w:rsidR="001E61B0">
        <w:t xml:space="preserve">(RCTs) </w:t>
      </w:r>
      <w:r w:rsidR="00284203">
        <w:t>to test what types of information are effective and for whom. The strategy taken for raising the health literacy of the elderly (who are intensive users of the health system), people in remote communities</w:t>
      </w:r>
      <w:r w:rsidR="00E113DE">
        <w:t xml:space="preserve">, men, or </w:t>
      </w:r>
      <w:r w:rsidR="00121A3D">
        <w:t>Indigenous</w:t>
      </w:r>
      <w:r w:rsidR="00E113DE">
        <w:t xml:space="preserve"> </w:t>
      </w:r>
      <w:r w:rsidR="00D7228C">
        <w:t xml:space="preserve">Australians </w:t>
      </w:r>
      <w:r w:rsidR="00284203">
        <w:t xml:space="preserve">may be quite different from those </w:t>
      </w:r>
      <w:r w:rsidR="00E113DE">
        <w:t xml:space="preserve">for others. </w:t>
      </w:r>
      <w:r w:rsidR="001E61B0">
        <w:t>eHealth has the advantage of providing very low cost RCTs and for using behavioural insights to test the best ways of making information delivery more effective.</w:t>
      </w:r>
      <w:r w:rsidR="002B6AFD" w:rsidRPr="003D243B">
        <w:rPr>
          <w:rStyle w:val="FootnoteReference"/>
        </w:rPr>
        <w:footnoteReference w:id="11"/>
      </w:r>
    </w:p>
    <w:p w14:paraId="1EA38C36" w14:textId="77777777" w:rsidR="00752699" w:rsidRDefault="00752699" w:rsidP="005F18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752699" w14:paraId="1EA38C38" w14:textId="77777777" w:rsidTr="005F1867">
        <w:trPr>
          <w:tblHeader/>
        </w:trPr>
        <w:tc>
          <w:tcPr>
            <w:tcW w:w="5000" w:type="pct"/>
            <w:tcBorders>
              <w:top w:val="single" w:sz="6" w:space="0" w:color="78A22F"/>
              <w:left w:val="nil"/>
              <w:bottom w:val="nil"/>
              <w:right w:val="nil"/>
            </w:tcBorders>
            <w:shd w:val="clear" w:color="auto" w:fill="auto"/>
          </w:tcPr>
          <w:p w14:paraId="1EA38C37" w14:textId="77777777" w:rsidR="00752699" w:rsidRPr="00176D3F" w:rsidRDefault="00752699" w:rsidP="00B42B57">
            <w:pPr>
              <w:pStyle w:val="FigureTitle"/>
            </w:pPr>
            <w:r w:rsidRPr="00944790">
              <w:rPr>
                <w:b w:val="0"/>
              </w:rPr>
              <w:t xml:space="preserve">Figure </w:t>
            </w:r>
            <w:r w:rsidR="00B42B57" w:rsidRPr="00944790">
              <w:rPr>
                <w:b w:val="0"/>
              </w:rPr>
              <w:t>3.2</w:t>
            </w:r>
            <w:r w:rsidRPr="00AF098D">
              <w:tab/>
            </w:r>
            <w:r>
              <w:t>NHS Choices webpage</w:t>
            </w:r>
            <w:r w:rsidRPr="00752699">
              <w:rPr>
                <w:rStyle w:val="NoteLabel"/>
              </w:rPr>
              <w:t>a</w:t>
            </w:r>
          </w:p>
        </w:tc>
      </w:tr>
      <w:tr w:rsidR="00752699" w14:paraId="1EA38C3C" w14:textId="77777777" w:rsidTr="005F186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52699" w:rsidRPr="00B1465D" w14:paraId="1EA38C3A" w14:textId="77777777" w:rsidTr="005F1867">
              <w:trPr>
                <w:tblHeader/>
                <w:jc w:val="center"/>
              </w:trPr>
              <w:tc>
                <w:tcPr>
                  <w:tcW w:w="5000" w:type="pct"/>
                  <w:tcBorders>
                    <w:top w:val="nil"/>
                    <w:bottom w:val="nil"/>
                  </w:tcBorders>
                </w:tcPr>
                <w:p w14:paraId="1EA38C39" w14:textId="77777777" w:rsidR="00752699" w:rsidRPr="00B1465D" w:rsidRDefault="00752699" w:rsidP="005F1867">
                  <w:pPr>
                    <w:pStyle w:val="Figure"/>
                    <w:spacing w:before="60" w:after="60"/>
                    <w:rPr>
                      <w:rFonts w:ascii="Arial" w:hAnsi="Arial" w:cs="Arial"/>
                      <w:sz w:val="18"/>
                      <w:szCs w:val="18"/>
                    </w:rPr>
                  </w:pPr>
                  <w:r>
                    <w:rPr>
                      <w:rFonts w:ascii="Arial" w:hAnsi="Arial" w:cs="Arial"/>
                      <w:noProof/>
                      <w:sz w:val="18"/>
                      <w:szCs w:val="18"/>
                    </w:rPr>
                    <w:drawing>
                      <wp:inline distT="0" distB="0" distL="0" distR="0" wp14:anchorId="1EA39644" wp14:editId="3CDE1D29">
                        <wp:extent cx="4627245" cy="3688715"/>
                        <wp:effectExtent l="0" t="0" r="1905" b="6985"/>
                        <wp:docPr id="16" name="Picture 16" descr="This figure is a snapshot of the NHS Choices webpage, www.nhs.uk/pages/home.aspx. The page provides healthy living advice on over 100 topics, along with other health information for health consu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27245" cy="3688715"/>
                                </a:xfrm>
                                <a:prstGeom prst="rect">
                                  <a:avLst/>
                                </a:prstGeom>
                                <a:noFill/>
                              </pic:spPr>
                            </pic:pic>
                          </a:graphicData>
                        </a:graphic>
                      </wp:inline>
                    </w:drawing>
                  </w:r>
                </w:p>
              </w:tc>
            </w:tr>
          </w:tbl>
          <w:p w14:paraId="1EA38C3B" w14:textId="77777777" w:rsidR="00752699" w:rsidRDefault="00752699" w:rsidP="005F1867">
            <w:pPr>
              <w:pStyle w:val="Figure"/>
            </w:pPr>
          </w:p>
        </w:tc>
      </w:tr>
      <w:tr w:rsidR="00752699" w:rsidRPr="00176D3F" w14:paraId="1EA38C3E" w14:textId="77777777" w:rsidTr="005F1867">
        <w:tc>
          <w:tcPr>
            <w:tcW w:w="5000" w:type="pct"/>
            <w:tcBorders>
              <w:top w:val="nil"/>
              <w:left w:val="nil"/>
              <w:bottom w:val="nil"/>
              <w:right w:val="nil"/>
            </w:tcBorders>
            <w:shd w:val="clear" w:color="auto" w:fill="auto"/>
          </w:tcPr>
          <w:p w14:paraId="1EA38C3D" w14:textId="77777777" w:rsidR="00752699" w:rsidRPr="00176D3F" w:rsidRDefault="00752699" w:rsidP="00752699">
            <w:pPr>
              <w:pStyle w:val="Note"/>
            </w:pPr>
            <w:r>
              <w:rPr>
                <w:rStyle w:val="NoteLabel"/>
              </w:rPr>
              <w:t>a</w:t>
            </w:r>
            <w:r>
              <w:t xml:space="preserve"> Snapshot at 7</w:t>
            </w:r>
            <w:r w:rsidR="009C49CA">
              <w:t> </w:t>
            </w:r>
            <w:r>
              <w:t>June 2017.</w:t>
            </w:r>
          </w:p>
        </w:tc>
      </w:tr>
      <w:tr w:rsidR="00752699" w:rsidRPr="00176D3F" w14:paraId="1EA38C40" w14:textId="77777777" w:rsidTr="005F1867">
        <w:tc>
          <w:tcPr>
            <w:tcW w:w="5000" w:type="pct"/>
            <w:tcBorders>
              <w:top w:val="nil"/>
              <w:left w:val="nil"/>
              <w:bottom w:val="nil"/>
              <w:right w:val="nil"/>
            </w:tcBorders>
            <w:shd w:val="clear" w:color="auto" w:fill="auto"/>
          </w:tcPr>
          <w:p w14:paraId="1EA38C3F" w14:textId="77777777" w:rsidR="00752699" w:rsidRPr="00176D3F" w:rsidRDefault="00752699" w:rsidP="005F1867">
            <w:pPr>
              <w:pStyle w:val="Source"/>
            </w:pPr>
            <w:r>
              <w:rPr>
                <w:i/>
              </w:rPr>
              <w:t>S</w:t>
            </w:r>
            <w:r w:rsidRPr="00784A05">
              <w:rPr>
                <w:i/>
              </w:rPr>
              <w:t>ource</w:t>
            </w:r>
            <w:r w:rsidRPr="00176D3F">
              <w:t xml:space="preserve">: </w:t>
            </w:r>
            <w:r w:rsidRPr="00752699">
              <w:t>http://www.nhs.uk/pages/home.aspx</w:t>
            </w:r>
            <w:r>
              <w:t>.</w:t>
            </w:r>
          </w:p>
        </w:tc>
      </w:tr>
      <w:tr w:rsidR="00752699" w14:paraId="1EA38C42" w14:textId="77777777" w:rsidTr="005F1867">
        <w:tc>
          <w:tcPr>
            <w:tcW w:w="5000" w:type="pct"/>
            <w:tcBorders>
              <w:top w:val="nil"/>
              <w:left w:val="nil"/>
              <w:bottom w:val="single" w:sz="6" w:space="0" w:color="78A22F"/>
              <w:right w:val="nil"/>
            </w:tcBorders>
            <w:shd w:val="clear" w:color="auto" w:fill="auto"/>
          </w:tcPr>
          <w:p w14:paraId="1EA38C41" w14:textId="77777777" w:rsidR="00752699" w:rsidRDefault="00752699" w:rsidP="005F1867">
            <w:pPr>
              <w:pStyle w:val="Figurespace"/>
            </w:pPr>
          </w:p>
        </w:tc>
      </w:tr>
      <w:tr w:rsidR="00752699" w:rsidRPr="000863A5" w14:paraId="1EA38C44" w14:textId="77777777" w:rsidTr="005F1867">
        <w:tc>
          <w:tcPr>
            <w:tcW w:w="5000" w:type="pct"/>
            <w:tcBorders>
              <w:top w:val="single" w:sz="6" w:space="0" w:color="78A22F"/>
              <w:left w:val="nil"/>
              <w:bottom w:val="nil"/>
              <w:right w:val="nil"/>
            </w:tcBorders>
          </w:tcPr>
          <w:p w14:paraId="1EA38C43" w14:textId="77777777" w:rsidR="00752699" w:rsidRPr="00626D32" w:rsidRDefault="00752699" w:rsidP="005F1867">
            <w:pPr>
              <w:pStyle w:val="BoxSpaceBelow"/>
            </w:pPr>
          </w:p>
        </w:tc>
      </w:tr>
    </w:tbl>
    <w:p w14:paraId="1EA38C45" w14:textId="378AA46C" w:rsidR="00097B18" w:rsidRDefault="006A1C6D" w:rsidP="00154337">
      <w:pPr>
        <w:pStyle w:val="BodyText"/>
      </w:pPr>
      <w:r>
        <w:t xml:space="preserve">Third, </w:t>
      </w:r>
      <w:r w:rsidR="0089615F">
        <w:t>My Health</w:t>
      </w:r>
      <w:r>
        <w:t xml:space="preserve"> </w:t>
      </w:r>
      <w:r w:rsidR="002F0FA3">
        <w:t xml:space="preserve">Record </w:t>
      </w:r>
      <w:r>
        <w:t>could provide custom</w:t>
      </w:r>
      <w:r>
        <w:noBreakHyphen/>
        <w:t xml:space="preserve">based advice depending on the health status of the person. </w:t>
      </w:r>
      <w:r w:rsidR="00097B18">
        <w:t>For example, a person might be reminded of the potential need to have a vaccination or a screening test, such as a check for osteoporosis for post</w:t>
      </w:r>
      <w:r w:rsidR="009C49CA">
        <w:noBreakHyphen/>
      </w:r>
      <w:r w:rsidR="00097B18">
        <w:t xml:space="preserve">menopausal women. The Australian College of Nursing supported a role of My Health </w:t>
      </w:r>
      <w:r w:rsidR="00000E32">
        <w:t xml:space="preserve">Record </w:t>
      </w:r>
      <w:r w:rsidR="00097B18">
        <w:t>as a source of information for self</w:t>
      </w:r>
      <w:r w:rsidR="009C49CA">
        <w:noBreakHyphen/>
      </w:r>
      <w:r w:rsidR="00097B18">
        <w:t xml:space="preserve">care </w:t>
      </w:r>
      <w:r w:rsidR="00C65A42" w:rsidRPr="00C65A42">
        <w:rPr>
          <w:szCs w:val="24"/>
        </w:rPr>
        <w:t>(ACN 2017)</w:t>
      </w:r>
      <w:r w:rsidR="00097B18">
        <w:t xml:space="preserve">. The clinician would ultimately be the decision maker (and their decision could be undertaken remotely in many cases). </w:t>
      </w:r>
      <w:r w:rsidR="005B56CB">
        <w:t>In the United Kingdom,</w:t>
      </w:r>
      <w:r w:rsidR="0095522A">
        <w:t xml:space="preserve"> a new artificial intelligence smart phone app</w:t>
      </w:r>
      <w:r w:rsidR="005B56CB">
        <w:t xml:space="preserve"> </w:t>
      </w:r>
      <w:r w:rsidR="0095522A">
        <w:t>has</w:t>
      </w:r>
      <w:r w:rsidR="005B56CB">
        <w:t xml:space="preserve"> been developed that provide</w:t>
      </w:r>
      <w:r w:rsidR="0095522A">
        <w:t>s</w:t>
      </w:r>
      <w:r w:rsidR="005B56CB">
        <w:t xml:space="preserve"> triage services for determining whether a person needs to be directed to a clinician</w:t>
      </w:r>
      <w:r w:rsidR="0095522A">
        <w:t> </w:t>
      </w:r>
      <w:r w:rsidR="0095522A" w:rsidRPr="0095522A">
        <w:rPr>
          <w:szCs w:val="24"/>
        </w:rPr>
        <w:t>(Burgess 2017)</w:t>
      </w:r>
      <w:r w:rsidR="005B56CB">
        <w:t xml:space="preserve">. </w:t>
      </w:r>
      <w:r w:rsidR="0083038E">
        <w:t>In the United Kingdom, the</w:t>
      </w:r>
      <w:r w:rsidR="005B56CB">
        <w:t xml:space="preserve"> NHS is tria</w:t>
      </w:r>
      <w:r w:rsidR="00BE5135">
        <w:t>l</w:t>
      </w:r>
      <w:r w:rsidR="005B56CB">
        <w:t xml:space="preserve">ling this technology alongside its current </w:t>
      </w:r>
      <w:r w:rsidR="0095522A">
        <w:t>non</w:t>
      </w:r>
      <w:r w:rsidR="0095522A">
        <w:noBreakHyphen/>
        <w:t xml:space="preserve">emergency </w:t>
      </w:r>
      <w:r w:rsidR="005B56CB">
        <w:t>111 telephone helpline</w:t>
      </w:r>
      <w:r w:rsidR="0095522A">
        <w:t xml:space="preserve">. As it stands, this technology is independent of any personal medical record. </w:t>
      </w:r>
      <w:r w:rsidR="00875515">
        <w:t>A</w:t>
      </w:r>
      <w:r w:rsidR="0095522A">
        <w:t xml:space="preserve"> future development could allow a person to link such an app to their health record to improve the precision of any advice.</w:t>
      </w:r>
    </w:p>
    <w:p w14:paraId="1EA38C46" w14:textId="77777777" w:rsidR="00563BFF" w:rsidRDefault="00FA5122" w:rsidP="00154337">
      <w:pPr>
        <w:pStyle w:val="BodyText"/>
      </w:pPr>
      <w:r>
        <w:t xml:space="preserve">The high frequency </w:t>
      </w:r>
      <w:r w:rsidR="00121A3D">
        <w:t>of medication non</w:t>
      </w:r>
      <w:r w:rsidR="00121A3D">
        <w:noBreakHyphen/>
        <w:t xml:space="preserve">adherence </w:t>
      </w:r>
      <w:r>
        <w:t xml:space="preserve">and </w:t>
      </w:r>
      <w:r w:rsidR="00121A3D">
        <w:t xml:space="preserve">its </w:t>
      </w:r>
      <w:r>
        <w:t xml:space="preserve">adverse impact on health </w:t>
      </w:r>
      <w:r w:rsidR="00121A3D">
        <w:t xml:space="preserve">care outcomes and </w:t>
      </w:r>
      <w:r>
        <w:t xml:space="preserve">costs </w:t>
      </w:r>
      <w:r w:rsidR="00121A3D">
        <w:t xml:space="preserve">makes it </w:t>
      </w:r>
      <w:r w:rsidR="00A47997">
        <w:t>a</w:t>
      </w:r>
      <w:r>
        <w:t xml:space="preserve"> </w:t>
      </w:r>
      <w:r w:rsidR="00A47997">
        <w:t>clear</w:t>
      </w:r>
      <w:r>
        <w:t xml:space="preserve"> area for improving health literacy</w:t>
      </w:r>
      <w:r w:rsidR="006A1C6D">
        <w:t xml:space="preserve"> at the individual patient level</w:t>
      </w:r>
      <w:r w:rsidR="00121A3D">
        <w:t>. Medical non</w:t>
      </w:r>
      <w:r w:rsidR="00121A3D">
        <w:noBreakHyphen/>
        <w:t xml:space="preserve">adherence </w:t>
      </w:r>
      <w:r w:rsidR="00FB46C5">
        <w:t>includes failing to fill a script, stopping medication earlier than advised, changing dosage, or taking other products (such alcohol or over</w:t>
      </w:r>
      <w:r w:rsidR="00FB46C5">
        <w:noBreakHyphen/>
        <w:t>the</w:t>
      </w:r>
      <w:r w:rsidR="00FB46C5">
        <w:noBreakHyphen/>
        <w:t xml:space="preserve">counter drugs that affect the efficacy of prescribed medicines). </w:t>
      </w:r>
      <w:r w:rsidR="007A54BF">
        <w:t xml:space="preserve">The evidence suggests that </w:t>
      </w:r>
      <w:r w:rsidR="00BD734A">
        <w:t>about</w:t>
      </w:r>
      <w:r w:rsidR="007A54BF">
        <w:t xml:space="preserve"> 50</w:t>
      </w:r>
      <w:r w:rsidR="0089615F">
        <w:t> per cent</w:t>
      </w:r>
      <w:r w:rsidR="007A54BF">
        <w:t xml:space="preserve"> of </w:t>
      </w:r>
      <w:r w:rsidR="00284203">
        <w:t>patients</w:t>
      </w:r>
      <w:r w:rsidR="007A54BF">
        <w:t xml:space="preserve"> do not take their medications as recommended by their clinician</w:t>
      </w:r>
      <w:r w:rsidR="00232830">
        <w:t xml:space="preserve"> </w:t>
      </w:r>
      <w:r w:rsidR="00E45613" w:rsidRPr="00E45613">
        <w:rPr>
          <w:szCs w:val="24"/>
        </w:rPr>
        <w:t>(DoHA 2010b)</w:t>
      </w:r>
      <w:r w:rsidR="007A54BF">
        <w:t xml:space="preserve">. </w:t>
      </w:r>
      <w:r w:rsidR="001E61B0">
        <w:t>A</w:t>
      </w:r>
      <w:r w:rsidR="006A1C6D">
        <w:t>t the end of two years, non</w:t>
      </w:r>
      <w:r w:rsidR="006A1C6D">
        <w:noBreakHyphen/>
        <w:t xml:space="preserve">adherence to taking </w:t>
      </w:r>
      <w:r w:rsidR="001E61B0">
        <w:t>statins</w:t>
      </w:r>
      <w:r w:rsidR="006A1C6D">
        <w:t xml:space="preserve"> (the key drug class for lowering blood pressure and avoiding heart attacks) </w:t>
      </w:r>
      <w:r w:rsidR="001E61B0">
        <w:t>is</w:t>
      </w:r>
      <w:r w:rsidR="006A1C6D">
        <w:t xml:space="preserve"> as high as 75</w:t>
      </w:r>
      <w:r w:rsidR="008A6D7B">
        <w:t> per cent</w:t>
      </w:r>
      <w:r w:rsidR="006A1C6D">
        <w:t xml:space="preserve"> </w:t>
      </w:r>
      <w:r w:rsidR="00C65A42" w:rsidRPr="00C65A42">
        <w:rPr>
          <w:szCs w:val="24"/>
        </w:rPr>
        <w:t>(Brown and Bussell 2011)</w:t>
      </w:r>
      <w:r w:rsidR="006A1C6D">
        <w:t xml:space="preserve">. </w:t>
      </w:r>
      <w:r w:rsidR="00DD6B2B">
        <w:t xml:space="preserve">In the United States alone, it has been estimated that improved medication adherence could save about US$100 billion annually, and this is a dated estimate </w:t>
      </w:r>
      <w:r w:rsidR="00C65A42" w:rsidRPr="00C65A42">
        <w:rPr>
          <w:szCs w:val="24"/>
        </w:rPr>
        <w:t>(Osterberg and Blaschke 2005)</w:t>
      </w:r>
      <w:r w:rsidR="00DD6B2B">
        <w:t>.</w:t>
      </w:r>
      <w:r w:rsidR="004E4921">
        <w:t xml:space="preserve"> </w:t>
      </w:r>
      <w:r w:rsidR="00563BFF">
        <w:t xml:space="preserve">The problem will rise significantly with population ageing and the greater prevalence of chronic conditions. </w:t>
      </w:r>
    </w:p>
    <w:p w14:paraId="1EA38C47" w14:textId="77777777" w:rsidR="00563BFF" w:rsidRDefault="00437AA7" w:rsidP="00154337">
      <w:pPr>
        <w:pStyle w:val="BodyText"/>
      </w:pPr>
      <w:r>
        <w:t>Forgetfulness</w:t>
      </w:r>
      <w:r w:rsidR="00284203">
        <w:t xml:space="preserve"> </w:t>
      </w:r>
      <w:r>
        <w:t xml:space="preserve">plays a role, </w:t>
      </w:r>
      <w:r w:rsidR="00121A3D">
        <w:t xml:space="preserve">in which case reminder notices issued through My Health </w:t>
      </w:r>
      <w:r w:rsidR="002F0FA3">
        <w:t xml:space="preserve">Record </w:t>
      </w:r>
      <w:r w:rsidR="00121A3D">
        <w:t>by SMS would be a</w:t>
      </w:r>
      <w:r>
        <w:t xml:space="preserve"> </w:t>
      </w:r>
      <w:r w:rsidR="00563BFF">
        <w:t xml:space="preserve">partial </w:t>
      </w:r>
      <w:r>
        <w:t xml:space="preserve">remedy. </w:t>
      </w:r>
      <w:r w:rsidR="00875515">
        <w:t>N</w:t>
      </w:r>
      <w:r>
        <w:t>on</w:t>
      </w:r>
      <w:r>
        <w:noBreakHyphen/>
        <w:t xml:space="preserve">compliance can also reflect </w:t>
      </w:r>
      <w:r w:rsidR="00563BFF">
        <w:t>lack</w:t>
      </w:r>
      <w:r>
        <w:t xml:space="preserve"> of awareness of the consequences. For instance, underestimation of the risk of fractures is a major reason for non</w:t>
      </w:r>
      <w:r>
        <w:noBreakHyphen/>
        <w:t xml:space="preserve">compliance in taking </w:t>
      </w:r>
      <w:r w:rsidR="00563BFF">
        <w:t>medications</w:t>
      </w:r>
      <w:r>
        <w:t xml:space="preserve"> for osteoporosis </w:t>
      </w:r>
      <w:r w:rsidR="00C65A42" w:rsidRPr="00C65A42">
        <w:rPr>
          <w:szCs w:val="24"/>
        </w:rPr>
        <w:t>(Inderjeeth, Inderjeeth and Raymond 2016)</w:t>
      </w:r>
      <w:r w:rsidR="00563BFF">
        <w:t xml:space="preserve">. More frequent patient interaction with physicians has proven effective in dealing with this, but is costly. Education and reminders through My Health </w:t>
      </w:r>
      <w:r w:rsidR="002F0FA3">
        <w:t xml:space="preserve">Record </w:t>
      </w:r>
      <w:r w:rsidR="00563BFF">
        <w:t xml:space="preserve">may be a complement to this approach, and its </w:t>
      </w:r>
      <w:r w:rsidR="006A1C6D">
        <w:t>effectiveness</w:t>
      </w:r>
      <w:r w:rsidR="00563BFF">
        <w:t xml:space="preserve"> could readily be tested.</w:t>
      </w:r>
      <w:r w:rsidR="0089615F">
        <w:t xml:space="preserve"> A recent review of eHealth in this area observed:</w:t>
      </w:r>
    </w:p>
    <w:p w14:paraId="1EA38C48" w14:textId="77777777" w:rsidR="0089615F" w:rsidRDefault="0089615F" w:rsidP="0089615F">
      <w:pPr>
        <w:pStyle w:val="Quote"/>
      </w:pPr>
      <w:r>
        <w:t xml:space="preserve">Greater use of eHealth to improve health literacy at an individual and population level is an obvious priority area for research. There are few, if any, technological barriers and risks are likely to be minimal. </w:t>
      </w:r>
      <w:r w:rsidR="00C65A42" w:rsidRPr="00C65A42">
        <w:rPr>
          <w:szCs w:val="24"/>
        </w:rPr>
        <w:t>(Car et al. 2017, p. 7)</w:t>
      </w:r>
    </w:p>
    <w:p w14:paraId="1EA38C49" w14:textId="77777777" w:rsidR="00A90F31" w:rsidRDefault="007F605A" w:rsidP="00154337">
      <w:pPr>
        <w:pStyle w:val="BodyText"/>
      </w:pPr>
      <w:r>
        <w:t xml:space="preserve">Personalised advice (and </w:t>
      </w:r>
      <w:r w:rsidR="00726835">
        <w:t>interventions</w:t>
      </w:r>
      <w:r>
        <w:t>) could also be mediated through apps connected</w:t>
      </w:r>
      <w:r w:rsidR="00726835">
        <w:t xml:space="preserve"> to electronic medical records. </w:t>
      </w:r>
      <w:r>
        <w:t xml:space="preserve">There are already </w:t>
      </w:r>
      <w:r w:rsidR="00DB1375">
        <w:t>several</w:t>
      </w:r>
      <w:r>
        <w:t xml:space="preserve"> apps that link to My Health</w:t>
      </w:r>
      <w:r w:rsidR="002F0FA3">
        <w:t xml:space="preserve"> Record</w:t>
      </w:r>
      <w:r>
        <w:t xml:space="preserve">, such as Healthi, HealthEngine and Tyde, </w:t>
      </w:r>
      <w:r w:rsidR="00726835">
        <w:t>al</w:t>
      </w:r>
      <w:r>
        <w:t xml:space="preserve">though these do not currently provide additional information </w:t>
      </w:r>
      <w:r w:rsidR="00106C59">
        <w:t xml:space="preserve">beyond that </w:t>
      </w:r>
      <w:r>
        <w:t>already contained in My</w:t>
      </w:r>
      <w:r w:rsidR="00FC14CF">
        <w:t xml:space="preserve"> </w:t>
      </w:r>
      <w:r>
        <w:t>Health</w:t>
      </w:r>
      <w:r w:rsidR="002F0FA3">
        <w:t xml:space="preserve"> Record</w:t>
      </w:r>
      <w:r>
        <w:t xml:space="preserve">. There </w:t>
      </w:r>
      <w:r w:rsidR="00A47997">
        <w:t>should</w:t>
      </w:r>
      <w:r>
        <w:t xml:space="preserve"> </w:t>
      </w:r>
      <w:r w:rsidR="00726835">
        <w:t xml:space="preserve">also </w:t>
      </w:r>
      <w:r w:rsidR="00A47997">
        <w:t xml:space="preserve">be </w:t>
      </w:r>
      <w:r w:rsidR="003A395F">
        <w:t xml:space="preserve">a </w:t>
      </w:r>
      <w:r>
        <w:t xml:space="preserve">capacity </w:t>
      </w:r>
      <w:r w:rsidR="003A395F">
        <w:t xml:space="preserve">to </w:t>
      </w:r>
      <w:r w:rsidR="00726835">
        <w:t xml:space="preserve">transfer information from </w:t>
      </w:r>
      <w:r>
        <w:t>wearable health technologies to My</w:t>
      </w:r>
      <w:r w:rsidR="00FC14CF">
        <w:t xml:space="preserve"> </w:t>
      </w:r>
      <w:r>
        <w:t>Health</w:t>
      </w:r>
      <w:r w:rsidR="002F0FA3">
        <w:t xml:space="preserve"> Record</w:t>
      </w:r>
      <w:r w:rsidR="003A395F">
        <w:t xml:space="preserve"> (and subject to </w:t>
      </w:r>
      <w:r w:rsidR="00B77463">
        <w:t xml:space="preserve">a patient’s </w:t>
      </w:r>
      <w:r w:rsidR="003A395F">
        <w:t xml:space="preserve">consent, to </w:t>
      </w:r>
      <w:r w:rsidR="00B77463">
        <w:t>his or her</w:t>
      </w:r>
      <w:r w:rsidR="003A395F">
        <w:t xml:space="preserve"> </w:t>
      </w:r>
      <w:r w:rsidR="00B77463">
        <w:t>clinician</w:t>
      </w:r>
      <w:r w:rsidR="003A395F">
        <w:t>), and, based on this information, to provide tailored advice to the person. Wearable activity trackers have already shown promise for post</w:t>
      </w:r>
      <w:r w:rsidR="003A395F">
        <w:noBreakHyphen/>
        <w:t xml:space="preserve">surgery recovery in cardiac patients, </w:t>
      </w:r>
      <w:r w:rsidR="003A395F" w:rsidRPr="003A395F">
        <w:t>pulmonary rehabilitation, and activity counsel</w:t>
      </w:r>
      <w:r w:rsidR="003A395F">
        <w:t>l</w:t>
      </w:r>
      <w:r w:rsidR="003A395F" w:rsidRPr="003A395F">
        <w:t>ing in diabetic patients</w:t>
      </w:r>
      <w:r w:rsidR="003A395F">
        <w:t xml:space="preserve"> </w:t>
      </w:r>
      <w:r w:rsidR="00C65A42" w:rsidRPr="00C65A42">
        <w:rPr>
          <w:szCs w:val="24"/>
        </w:rPr>
        <w:t>(Chiauzzi, Rodarte and DasMahapatra 2015)</w:t>
      </w:r>
      <w:r w:rsidR="003A395F">
        <w:t xml:space="preserve">. </w:t>
      </w:r>
    </w:p>
    <w:p w14:paraId="1EA38C4A" w14:textId="77777777" w:rsidR="00E96543" w:rsidRDefault="00E96543" w:rsidP="00E96543">
      <w:pPr>
        <w:pStyle w:val="BodyText"/>
      </w:pPr>
      <w:r>
        <w:t xml:space="preserve">One of the advantages of integrating care along the lines proposed in this paper is that a variety of parties — primary health networks, public hospital networks, clinicians, and insurers — will have aligned interests in maintaining care, developing apps, even subsidising wearable technologies targeted at given groups, and in promoting greater capabilities in health professionals to recognise and address the health literacy of their patients. </w:t>
      </w:r>
    </w:p>
    <w:p w14:paraId="1EA38C4B" w14:textId="77777777" w:rsidR="00B67C6E" w:rsidRDefault="00B67C6E" w:rsidP="00B67C6E">
      <w:pPr>
        <w:pStyle w:val="BodyText"/>
      </w:pPr>
      <w:r>
        <w:t xml:space="preserve">There are several barriers to using My Health </w:t>
      </w:r>
      <w:r w:rsidR="00735D04">
        <w:t xml:space="preserve">Record </w:t>
      </w:r>
      <w:r>
        <w:t xml:space="preserve">as a tool </w:t>
      </w:r>
      <w:r w:rsidRPr="00B67C6E">
        <w:rPr>
          <w:i/>
        </w:rPr>
        <w:t>for</w:t>
      </w:r>
      <w:r>
        <w:t xml:space="preserve"> consumers</w:t>
      </w:r>
      <w:r w:rsidR="009C49CA">
        <w:t>:</w:t>
      </w:r>
    </w:p>
    <w:p w14:paraId="1EA38C4C" w14:textId="77777777" w:rsidR="00B67C6E" w:rsidRDefault="00B67C6E" w:rsidP="00B67C6E">
      <w:pPr>
        <w:pStyle w:val="ListBullet"/>
      </w:pPr>
      <w:r>
        <w:t xml:space="preserve">there are difficulties in engaging older people (and to a lesser extent, males). This was demonstrated by a registration rate of people aged 65 or more years that was less than half that of people aged 20 years or less when My Health </w:t>
      </w:r>
      <w:r w:rsidR="00735D04">
        <w:t xml:space="preserve">Record </w:t>
      </w:r>
      <w:r>
        <w:t>was an opt</w:t>
      </w:r>
      <w:r>
        <w:noBreakHyphen/>
        <w:t xml:space="preserve">in system </w:t>
      </w:r>
      <w:r w:rsidR="00C65A42" w:rsidRPr="00C65A42">
        <w:rPr>
          <w:szCs w:val="24"/>
        </w:rPr>
        <w:t>(ADHA 2017)</w:t>
      </w:r>
      <w:r>
        <w:t xml:space="preserve">. Concerns about privacy and people’s technical capacity to use the system may have played a role in this outcome </w:t>
      </w:r>
      <w:r w:rsidR="00C65A42" w:rsidRPr="00C65A42">
        <w:rPr>
          <w:szCs w:val="24"/>
        </w:rPr>
        <w:t>(for example, ACN 2017)</w:t>
      </w:r>
      <w:r>
        <w:t>. While an opt</w:t>
      </w:r>
      <w:r>
        <w:noBreakHyphen/>
        <w:t xml:space="preserve">out system will ensure more complete clinical records, it will not guarantee that older people will use the system for their own purposes. This is problematic because older people use more services and are much more likely to have complex interacting chronic conditions where information given </w:t>
      </w:r>
      <w:r w:rsidRPr="00B67C6E">
        <w:rPr>
          <w:i/>
        </w:rPr>
        <w:t>to</w:t>
      </w:r>
      <w:r>
        <w:t xml:space="preserve"> them, not just recorded </w:t>
      </w:r>
      <w:r w:rsidRPr="00B67C6E">
        <w:rPr>
          <w:i/>
        </w:rPr>
        <w:t>about</w:t>
      </w:r>
      <w:r>
        <w:t xml:space="preserve"> them, is important.</w:t>
      </w:r>
    </w:p>
    <w:p w14:paraId="1EA38C4D" w14:textId="77777777" w:rsidR="00B67C6E" w:rsidRDefault="00B67C6E" w:rsidP="00B67C6E">
      <w:pPr>
        <w:pStyle w:val="ListBullet"/>
      </w:pPr>
      <w:r>
        <w:t xml:space="preserve">There is also evidence of a lack of awareness by people of the potential uses of the Record. For example, only </w:t>
      </w:r>
      <w:r w:rsidR="009C49CA">
        <w:t>1</w:t>
      </w:r>
      <w:r w:rsidR="00AE68EC">
        <w:t>071</w:t>
      </w:r>
      <w:r>
        <w:t xml:space="preserve"> people (0.002 per cent of registered users) had used My Health </w:t>
      </w:r>
      <w:r w:rsidR="00735D04">
        <w:t xml:space="preserve">Record </w:t>
      </w:r>
      <w:r>
        <w:t>to lodge an Advance Care Planning Document</w:t>
      </w:r>
      <w:r w:rsidR="00AE68EC">
        <w:t xml:space="preserve"> by mid</w:t>
      </w:r>
      <w:r w:rsidR="00F174B3">
        <w:noBreakHyphen/>
      </w:r>
      <w:r w:rsidR="00AE68EC">
        <w:t>June 2017</w:t>
      </w:r>
      <w:r>
        <w:t>, despite the relevance of such a document to all Australians.</w:t>
      </w:r>
    </w:p>
    <w:p w14:paraId="1EA38C4E" w14:textId="77777777" w:rsidR="00B67C6E" w:rsidRDefault="00B67C6E" w:rsidP="00B67C6E">
      <w:pPr>
        <w:pStyle w:val="BodyText"/>
      </w:pPr>
      <w:r>
        <w:t>While social marketing might partly address these barriers, advice from health professionals (regardless of where they operate in the system) about its value to people may be the most successful approach to encourage its use.</w:t>
      </w:r>
    </w:p>
    <w:p w14:paraId="1EA38C4F" w14:textId="77777777" w:rsidR="00BC6A59" w:rsidRDefault="00BC6A59" w:rsidP="00B67C6E">
      <w:pPr>
        <w:pStyle w:val="BodyText"/>
      </w:pPr>
      <w:r>
        <w:t>The presumption in much of the material is that low health literacy is a deficit in the patient, but this ignores that a role of health professionals is to tailor their communication to patients’ health literacy level. Nurses, for example, tend to overestimate patients’ literacy levels, and professionals fail to recognise that people with poor literacy are reluctant to reveal their lack of understanding of advice</w:t>
      </w:r>
      <w:r w:rsidR="005B24F2">
        <w:t xml:space="preserve"> </w:t>
      </w:r>
      <w:r w:rsidR="00C65A42" w:rsidRPr="00C65A42">
        <w:rPr>
          <w:szCs w:val="24"/>
        </w:rPr>
        <w:t>(Johnson 2014, p. 43)</w:t>
      </w:r>
      <w:r>
        <w:t xml:space="preserve">. This </w:t>
      </w:r>
      <w:r w:rsidR="00C84E55">
        <w:t xml:space="preserve">is </w:t>
      </w:r>
      <w:r>
        <w:t xml:space="preserve">why My Health </w:t>
      </w:r>
      <w:r w:rsidR="002F0FA3">
        <w:t xml:space="preserve">Record </w:t>
      </w:r>
      <w:r>
        <w:t>may be a good vehicle for testing literacy in a non</w:t>
      </w:r>
      <w:r w:rsidR="009C49CA">
        <w:noBreakHyphen/>
      </w:r>
      <w:r>
        <w:t xml:space="preserve">stigmatising way and communicating the results to clinicians. It also suggests that medical </w:t>
      </w:r>
      <w:r w:rsidR="00186EC1">
        <w:t>education</w:t>
      </w:r>
      <w:r>
        <w:t xml:space="preserve"> should </w:t>
      </w:r>
      <w:r w:rsidR="003B5DFA">
        <w:t xml:space="preserve">provide training on the importance of health literacy in obtaining good clinical outcomes and better patient experiences. This has been </w:t>
      </w:r>
      <w:r w:rsidR="00186EC1">
        <w:t>identified</w:t>
      </w:r>
      <w:r w:rsidR="003B5DFA">
        <w:t xml:space="preserve"> as a</w:t>
      </w:r>
      <w:r w:rsidR="00186EC1">
        <w:t xml:space="preserve"> ‘</w:t>
      </w:r>
      <w:r w:rsidR="003B5DFA">
        <w:t>major gap’</w:t>
      </w:r>
      <w:r w:rsidR="005B24F2">
        <w:t xml:space="preserve"> </w:t>
      </w:r>
      <w:r w:rsidR="00C65A42" w:rsidRPr="00C65A42">
        <w:rPr>
          <w:szCs w:val="24"/>
        </w:rPr>
        <w:t>(Hill 2016)</w:t>
      </w:r>
      <w:r w:rsidR="00186EC1">
        <w:t>.</w:t>
      </w:r>
    </w:p>
    <w:p w14:paraId="1EA38C50" w14:textId="77777777" w:rsidR="00110E15" w:rsidRDefault="00110E15" w:rsidP="007B0375">
      <w:pPr>
        <w:pStyle w:val="Heading3"/>
      </w:pPr>
      <w:r>
        <w:t>To have its full impacts, health literacy needs to be accompanied by information on system performance</w:t>
      </w:r>
    </w:p>
    <w:p w14:paraId="1EA38C51" w14:textId="77777777" w:rsidR="001E0D11" w:rsidRDefault="00B55659" w:rsidP="00154337">
      <w:pPr>
        <w:pStyle w:val="BodyText"/>
      </w:pPr>
      <w:r>
        <w:t xml:space="preserve">Health literacy </w:t>
      </w:r>
      <w:r w:rsidR="008C428E">
        <w:t>can contribute to</w:t>
      </w:r>
      <w:r>
        <w:t xml:space="preserve"> giving consumers more power</w:t>
      </w:r>
      <w:r w:rsidR="00C25FCF">
        <w:t xml:space="preserve"> and choice. But actually achieving these goals needs </w:t>
      </w:r>
      <w:r>
        <w:t>divulgence</w:t>
      </w:r>
      <w:r w:rsidR="00C25FCF">
        <w:t xml:space="preserve"> of information about the performance of providers. In some cases, that requires new measures of performance (the next section), and in others, transparency of prices and indicators of the quality of services provided by hospitals and clinicians (chapter</w:t>
      </w:r>
      <w:r w:rsidR="004A3300">
        <w:t> 7</w:t>
      </w:r>
      <w:r w:rsidR="00C25FCF">
        <w:t xml:space="preserve">). </w:t>
      </w:r>
    </w:p>
    <w:p w14:paraId="1EA38C52" w14:textId="77777777" w:rsidR="007A4A3F" w:rsidRPr="004E3B94" w:rsidRDefault="007A4A3F" w:rsidP="007A4A3F">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129"/>
      </w:tblGrid>
      <w:tr w:rsidR="006B102C" w:rsidRPr="006B102C" w14:paraId="1EA38C5E" w14:textId="77777777" w:rsidTr="006B102C">
        <w:trPr>
          <w:tblHeader/>
        </w:trPr>
        <w:tc>
          <w:tcPr>
            <w:tcW w:w="5000" w:type="pct"/>
            <w:tcBorders>
              <w:top w:val="single" w:sz="4" w:space="0" w:color="265A9A" w:themeColor="accent2"/>
              <w:left w:val="nil"/>
              <w:bottom w:val="nil"/>
              <w:right w:val="nil"/>
            </w:tcBorders>
            <w:shd w:val="clear" w:color="auto" w:fill="E1EBF5"/>
            <w:tcMar>
              <w:left w:w="170" w:type="dxa"/>
              <w:right w:w="170" w:type="dxa"/>
            </w:tcMar>
          </w:tcPr>
          <w:p w14:paraId="1EA38C53" w14:textId="77777777" w:rsidR="007A4A3F" w:rsidRPr="006B102C" w:rsidRDefault="007A4A3F" w:rsidP="003A1364">
            <w:pPr>
              <w:pStyle w:val="RecTitle"/>
              <w:spacing w:before="120"/>
              <w:rPr>
                <w:noProof/>
              </w:rPr>
            </w:pPr>
            <w:r w:rsidRPr="006B102C">
              <w:t xml:space="preserve">conclusion </w:t>
            </w:r>
            <w:r w:rsidR="00B42B57" w:rsidRPr="006B102C">
              <w:t>3</w:t>
            </w:r>
            <w:r w:rsidRPr="006B102C">
              <w:t>.1</w:t>
            </w:r>
          </w:p>
          <w:p w14:paraId="1EA38C54" w14:textId="77777777" w:rsidR="007A4A3F" w:rsidRPr="004A4B5C" w:rsidRDefault="007A4A3F" w:rsidP="00944790">
            <w:pPr>
              <w:pStyle w:val="Rec"/>
            </w:pPr>
            <w:r w:rsidRPr="004A4B5C">
              <w:t>Health literacy is one of the key determinants of health outcomes and a capacity for people to participate in their own care and make informed choices between alternative health providers.</w:t>
            </w:r>
          </w:p>
          <w:p w14:paraId="1EA38C55" w14:textId="77777777" w:rsidR="005552BB" w:rsidRPr="004A4B5C" w:rsidRDefault="008C4546" w:rsidP="00944790">
            <w:pPr>
              <w:pStyle w:val="Rec"/>
            </w:pPr>
            <w:r w:rsidRPr="004A4B5C">
              <w:t>Increasing</w:t>
            </w:r>
            <w:r w:rsidR="007A4A3F" w:rsidRPr="004A4B5C">
              <w:t xml:space="preserve"> health literacy should be a major objective of </w:t>
            </w:r>
            <w:r w:rsidR="0058709C" w:rsidRPr="004A4B5C">
              <w:t>a</w:t>
            </w:r>
            <w:r w:rsidR="00A47997" w:rsidRPr="004A4B5C">
              <w:t xml:space="preserve">n integrated health care system. </w:t>
            </w:r>
            <w:r w:rsidRPr="004A4B5C">
              <w:t>Achieving this will involve multiple initiatives:</w:t>
            </w:r>
          </w:p>
          <w:p w14:paraId="1EA38C56" w14:textId="77777777" w:rsidR="00A10EF9" w:rsidRPr="006B102C" w:rsidRDefault="006F393F" w:rsidP="00944790">
            <w:pPr>
              <w:pStyle w:val="RecBullet"/>
            </w:pPr>
            <w:r w:rsidRPr="006B102C">
              <w:t>The funding reforms proposed in Conclusion</w:t>
            </w:r>
            <w:r w:rsidR="00AB0E2F" w:rsidRPr="006B102C">
              <w:t> 6.1</w:t>
            </w:r>
            <w:r w:rsidRPr="006B102C">
              <w:t xml:space="preserve"> and the cultivation of </w:t>
            </w:r>
            <w:r w:rsidR="0046621B" w:rsidRPr="006B102C">
              <w:t>experimentation</w:t>
            </w:r>
            <w:r w:rsidRPr="006B102C">
              <w:t xml:space="preserve"> and collaboration at the local level is a key way of </w:t>
            </w:r>
            <w:r w:rsidR="0046621B" w:rsidRPr="006B102C">
              <w:t>developing effective health literacy in communities.</w:t>
            </w:r>
          </w:p>
          <w:p w14:paraId="1EA38C57" w14:textId="77777777" w:rsidR="00A10EF9" w:rsidRPr="006B102C" w:rsidRDefault="00A10EF9" w:rsidP="00944790">
            <w:pPr>
              <w:pStyle w:val="RecBullet"/>
            </w:pPr>
            <w:r w:rsidRPr="006B102C">
              <w:t>It would be desirable to give more weight in health professionals’ training syllabuses to the implications of people’s health literacy for effective communication with patients.</w:t>
            </w:r>
          </w:p>
          <w:p w14:paraId="1EA38C58" w14:textId="77777777" w:rsidR="007A4A3F" w:rsidRPr="006B102C" w:rsidRDefault="0046621B" w:rsidP="00944790">
            <w:pPr>
              <w:pStyle w:val="RecBullet"/>
            </w:pPr>
            <w:r w:rsidRPr="006B102C">
              <w:t xml:space="preserve">While having good prima facie validity as a mean of raising health literacy, health education in schools </w:t>
            </w:r>
            <w:r w:rsidR="00E57FA9" w:rsidRPr="006B102C">
              <w:t xml:space="preserve">appears to suffer from the problems affecting other aspects of teaching, such as teacher </w:t>
            </w:r>
            <w:r w:rsidR="009B419D" w:rsidRPr="006B102C">
              <w:t>capabilities</w:t>
            </w:r>
            <w:r w:rsidR="00E57FA9" w:rsidRPr="006B102C">
              <w:t>.</w:t>
            </w:r>
            <w:r w:rsidR="006F393F" w:rsidRPr="006B102C">
              <w:t xml:space="preserve"> </w:t>
            </w:r>
            <w:r w:rsidR="001E7AB4" w:rsidRPr="006B102C">
              <w:t>Few high</w:t>
            </w:r>
            <w:r w:rsidR="001E7AB4" w:rsidRPr="006B102C">
              <w:noBreakHyphen/>
              <w:t>quality evaluations of the long</w:t>
            </w:r>
            <w:r w:rsidR="009C49CA" w:rsidRPr="006B102C">
              <w:noBreakHyphen/>
            </w:r>
            <w:r w:rsidR="001E7AB4" w:rsidRPr="006B102C">
              <w:t>run effects of raising health literacy in schools have been undertake</w:t>
            </w:r>
            <w:r w:rsidR="00CF369D" w:rsidRPr="006B102C">
              <w:t>n</w:t>
            </w:r>
            <w:r w:rsidR="001E7AB4" w:rsidRPr="006B102C">
              <w:t>, which should be remedied.</w:t>
            </w:r>
          </w:p>
          <w:p w14:paraId="1EA38C59" w14:textId="77777777" w:rsidR="005552BB" w:rsidRPr="006B102C" w:rsidRDefault="001E7AB4" w:rsidP="00944790">
            <w:pPr>
              <w:pStyle w:val="RecBullet"/>
            </w:pPr>
            <w:r w:rsidRPr="006B102C">
              <w:t>M</w:t>
            </w:r>
            <w:r w:rsidR="005552BB" w:rsidRPr="006B102C">
              <w:t>y Health Record shows promise in improving health literacy by:</w:t>
            </w:r>
          </w:p>
          <w:p w14:paraId="1EA38C5A" w14:textId="77777777" w:rsidR="005552BB" w:rsidRPr="006B102C" w:rsidRDefault="005552BB" w:rsidP="000D4BF9">
            <w:pPr>
              <w:pStyle w:val="Rec"/>
              <w:keepNext/>
              <w:numPr>
                <w:ilvl w:val="1"/>
                <w:numId w:val="30"/>
              </w:numPr>
              <w:spacing w:before="60" w:line="260" w:lineRule="atLeast"/>
              <w:ind w:left="681" w:hanging="357"/>
            </w:pPr>
            <w:r w:rsidRPr="006B102C">
              <w:t xml:space="preserve">being a vehicle for assessing health literacy — </w:t>
            </w:r>
            <w:r w:rsidR="00A830E1" w:rsidRPr="006B102C">
              <w:t>with accompanying advice to people on where to acquire more skills if that is required or desired, and, if a person consents, permission for health professionals to access the results</w:t>
            </w:r>
          </w:p>
          <w:p w14:paraId="1EA38C5B" w14:textId="77777777" w:rsidR="005552BB" w:rsidRPr="006B102C" w:rsidRDefault="00A830E1" w:rsidP="000D4BF9">
            <w:pPr>
              <w:pStyle w:val="Rec"/>
              <w:keepNext/>
              <w:numPr>
                <w:ilvl w:val="1"/>
                <w:numId w:val="30"/>
              </w:numPr>
              <w:spacing w:before="60" w:line="260" w:lineRule="atLeast"/>
              <w:ind w:left="681" w:hanging="357"/>
            </w:pPr>
            <w:r w:rsidRPr="006B102C">
              <w:t>lowering the costs of randomised control experiments to assess the most effective ways of communicating with people, based on their characteristics</w:t>
            </w:r>
          </w:p>
          <w:p w14:paraId="1EA38C5C" w14:textId="77777777" w:rsidR="00C25FCF" w:rsidRPr="006B102C" w:rsidRDefault="005552BB" w:rsidP="00C25FCF">
            <w:pPr>
              <w:pStyle w:val="Rec"/>
              <w:keepNext/>
              <w:numPr>
                <w:ilvl w:val="1"/>
                <w:numId w:val="30"/>
              </w:numPr>
              <w:spacing w:before="60" w:line="260" w:lineRule="atLeast"/>
              <w:ind w:left="681" w:hanging="357"/>
            </w:pPr>
            <w:r w:rsidRPr="006B102C">
              <w:t xml:space="preserve">providing tailored information that would allow greater scope for </w:t>
            </w:r>
            <w:r w:rsidR="009B419D" w:rsidRPr="006B102C">
              <w:t>patient</w:t>
            </w:r>
            <w:r w:rsidRPr="006B102C">
              <w:t xml:space="preserve"> self</w:t>
            </w:r>
            <w:r w:rsidRPr="006B102C">
              <w:noBreakHyphen/>
              <w:t>management and joint partic</w:t>
            </w:r>
            <w:r w:rsidR="00090993" w:rsidRPr="006B102C">
              <w:t xml:space="preserve">ipation in health care decision </w:t>
            </w:r>
            <w:r w:rsidRPr="006B102C">
              <w:t>making</w:t>
            </w:r>
            <w:r w:rsidR="008C4546" w:rsidRPr="006B102C">
              <w:t>, potentially supported by the use of apps and wearable technologies</w:t>
            </w:r>
            <w:r w:rsidRPr="006B102C">
              <w:t>.</w:t>
            </w:r>
          </w:p>
          <w:p w14:paraId="1EA38C5D" w14:textId="77777777" w:rsidR="00C25FCF" w:rsidRPr="00593967" w:rsidRDefault="00C25FCF" w:rsidP="00944790">
            <w:pPr>
              <w:pStyle w:val="Rec"/>
            </w:pPr>
            <w:r w:rsidRPr="00593967">
              <w:t xml:space="preserve">Many of the benefits of health literacy </w:t>
            </w:r>
            <w:r w:rsidR="00CC6058" w:rsidRPr="00593967">
              <w:t>— an</w:t>
            </w:r>
            <w:r w:rsidR="00570903" w:rsidRPr="00593967">
              <w:t>d</w:t>
            </w:r>
            <w:r w:rsidR="00CC6058" w:rsidRPr="00593967">
              <w:t xml:space="preserve"> in particular the capacity to </w:t>
            </w:r>
            <w:r w:rsidR="00B152FB" w:rsidRPr="00593967">
              <w:t>exercise</w:t>
            </w:r>
            <w:r w:rsidR="00CC6058" w:rsidRPr="00593967">
              <w:t xml:space="preserve"> </w:t>
            </w:r>
            <w:r w:rsidR="004F5E85" w:rsidRPr="00593967">
              <w:t xml:space="preserve">choice — </w:t>
            </w:r>
            <w:r w:rsidRPr="00593967">
              <w:t xml:space="preserve">require greater divulgence of the performance of clinicians and </w:t>
            </w:r>
            <w:r w:rsidR="001E45AD" w:rsidRPr="00593967">
              <w:t xml:space="preserve">organisations, including </w:t>
            </w:r>
            <w:r w:rsidRPr="00593967">
              <w:t>hospitals</w:t>
            </w:r>
            <w:r w:rsidR="001E45AD" w:rsidRPr="00593967">
              <w:t xml:space="preserve"> and practices,</w:t>
            </w:r>
            <w:r w:rsidRPr="00593967">
              <w:t xml:space="preserve"> and where they apply, prices.</w:t>
            </w:r>
          </w:p>
        </w:tc>
      </w:tr>
      <w:tr w:rsidR="006B102C" w:rsidRPr="006B102C" w14:paraId="1EA38C60" w14:textId="77777777" w:rsidTr="006B102C">
        <w:tc>
          <w:tcPr>
            <w:tcW w:w="5000" w:type="pct"/>
            <w:tcBorders>
              <w:top w:val="nil"/>
              <w:left w:val="nil"/>
              <w:bottom w:val="single" w:sz="4" w:space="0" w:color="265A9A" w:themeColor="accent2"/>
              <w:right w:val="nil"/>
            </w:tcBorders>
            <w:shd w:val="clear" w:color="auto" w:fill="E1EBF5"/>
            <w:tcMar>
              <w:left w:w="170" w:type="dxa"/>
              <w:right w:w="170" w:type="dxa"/>
            </w:tcMar>
          </w:tcPr>
          <w:p w14:paraId="1EA38C5F" w14:textId="77777777" w:rsidR="007A4A3F" w:rsidRPr="006B102C" w:rsidRDefault="007A4A3F" w:rsidP="006B102C">
            <w:pPr>
              <w:pStyle w:val="Space"/>
              <w:keepLines/>
            </w:pPr>
          </w:p>
        </w:tc>
      </w:tr>
      <w:tr w:rsidR="007A4A3F" w:rsidRPr="000863A5" w14:paraId="1EA38C62" w14:textId="77777777" w:rsidTr="006B102C">
        <w:tc>
          <w:tcPr>
            <w:tcW w:w="5000" w:type="pct"/>
            <w:tcBorders>
              <w:top w:val="single" w:sz="4" w:space="0" w:color="265A9A" w:themeColor="accent2"/>
              <w:left w:val="nil"/>
              <w:bottom w:val="nil"/>
              <w:right w:val="nil"/>
            </w:tcBorders>
            <w:tcMar>
              <w:left w:w="170" w:type="dxa"/>
              <w:right w:w="170" w:type="dxa"/>
            </w:tcMar>
          </w:tcPr>
          <w:p w14:paraId="1EA38C61" w14:textId="77777777" w:rsidR="007A4A3F" w:rsidRPr="00626D32" w:rsidRDefault="007A4A3F" w:rsidP="003A1364">
            <w:pPr>
              <w:pStyle w:val="BoxSpaceBelow"/>
              <w:keepLines/>
            </w:pPr>
          </w:p>
        </w:tc>
      </w:tr>
    </w:tbl>
    <w:p w14:paraId="1EA38C63" w14:textId="77777777" w:rsidR="003A395F" w:rsidRDefault="00B42B57" w:rsidP="00B42B57">
      <w:pPr>
        <w:pStyle w:val="Heading2"/>
      </w:pPr>
      <w:bookmarkStart w:id="26" w:name="_Toc488929684"/>
      <w:bookmarkStart w:id="27" w:name="_Toc489250062"/>
      <w:r>
        <w:t>3.3</w:t>
      </w:r>
      <w:r>
        <w:tab/>
      </w:r>
      <w:r w:rsidR="00B0043A">
        <w:t>Asking people about their experiences and outcomes</w:t>
      </w:r>
      <w:bookmarkEnd w:id="26"/>
      <w:bookmarkEnd w:id="27"/>
    </w:p>
    <w:p w14:paraId="1EA38C64" w14:textId="77777777" w:rsidR="002E5ED2" w:rsidRDefault="002E5ED2" w:rsidP="00FD7BEE">
      <w:pPr>
        <w:pStyle w:val="BodyText"/>
      </w:pPr>
      <w:r>
        <w:t xml:space="preserve">Some aspects of health care can only be assessed by asking people about </w:t>
      </w:r>
      <w:r w:rsidR="00C33241">
        <w:t xml:space="preserve">their </w:t>
      </w:r>
      <w:r>
        <w:t xml:space="preserve">outcomes and experiences. Yet, to the degree that outputs and outcomes are measured in the health care system, they typically relate to clinical assessments, administrative records and notifiable events (death, adverse events, hospital discharges, readmissions and so on). </w:t>
      </w:r>
    </w:p>
    <w:p w14:paraId="1EA38C65" w14:textId="77777777" w:rsidR="00977F5F" w:rsidRDefault="00977F5F" w:rsidP="00A375E5">
      <w:pPr>
        <w:pStyle w:val="BodyText"/>
      </w:pPr>
      <w:r>
        <w:t>There are now well</w:t>
      </w:r>
      <w:r>
        <w:noBreakHyphen/>
        <w:t xml:space="preserve">established ways of assessing patients’ experiences through Patient Reported Experience and Outcome Measures (PREMs and PROMs). </w:t>
      </w:r>
      <w:r w:rsidR="008C428E">
        <w:t>PREMs provide insight into processes that affect patients’ experience</w:t>
      </w:r>
      <w:r w:rsidR="0048435C">
        <w:t>, for example they ask patients about the time spent waiting and the quality of communication</w:t>
      </w:r>
      <w:r w:rsidR="008C428E">
        <w:t>. PROMs focus on patients’ health and their health</w:t>
      </w:r>
      <w:r w:rsidR="008C428E">
        <w:noBreakHyphen/>
        <w:t>related quality of life</w:t>
      </w:r>
      <w:r w:rsidR="0048435C">
        <w:t xml:space="preserve">. </w:t>
      </w:r>
      <w:r>
        <w:t>These ask patients for their views about post</w:t>
      </w:r>
      <w:r w:rsidR="009C49CA">
        <w:noBreakHyphen/>
      </w:r>
      <w:r>
        <w:t>operative outcomes (say their capacity for doing everyday tasks after a knee replac</w:t>
      </w:r>
      <w:r w:rsidR="00832D9E">
        <w:t xml:space="preserve">ement), distress, and pain levels </w:t>
      </w:r>
      <w:r>
        <w:t xml:space="preserve">among other things. They are less subjective than </w:t>
      </w:r>
      <w:r w:rsidR="00F80F11">
        <w:t>standard</w:t>
      </w:r>
      <w:r w:rsidR="002D131E">
        <w:t xml:space="preserve"> </w:t>
      </w:r>
      <w:r>
        <w:t>satisfaction measures, though they may also have a role</w:t>
      </w:r>
      <w:r w:rsidR="002D131E">
        <w:t xml:space="preserve"> and sometimes overlap</w:t>
      </w:r>
      <w:r>
        <w:t xml:space="preserve">. </w:t>
      </w:r>
    </w:p>
    <w:p w14:paraId="1EA38C66" w14:textId="77777777" w:rsidR="00A375E5" w:rsidRDefault="00A375E5" w:rsidP="00A375E5">
      <w:pPr>
        <w:pStyle w:val="BodyText"/>
      </w:pPr>
      <w:r>
        <w:t xml:space="preserve">There is evidence that PREMs and PROMs lead to better </w:t>
      </w:r>
      <w:r w:rsidR="00090993">
        <w:t xml:space="preserve">decision </w:t>
      </w:r>
      <w:r w:rsidR="00AA2519">
        <w:t xml:space="preserve">making </w:t>
      </w:r>
      <w:r>
        <w:t>and patient experiences</w:t>
      </w:r>
      <w:r w:rsidR="00AA2519">
        <w:t> </w:t>
      </w:r>
      <w:r w:rsidR="00464537" w:rsidRPr="00464537">
        <w:rPr>
          <w:szCs w:val="24"/>
        </w:rPr>
        <w:t>(Breckenridge et al. 2015; Chen 2016; Duckett, Cuddihy and Newnham 2016)</w:t>
      </w:r>
      <w:r>
        <w:t>. They are no</w:t>
      </w:r>
      <w:r w:rsidR="002D131E">
        <w:t xml:space="preserve">w widely used in the </w:t>
      </w:r>
      <w:r w:rsidR="0083038E">
        <w:t>United States</w:t>
      </w:r>
      <w:r w:rsidR="002D131E">
        <w:t xml:space="preserve">, the </w:t>
      </w:r>
      <w:r w:rsidR="0083038E">
        <w:t>United Kingdom</w:t>
      </w:r>
      <w:r w:rsidR="002D131E">
        <w:t xml:space="preserve">, </w:t>
      </w:r>
      <w:r>
        <w:t>Sweden</w:t>
      </w:r>
      <w:r w:rsidR="002D131E">
        <w:t xml:space="preserve"> and the Netherlands</w:t>
      </w:r>
      <w:r>
        <w:t xml:space="preserve"> and for given diseases in a range of other countries </w:t>
      </w:r>
      <w:r w:rsidR="007E61CC" w:rsidRPr="007E61CC">
        <w:rPr>
          <w:szCs w:val="24"/>
        </w:rPr>
        <w:t>(OECD 2017a; Williams et al. 2016a)</w:t>
      </w:r>
      <w:r>
        <w:t xml:space="preserve">. </w:t>
      </w:r>
    </w:p>
    <w:p w14:paraId="1EA38C67" w14:textId="77777777" w:rsidR="00F80F11" w:rsidRDefault="00F80F11" w:rsidP="00A375E5">
      <w:pPr>
        <w:pStyle w:val="BodyText"/>
      </w:pPr>
      <w:r>
        <w:t xml:space="preserve">Patient experience measures can relate to specific types of events — for </w:t>
      </w:r>
      <w:r w:rsidR="00CE5D36">
        <w:t>instance</w:t>
      </w:r>
      <w:r>
        <w:t xml:space="preserve"> adverse events in hospitals</w:t>
      </w:r>
      <w:r w:rsidR="00CE5D36">
        <w:t xml:space="preserve"> — where their insights can add new dimensions to routinely</w:t>
      </w:r>
      <w:r w:rsidR="009C49CA">
        <w:noBreakHyphen/>
      </w:r>
      <w:r w:rsidR="00CE5D36">
        <w:t>collected data</w:t>
      </w:r>
      <w:r>
        <w:t xml:space="preserve">. </w:t>
      </w:r>
      <w:r w:rsidR="00CE5D36">
        <w:t>As noted in a recent large</w:t>
      </w:r>
      <w:r w:rsidR="00CE5D36">
        <w:noBreakHyphen/>
        <w:t>scale study:</w:t>
      </w:r>
    </w:p>
    <w:p w14:paraId="1EA38C68" w14:textId="77777777" w:rsidR="00CE5D36" w:rsidRDefault="00CE5D36" w:rsidP="00CE5D36">
      <w:pPr>
        <w:pStyle w:val="Quote"/>
      </w:pPr>
      <w:r>
        <w:t xml:space="preserve">Speciﬁcally, patients can provide valuable information regarding problems with continuity of care, medication errors and communication between staff and with patients. The information from patients is critical to identifying incidents and ultimately to reducing patient harm, but they are not routinely asked to provide these data. </w:t>
      </w:r>
      <w:r w:rsidR="00C65A42" w:rsidRPr="00932B4E">
        <w:t>(Harrison et al. 2015, p. 16)</w:t>
      </w:r>
    </w:p>
    <w:p w14:paraId="1EA38C69" w14:textId="77777777" w:rsidR="00A375E5" w:rsidRDefault="00A375E5" w:rsidP="00A375E5">
      <w:pPr>
        <w:pStyle w:val="BodyText"/>
      </w:pPr>
      <w:r>
        <w:t>Some Australian State Governments are piloting PREMs and PROMs (NSW for both measures, and Victoria for PROMs).</w:t>
      </w:r>
      <w:r w:rsidRPr="003D243B">
        <w:rPr>
          <w:rStyle w:val="FootnoteReference"/>
        </w:rPr>
        <w:footnoteReference w:id="12"/>
      </w:r>
      <w:r>
        <w:t xml:space="preserve"> In NSW, the Bureau of Health Information collects </w:t>
      </w:r>
      <w:r w:rsidR="002D131E">
        <w:t xml:space="preserve">various </w:t>
      </w:r>
      <w:r>
        <w:t xml:space="preserve">PREMs for </w:t>
      </w:r>
      <w:r w:rsidR="007D184D">
        <w:t>hospital admissions</w:t>
      </w:r>
      <w:r w:rsidR="002D131E">
        <w:t xml:space="preserve"> across the state with a routine Adult Admitted Patient Survey (figure </w:t>
      </w:r>
      <w:r w:rsidR="008406EC">
        <w:t>3.3</w:t>
      </w:r>
      <w:r w:rsidR="002D131E">
        <w:t xml:space="preserve">). </w:t>
      </w:r>
      <w:r w:rsidR="007A2F68">
        <w:t xml:space="preserve">The BHI </w:t>
      </w:r>
      <w:r w:rsidR="002D131E">
        <w:t>has also undertaken targeted data collection</w:t>
      </w:r>
      <w:r w:rsidR="00873235">
        <w:t xml:space="preserve"> </w:t>
      </w:r>
      <w:r w:rsidR="002D131E">
        <w:t>for Aboriginal people</w:t>
      </w:r>
      <w:r w:rsidR="000D2E90">
        <w:t xml:space="preserve"> </w:t>
      </w:r>
      <w:r w:rsidR="00090650" w:rsidRPr="00090650">
        <w:rPr>
          <w:szCs w:val="24"/>
        </w:rPr>
        <w:t>(NSW BHI 2016)</w:t>
      </w:r>
      <w:r w:rsidR="002D131E">
        <w:t xml:space="preserve">. </w:t>
      </w:r>
      <w:r w:rsidR="00406B74">
        <w:t>Other jurisdictions also undertake patient surveys in hospitals, though their methods and survey frequency vary</w:t>
      </w:r>
      <w:r w:rsidR="00197AD0">
        <w:t xml:space="preserve"> </w:t>
      </w:r>
      <w:r w:rsidR="00C65A42" w:rsidRPr="00C65A42">
        <w:rPr>
          <w:szCs w:val="24"/>
        </w:rPr>
        <w:t>(ACSQHC 2012)</w:t>
      </w:r>
      <w:r w:rsidR="00406B74">
        <w:t xml:space="preserve">. </w:t>
      </w:r>
      <w:r>
        <w:t>There are also various disease</w:t>
      </w:r>
      <w:r>
        <w:noBreakHyphen/>
        <w:t xml:space="preserve">related registries across Australia that collect PROMs, such as the Victorian Cardiac Outcomes Registry </w:t>
      </w:r>
      <w:r w:rsidR="00170F1C" w:rsidRPr="00170F1C">
        <w:rPr>
          <w:szCs w:val="24"/>
        </w:rPr>
        <w:t>(ACSQHC 2016b)</w:t>
      </w:r>
      <w:r>
        <w:t>.</w:t>
      </w:r>
      <w:r w:rsidRPr="003D243B">
        <w:rPr>
          <w:rStyle w:val="FootnoteReference"/>
        </w:rPr>
        <w:footnoteReference w:id="13"/>
      </w:r>
      <w:r>
        <w:t xml:space="preserve"> </w:t>
      </w:r>
    </w:p>
    <w:p w14:paraId="1EA38C6A" w14:textId="77777777" w:rsidR="00F54749" w:rsidRDefault="000D2E90" w:rsidP="00D14167">
      <w:pPr>
        <w:pStyle w:val="BodyText"/>
      </w:pPr>
      <w:r>
        <w:t>However, there is no coherent Australia</w:t>
      </w:r>
      <w:r>
        <w:noBreakHyphen/>
        <w:t>wide collection</w:t>
      </w:r>
      <w:r w:rsidRPr="00756D9B">
        <w:t xml:space="preserve"> of </w:t>
      </w:r>
      <w:r w:rsidRPr="007D184D">
        <w:t>patients’</w:t>
      </w:r>
      <w:r w:rsidRPr="00756D9B">
        <w:t xml:space="preserve"> assessments of outcomes and experiences</w:t>
      </w:r>
      <w:r w:rsidR="007D184D">
        <w:t xml:space="preserve"> across various medical procedures</w:t>
      </w:r>
      <w:r w:rsidR="001C6E38">
        <w:t xml:space="preserve"> (</w:t>
      </w:r>
      <w:r w:rsidR="007D184D">
        <w:t>knee replacement</w:t>
      </w:r>
      <w:r w:rsidR="001C6E38">
        <w:t>s</w:t>
      </w:r>
      <w:r w:rsidR="007D184D">
        <w:t xml:space="preserve">, </w:t>
      </w:r>
      <w:r w:rsidR="001C6E38">
        <w:t>dialysis, breast cancer treatments and so on)</w:t>
      </w:r>
      <w:r w:rsidR="007D184D">
        <w:t xml:space="preserve">, and for different parts of the system (GPs, allied health care, specialists, acute and </w:t>
      </w:r>
      <w:r w:rsidR="001C6E38">
        <w:t>palliative</w:t>
      </w:r>
      <w:r w:rsidR="00D53766">
        <w:t xml:space="preserve"> care</w:t>
      </w:r>
      <w:r w:rsidR="007D184D">
        <w:t>).</w:t>
      </w:r>
      <w:r w:rsidR="00D53766">
        <w:t xml:space="preserve"> Little is known about patient experiences in the primary health care sector beyond limited ABS survey data</w:t>
      </w:r>
      <w:r w:rsidR="00197AD0">
        <w:t>,</w:t>
      </w:r>
      <w:r w:rsidR="00AE1E21">
        <w:t xml:space="preserve"> and the instruments for measures in this part of the health system are still under development</w:t>
      </w:r>
      <w:r w:rsidR="00D53766">
        <w:t xml:space="preserve"> </w:t>
      </w:r>
      <w:r w:rsidR="00BE2F4F" w:rsidRPr="00BE2F4F">
        <w:rPr>
          <w:szCs w:val="24"/>
        </w:rPr>
        <w:t>(ABS 2016b; Gardner et al. 2016)</w:t>
      </w:r>
      <w:r w:rsidR="00ED7605">
        <w:t>.</w:t>
      </w:r>
      <w:r w:rsidR="00AE1E21">
        <w:t xml:space="preserve"> </w:t>
      </w:r>
      <w:r w:rsidR="007D184D">
        <w:t xml:space="preserve">PREMs and PROMs should be common across jurisdictions so that results can be more readily </w:t>
      </w:r>
      <w:r w:rsidR="00197AD0">
        <w:t>benchmarked</w:t>
      </w:r>
      <w:r w:rsidR="007D184D">
        <w:t xml:space="preserve"> and lessons </w:t>
      </w:r>
      <w:r w:rsidR="00197AD0">
        <w:t>learnt.</w:t>
      </w:r>
    </w:p>
    <w:p w14:paraId="1EA38C6B" w14:textId="77777777" w:rsidR="002E5ED2" w:rsidRDefault="002E5ED2" w:rsidP="002E5ED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2E5ED2" w14:paraId="1EA38C6D" w14:textId="77777777" w:rsidTr="009C6DFB">
        <w:trPr>
          <w:tblHeader/>
        </w:trPr>
        <w:tc>
          <w:tcPr>
            <w:tcW w:w="5000" w:type="pct"/>
            <w:tcBorders>
              <w:top w:val="single" w:sz="6" w:space="0" w:color="78A22F"/>
              <w:left w:val="nil"/>
              <w:bottom w:val="nil"/>
              <w:right w:val="nil"/>
            </w:tcBorders>
            <w:shd w:val="clear" w:color="auto" w:fill="auto"/>
          </w:tcPr>
          <w:p w14:paraId="1EA38C6C" w14:textId="77777777" w:rsidR="002E5ED2" w:rsidRPr="00176D3F" w:rsidRDefault="002E5ED2" w:rsidP="00B42B57">
            <w:pPr>
              <w:pStyle w:val="FigureTitle"/>
            </w:pPr>
            <w:r w:rsidRPr="00944790">
              <w:rPr>
                <w:b w:val="0"/>
              </w:rPr>
              <w:t xml:space="preserve">Figure </w:t>
            </w:r>
            <w:r w:rsidR="00B42B57" w:rsidRPr="00944790">
              <w:rPr>
                <w:b w:val="0"/>
              </w:rPr>
              <w:t>3.3</w:t>
            </w:r>
            <w:r w:rsidRPr="00AF098D">
              <w:tab/>
            </w:r>
            <w:r>
              <w:t>A sample of the patient reported experiences for admitted patients in hospital emergency departments in NSW</w:t>
            </w:r>
            <w:r w:rsidR="00944691" w:rsidRPr="00944691">
              <w:rPr>
                <w:rStyle w:val="NoteLabel"/>
              </w:rPr>
              <w:t>a</w:t>
            </w:r>
          </w:p>
        </w:tc>
      </w:tr>
      <w:tr w:rsidR="002E5ED2" w14:paraId="1EA38C71" w14:textId="77777777" w:rsidTr="009C6DF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E5ED2" w:rsidRPr="00B1465D" w14:paraId="1EA38C6F" w14:textId="77777777" w:rsidTr="009C6DFB">
              <w:trPr>
                <w:tblHeader/>
                <w:jc w:val="center"/>
              </w:trPr>
              <w:tc>
                <w:tcPr>
                  <w:tcW w:w="5000" w:type="pct"/>
                  <w:tcBorders>
                    <w:top w:val="nil"/>
                    <w:bottom w:val="nil"/>
                  </w:tcBorders>
                </w:tcPr>
                <w:p w14:paraId="1EA38C6E" w14:textId="77777777" w:rsidR="002E5ED2" w:rsidRPr="00B1465D" w:rsidRDefault="00944691" w:rsidP="009C6DFB">
                  <w:pPr>
                    <w:pStyle w:val="Figure"/>
                    <w:spacing w:before="60" w:after="60"/>
                    <w:rPr>
                      <w:rFonts w:ascii="Arial" w:hAnsi="Arial" w:cs="Arial"/>
                      <w:sz w:val="18"/>
                      <w:szCs w:val="18"/>
                    </w:rPr>
                  </w:pPr>
                  <w:r>
                    <w:rPr>
                      <w:rFonts w:ascii="Arial" w:hAnsi="Arial" w:cs="Arial"/>
                      <w:noProof/>
                      <w:sz w:val="18"/>
                      <w:szCs w:val="18"/>
                    </w:rPr>
                    <w:drawing>
                      <wp:inline distT="0" distB="0" distL="0" distR="0" wp14:anchorId="1EA39646" wp14:editId="5D19D9F0">
                        <wp:extent cx="4895215" cy="3645535"/>
                        <wp:effectExtent l="0" t="0" r="635" b="0"/>
                        <wp:docPr id="13" name="Picture 13" descr="This figure is a snapshot of some of the results from New South Wales’ survey of patients who were admitted into hospital emergency departments. The snapshot was taken from the Bureau of Health Information’s Healthcare Observer website (www.bhi.nsw.gov.au/Healthcare_Obser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95215" cy="3645535"/>
                                </a:xfrm>
                                <a:prstGeom prst="rect">
                                  <a:avLst/>
                                </a:prstGeom>
                                <a:noFill/>
                              </pic:spPr>
                            </pic:pic>
                          </a:graphicData>
                        </a:graphic>
                      </wp:inline>
                    </w:drawing>
                  </w:r>
                </w:p>
              </w:tc>
            </w:tr>
          </w:tbl>
          <w:p w14:paraId="1EA38C70" w14:textId="77777777" w:rsidR="002E5ED2" w:rsidRDefault="002E5ED2" w:rsidP="009C6DFB">
            <w:pPr>
              <w:pStyle w:val="Figure"/>
            </w:pPr>
          </w:p>
        </w:tc>
      </w:tr>
      <w:tr w:rsidR="002E5ED2" w:rsidRPr="00176D3F" w14:paraId="1EA38C73" w14:textId="77777777" w:rsidTr="009C6DFB">
        <w:tc>
          <w:tcPr>
            <w:tcW w:w="5000" w:type="pct"/>
            <w:tcBorders>
              <w:top w:val="nil"/>
              <w:left w:val="nil"/>
              <w:bottom w:val="nil"/>
              <w:right w:val="nil"/>
            </w:tcBorders>
            <w:shd w:val="clear" w:color="auto" w:fill="auto"/>
          </w:tcPr>
          <w:p w14:paraId="1EA38C72" w14:textId="77777777" w:rsidR="002E5ED2" w:rsidRPr="00176D3F" w:rsidRDefault="002E5ED2" w:rsidP="00944691">
            <w:pPr>
              <w:pStyle w:val="Note"/>
            </w:pPr>
            <w:r>
              <w:rPr>
                <w:rStyle w:val="NoteLabel"/>
              </w:rPr>
              <w:t>a</w:t>
            </w:r>
            <w:r>
              <w:t xml:space="preserve"> </w:t>
            </w:r>
            <w:r w:rsidR="00944691">
              <w:t>The circles relate to hospitals in various NSW Local Health Districts</w:t>
            </w:r>
            <w:r>
              <w:t>.</w:t>
            </w:r>
            <w:r w:rsidR="00944691">
              <w:t xml:space="preserve"> Data are typically April 2014 to March 2015.</w:t>
            </w:r>
          </w:p>
        </w:tc>
      </w:tr>
      <w:tr w:rsidR="002E5ED2" w:rsidRPr="00176D3F" w14:paraId="1EA38C75" w14:textId="77777777" w:rsidTr="009C6DFB">
        <w:tc>
          <w:tcPr>
            <w:tcW w:w="5000" w:type="pct"/>
            <w:tcBorders>
              <w:top w:val="nil"/>
              <w:left w:val="nil"/>
              <w:bottom w:val="nil"/>
              <w:right w:val="nil"/>
            </w:tcBorders>
            <w:shd w:val="clear" w:color="auto" w:fill="auto"/>
          </w:tcPr>
          <w:p w14:paraId="1EA38C74" w14:textId="77777777" w:rsidR="002E5ED2" w:rsidRPr="00176D3F" w:rsidRDefault="00944691" w:rsidP="009C6DFB">
            <w:pPr>
              <w:pStyle w:val="Source"/>
            </w:pPr>
            <w:r>
              <w:rPr>
                <w:i/>
              </w:rPr>
              <w:t>S</w:t>
            </w:r>
            <w:r w:rsidR="002E5ED2" w:rsidRPr="00784A05">
              <w:rPr>
                <w:i/>
              </w:rPr>
              <w:t>ource</w:t>
            </w:r>
            <w:r w:rsidR="002E5ED2" w:rsidRPr="00176D3F">
              <w:t xml:space="preserve">: </w:t>
            </w:r>
            <w:r>
              <w:t xml:space="preserve">NSW Bureau of Health Information, Healthcare Observer from </w:t>
            </w:r>
            <w:r w:rsidRPr="00944691">
              <w:t>http://www.bhi.nsw.gov.au/</w:t>
            </w:r>
            <w:r>
              <w:t>.</w:t>
            </w:r>
          </w:p>
        </w:tc>
      </w:tr>
      <w:tr w:rsidR="002E5ED2" w14:paraId="1EA38C77" w14:textId="77777777" w:rsidTr="009C6DFB">
        <w:tc>
          <w:tcPr>
            <w:tcW w:w="5000" w:type="pct"/>
            <w:tcBorders>
              <w:top w:val="nil"/>
              <w:left w:val="nil"/>
              <w:bottom w:val="single" w:sz="6" w:space="0" w:color="78A22F"/>
              <w:right w:val="nil"/>
            </w:tcBorders>
            <w:shd w:val="clear" w:color="auto" w:fill="auto"/>
          </w:tcPr>
          <w:p w14:paraId="1EA38C76" w14:textId="77777777" w:rsidR="002E5ED2" w:rsidRDefault="002E5ED2" w:rsidP="009C6DFB">
            <w:pPr>
              <w:pStyle w:val="Figurespace"/>
            </w:pPr>
          </w:p>
        </w:tc>
      </w:tr>
      <w:tr w:rsidR="002E5ED2" w:rsidRPr="000863A5" w14:paraId="1EA38C79" w14:textId="77777777" w:rsidTr="009C6DFB">
        <w:tc>
          <w:tcPr>
            <w:tcW w:w="5000" w:type="pct"/>
            <w:tcBorders>
              <w:top w:val="single" w:sz="6" w:space="0" w:color="78A22F"/>
              <w:left w:val="nil"/>
              <w:bottom w:val="nil"/>
              <w:right w:val="nil"/>
            </w:tcBorders>
          </w:tcPr>
          <w:p w14:paraId="1EA38C78" w14:textId="77777777" w:rsidR="002E5ED2" w:rsidRPr="00626D32" w:rsidRDefault="002E5ED2" w:rsidP="009C6DFB">
            <w:pPr>
              <w:pStyle w:val="BoxSpaceBelow"/>
            </w:pPr>
          </w:p>
        </w:tc>
      </w:tr>
    </w:tbl>
    <w:p w14:paraId="1EA38C7A" w14:textId="77777777" w:rsidR="002E5ED2" w:rsidRDefault="00873235" w:rsidP="002E5ED2">
      <w:pPr>
        <w:pStyle w:val="BodyText"/>
      </w:pPr>
      <w:r>
        <w:t>A starting point for change would be the general requirement for hard</w:t>
      </w:r>
      <w:r>
        <w:noBreakHyphen/>
        <w:t>headed ongoing assessment of patients’ assessments of outcomes and experiences — which would hold governments and health</w:t>
      </w:r>
      <w:r w:rsidR="00923B4C">
        <w:t xml:space="preserve"> </w:t>
      </w:r>
      <w:r>
        <w:t xml:space="preserve">care providers accountable. </w:t>
      </w:r>
      <w:r w:rsidR="002E5ED2">
        <w:t xml:space="preserve">The </w:t>
      </w:r>
      <w:r w:rsidR="002E5ED2" w:rsidRPr="005F04FE">
        <w:t>International Consortium for Health Outcomes Measurement</w:t>
      </w:r>
      <w:r w:rsidR="002E5ED2">
        <w:t xml:space="preserve"> </w:t>
      </w:r>
      <w:r w:rsidR="007E61CC">
        <w:t xml:space="preserve">(ICHOM) </w:t>
      </w:r>
      <w:r w:rsidR="002E5ED2">
        <w:t>— a global collaboration on the development of outcome measures — has already developed standard outcome measures for just under 50 per cent of the global disease burden. It would provide a good starting point for the collection of data for many diseases.</w:t>
      </w:r>
    </w:p>
    <w:p w14:paraId="1EA38C7B" w14:textId="77777777" w:rsidR="0011001F" w:rsidRDefault="0011001F" w:rsidP="0011001F">
      <w:pPr>
        <w:pStyle w:val="BodyText"/>
      </w:pPr>
      <w:r>
        <w:t>The immediate universal rollout of new data collections that measure patient experiences and outcomes would be risky. Clinicians need to accept the legitimacy and value of the measures, and the compliance costs of data collection would be high unless the instruments, the associated IT and training were geared to reduce these. As users of the health system, Australians will need to know in plain English what PROMs and PREMs mean for them (‘</w:t>
      </w:r>
      <w:r w:rsidR="007A2F68">
        <w:t xml:space="preserve">Why </w:t>
      </w:r>
      <w:r>
        <w:t>am I filling out this questionnaire?’ ‘</w:t>
      </w:r>
      <w:r w:rsidR="007A2F68">
        <w:t xml:space="preserve">Why </w:t>
      </w:r>
      <w:r>
        <w:t>will it help me get better outcomes?). Such system changes require time and resourcing, and suggests pilots, as in Victoria and New South Wales, building on the experiences of other countries that have already implemented PREMs and PROMs.</w:t>
      </w:r>
    </w:p>
    <w:p w14:paraId="1EA38C7C" w14:textId="77777777" w:rsidR="00832D9E" w:rsidRDefault="002E5ED2" w:rsidP="0011001F">
      <w:pPr>
        <w:pStyle w:val="BodyText"/>
      </w:pPr>
      <w:r>
        <w:t xml:space="preserve">The adoption of PREMS and PROMs should be accompanied by the </w:t>
      </w:r>
      <w:r w:rsidRPr="00752318">
        <w:t xml:space="preserve">development of guidelines indicating how clinicians, administrators and funders should reflect the outcomes of </w:t>
      </w:r>
      <w:r>
        <w:t>these measures</w:t>
      </w:r>
      <w:r w:rsidRPr="00752318">
        <w:t xml:space="preserve"> in health</w:t>
      </w:r>
      <w:r w:rsidR="00923B4C">
        <w:t xml:space="preserve"> </w:t>
      </w:r>
      <w:r w:rsidRPr="00752318">
        <w:t>care management</w:t>
      </w:r>
      <w:r>
        <w:t>. The guidelines should be co</w:t>
      </w:r>
      <w:r w:rsidR="009C49CA">
        <w:noBreakHyphen/>
      </w:r>
      <w:r>
        <w:t xml:space="preserve">designed by all of the above parties in a collaborative effort, with the ACSQHC being a natural vehicle for progressing this. </w:t>
      </w:r>
    </w:p>
    <w:p w14:paraId="1EA38C7D" w14:textId="77777777" w:rsidR="001236ED" w:rsidRPr="004E3B94" w:rsidRDefault="001236ED" w:rsidP="001236E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129"/>
      </w:tblGrid>
      <w:tr w:rsidR="006B102C" w:rsidRPr="006B102C" w14:paraId="1EA38C88" w14:textId="77777777" w:rsidTr="006B102C">
        <w:trPr>
          <w:tblHeader/>
        </w:trPr>
        <w:tc>
          <w:tcPr>
            <w:tcW w:w="5000" w:type="pct"/>
            <w:tcBorders>
              <w:top w:val="single" w:sz="4" w:space="0" w:color="265A9A" w:themeColor="accent2"/>
              <w:left w:val="nil"/>
              <w:bottom w:val="nil"/>
              <w:right w:val="nil"/>
            </w:tcBorders>
            <w:shd w:val="clear" w:color="auto" w:fill="E1EBF5"/>
            <w:tcMar>
              <w:left w:w="170" w:type="dxa"/>
              <w:right w:w="170" w:type="dxa"/>
            </w:tcMar>
          </w:tcPr>
          <w:p w14:paraId="1EA38C7E" w14:textId="77777777" w:rsidR="001236ED" w:rsidRPr="006B102C" w:rsidRDefault="001236ED" w:rsidP="005F1867">
            <w:pPr>
              <w:pStyle w:val="RecTitle"/>
              <w:spacing w:before="120"/>
              <w:rPr>
                <w:noProof/>
              </w:rPr>
            </w:pPr>
            <w:r w:rsidRPr="006B102C">
              <w:t xml:space="preserve">conclusion </w:t>
            </w:r>
            <w:r w:rsidR="008406EC" w:rsidRPr="006B102C">
              <w:t>3</w:t>
            </w:r>
            <w:r w:rsidRPr="006B102C">
              <w:t>.</w:t>
            </w:r>
            <w:r w:rsidR="00B42B57" w:rsidRPr="006B102C">
              <w:t>2</w:t>
            </w:r>
          </w:p>
          <w:p w14:paraId="1EA38C7F" w14:textId="77777777" w:rsidR="003E3700" w:rsidRPr="004A4B5C" w:rsidRDefault="00255131" w:rsidP="00944790">
            <w:pPr>
              <w:pStyle w:val="Rec"/>
            </w:pPr>
            <w:r w:rsidRPr="004A4B5C">
              <w:t>The realisation of patient</w:t>
            </w:r>
            <w:r w:rsidRPr="004A4B5C">
              <w:noBreakHyphen/>
              <w:t xml:space="preserve">centred care requires measures of how </w:t>
            </w:r>
            <w:r w:rsidR="003E3700" w:rsidRPr="004A4B5C">
              <w:t>patients</w:t>
            </w:r>
            <w:r w:rsidRPr="004A4B5C">
              <w:t xml:space="preserve"> experience the system and their reports of the outcomes.</w:t>
            </w:r>
            <w:r w:rsidR="003E3700" w:rsidRPr="004A4B5C">
              <w:t xml:space="preserve"> </w:t>
            </w:r>
          </w:p>
          <w:p w14:paraId="1EA38C80" w14:textId="77777777" w:rsidR="00D553FF" w:rsidRPr="004A4B5C" w:rsidRDefault="003E3700" w:rsidP="00944790">
            <w:pPr>
              <w:pStyle w:val="Rec"/>
            </w:pPr>
            <w:r w:rsidRPr="004A4B5C">
              <w:t>This requires the development of well</w:t>
            </w:r>
            <w:r w:rsidR="009C49CA" w:rsidRPr="004A4B5C">
              <w:noBreakHyphen/>
            </w:r>
            <w:r w:rsidRPr="004A4B5C">
              <w:t>defined measures of people’s experience of care and the outcomes they observe (so</w:t>
            </w:r>
            <w:r w:rsidR="009C49CA" w:rsidRPr="004A4B5C">
              <w:noBreakHyphen/>
            </w:r>
            <w:r w:rsidRPr="004A4B5C">
              <w:t xml:space="preserve">called Patient Reported Experience and Outcome Measures — PREMs and PROMs), and integration of these into disease registries. </w:t>
            </w:r>
          </w:p>
          <w:p w14:paraId="1EA38C81" w14:textId="77777777" w:rsidR="00686B56" w:rsidRPr="004A4B5C" w:rsidRDefault="009D3881" w:rsidP="00944790">
            <w:pPr>
              <w:pStyle w:val="Rec"/>
            </w:pPr>
            <w:r w:rsidRPr="004A4B5C">
              <w:t xml:space="preserve">The Australian Commission </w:t>
            </w:r>
            <w:r w:rsidR="00296B44" w:rsidRPr="004A4B5C">
              <w:t>on</w:t>
            </w:r>
            <w:r w:rsidRPr="004A4B5C">
              <w:t xml:space="preserve"> Safety and Quality in Health Care </w:t>
            </w:r>
            <w:r w:rsidR="00AB66B2" w:rsidRPr="004A4B5C">
              <w:t xml:space="preserve">(ACSQHC) </w:t>
            </w:r>
            <w:r w:rsidR="003E3700" w:rsidRPr="004A4B5C">
              <w:t xml:space="preserve">would </w:t>
            </w:r>
            <w:r w:rsidRPr="004A4B5C">
              <w:t xml:space="preserve">be the </w:t>
            </w:r>
            <w:r w:rsidR="003E3700" w:rsidRPr="004A4B5C">
              <w:t>orc</w:t>
            </w:r>
            <w:r w:rsidRPr="004A4B5C">
              <w:t xml:space="preserve">hestrator of these developments, in consultation with </w:t>
            </w:r>
            <w:r w:rsidR="008C0828" w:rsidRPr="004A4B5C">
              <w:t xml:space="preserve">State and Territory Governments, </w:t>
            </w:r>
            <w:r w:rsidRPr="004A4B5C">
              <w:t>consumer groups representing patients, the various medical colleges, and specific clinicians with expertise in the relevant fields.</w:t>
            </w:r>
            <w:r w:rsidR="00D553FF" w:rsidRPr="004A4B5C">
              <w:t xml:space="preserve"> </w:t>
            </w:r>
          </w:p>
          <w:p w14:paraId="1EA38C82" w14:textId="77777777" w:rsidR="009D3881" w:rsidRPr="00944790" w:rsidRDefault="00AB66B2" w:rsidP="00944790">
            <w:pPr>
              <w:pStyle w:val="Rec"/>
            </w:pPr>
            <w:r w:rsidRPr="004A4B5C">
              <w:t>PREMs and PROMS should not vary across jurisdictions.</w:t>
            </w:r>
          </w:p>
          <w:p w14:paraId="1EA38C83" w14:textId="77777777" w:rsidR="008C0828" w:rsidRPr="004A4B5C" w:rsidRDefault="008C0828" w:rsidP="00944790">
            <w:pPr>
              <w:pStyle w:val="Rec"/>
            </w:pPr>
            <w:r w:rsidRPr="004A4B5C">
              <w:t>State and Territory Governments should commit to the development of PREMs and PROMS for primary and acute care, underpinned by an implementation timetable. The measures should initially be confined to pilots in given specialities and locations.</w:t>
            </w:r>
          </w:p>
          <w:p w14:paraId="1EA38C84" w14:textId="77777777" w:rsidR="009D3881" w:rsidRPr="004A4B5C" w:rsidRDefault="008C0828">
            <w:pPr>
              <w:pStyle w:val="Rec"/>
            </w:pPr>
            <w:r w:rsidRPr="004A4B5C">
              <w:t>Jurisdictions should agree on sharing information about pilots and on the evaluation strategies for them. Compliance costs and implementation risks should be an explicit consideration in forming the timetable.</w:t>
            </w:r>
          </w:p>
          <w:p w14:paraId="1EA38C85" w14:textId="77777777" w:rsidR="00AB66B2" w:rsidRPr="004A4B5C" w:rsidRDefault="00AB66B2" w:rsidP="00944790">
            <w:pPr>
              <w:pStyle w:val="Rec"/>
            </w:pPr>
            <w:r w:rsidRPr="004A4B5C">
              <w:t>The ACSQHC should develop guidelines indicating how clinicians, administrators and funders should reflect the outcomes of PREMs and PROMs in health</w:t>
            </w:r>
            <w:r w:rsidR="00923B4C" w:rsidRPr="004A4B5C">
              <w:t xml:space="preserve"> </w:t>
            </w:r>
            <w:r w:rsidRPr="004A4B5C">
              <w:t>care management.</w:t>
            </w:r>
          </w:p>
          <w:p w14:paraId="1EA38C86" w14:textId="77777777" w:rsidR="00AB66B2" w:rsidRPr="004A4B5C" w:rsidRDefault="00AB66B2" w:rsidP="00944790">
            <w:pPr>
              <w:pStyle w:val="Rec"/>
            </w:pPr>
            <w:r w:rsidRPr="004A4B5C">
              <w:t>Regardless, PREMs and PROMs should be published at the hospital level in all jurisdictions and potentially at the clinician level. If nothing else, clinicians should be informed about how patient experiences of their care compares with their peers.</w:t>
            </w:r>
          </w:p>
          <w:p w14:paraId="1EA38C87" w14:textId="77777777" w:rsidR="00D553FF" w:rsidRPr="006B102C" w:rsidRDefault="009D3881" w:rsidP="00944790">
            <w:pPr>
              <w:pStyle w:val="Rec"/>
            </w:pPr>
            <w:r w:rsidRPr="004A4B5C">
              <w:t>Publicly available PROMS and PREMs should be explained in plain English with the goal of being accessible to patients with a reasonable degree of health literacy.</w:t>
            </w:r>
          </w:p>
        </w:tc>
      </w:tr>
      <w:tr w:rsidR="006B102C" w:rsidRPr="006B102C" w14:paraId="1EA38C8A" w14:textId="77777777" w:rsidTr="006B102C">
        <w:tc>
          <w:tcPr>
            <w:tcW w:w="5000" w:type="pct"/>
            <w:tcBorders>
              <w:top w:val="nil"/>
              <w:left w:val="nil"/>
              <w:bottom w:val="single" w:sz="4" w:space="0" w:color="265A9A" w:themeColor="accent2"/>
              <w:right w:val="nil"/>
            </w:tcBorders>
            <w:shd w:val="clear" w:color="auto" w:fill="E1EBF5"/>
            <w:tcMar>
              <w:left w:w="170" w:type="dxa"/>
              <w:right w:w="170" w:type="dxa"/>
            </w:tcMar>
          </w:tcPr>
          <w:p w14:paraId="1EA38C89" w14:textId="77777777" w:rsidR="001236ED" w:rsidRPr="006B102C" w:rsidRDefault="001236ED" w:rsidP="006B102C">
            <w:pPr>
              <w:pStyle w:val="BoxSpaceBelow"/>
            </w:pPr>
          </w:p>
        </w:tc>
      </w:tr>
      <w:tr w:rsidR="001236ED" w:rsidRPr="000863A5" w14:paraId="1EA38C8C" w14:textId="77777777" w:rsidTr="006B102C">
        <w:tc>
          <w:tcPr>
            <w:tcW w:w="5000" w:type="pct"/>
            <w:tcBorders>
              <w:top w:val="single" w:sz="4" w:space="0" w:color="265A9A" w:themeColor="accent2"/>
              <w:left w:val="nil"/>
              <w:bottom w:val="nil"/>
              <w:right w:val="nil"/>
            </w:tcBorders>
            <w:tcMar>
              <w:left w:w="170" w:type="dxa"/>
              <w:right w:w="170" w:type="dxa"/>
            </w:tcMar>
          </w:tcPr>
          <w:p w14:paraId="1EA38C8B" w14:textId="77777777" w:rsidR="001236ED" w:rsidRPr="00626D32" w:rsidRDefault="001236ED" w:rsidP="005F1867">
            <w:pPr>
              <w:pStyle w:val="BoxSpaceBelow"/>
              <w:keepLines/>
            </w:pPr>
          </w:p>
        </w:tc>
      </w:tr>
    </w:tbl>
    <w:p w14:paraId="1EA38C8D" w14:textId="77777777" w:rsidR="00267611" w:rsidRDefault="00B42B57" w:rsidP="00B42B57">
      <w:pPr>
        <w:pStyle w:val="Heading2"/>
      </w:pPr>
      <w:bookmarkStart w:id="28" w:name="_Toc488929685"/>
      <w:bookmarkStart w:id="29" w:name="_Toc489250063"/>
      <w:r>
        <w:t>3.4</w:t>
      </w:r>
      <w:r>
        <w:tab/>
      </w:r>
      <w:r w:rsidR="00267611">
        <w:t>Targeting patient</w:t>
      </w:r>
      <w:r w:rsidR="00267611">
        <w:noBreakHyphen/>
        <w:t>centred care</w:t>
      </w:r>
      <w:bookmarkEnd w:id="28"/>
      <w:bookmarkEnd w:id="29"/>
    </w:p>
    <w:p w14:paraId="1EA38C8E" w14:textId="77777777" w:rsidR="00267611" w:rsidRDefault="00267611" w:rsidP="00267611">
      <w:pPr>
        <w:pStyle w:val="BodyText"/>
      </w:pPr>
      <w:r>
        <w:t xml:space="preserve">A common feature of health care is that some groups make very intensive use of the health care system. Identifying such people and tailoring services to their needs can have large social and economic benefits. As indicators of the concentration of problems among some groups: </w:t>
      </w:r>
    </w:p>
    <w:p w14:paraId="1EA38C8F" w14:textId="77777777" w:rsidR="00267611" w:rsidRDefault="00267611" w:rsidP="00267611">
      <w:pPr>
        <w:pStyle w:val="ListBullet"/>
      </w:pPr>
      <w:r>
        <w:t xml:space="preserve">In the Diabetes Care Program, </w:t>
      </w:r>
      <w:r w:rsidRPr="002837CA">
        <w:t>5</w:t>
      </w:r>
      <w:r>
        <w:t> </w:t>
      </w:r>
      <w:r w:rsidRPr="002837CA">
        <w:t>per</w:t>
      </w:r>
      <w:r>
        <w:t> cent of participants accounted</w:t>
      </w:r>
      <w:r w:rsidRPr="002837CA">
        <w:t xml:space="preserve"> for 62</w:t>
      </w:r>
      <w:r>
        <w:t> </w:t>
      </w:r>
      <w:r w:rsidRPr="002837CA">
        <w:t>per</w:t>
      </w:r>
      <w:r>
        <w:t> </w:t>
      </w:r>
      <w:r w:rsidRPr="002837CA">
        <w:t>cent of potentially avoidable hospitalisations</w:t>
      </w:r>
      <w:r>
        <w:t xml:space="preserve"> (appendix A). That program failed to adequately target such people for additional care and support, but had it succeeded in doing so through more elaborate risk modelling and targeting of the capitation payments, it would have improved the wellbeing of the people concerned and saved costs.</w:t>
      </w:r>
    </w:p>
    <w:p w14:paraId="1EA38C90" w14:textId="0DF80BAC" w:rsidR="00267611" w:rsidRDefault="00267611" w:rsidP="00267611">
      <w:pPr>
        <w:pStyle w:val="ListBullet"/>
      </w:pPr>
      <w:r>
        <w:t>In 2013</w:t>
      </w:r>
      <w:r>
        <w:noBreakHyphen/>
        <w:t xml:space="preserve">14, one per cent of the NSW population were admitted to hospital three or more times — accounting for 46 per cent of the 7 million bed days </w:t>
      </w:r>
      <w:r w:rsidR="00C65A42" w:rsidRPr="00C65A42">
        <w:rPr>
          <w:szCs w:val="24"/>
        </w:rPr>
        <w:t xml:space="preserve">(figure 3.4 and </w:t>
      </w:r>
      <w:r w:rsidR="00044558">
        <w:rPr>
          <w:szCs w:val="24"/>
        </w:rPr>
        <w:t xml:space="preserve">NSW </w:t>
      </w:r>
      <w:r w:rsidR="00C65A42" w:rsidRPr="00C65A42">
        <w:rPr>
          <w:szCs w:val="24"/>
        </w:rPr>
        <w:t>BHI 2015</w:t>
      </w:r>
      <w:r w:rsidR="00450C6C">
        <w:rPr>
          <w:szCs w:val="24"/>
        </w:rPr>
        <w:t>a</w:t>
      </w:r>
      <w:r w:rsidR="00C65A42" w:rsidRPr="00C65A42">
        <w:rPr>
          <w:szCs w:val="24"/>
        </w:rPr>
        <w:t>)</w:t>
      </w:r>
      <w:r>
        <w:t xml:space="preserve">. </w:t>
      </w:r>
    </w:p>
    <w:p w14:paraId="1EA38C91" w14:textId="77777777" w:rsidR="00267611" w:rsidRDefault="00267611" w:rsidP="00267611">
      <w:pPr>
        <w:pStyle w:val="ListBullet"/>
      </w:pPr>
      <w:r>
        <w:t>The Ambulance Service of NSW found that between July 2013 to July</w:t>
      </w:r>
      <w:r w:rsidR="009C49CA">
        <w:t xml:space="preserve"> </w:t>
      </w:r>
      <w:r>
        <w:t xml:space="preserve">2015, 2693 people (0.31 per cent of ambulance users) accounted for 64 434 ambulance uses (calls that resulted in dispatch) or 4.7 per cent of total ambulance uses over that period </w:t>
      </w:r>
      <w:r w:rsidR="00C65A42" w:rsidRPr="00C65A42">
        <w:rPr>
          <w:szCs w:val="24"/>
        </w:rPr>
        <w:t>(CEC 2016)</w:t>
      </w:r>
      <w:r>
        <w:t>. Ten patients accounted for 1360 ambulance uses. Chronic pain, complex psycho</w:t>
      </w:r>
      <w:r w:rsidR="009C49CA">
        <w:noBreakHyphen/>
      </w:r>
      <w:r>
        <w:t xml:space="preserve">social factors and inadequate engagement with the primary care health system were significant drivers of use by this small group of people </w:t>
      </w:r>
      <w:r w:rsidR="00C65A42" w:rsidRPr="00C65A42">
        <w:rPr>
          <w:szCs w:val="24"/>
        </w:rPr>
        <w:t>(McLaughlin 2014; Wildon 2014)</w:t>
      </w:r>
      <w:r>
        <w:t xml:space="preserve">. </w:t>
      </w:r>
    </w:p>
    <w:p w14:paraId="1EA38C92" w14:textId="77777777" w:rsidR="00267611" w:rsidRDefault="00267611" w:rsidP="002676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267611" w14:paraId="1EA38C95" w14:textId="77777777" w:rsidTr="005F1867">
        <w:trPr>
          <w:tblHeader/>
        </w:trPr>
        <w:tc>
          <w:tcPr>
            <w:tcW w:w="5000" w:type="pct"/>
            <w:tcBorders>
              <w:top w:val="single" w:sz="6" w:space="0" w:color="78A22F"/>
              <w:left w:val="nil"/>
              <w:bottom w:val="nil"/>
              <w:right w:val="nil"/>
            </w:tcBorders>
            <w:shd w:val="clear" w:color="auto" w:fill="auto"/>
          </w:tcPr>
          <w:p w14:paraId="1EA38C93" w14:textId="77777777" w:rsidR="00267611" w:rsidRDefault="00267611" w:rsidP="006B102C">
            <w:pPr>
              <w:pStyle w:val="FigureTitle"/>
              <w:ind w:left="1418" w:hanging="1418"/>
            </w:pPr>
            <w:r w:rsidRPr="00944790">
              <w:rPr>
                <w:b w:val="0"/>
              </w:rPr>
              <w:t xml:space="preserve">Figure </w:t>
            </w:r>
            <w:r w:rsidR="00B42B57" w:rsidRPr="00944790">
              <w:rPr>
                <w:b w:val="0"/>
              </w:rPr>
              <w:t>3.4</w:t>
            </w:r>
            <w:r w:rsidRPr="00AF098D">
              <w:tab/>
            </w:r>
            <w:r>
              <w:t>A few people account for a large share of hospital admissions</w:t>
            </w:r>
          </w:p>
          <w:p w14:paraId="1EA38C94" w14:textId="77777777" w:rsidR="00267611" w:rsidRPr="00176D3F" w:rsidRDefault="00267611" w:rsidP="005F1867">
            <w:pPr>
              <w:pStyle w:val="Subtitle"/>
            </w:pPr>
            <w:r>
              <w:t>NSW 2013</w:t>
            </w:r>
            <w:r>
              <w:noBreakHyphen/>
              <w:t>14</w:t>
            </w:r>
          </w:p>
        </w:tc>
      </w:tr>
      <w:tr w:rsidR="00267611" w14:paraId="1EA38C99" w14:textId="77777777" w:rsidTr="005F186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20"/>
            </w:tblGrid>
            <w:tr w:rsidR="00267611" w:rsidRPr="00B1465D" w14:paraId="1EA38C97" w14:textId="77777777" w:rsidTr="005F1867">
              <w:trPr>
                <w:tblHeader/>
                <w:jc w:val="center"/>
              </w:trPr>
              <w:tc>
                <w:tcPr>
                  <w:tcW w:w="5000" w:type="pct"/>
                  <w:tcBorders>
                    <w:top w:val="nil"/>
                    <w:bottom w:val="nil"/>
                  </w:tcBorders>
                </w:tcPr>
                <w:p w14:paraId="1EA38C96" w14:textId="77777777" w:rsidR="00267611" w:rsidRPr="00B1465D" w:rsidRDefault="00267611" w:rsidP="005F1867">
                  <w:pPr>
                    <w:pStyle w:val="Figure"/>
                    <w:spacing w:before="60" w:after="60"/>
                    <w:rPr>
                      <w:rFonts w:ascii="Arial" w:hAnsi="Arial" w:cs="Arial"/>
                      <w:sz w:val="18"/>
                      <w:szCs w:val="18"/>
                    </w:rPr>
                  </w:pPr>
                  <w:r>
                    <w:rPr>
                      <w:rFonts w:ascii="Arial" w:hAnsi="Arial" w:cs="Arial"/>
                      <w:noProof/>
                      <w:sz w:val="18"/>
                      <w:szCs w:val="18"/>
                    </w:rPr>
                    <w:drawing>
                      <wp:inline distT="0" distB="0" distL="0" distR="0" wp14:anchorId="1EA39648" wp14:editId="417FFB4A">
                        <wp:extent cx="5407660" cy="2889885"/>
                        <wp:effectExtent l="0" t="0" r="2540" b="5715"/>
                        <wp:docPr id="9" name="Picture 9" descr="This figure reports the share of hospital admissions in 2013-14 that are accounted for by the people of New South Wales according to the number of times that they were admitted to hospital. One per cent of the population were admitted three or more times and accounted for 46 per cent of bed days. The next two per cent were admitted twice and accounted for a further 24 per cent of bed days. The next eight per cent of the population were admitted once and accounted for the remaining 30 per cent of bed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7660" cy="2889885"/>
                                </a:xfrm>
                                <a:prstGeom prst="rect">
                                  <a:avLst/>
                                </a:prstGeom>
                                <a:noFill/>
                              </pic:spPr>
                            </pic:pic>
                          </a:graphicData>
                        </a:graphic>
                      </wp:inline>
                    </w:drawing>
                  </w:r>
                </w:p>
              </w:tc>
            </w:tr>
          </w:tbl>
          <w:p w14:paraId="1EA38C98" w14:textId="77777777" w:rsidR="00267611" w:rsidRDefault="00267611" w:rsidP="005F1867">
            <w:pPr>
              <w:pStyle w:val="Figure"/>
            </w:pPr>
          </w:p>
        </w:tc>
      </w:tr>
      <w:tr w:rsidR="00267611" w:rsidRPr="00176D3F" w14:paraId="1EA38C9B" w14:textId="77777777" w:rsidTr="005F1867">
        <w:tc>
          <w:tcPr>
            <w:tcW w:w="5000" w:type="pct"/>
            <w:tcBorders>
              <w:top w:val="nil"/>
              <w:left w:val="nil"/>
              <w:bottom w:val="nil"/>
              <w:right w:val="nil"/>
            </w:tcBorders>
            <w:shd w:val="clear" w:color="auto" w:fill="auto"/>
          </w:tcPr>
          <w:p w14:paraId="1EA38C9A" w14:textId="420180C0" w:rsidR="00267611" w:rsidRPr="00176D3F" w:rsidRDefault="00267611" w:rsidP="00C65A42">
            <w:pPr>
              <w:pStyle w:val="Source"/>
            </w:pPr>
            <w:r>
              <w:rPr>
                <w:i/>
              </w:rPr>
              <w:t>S</w:t>
            </w:r>
            <w:r w:rsidRPr="00784A05">
              <w:rPr>
                <w:i/>
              </w:rPr>
              <w:t>ource</w:t>
            </w:r>
            <w:r w:rsidRPr="00176D3F">
              <w:t xml:space="preserve">: </w:t>
            </w:r>
            <w:r w:rsidR="00044558">
              <w:t xml:space="preserve">NSW </w:t>
            </w:r>
            <w:r>
              <w:t xml:space="preserve">BHI </w:t>
            </w:r>
            <w:r w:rsidR="00C65A42" w:rsidRPr="00C65A42">
              <w:rPr>
                <w:rFonts w:cs="Arial"/>
                <w:szCs w:val="24"/>
              </w:rPr>
              <w:t>(2015</w:t>
            </w:r>
            <w:r w:rsidR="0002055D">
              <w:rPr>
                <w:rFonts w:cs="Arial"/>
                <w:szCs w:val="24"/>
              </w:rPr>
              <w:t>a</w:t>
            </w:r>
            <w:r w:rsidR="00C65A42" w:rsidRPr="00C65A42">
              <w:rPr>
                <w:rFonts w:cs="Arial"/>
                <w:szCs w:val="24"/>
              </w:rPr>
              <w:t>, p. 48)</w:t>
            </w:r>
            <w:r>
              <w:t>.</w:t>
            </w:r>
          </w:p>
        </w:tc>
      </w:tr>
      <w:tr w:rsidR="00267611" w14:paraId="1EA38C9D" w14:textId="77777777" w:rsidTr="005F1867">
        <w:tc>
          <w:tcPr>
            <w:tcW w:w="5000" w:type="pct"/>
            <w:tcBorders>
              <w:top w:val="nil"/>
              <w:left w:val="nil"/>
              <w:bottom w:val="single" w:sz="6" w:space="0" w:color="78A22F"/>
              <w:right w:val="nil"/>
            </w:tcBorders>
            <w:shd w:val="clear" w:color="auto" w:fill="auto"/>
          </w:tcPr>
          <w:p w14:paraId="1EA38C9C" w14:textId="77777777" w:rsidR="00267611" w:rsidRDefault="00267611" w:rsidP="005F1867">
            <w:pPr>
              <w:pStyle w:val="Figurespace"/>
            </w:pPr>
          </w:p>
        </w:tc>
      </w:tr>
      <w:tr w:rsidR="00267611" w:rsidRPr="000863A5" w14:paraId="1EA38C9F" w14:textId="77777777" w:rsidTr="005F1867">
        <w:tc>
          <w:tcPr>
            <w:tcW w:w="5000" w:type="pct"/>
            <w:tcBorders>
              <w:top w:val="single" w:sz="6" w:space="0" w:color="78A22F"/>
              <w:left w:val="nil"/>
              <w:bottom w:val="nil"/>
              <w:right w:val="nil"/>
            </w:tcBorders>
          </w:tcPr>
          <w:p w14:paraId="1EA38C9E" w14:textId="77777777" w:rsidR="00267611" w:rsidRPr="00626D32" w:rsidRDefault="00267611" w:rsidP="005F1867">
            <w:pPr>
              <w:pStyle w:val="BoxSpaceBelow"/>
            </w:pPr>
          </w:p>
        </w:tc>
      </w:tr>
    </w:tbl>
    <w:p w14:paraId="1EA38CA0" w14:textId="77777777" w:rsidR="00EE6C31" w:rsidRDefault="00267611" w:rsidP="00544C59">
      <w:pPr>
        <w:pStyle w:val="BodyText"/>
      </w:pPr>
      <w:r>
        <w:t>Targeting such groups through patient</w:t>
      </w:r>
      <w:r w:rsidR="009C49CA">
        <w:noBreakHyphen/>
      </w:r>
      <w:r>
        <w:t>centred care models can be very effective. For instance, 88 high</w:t>
      </w:r>
      <w:r>
        <w:noBreakHyphen/>
        <w:t xml:space="preserve">end frequent ambulance user patients in NSW have been case managed by the Frequent Use Management program </w:t>
      </w:r>
      <w:r w:rsidR="00090993">
        <w:t>from</w:t>
      </w:r>
      <w:r>
        <w:t xml:space="preserve"> its commencement in September 2013, with the program taking a patient</w:t>
      </w:r>
      <w:r>
        <w:noBreakHyphen/>
        <w:t xml:space="preserve">centred approach. During the period January 2014 to December 2014 there was a 77 per cent reduction in calls from patients being managed by the program </w:t>
      </w:r>
      <w:r w:rsidR="00C65A42" w:rsidRPr="00C65A42">
        <w:rPr>
          <w:szCs w:val="24"/>
        </w:rPr>
        <w:t>(NSW Ambulance 2015)</w:t>
      </w:r>
      <w:r w:rsidR="00D012D5">
        <w:t xml:space="preserve">. </w:t>
      </w:r>
    </w:p>
    <w:p w14:paraId="1EA38CA1" w14:textId="77777777" w:rsidR="00D012D5" w:rsidRPr="004E3B94" w:rsidRDefault="00D012D5" w:rsidP="00D012D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129"/>
      </w:tblGrid>
      <w:tr w:rsidR="006B102C" w:rsidRPr="006B102C" w14:paraId="1EA38CA6" w14:textId="77777777" w:rsidTr="006B102C">
        <w:trPr>
          <w:tblHeader/>
        </w:trPr>
        <w:tc>
          <w:tcPr>
            <w:tcW w:w="5000" w:type="pct"/>
            <w:tcBorders>
              <w:top w:val="single" w:sz="4" w:space="0" w:color="265A9A" w:themeColor="accent2"/>
              <w:left w:val="nil"/>
              <w:bottom w:val="nil"/>
              <w:right w:val="nil"/>
            </w:tcBorders>
            <w:shd w:val="clear" w:color="auto" w:fill="E1EBF5"/>
            <w:tcMar>
              <w:left w:w="170" w:type="dxa"/>
              <w:right w:w="170" w:type="dxa"/>
            </w:tcMar>
          </w:tcPr>
          <w:p w14:paraId="1EA38CA2" w14:textId="77777777" w:rsidR="00D012D5" w:rsidRPr="006B102C" w:rsidRDefault="00D012D5" w:rsidP="005F1867">
            <w:pPr>
              <w:pStyle w:val="RecTitle"/>
              <w:spacing w:before="120"/>
              <w:rPr>
                <w:noProof/>
              </w:rPr>
            </w:pPr>
            <w:r w:rsidRPr="006B102C">
              <w:t xml:space="preserve">conclusion </w:t>
            </w:r>
            <w:r w:rsidR="00B42B57" w:rsidRPr="006B102C">
              <w:t>3.</w:t>
            </w:r>
            <w:r w:rsidR="008406EC" w:rsidRPr="006B102C">
              <w:t>3</w:t>
            </w:r>
          </w:p>
          <w:p w14:paraId="1EA38CA3" w14:textId="77777777" w:rsidR="00D012D5" w:rsidRPr="004A4B5C" w:rsidRDefault="00D012D5" w:rsidP="00944790">
            <w:pPr>
              <w:pStyle w:val="Rec"/>
            </w:pPr>
            <w:r w:rsidRPr="004A4B5C">
              <w:t xml:space="preserve">Relatively small groups of people account for a high usage of services. </w:t>
            </w:r>
          </w:p>
          <w:p w14:paraId="1EA38CA4" w14:textId="77777777" w:rsidR="00D012D5" w:rsidRPr="004A4B5C" w:rsidRDefault="00D012D5" w:rsidP="00944790">
            <w:pPr>
              <w:pStyle w:val="Rec"/>
            </w:pPr>
            <w:r w:rsidRPr="004A4B5C">
              <w:t>While a patient</w:t>
            </w:r>
            <w:r w:rsidRPr="004A4B5C">
              <w:noBreakHyphen/>
              <w:t xml:space="preserve">centred approach should apply to all people in the health system, it is particularly important to discover those who are the most vulnerable and intensive users of the health system and build services around them to manage their chronic conditions better. </w:t>
            </w:r>
          </w:p>
          <w:p w14:paraId="1EA38CA5" w14:textId="77777777" w:rsidR="00D012D5" w:rsidRPr="006B102C" w:rsidRDefault="00D012D5" w:rsidP="00944790">
            <w:pPr>
              <w:pStyle w:val="Rec"/>
            </w:pPr>
            <w:r w:rsidRPr="004A4B5C">
              <w:t>Better utilisation of data will be a key to discovering these high</w:t>
            </w:r>
            <w:r w:rsidRPr="004A4B5C">
              <w:noBreakHyphen/>
              <w:t>risk groups.</w:t>
            </w:r>
          </w:p>
        </w:tc>
      </w:tr>
      <w:tr w:rsidR="006B102C" w:rsidRPr="006B102C" w14:paraId="1EA38CA8" w14:textId="77777777" w:rsidTr="006B102C">
        <w:tc>
          <w:tcPr>
            <w:tcW w:w="5000" w:type="pct"/>
            <w:tcBorders>
              <w:top w:val="nil"/>
              <w:left w:val="nil"/>
              <w:bottom w:val="single" w:sz="4" w:space="0" w:color="265A9A" w:themeColor="accent2"/>
              <w:right w:val="nil"/>
            </w:tcBorders>
            <w:shd w:val="clear" w:color="auto" w:fill="E1EBF5"/>
            <w:tcMar>
              <w:left w:w="170" w:type="dxa"/>
              <w:right w:w="170" w:type="dxa"/>
            </w:tcMar>
          </w:tcPr>
          <w:p w14:paraId="1EA38CA7" w14:textId="77777777" w:rsidR="00D012D5" w:rsidRPr="006B102C" w:rsidRDefault="00D012D5" w:rsidP="006B102C">
            <w:pPr>
              <w:pStyle w:val="BoxSpaceBelow"/>
            </w:pPr>
          </w:p>
        </w:tc>
      </w:tr>
      <w:tr w:rsidR="00D012D5" w:rsidRPr="000863A5" w14:paraId="1EA38CAA" w14:textId="77777777" w:rsidTr="006B102C">
        <w:tc>
          <w:tcPr>
            <w:tcW w:w="5000" w:type="pct"/>
            <w:tcBorders>
              <w:top w:val="single" w:sz="4" w:space="0" w:color="265A9A" w:themeColor="accent2"/>
              <w:left w:val="nil"/>
              <w:bottom w:val="nil"/>
              <w:right w:val="nil"/>
            </w:tcBorders>
            <w:tcMar>
              <w:left w:w="170" w:type="dxa"/>
              <w:right w:w="170" w:type="dxa"/>
            </w:tcMar>
          </w:tcPr>
          <w:p w14:paraId="1EA38CA9" w14:textId="77777777" w:rsidR="00D012D5" w:rsidRPr="00626D32" w:rsidRDefault="00D012D5" w:rsidP="005F1867">
            <w:pPr>
              <w:pStyle w:val="BoxSpaceBelow"/>
              <w:keepLines/>
            </w:pPr>
          </w:p>
        </w:tc>
      </w:tr>
    </w:tbl>
    <w:p w14:paraId="1EA38CAB" w14:textId="77777777" w:rsidR="00D611BE" w:rsidRDefault="00D611BE">
      <w:r>
        <w:br w:type="page"/>
      </w:r>
    </w:p>
    <w:p w14:paraId="1EA38CAC" w14:textId="77777777" w:rsidR="00D611BE" w:rsidRDefault="00114AE6" w:rsidP="00D611BE">
      <w:pPr>
        <w:pStyle w:val="Heading1"/>
      </w:pPr>
      <w:bookmarkStart w:id="30" w:name="_Toc488929686"/>
      <w:bookmarkStart w:id="31" w:name="_Toc489250064"/>
      <w:r>
        <w:t>4</w:t>
      </w:r>
      <w:r w:rsidR="00D611BE">
        <w:tab/>
        <w:t>A regional approach is needed in collaboration and funding</w:t>
      </w:r>
      <w:bookmarkEnd w:id="30"/>
      <w:bookmarkEnd w:id="31"/>
    </w:p>
    <w:p w14:paraId="1EA38CAD" w14:textId="77777777" w:rsidR="00D611BE" w:rsidRDefault="00D611BE" w:rsidP="00D611BE">
      <w:pPr>
        <w:pStyle w:val="BodyText"/>
      </w:pPr>
      <w:r>
        <w:t>Integration of care is generally best managed regionally</w:t>
      </w:r>
      <w:r w:rsidR="00BC61F4">
        <w:t xml:space="preserve">, reflecting </w:t>
      </w:r>
      <w:r w:rsidR="003E44DB">
        <w:t>local</w:t>
      </w:r>
      <w:r w:rsidR="00BC61F4">
        <w:t xml:space="preserve"> knowledge and relationships, variations in the </w:t>
      </w:r>
      <w:r w:rsidR="003E44DB">
        <w:t>characteristics</w:t>
      </w:r>
      <w:r w:rsidR="00BC61F4">
        <w:t xml:space="preserve"> of regional populations, an efficient scale for managing health service delivery, and integration with other parties that address local population health</w:t>
      </w:r>
      <w:r w:rsidR="001B7808">
        <w:t> </w:t>
      </w:r>
      <w:r w:rsidR="00721A1C" w:rsidRPr="00721A1C">
        <w:rPr>
          <w:szCs w:val="24"/>
        </w:rPr>
        <w:t>(Baker et al. 2008; Ham 2010; Ham and Timmins 2015; Nicholson, Jackson and Marley 2013; Suter et al. 2009)</w:t>
      </w:r>
      <w:r>
        <w:t xml:space="preserve">. </w:t>
      </w:r>
    </w:p>
    <w:p w14:paraId="1EA38CAE" w14:textId="77777777" w:rsidR="00D611BE" w:rsidRDefault="00D611BE" w:rsidP="00D611BE">
      <w:pPr>
        <w:pStyle w:val="BodyText"/>
      </w:pPr>
      <w:r>
        <w:t>All jurisdictions have made progress towards a regional approach to care, providing a good foundation for further reform. Local Hospital Networks (LHN) are public sector bodies that manage hospitals and state government health services in a given area.</w:t>
      </w:r>
      <w:r w:rsidR="00F6349F" w:rsidRPr="003D243B">
        <w:rPr>
          <w:rStyle w:val="FootnoteReference"/>
        </w:rPr>
        <w:footnoteReference w:id="14"/>
      </w:r>
      <w:r>
        <w:t xml:space="preserve"> Primary Health Networks (PHN) are private entities that have bee</w:t>
      </w:r>
      <w:r w:rsidR="00DE0AF3">
        <w:t>n contracted by the Australian G</w:t>
      </w:r>
      <w:r>
        <w:t>overnment to improve the efficiency and effectiveness of services and to coordinate patient care in their locality, including by working collaboratively with Local Hospital Networks. For that purpose, the geographical boundaries of Australia’s thirty one Primary Health Networks are generally aligned with those of the LHN</w:t>
      </w:r>
      <w:r w:rsidR="00264629">
        <w:t xml:space="preserve">s </w:t>
      </w:r>
      <w:r>
        <w:t>in each State and Territory jurisdiction. This regional structure lays the foundation for integrating health care.</w:t>
      </w:r>
    </w:p>
    <w:p w14:paraId="1EA38CAF" w14:textId="77777777" w:rsidR="00D611BE" w:rsidRPr="00243D5B" w:rsidRDefault="00D611BE" w:rsidP="00D611BE">
      <w:pPr>
        <w:pStyle w:val="BodyText"/>
      </w:pPr>
      <w:r>
        <w:t>Some PHNs and LHNs have been building on this foundation, working together to deliver integrated health</w:t>
      </w:r>
      <w:r w:rsidR="009C49CA">
        <w:t xml:space="preserve"> </w:t>
      </w:r>
      <w:r>
        <w:t>— and where they do</w:t>
      </w:r>
      <w:r w:rsidR="002A1D25">
        <w:t xml:space="preserve">, for example in Western Sydney, </w:t>
      </w:r>
      <w:r>
        <w:t xml:space="preserve">Brisbane North, </w:t>
      </w:r>
      <w:r w:rsidR="002A1D25">
        <w:t xml:space="preserve">and the Hunter, </w:t>
      </w:r>
      <w:r>
        <w:t>they are proving effective for improving the coo</w:t>
      </w:r>
      <w:r w:rsidR="00D62401">
        <w:t>rdination of care (appendix A).</w:t>
      </w:r>
    </w:p>
    <w:p w14:paraId="1EA38CB0" w14:textId="77777777" w:rsidR="00D611BE" w:rsidRDefault="00D611BE" w:rsidP="00D611BE">
      <w:pPr>
        <w:pStyle w:val="BodyText"/>
      </w:pPr>
      <w:r>
        <w:t xml:space="preserve">While there has been a greater policy orientation to subsidiarity in health care, the journey is far from complete, nor the arguments for it, completely accepted. Partnerships between PHNs and LHNs are currently rare in Australia, a consequence of relatively weak financial incentives, and underdeveloped governance arrangements for their universal adoption and (based on feedback from stakeholders) the likelihood that there is insufficient funding of PHNs for them to achieve their goals — an issue we examine further in </w:t>
      </w:r>
      <w:r w:rsidR="00C951B1">
        <w:t>chapter 6</w:t>
      </w:r>
      <w:r>
        <w:t>.</w:t>
      </w:r>
    </w:p>
    <w:p w14:paraId="1EA38CB1" w14:textId="77777777" w:rsidR="00D611BE" w:rsidRDefault="003C2D02" w:rsidP="00D611BE">
      <w:pPr>
        <w:pStyle w:val="BodyText"/>
      </w:pPr>
      <w:r>
        <w:t xml:space="preserve">Moving to </w:t>
      </w:r>
      <w:r w:rsidR="0018692E">
        <w:t xml:space="preserve">a more regional model </w:t>
      </w:r>
      <w:r w:rsidR="00164289">
        <w:t>makes sense from multiple perspectives.</w:t>
      </w:r>
    </w:p>
    <w:p w14:paraId="1EA38CB2" w14:textId="77777777" w:rsidR="00D611BE" w:rsidRDefault="00114AE6" w:rsidP="00D611BE">
      <w:pPr>
        <w:pStyle w:val="Heading2"/>
      </w:pPr>
      <w:bookmarkStart w:id="32" w:name="_Toc488929687"/>
      <w:bookmarkStart w:id="33" w:name="_Toc489250065"/>
      <w:r>
        <w:t>4</w:t>
      </w:r>
      <w:r w:rsidR="00D611BE">
        <w:t>.1</w:t>
      </w:r>
      <w:r w:rsidR="00D611BE">
        <w:tab/>
        <w:t>Relationships matter</w:t>
      </w:r>
      <w:bookmarkEnd w:id="32"/>
      <w:bookmarkEnd w:id="33"/>
    </w:p>
    <w:p w14:paraId="1EA38CB3" w14:textId="77777777" w:rsidR="00232D7C" w:rsidRDefault="00232D7C" w:rsidP="00D611BE">
      <w:pPr>
        <w:pStyle w:val="BodyText"/>
      </w:pPr>
      <w:r>
        <w:t>Relationships and collaboration at the local level are critical to successfully progressing towards an integrated system of patient care</w:t>
      </w:r>
      <w:r w:rsidR="00455A11">
        <w:t>.</w:t>
      </w:r>
      <w:r w:rsidR="00AB3856">
        <w:t xml:space="preserve"> The evidence shows that effective integration of primary and secondary care services requires j</w:t>
      </w:r>
      <w:r w:rsidR="00455A11">
        <w:t>oint planning by regional primary and secondary institutions, including formal agreements</w:t>
      </w:r>
      <w:r w:rsidR="00C04227">
        <w:t>, multilevel partnerships</w:t>
      </w:r>
      <w:r w:rsidR="00455A11">
        <w:t xml:space="preserve"> and joint boards</w:t>
      </w:r>
      <w:r w:rsidR="00AB3856">
        <w:t xml:space="preserve"> </w:t>
      </w:r>
      <w:r w:rsidR="00AB3856" w:rsidRPr="00C65A42">
        <w:rPr>
          <w:szCs w:val="24"/>
        </w:rPr>
        <w:t>(Nicholson, Jackson and Marley 2013)</w:t>
      </w:r>
      <w:r w:rsidR="00AB3856">
        <w:t xml:space="preserve">. </w:t>
      </w:r>
      <w:r w:rsidR="00785AF7">
        <w:t>Likewise</w:t>
      </w:r>
      <w:r w:rsidR="00AB3856">
        <w:t xml:space="preserve">, </w:t>
      </w:r>
      <w:r w:rsidR="00721A1C">
        <w:t>the sharing of clinical priorities</w:t>
      </w:r>
      <w:r w:rsidR="00823796">
        <w:t>, a shared electronic health record</w:t>
      </w:r>
      <w:r w:rsidR="00C04227">
        <w:t xml:space="preserve"> and </w:t>
      </w:r>
      <w:r w:rsidR="00823796">
        <w:t xml:space="preserve">agreement to share </w:t>
      </w:r>
      <w:r w:rsidR="00C04227">
        <w:t>relevant data</w:t>
      </w:r>
      <w:r w:rsidR="00823796">
        <w:t xml:space="preserve"> </w:t>
      </w:r>
      <w:r w:rsidR="00AB3856">
        <w:t xml:space="preserve">are prerequisites for productive partnerships. </w:t>
      </w:r>
      <w:r w:rsidR="00823796">
        <w:t xml:space="preserve">Examples of such collaboration between LHNs and PHNs in Australia are rare, but where they exist, they have </w:t>
      </w:r>
      <w:r w:rsidR="00AB3856">
        <w:t>improved</w:t>
      </w:r>
      <w:r w:rsidR="00293ED9">
        <w:t xml:space="preserve"> population health, delivered </w:t>
      </w:r>
      <w:r w:rsidR="00AB3856">
        <w:t>higher quality service</w:t>
      </w:r>
      <w:r w:rsidR="00293ED9">
        <w:t>s</w:t>
      </w:r>
      <w:r w:rsidR="00AB3856">
        <w:t>, been more cost</w:t>
      </w:r>
      <w:r w:rsidR="00AB3856">
        <w:noBreakHyphen/>
        <w:t xml:space="preserve">effective and </w:t>
      </w:r>
      <w:r w:rsidR="005C443E">
        <w:t>increased</w:t>
      </w:r>
      <w:r w:rsidR="00823796">
        <w:t xml:space="preserve"> workforce satisfaction (box 4.1 and appendix A).</w:t>
      </w:r>
    </w:p>
    <w:p w14:paraId="1EA38CB4" w14:textId="77777777" w:rsidR="00D611BE" w:rsidRDefault="00D611BE" w:rsidP="00D611BE">
      <w:pPr>
        <w:pStyle w:val="BodyText"/>
      </w:pPr>
      <w:r>
        <w:t xml:space="preserve">There is little in the current health system — outside hospitals — that resembles the teamwork and clarity of relationships that take place in normal ‘production’ processes. A key feature of integrated care is </w:t>
      </w:r>
      <w:r w:rsidRPr="003A5512">
        <w:rPr>
          <w:i/>
        </w:rPr>
        <w:t>willing</w:t>
      </w:r>
      <w:r>
        <w:t xml:space="preserve"> collaboration between different parts of the medical workforce, administrators, researchers and funders. Collaborators’ satisfaction with multidisciplinary integrated care depend on many factors</w:t>
      </w:r>
      <w:r w:rsidR="009C49CA">
        <w:t>.</w:t>
      </w:r>
      <w:r>
        <w:t xml:space="preserve"> </w:t>
      </w:r>
    </w:p>
    <w:p w14:paraId="1EA38CB5" w14:textId="77777777" w:rsidR="00D611BE" w:rsidRDefault="00D611BE" w:rsidP="00D611BE">
      <w:pPr>
        <w:pStyle w:val="Quote"/>
      </w:pPr>
      <w:r w:rsidRPr="00991BDC">
        <w:t>These included communication; workload; clear roles and responsibilities; clear leadership/decision making; facilities/infrastructure; knowledge, training and skills; provider engagement; trust and respect between providers; usefulness of collaboration; impact and benefits; management; access; and flexibility of the integrated model</w:t>
      </w:r>
      <w:r>
        <w:t xml:space="preserve"> </w:t>
      </w:r>
      <w:r w:rsidR="00C65A42" w:rsidRPr="00C65A42">
        <w:rPr>
          <w:szCs w:val="24"/>
        </w:rPr>
        <w:t>(Stephenson et al. 2015, p. 4)</w:t>
      </w:r>
      <w:r>
        <w:t xml:space="preserve">. </w:t>
      </w:r>
    </w:p>
    <w:p w14:paraId="1EA38CB6" w14:textId="77777777" w:rsidR="00D611BE" w:rsidRDefault="00D611BE" w:rsidP="00D611BE">
      <w:pPr>
        <w:pStyle w:val="BodyText"/>
      </w:pPr>
      <w:r>
        <w:t>Participants in the inquiry often emphasised the need for ‘buy</w:t>
      </w:r>
      <w:r w:rsidR="000D7464">
        <w:noBreakHyphen/>
      </w:r>
      <w:r>
        <w:t>in’ from clinicians in implementing integrated care given many clinicians were time poor and distrustful of new initiatives that involve changes to their practices, funding arrangements and clinical relationships. The Commission was also told how often personal relationship and networks made it possible to develop trust and obtain agreements between disparate parties and to innovate. Finding the right partners in any given health intervention depends on knowledge of their capabilities. The following two (hypothetical) conversations are plausible at the local level:</w:t>
      </w:r>
    </w:p>
    <w:p w14:paraId="1EA38CB7" w14:textId="77777777" w:rsidR="00D611BE" w:rsidRDefault="00D611BE" w:rsidP="00D611BE">
      <w:pPr>
        <w:pStyle w:val="Quote"/>
      </w:pPr>
      <w:r>
        <w:t>XX is a very competent and enthusiastic director of the Community Health Care Centre and she’d love a chance for partnering on that idea.</w:t>
      </w:r>
    </w:p>
    <w:p w14:paraId="1EA38CB8" w14:textId="77777777" w:rsidR="00D611BE" w:rsidRDefault="00D611BE" w:rsidP="00D611BE">
      <w:pPr>
        <w:pStyle w:val="Quote"/>
      </w:pPr>
      <w:r>
        <w:t>YY just pursues old ways of doing things — choose someone else as a partner for that initiative or you’ll be blocked at every move.</w:t>
      </w:r>
    </w:p>
    <w:p w14:paraId="1EA38CB9" w14:textId="77777777" w:rsidR="00C7615E" w:rsidRDefault="00D611BE" w:rsidP="00D611BE">
      <w:pPr>
        <w:pStyle w:val="BodyText"/>
      </w:pPr>
      <w:r>
        <w:t>These are not judgments that could be made remotely by a distant bureaucracy.</w:t>
      </w:r>
      <w:r w:rsidR="00D50793">
        <w:t xml:space="preserve"> </w:t>
      </w:r>
    </w:p>
    <w:p w14:paraId="1EA38CBA" w14:textId="77777777" w:rsidR="00823A13" w:rsidRDefault="00823A13" w:rsidP="00823A13">
      <w:pPr>
        <w:pStyle w:val="BodyText"/>
      </w:pPr>
      <w:r w:rsidRPr="00AC4765">
        <w:t xml:space="preserve">In </w:t>
      </w:r>
      <w:r>
        <w:t>discussing integrated care with various participants in this inquiry, the Commission was also told of negative undercurrents that affected the relationships between general practitioners, allied health professionals</w:t>
      </w:r>
      <w:r w:rsidR="007E61CC">
        <w:t xml:space="preserve">, nurses </w:t>
      </w:r>
      <w:r>
        <w:t>(</w:t>
      </w:r>
      <w:r w:rsidR="007E61CC">
        <w:t xml:space="preserve">including </w:t>
      </w:r>
      <w:r>
        <w:t>nurse practitioners), specialists and health administrators. These arose from multiple quarters — such as different perceived levels of prestige and power, the academic difficulty of the disciplines, relative earnings, concerns about the scope of practice, lack of respect, and loss of autonomy.</w:t>
      </w:r>
      <w:r w:rsidRPr="003D243B">
        <w:rPr>
          <w:rStyle w:val="FootnoteReference"/>
        </w:rPr>
        <w:footnoteReference w:id="15"/>
      </w:r>
      <w:r>
        <w:t xml:space="preserve"> While any such tensions are not uniform, they must affect the capacity for a multidisciplinary and collegiate approach to patient care, as well as the capacity for innovation</w:t>
      </w:r>
      <w:r w:rsidR="00A25502">
        <w:t xml:space="preserve"> and diffusion of best practice</w:t>
      </w:r>
      <w:r>
        <w:t xml:space="preserve">. </w:t>
      </w:r>
    </w:p>
    <w:p w14:paraId="1EA38CBB" w14:textId="77777777" w:rsidR="00823A13" w:rsidRDefault="00823A13" w:rsidP="00823A13">
      <w:pPr>
        <w:pStyle w:val="BodyText"/>
      </w:pPr>
      <w:r>
        <w:t xml:space="preserve">One qualitative study of attitudes of doctors found: </w:t>
      </w:r>
    </w:p>
    <w:p w14:paraId="1EA38CBC" w14:textId="77777777" w:rsidR="00823A13" w:rsidRDefault="00823A13" w:rsidP="00823A13">
      <w:pPr>
        <w:pStyle w:val="Quote"/>
      </w:pPr>
      <w:r w:rsidRPr="00414C19">
        <w:t>Indeed, almost all of our participants had something to say about the disrespect that they or their colleagues had experienced from hospital managers or university bureaucrats. Here their concern was not so much about the rights of doctors by virtue of their status, but rather a lack of regard for doctors’ perspectives, expertise, and efforts</w:t>
      </w:r>
      <w:r>
        <w:t xml:space="preserve">. </w:t>
      </w:r>
      <w:r w:rsidR="00C65A42" w:rsidRPr="00C65A42">
        <w:rPr>
          <w:szCs w:val="24"/>
        </w:rPr>
        <w:t>(Lipworth et al. 2013, p. 9)</w:t>
      </w:r>
    </w:p>
    <w:p w14:paraId="1EA38CBD" w14:textId="77777777" w:rsidR="00D872CB" w:rsidRDefault="00232D7C" w:rsidP="00D872CB">
      <w:pPr>
        <w:pStyle w:val="BodyText"/>
      </w:pPr>
      <w:r>
        <w:t>The implication is that integrated patient</w:t>
      </w:r>
      <w:r>
        <w:noBreakHyphen/>
        <w:t xml:space="preserve">centred care needs the able fostering of </w:t>
      </w:r>
      <w:r w:rsidR="005843E1">
        <w:t>relationships</w:t>
      </w:r>
      <w:r>
        <w:t xml:space="preserve"> and trust between par</w:t>
      </w:r>
      <w:r w:rsidR="005843E1">
        <w:t>t</w:t>
      </w:r>
      <w:r>
        <w:t>ies where that has often been weak. Struc</w:t>
      </w:r>
      <w:r w:rsidR="005843E1">
        <w:t>t</w:t>
      </w:r>
      <w:r>
        <w:t>ural reforms will not be enough.</w:t>
      </w:r>
    </w:p>
    <w:p w14:paraId="1EA38CBE" w14:textId="77777777" w:rsidR="00885D2C" w:rsidRDefault="00885D2C" w:rsidP="00885D2C">
      <w:pPr>
        <w:pStyle w:val="BodyText"/>
      </w:pPr>
      <w:r>
        <w:t xml:space="preserve">A regional model still requires oversight by the Australian and State and Territory Governments. They have a key role in encouraging local collaboration by setting the same broad priorities for each party and by holding boards accountable for objective measures of performance. </w:t>
      </w:r>
    </w:p>
    <w:p w14:paraId="1EA38CBF" w14:textId="77777777" w:rsidR="00885D2C" w:rsidRDefault="00885D2C" w:rsidP="00885D2C">
      <w:pPr>
        <w:pStyle w:val="BodyText"/>
      </w:pPr>
      <w:r>
        <w:t>Across all jurisdictions, key performance indicators are already available for some aspects of care, mainly at the hospital level. For example, state government reporting frameworks include, among other factors, patient satisfaction, pain reduction, hospital hygiene, survival rates for cardiac arrest, operational efficiency, and post</w:t>
      </w:r>
      <w:r>
        <w:noBreakHyphen/>
        <w:t xml:space="preserve">discharge follow-up rates </w:t>
      </w:r>
      <w:r w:rsidRPr="000E3E17">
        <w:rPr>
          <w:szCs w:val="24"/>
        </w:rPr>
        <w:t>(NSWMoH 2016; VicDHHS 2015)</w:t>
      </w:r>
      <w:r>
        <w:t xml:space="preserve">. </w:t>
      </w:r>
    </w:p>
    <w:p w14:paraId="1EA38CC0" w14:textId="77777777" w:rsidR="00885D2C" w:rsidRDefault="00885D2C" w:rsidP="00885D2C">
      <w:pPr>
        <w:pStyle w:val="BodyText"/>
      </w:pPr>
      <w:r>
        <w:t>In contrast, measures of the performance of general practice is sparse. This is largely the result of governance and funding arrangements for primary care. As noted by two policy analysts:</w:t>
      </w:r>
    </w:p>
    <w:p w14:paraId="1EA38CC1" w14:textId="77777777" w:rsidR="00885D2C" w:rsidRDefault="00885D2C" w:rsidP="00885D2C">
      <w:pPr>
        <w:pStyle w:val="Quote"/>
      </w:pPr>
      <w:r>
        <w:t xml:space="preserve">The states manage public hospitals, while the Commonwealth has accepted ‘lead responsibility’ for primary care. However, the way they perform these roles is quite different: the states have clear responsibility for delivering hospital services, but the Commonwealth confines its responsibility for primary care primarily to funding … There is no comprehensive framework in Australia for measuring or rewarding quality and performance in primary care. </w:t>
      </w:r>
      <w:r w:rsidRPr="00075F00">
        <w:rPr>
          <w:szCs w:val="24"/>
        </w:rPr>
        <w:t>(Duckett and Swerissen 2017, pp. 7, 15)</w:t>
      </w:r>
    </w:p>
    <w:p w14:paraId="1EA38CC2" w14:textId="77777777" w:rsidR="00885D2C" w:rsidRDefault="00885D2C" w:rsidP="00885D2C">
      <w:pPr>
        <w:pStyle w:val="BodyText"/>
      </w:pPr>
      <w:r>
        <w:t>In part, the scarcity of performance measures also reflects that most general practices are small and with that, have a weaker capacity to manage information compared with hospitals. Nor is the primary care payments system geared to provide clinically</w:t>
      </w:r>
      <w:r>
        <w:noBreakHyphen/>
        <w:t xml:space="preserve">relevant information (as the most common MBS items are consultations with unknown interventions). </w:t>
      </w:r>
      <w:r w:rsidR="00875515">
        <w:t>E</w:t>
      </w:r>
      <w:r>
        <w:t>lectronic health records are changing this. For instance, a patient record can identify how many patients with type</w:t>
      </w:r>
      <w:r w:rsidR="007511F6">
        <w:t> </w:t>
      </w:r>
      <w:r>
        <w:t>2 diabetes lose their vision, suffer limb amputations, experience renal failure and cardio</w:t>
      </w:r>
      <w:r>
        <w:noBreakHyphen/>
        <w:t>vascular disease, become obese, have unplanned admissions to hospital, and</w:t>
      </w:r>
      <w:r w:rsidRPr="00CA66F4">
        <w:t xml:space="preserve"> </w:t>
      </w:r>
      <w:r>
        <w:t xml:space="preserve">have elevated </w:t>
      </w:r>
      <w:r w:rsidR="00CA3567">
        <w:t xml:space="preserve">glycated haemoglobin </w:t>
      </w:r>
      <w:r>
        <w:t xml:space="preserve">levels. While much of this information would be entered by hospitals (thus reducing any compliance burdens of record-keeping by GPs), the measures would be indicators of the effectiveness of primary care in managing diabetes. While no single instance of any of the above outcomes suggests poor care, when aggregated across time and patients, they will highlight general practices where care is highly effective and others that </w:t>
      </w:r>
      <w:r w:rsidR="00F04F22">
        <w:t>could</w:t>
      </w:r>
      <w:r>
        <w:t xml:space="preserve"> improve their management of diabetes. They will also indicate whether collaborative efforts by PHNs and LHNs are delivering the desired outcomes, and if not, where the failings and lessons lie. Accordingly, for accountability and learning, more work has to be undertaken to develop KPIs for primary care, while avoiding excessive data collection, and choosing the best point at which to collect the information (chapter 9).</w:t>
      </w:r>
    </w:p>
    <w:p w14:paraId="1EA38CC3" w14:textId="77777777" w:rsidR="00D611BE" w:rsidRDefault="00114AE6" w:rsidP="00D611BE">
      <w:pPr>
        <w:pStyle w:val="Heading2"/>
      </w:pPr>
      <w:bookmarkStart w:id="34" w:name="_Toc488929688"/>
      <w:bookmarkStart w:id="35" w:name="_Toc489250066"/>
      <w:r>
        <w:t>4</w:t>
      </w:r>
      <w:r w:rsidR="00D611BE">
        <w:t>.2</w:t>
      </w:r>
      <w:r w:rsidR="00D611BE">
        <w:tab/>
        <w:t>People and regions vary</w:t>
      </w:r>
      <w:bookmarkEnd w:id="34"/>
      <w:bookmarkEnd w:id="35"/>
    </w:p>
    <w:p w14:paraId="1EA38CC4" w14:textId="0C697A43" w:rsidR="00D611BE" w:rsidRDefault="00D611BE" w:rsidP="00D611BE">
      <w:pPr>
        <w:pStyle w:val="BodyText"/>
      </w:pPr>
      <w:r>
        <w:t>Health needs vary across regions, with a need for custom</w:t>
      </w:r>
      <w:r w:rsidR="009C49CA">
        <w:noBreakHyphen/>
      </w:r>
      <w:r>
        <w:t xml:space="preserve">made variations in the allocation of resources. In an area where there are concentrations of older people, dealing with falls and loneliness — both associated with avoidable hospitalisation and low wellbeing — would be a higher priority for preventative and management strategies undertaken by PHNs, LHNs and community health care centres. In other regions, different issues would predominate. Hospitalisations for regular dialysis is twice as common for people in remote and very remote areas </w:t>
      </w:r>
      <w:r w:rsidR="00C65A42" w:rsidRPr="00C65A42">
        <w:rPr>
          <w:szCs w:val="24"/>
        </w:rPr>
        <w:t>(AIHW 2013)</w:t>
      </w:r>
      <w:r>
        <w:t xml:space="preserve">. Diabetes rates and associated limb amputations, obesity levels, smoking rates, suicides, and heart failure admissions to hospital demonstrate large variability across regions </w:t>
      </w:r>
      <w:r w:rsidR="00C65A42" w:rsidRPr="00C65A42">
        <w:rPr>
          <w:szCs w:val="24"/>
        </w:rPr>
        <w:t xml:space="preserve">(figure </w:t>
      </w:r>
      <w:r w:rsidR="003468EB">
        <w:rPr>
          <w:szCs w:val="24"/>
        </w:rPr>
        <w:t>4.1</w:t>
      </w:r>
      <w:r w:rsidR="00C65A42" w:rsidRPr="00C65A42">
        <w:rPr>
          <w:szCs w:val="24"/>
        </w:rPr>
        <w:t>; ABS 2016a; AIHW 2016d, 2016e)</w:t>
      </w:r>
      <w:r>
        <w:t xml:space="preserve">. For instance, in the latter vein, the Australian Commission on Safety and Quality in Health Care </w:t>
      </w:r>
      <w:r w:rsidR="00F04F22">
        <w:t>has</w:t>
      </w:r>
      <w:r>
        <w:t xml:space="preserve"> emphasised that effective management of heart failure requires a multidisciplinary integrated approach across the acute, primary and community care sectors, and health promotion strategies like physical exercise and fluid intake, with the latter being obvious target for tailored local initiatives </w:t>
      </w:r>
      <w:r w:rsidR="00C65A42" w:rsidRPr="00C65A42">
        <w:rPr>
          <w:szCs w:val="24"/>
        </w:rPr>
        <w:t>(ACSQHC 2015, p. 321)</w:t>
      </w:r>
      <w:r>
        <w:t xml:space="preserve">. </w:t>
      </w:r>
    </w:p>
    <w:p w14:paraId="1EA38CC5" w14:textId="77777777" w:rsidR="00D611BE" w:rsidRDefault="00D611BE" w:rsidP="00D611BE">
      <w:pPr>
        <w:pStyle w:val="BodyText"/>
      </w:pPr>
      <w:r>
        <w:t xml:space="preserve">Suicide prevention is another illustration of the potential value of regional responses. Cliffs, bridges, tall buildings and other manmade structures in certain locations are often suicide hotspots, where changes in the local environment to reduce access or provide help (for example gates and fences, signs with helpline numbers, and CCTV monitoring) have been shown to reduce overall local suicide rates </w:t>
      </w:r>
      <w:r w:rsidR="00C65A42" w:rsidRPr="00C65A42">
        <w:rPr>
          <w:szCs w:val="24"/>
        </w:rPr>
        <w:t>(CHPPE 2012)</w:t>
      </w:r>
      <w:r>
        <w:t>. Preventative measures on such a localised level need the involvement of local agencies, including loca</w:t>
      </w:r>
      <w:r w:rsidR="00090993">
        <w:t xml:space="preserve">l government. Regional decision </w:t>
      </w:r>
      <w:r>
        <w:t xml:space="preserve">makers have detailed local knowledge and the capacity to determine the amount of funding they should devote to this area of public health compared </w:t>
      </w:r>
      <w:r w:rsidR="001E4340">
        <w:t>with</w:t>
      </w:r>
      <w:r>
        <w:t xml:space="preserve"> others. That would not eliminate the role of State, Territory or the Australian Government in this area. They could still provide national prevalence statistics by area, and develop general national protocols for addressing local suic</w:t>
      </w:r>
      <w:r w:rsidR="00090993">
        <w:t xml:space="preserve">ide risk that regional decision </w:t>
      </w:r>
      <w:r>
        <w:t xml:space="preserve">makers could draw on in making their local decisions. Ideally, funding hypothecated to specific public health concerns by governments would </w:t>
      </w:r>
      <w:r w:rsidR="00F04F22">
        <w:t xml:space="preserve">be </w:t>
      </w:r>
      <w:r>
        <w:t>better pooled</w:t>
      </w:r>
      <w:r w:rsidR="00090993">
        <w:t xml:space="preserve"> and given to regional decision </w:t>
      </w:r>
      <w:r>
        <w:t>makers so they can allocate it to the highest value areas of concern among their local competing health priorities. If governments s</w:t>
      </w:r>
      <w:r w:rsidR="00103D3D">
        <w:t xml:space="preserve">till provide funding centrally, </w:t>
      </w:r>
      <w:r>
        <w:t>as is proposed for a recent Australian Government initiative to address su</w:t>
      </w:r>
      <w:r w:rsidR="00103D3D">
        <w:t xml:space="preserve">icide hotspots around Australia </w:t>
      </w:r>
      <w:r w:rsidR="004C4733" w:rsidRPr="004C4733">
        <w:rPr>
          <w:szCs w:val="24"/>
        </w:rPr>
        <w:t>(DoH 2017b, p. 17)</w:t>
      </w:r>
      <w:r w:rsidR="00090993">
        <w:t xml:space="preserve">, local decision </w:t>
      </w:r>
      <w:r>
        <w:t>makers would best be left to decide how it is to be spent on suicide mitigation.</w:t>
      </w:r>
    </w:p>
    <w:p w14:paraId="1EA38CC6" w14:textId="77777777" w:rsidR="00D611BE" w:rsidRDefault="00D611BE" w:rsidP="00D611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D611BE" w14:paraId="1EA38CC9" w14:textId="77777777" w:rsidTr="002D5631">
        <w:trPr>
          <w:tblHeader/>
        </w:trPr>
        <w:tc>
          <w:tcPr>
            <w:tcW w:w="5000" w:type="pct"/>
            <w:tcBorders>
              <w:top w:val="single" w:sz="6" w:space="0" w:color="78A22F"/>
              <w:left w:val="nil"/>
              <w:bottom w:val="nil"/>
              <w:right w:val="nil"/>
            </w:tcBorders>
            <w:shd w:val="clear" w:color="auto" w:fill="auto"/>
          </w:tcPr>
          <w:p w14:paraId="1EA38CC7" w14:textId="77777777" w:rsidR="00D611BE" w:rsidRPr="006A626E" w:rsidRDefault="00D611BE" w:rsidP="002D5631">
            <w:pPr>
              <w:pStyle w:val="FigureTitle"/>
              <w:rPr>
                <w:vertAlign w:val="superscript"/>
              </w:rPr>
            </w:pPr>
            <w:r w:rsidRPr="00944790">
              <w:rPr>
                <w:b w:val="0"/>
              </w:rPr>
              <w:t xml:space="preserve">Figure </w:t>
            </w:r>
            <w:r w:rsidR="00114AE6" w:rsidRPr="00944790">
              <w:rPr>
                <w:b w:val="0"/>
              </w:rPr>
              <w:t>4</w:t>
            </w:r>
            <w:r w:rsidRPr="00944790">
              <w:rPr>
                <w:b w:val="0"/>
              </w:rPr>
              <w:t>.1</w:t>
            </w:r>
            <w:r>
              <w:tab/>
              <w:t>Hea</w:t>
            </w:r>
            <w:r w:rsidR="00E367A5">
              <w:t>rt</w:t>
            </w:r>
            <w:r>
              <w:t xml:space="preserve"> failure variations by area, 2012</w:t>
            </w:r>
            <w:r>
              <w:noBreakHyphen/>
              <w:t>13</w:t>
            </w:r>
            <w:r w:rsidRPr="00853B92">
              <w:rPr>
                <w:rStyle w:val="NoteLabel"/>
              </w:rPr>
              <w:t>a</w:t>
            </w:r>
          </w:p>
          <w:p w14:paraId="1EA38CC8" w14:textId="77777777" w:rsidR="00D611BE" w:rsidRPr="00176D3F" w:rsidRDefault="00D611BE" w:rsidP="002D5631">
            <w:pPr>
              <w:pStyle w:val="Subtitle"/>
            </w:pPr>
            <w:r>
              <w:t>Heart failure hospital admissions per 100 000 people aged 40+ years</w:t>
            </w:r>
          </w:p>
        </w:tc>
      </w:tr>
      <w:tr w:rsidR="00D611BE" w14:paraId="1EA38CCD" w14:textId="77777777" w:rsidTr="002D563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20"/>
            </w:tblGrid>
            <w:tr w:rsidR="00D611BE" w:rsidRPr="00B1465D" w14:paraId="1EA38CCB" w14:textId="77777777" w:rsidTr="002D5631">
              <w:trPr>
                <w:tblHeader/>
                <w:jc w:val="center"/>
              </w:trPr>
              <w:tc>
                <w:tcPr>
                  <w:tcW w:w="5000" w:type="pct"/>
                  <w:tcBorders>
                    <w:top w:val="nil"/>
                    <w:bottom w:val="nil"/>
                  </w:tcBorders>
                </w:tcPr>
                <w:p w14:paraId="1EA38CCA" w14:textId="77777777" w:rsidR="00D611BE" w:rsidRPr="00B1465D" w:rsidRDefault="00D611BE" w:rsidP="002D5631">
                  <w:pPr>
                    <w:pStyle w:val="Figure"/>
                    <w:spacing w:before="60" w:after="60"/>
                    <w:rPr>
                      <w:rFonts w:ascii="Arial" w:hAnsi="Arial" w:cs="Arial"/>
                      <w:sz w:val="18"/>
                      <w:szCs w:val="18"/>
                    </w:rPr>
                  </w:pPr>
                  <w:r>
                    <w:rPr>
                      <w:rFonts w:ascii="Arial" w:hAnsi="Arial" w:cs="Arial"/>
                      <w:noProof/>
                      <w:sz w:val="18"/>
                      <w:szCs w:val="18"/>
                    </w:rPr>
                    <w:drawing>
                      <wp:inline distT="0" distB="0" distL="0" distR="0" wp14:anchorId="1EA3964A" wp14:editId="78EBD832">
                        <wp:extent cx="5407660" cy="2889885"/>
                        <wp:effectExtent l="0" t="0" r="2540" b="5715"/>
                        <wp:docPr id="12" name="Picture 12" descr="This figure depicts the frequency of age standardised heart failure admissions across 322 local areas. The frequency varies considerably from as low as around 200 admissions per 100000 people, to over 1000, with the frequency for most areas concentrated around 300 to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7660" cy="2889885"/>
                                </a:xfrm>
                                <a:prstGeom prst="rect">
                                  <a:avLst/>
                                </a:prstGeom>
                                <a:noFill/>
                              </pic:spPr>
                            </pic:pic>
                          </a:graphicData>
                        </a:graphic>
                      </wp:inline>
                    </w:drawing>
                  </w:r>
                </w:p>
              </w:tc>
            </w:tr>
          </w:tbl>
          <w:p w14:paraId="1EA38CCC" w14:textId="77777777" w:rsidR="00D611BE" w:rsidRDefault="00D611BE" w:rsidP="002D5631">
            <w:pPr>
              <w:pStyle w:val="Figure"/>
            </w:pPr>
          </w:p>
        </w:tc>
      </w:tr>
      <w:tr w:rsidR="00D611BE" w:rsidRPr="00176D3F" w14:paraId="1EA38CCF" w14:textId="77777777" w:rsidTr="002D5631">
        <w:tc>
          <w:tcPr>
            <w:tcW w:w="5000" w:type="pct"/>
            <w:tcBorders>
              <w:top w:val="nil"/>
              <w:left w:val="nil"/>
              <w:bottom w:val="nil"/>
              <w:right w:val="nil"/>
            </w:tcBorders>
            <w:shd w:val="clear" w:color="auto" w:fill="auto"/>
          </w:tcPr>
          <w:p w14:paraId="1EA38CCE" w14:textId="4BC82154" w:rsidR="00D611BE" w:rsidRPr="00176D3F" w:rsidRDefault="00D611BE" w:rsidP="004143BD">
            <w:pPr>
              <w:pStyle w:val="Note"/>
            </w:pPr>
            <w:r>
              <w:rPr>
                <w:rStyle w:val="NoteLabel"/>
              </w:rPr>
              <w:t>a</w:t>
            </w:r>
            <w:r>
              <w:t xml:space="preserve"> Age standardised by </w:t>
            </w:r>
            <w:r w:rsidR="004143BD">
              <w:t>Australian Bureau of Statistics</w:t>
            </w:r>
            <w:r w:rsidR="00101A1E">
              <w:t>’</w:t>
            </w:r>
            <w:r>
              <w:t xml:space="preserve"> Statistical Area </w:t>
            </w:r>
            <w:r w:rsidR="00101A1E">
              <w:t xml:space="preserve">Level </w:t>
            </w:r>
            <w:r>
              <w:t xml:space="preserve">3. </w:t>
            </w:r>
          </w:p>
        </w:tc>
      </w:tr>
      <w:tr w:rsidR="00D611BE" w:rsidRPr="00176D3F" w14:paraId="1EA38CD1" w14:textId="77777777" w:rsidTr="002D5631">
        <w:tc>
          <w:tcPr>
            <w:tcW w:w="5000" w:type="pct"/>
            <w:tcBorders>
              <w:top w:val="nil"/>
              <w:left w:val="nil"/>
              <w:bottom w:val="nil"/>
              <w:right w:val="nil"/>
            </w:tcBorders>
            <w:shd w:val="clear" w:color="auto" w:fill="auto"/>
          </w:tcPr>
          <w:p w14:paraId="1EA38CD0" w14:textId="77777777" w:rsidR="00D611BE" w:rsidRPr="00176D3F" w:rsidRDefault="00D611BE" w:rsidP="002D5631">
            <w:pPr>
              <w:pStyle w:val="Source"/>
            </w:pPr>
            <w:r>
              <w:rPr>
                <w:i/>
              </w:rPr>
              <w:t>S</w:t>
            </w:r>
            <w:r w:rsidRPr="00784A05">
              <w:rPr>
                <w:i/>
              </w:rPr>
              <w:t>ource</w:t>
            </w:r>
            <w:r w:rsidRPr="00176D3F">
              <w:t xml:space="preserve">: </w:t>
            </w:r>
            <w:r w:rsidRPr="009E1FE5">
              <w:t>Australian Commission on Safety and Quality in Health Care and National Health Performance</w:t>
            </w:r>
            <w:r>
              <w:t xml:space="preserve"> (ACSQHC), 2015, </w:t>
            </w:r>
            <w:r w:rsidRPr="008D57F4">
              <w:rPr>
                <w:i/>
              </w:rPr>
              <w:t>Australian Atlas of Healthcare Variation</w:t>
            </w:r>
            <w:r>
              <w:t>, chapter</w:t>
            </w:r>
            <w:r w:rsidR="009C49CA">
              <w:t> </w:t>
            </w:r>
            <w:r>
              <w:t>6 data.</w:t>
            </w:r>
          </w:p>
        </w:tc>
      </w:tr>
      <w:tr w:rsidR="00D611BE" w14:paraId="1EA38CD3" w14:textId="77777777" w:rsidTr="002D5631">
        <w:tc>
          <w:tcPr>
            <w:tcW w:w="5000" w:type="pct"/>
            <w:tcBorders>
              <w:top w:val="nil"/>
              <w:left w:val="nil"/>
              <w:bottom w:val="single" w:sz="6" w:space="0" w:color="78A22F"/>
              <w:right w:val="nil"/>
            </w:tcBorders>
            <w:shd w:val="clear" w:color="auto" w:fill="auto"/>
          </w:tcPr>
          <w:p w14:paraId="1EA38CD2" w14:textId="77777777" w:rsidR="00D611BE" w:rsidRDefault="00D611BE" w:rsidP="002D5631">
            <w:pPr>
              <w:pStyle w:val="Figurespace"/>
            </w:pPr>
          </w:p>
        </w:tc>
      </w:tr>
      <w:tr w:rsidR="00D611BE" w:rsidRPr="000863A5" w14:paraId="1EA38CD5" w14:textId="77777777" w:rsidTr="002D5631">
        <w:tc>
          <w:tcPr>
            <w:tcW w:w="5000" w:type="pct"/>
            <w:tcBorders>
              <w:top w:val="single" w:sz="6" w:space="0" w:color="78A22F"/>
              <w:left w:val="nil"/>
              <w:bottom w:val="nil"/>
              <w:right w:val="nil"/>
            </w:tcBorders>
          </w:tcPr>
          <w:p w14:paraId="1EA38CD4" w14:textId="77777777" w:rsidR="00D611BE" w:rsidRPr="00626D32" w:rsidRDefault="00D611BE" w:rsidP="002D5631">
            <w:pPr>
              <w:pStyle w:val="BoxSpaceBelow"/>
            </w:pPr>
          </w:p>
        </w:tc>
      </w:tr>
    </w:tbl>
    <w:p w14:paraId="1EA38CD6" w14:textId="77777777" w:rsidR="00D611BE" w:rsidRDefault="00114AE6" w:rsidP="00D611BE">
      <w:pPr>
        <w:pStyle w:val="Heading2"/>
      </w:pPr>
      <w:bookmarkStart w:id="36" w:name="_Toc488929689"/>
      <w:bookmarkStart w:id="37" w:name="_Toc489250067"/>
      <w:r>
        <w:t>4</w:t>
      </w:r>
      <w:r w:rsidR="00D611BE">
        <w:t>.3</w:t>
      </w:r>
      <w:r w:rsidR="00D611BE">
        <w:tab/>
        <w:t xml:space="preserve">Experimentation thrives among diverse thinkers and diverse </w:t>
      </w:r>
      <w:bookmarkEnd w:id="36"/>
      <w:r w:rsidR="00F247AD">
        <w:t>environments</w:t>
      </w:r>
      <w:bookmarkEnd w:id="37"/>
    </w:p>
    <w:p w14:paraId="1EA38CD7" w14:textId="2FB1F85D" w:rsidR="00D611BE" w:rsidRDefault="00D611BE" w:rsidP="00D611BE">
      <w:pPr>
        <w:pStyle w:val="BodyText"/>
      </w:pPr>
      <w:r>
        <w:t>Regional flexibility gives permission for experimentation. The international evidence shows there is no single best model of integrated care, and that therefore central governments should step away from prescriptive rules about how it is delivered. Devolution to the regional level can also partly address the perpetual contest between Australian, State and Territory Governments about their competing roles in orchestrating the system using tops</w:t>
      </w:r>
      <w:r>
        <w:noBreakHyphen/>
        <w:t xml:space="preserve">down approaches. </w:t>
      </w:r>
      <w:r w:rsidR="00A4236B">
        <w:t>In the view of the Australian Chamber</w:t>
      </w:r>
      <w:r w:rsidR="003E01C4">
        <w:t xml:space="preserve"> of Commerce and Industry (sub. </w:t>
      </w:r>
      <w:r w:rsidR="00A4236B">
        <w:t>37, p.</w:t>
      </w:r>
      <w:r w:rsidR="00777314">
        <w:t> </w:t>
      </w:r>
      <w:r w:rsidR="00A4236B">
        <w:t>15), for example:</w:t>
      </w:r>
    </w:p>
    <w:p w14:paraId="1EA38CD8" w14:textId="77777777" w:rsidR="00A4236B" w:rsidRDefault="00A4236B" w:rsidP="00F30A8B">
      <w:pPr>
        <w:pStyle w:val="Quote"/>
      </w:pPr>
      <w:r w:rsidRPr="00A4236B">
        <w:t>The fragmented and complex web of government roles in different parts of the health system also makes enduring or meaningful structural change difficult to achieve.</w:t>
      </w:r>
    </w:p>
    <w:p w14:paraId="1EA38CD9" w14:textId="77777777" w:rsidR="00A4236B" w:rsidRDefault="00A4236B" w:rsidP="00D611BE">
      <w:pPr>
        <w:pStyle w:val="BodyText"/>
      </w:pPr>
      <w:r>
        <w:t>Devolution to the regional level can help to circumvent barriers to improvement associated with negotiating agreement at multiple levels of government.</w:t>
      </w:r>
    </w:p>
    <w:p w14:paraId="1EA38CDA" w14:textId="77777777" w:rsidR="00C431DD" w:rsidRDefault="00D611BE" w:rsidP="00D611BE">
      <w:pPr>
        <w:pStyle w:val="BodyText"/>
      </w:pPr>
      <w:r>
        <w:t>Some PHNs are already demonstrating local innovation, encompassing activities as diverse as</w:t>
      </w:r>
      <w:r w:rsidR="00EB6C8B">
        <w:t>:</w:t>
      </w:r>
      <w:r>
        <w:t xml:space="preserve"> implementation of health pathways; use of allied health professionals for </w:t>
      </w:r>
      <w:r w:rsidR="009D44FA">
        <w:t>preventative</w:t>
      </w:r>
      <w:r>
        <w:t xml:space="preserve"> health; models of care for general practice to adopt for patient weight management; capability building of physicians through professional development; and the develop</w:t>
      </w:r>
      <w:r w:rsidR="00C431DD">
        <w:t xml:space="preserve">ment of telehealth initiatives. </w:t>
      </w:r>
    </w:p>
    <w:p w14:paraId="1EA38CDB" w14:textId="77777777" w:rsidR="00D611BE" w:rsidRDefault="00D611BE" w:rsidP="00D611BE">
      <w:pPr>
        <w:pStyle w:val="BodyText"/>
      </w:pPr>
      <w:r>
        <w:t>Even within the current restrictive funding framework, some PHNs have formed alliances with other health care entities in their region to deliver integrated care for particular chronic conditions (box </w:t>
      </w:r>
      <w:r w:rsidR="00526E56">
        <w:t>4.1</w:t>
      </w:r>
      <w:r>
        <w:t>).</w:t>
      </w:r>
      <w:r w:rsidR="00941B88">
        <w:t xml:space="preserve"> In Queensland, the government </w:t>
      </w:r>
      <w:r w:rsidR="00941B88" w:rsidRPr="00941B88">
        <w:t xml:space="preserve">established an Integrated Care Innovation Fund </w:t>
      </w:r>
      <w:r w:rsidR="00941B88">
        <w:t>that</w:t>
      </w:r>
      <w:r w:rsidR="00941B88" w:rsidRPr="00941B88">
        <w:t xml:space="preserve"> requires Local Hospital Networks to partner with Primary Health Networks in order to receive funding</w:t>
      </w:r>
      <w:r w:rsidR="00941B88">
        <w:t>.</w:t>
      </w:r>
      <w:r w:rsidR="00A81886">
        <w:t xml:space="preserve"> It may also be desirable for governments to strengthen local innovation by making LHN and PHN board appointments independent of the respective health Minister, as recommended for Victoria’s LHNs by Ham and Timmins </w:t>
      </w:r>
      <w:r w:rsidR="00C65A42" w:rsidRPr="00C65A42">
        <w:t>(2015)</w:t>
      </w:r>
      <w:r w:rsidR="00A81886">
        <w:t>.</w:t>
      </w:r>
    </w:p>
    <w:p w14:paraId="1EA38CDC" w14:textId="77777777" w:rsidR="00C92896" w:rsidRDefault="00C92896" w:rsidP="00C92896">
      <w:pPr>
        <w:pStyle w:val="BodyText"/>
      </w:pPr>
      <w:r>
        <w:t>That does not preclude initiatives at a higher level of government that are then implemented at the regional level. B</w:t>
      </w:r>
      <w:r w:rsidRPr="00941B88">
        <w:t>onuses can be effective for achieving behavioural change</w:t>
      </w:r>
      <w:r>
        <w:t xml:space="preserve"> and</w:t>
      </w:r>
      <w:r w:rsidRPr="00941B88">
        <w:t xml:space="preserve"> facilitating the diffusion of best practice</w:t>
      </w:r>
      <w:r>
        <w:t>. Under activity</w:t>
      </w:r>
      <w:r>
        <w:noBreakHyphen/>
        <w:t>based funding, this can be achieved with payment loadings on given activities, such as establishing a stroke unit where that is a cost</w:t>
      </w:r>
      <w:r>
        <w:noBreakHyphen/>
        <w:t xml:space="preserve">effective option </w:t>
      </w:r>
      <w:r w:rsidRPr="00A63220">
        <w:rPr>
          <w:szCs w:val="24"/>
        </w:rPr>
        <w:t>(Queensland Department of Health 2016a)</w:t>
      </w:r>
      <w:r w:rsidRPr="00941B88">
        <w:t xml:space="preserve">. </w:t>
      </w:r>
      <w:r>
        <w:t xml:space="preserve">This loading assisted hospitals to make changes to their stroke management, with known benefits for mortality. </w:t>
      </w:r>
    </w:p>
    <w:p w14:paraId="1EA38CDD" w14:textId="77777777" w:rsidR="00061EE7" w:rsidRDefault="00061EE7" w:rsidP="00061EE7">
      <w:pPr>
        <w:pStyle w:val="BodyText"/>
      </w:pPr>
      <w:r>
        <w:t>In</w:t>
      </w:r>
      <w:r w:rsidRPr="00941B88">
        <w:t xml:space="preserve"> New South Wales</w:t>
      </w:r>
      <w:r>
        <w:t>, the</w:t>
      </w:r>
      <w:r w:rsidRPr="00941B88">
        <w:t xml:space="preserve"> Agency for Clinical Innovation</w:t>
      </w:r>
      <w:r>
        <w:t xml:space="preserve"> (ACI) undertook a major initiative to improve stroke management in hospitals, after compelling evidence from the NSW Bureau of Health Information of inexplicably large variations in mortality outcomes across hospitals. The ACI recognised that some of the variations would reflect factors outside the control of hospitals and that local features mattered:</w:t>
      </w:r>
    </w:p>
    <w:p w14:paraId="1EA38CDE" w14:textId="77777777" w:rsidR="00061EE7" w:rsidRDefault="00061EE7" w:rsidP="00061EE7">
      <w:pPr>
        <w:pStyle w:val="Quote"/>
      </w:pPr>
      <w:r>
        <w:t>By providing reliable service data and reaching out face</w:t>
      </w:r>
      <w:r>
        <w:noBreakHyphen/>
        <w:t>to</w:t>
      </w:r>
      <w:r>
        <w:noBreakHyphen/>
        <w:t>face across NSW, the SCAP [Stroke Clinical Audit Process] has increased the profile of unwarranted clinical variation in general and demonstrated that unwarranted clinical variation is a local issue with local solutions.</w:t>
      </w:r>
      <w:r w:rsidRPr="009E35A1">
        <w:rPr>
          <w:szCs w:val="24"/>
        </w:rPr>
        <w:t>(NSW ACI 2017, p. 3)</w:t>
      </w:r>
    </w:p>
    <w:p w14:paraId="1EA38CDF" w14:textId="77777777" w:rsidR="00D611BE" w:rsidRDefault="00D611BE" w:rsidP="006B102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D611BE" w14:paraId="1EA38CE1" w14:textId="77777777" w:rsidTr="002D5631">
        <w:tc>
          <w:tcPr>
            <w:tcW w:w="5000" w:type="pct"/>
            <w:tcBorders>
              <w:top w:val="single" w:sz="6" w:space="0" w:color="78A22F"/>
              <w:left w:val="nil"/>
              <w:bottom w:val="nil"/>
              <w:right w:val="nil"/>
            </w:tcBorders>
            <w:shd w:val="clear" w:color="auto" w:fill="F2F2F2"/>
          </w:tcPr>
          <w:p w14:paraId="1EA38CE0" w14:textId="77777777" w:rsidR="00D611BE" w:rsidRDefault="00D611BE" w:rsidP="00AF098D">
            <w:pPr>
              <w:pStyle w:val="FigureTitle"/>
            </w:pPr>
            <w:r w:rsidRPr="00944790">
              <w:rPr>
                <w:b w:val="0"/>
              </w:rPr>
              <w:t xml:space="preserve">Box </w:t>
            </w:r>
            <w:r w:rsidR="00114AE6" w:rsidRPr="00944790">
              <w:rPr>
                <w:b w:val="0"/>
              </w:rPr>
              <w:t>4</w:t>
            </w:r>
            <w:r w:rsidRPr="00944790">
              <w:rPr>
                <w:b w:val="0"/>
              </w:rPr>
              <w:t>.1</w:t>
            </w:r>
            <w:r>
              <w:tab/>
              <w:t>Hunter Diabetes Alliance: better diabetes management</w:t>
            </w:r>
          </w:p>
        </w:tc>
      </w:tr>
      <w:tr w:rsidR="00D611BE" w14:paraId="1EA38CE8" w14:textId="77777777" w:rsidTr="002D5631">
        <w:tc>
          <w:tcPr>
            <w:tcW w:w="5000" w:type="pct"/>
            <w:tcBorders>
              <w:top w:val="nil"/>
              <w:left w:val="nil"/>
              <w:bottom w:val="nil"/>
              <w:right w:val="nil"/>
            </w:tcBorders>
            <w:shd w:val="clear" w:color="auto" w:fill="F2F2F2"/>
          </w:tcPr>
          <w:p w14:paraId="1EA38CE2" w14:textId="77777777" w:rsidR="00D611BE" w:rsidRPr="006B102C" w:rsidRDefault="00D611BE" w:rsidP="009743E9">
            <w:pPr>
              <w:pStyle w:val="Box"/>
              <w:rPr>
                <w:spacing w:val="-2"/>
              </w:rPr>
            </w:pPr>
            <w:r w:rsidRPr="006B102C">
              <w:rPr>
                <w:spacing w:val="-2"/>
              </w:rPr>
              <w:t>The alliance involved collaboration between the four prominent health care providers in the region — Hunter New England Local Health District, Calvary Mater, Hunter New England and Central Coast Primary Health Network, and Hunter Primary Care.</w:t>
            </w:r>
          </w:p>
          <w:p w14:paraId="1EA38CE3" w14:textId="77777777" w:rsidR="00D611BE" w:rsidRPr="006B102C" w:rsidRDefault="00D611BE" w:rsidP="009743E9">
            <w:pPr>
              <w:pStyle w:val="Box"/>
              <w:rPr>
                <w:spacing w:val="-2"/>
              </w:rPr>
            </w:pPr>
            <w:r w:rsidRPr="006B102C">
              <w:rPr>
                <w:spacing w:val="-2"/>
              </w:rPr>
              <w:t>The Hunter area has a higher than average prevalence of type</w:t>
            </w:r>
            <w:r w:rsidR="007511F6" w:rsidRPr="006B102C">
              <w:rPr>
                <w:spacing w:val="-2"/>
              </w:rPr>
              <w:t> </w:t>
            </w:r>
            <w:r w:rsidRPr="006B102C">
              <w:rPr>
                <w:spacing w:val="-2"/>
              </w:rPr>
              <w:t>2 diabetes mellitus (T2DM) and the complications associated with it, and there was significant variation in care — which made T2DM a priority for intervention.</w:t>
            </w:r>
          </w:p>
          <w:p w14:paraId="1EA38CE4" w14:textId="77777777" w:rsidR="00D611BE" w:rsidRPr="006B102C" w:rsidRDefault="00D611BE" w:rsidP="009743E9">
            <w:pPr>
              <w:pStyle w:val="Box"/>
              <w:rPr>
                <w:spacing w:val="-2"/>
              </w:rPr>
            </w:pPr>
            <w:r w:rsidRPr="006B102C">
              <w:rPr>
                <w:spacing w:val="-2"/>
              </w:rPr>
              <w:t>The alliance created integrated clinics in GP rooms involving a multidisciplinary team (the patient’s GP, a practice nurse, an endocrinologist and a diabetes educator), the patient and their carer. The aim of the model was to improve diabetes control, patient experience and self</w:t>
            </w:r>
            <w:r w:rsidRPr="006B102C">
              <w:rPr>
                <w:spacing w:val="-2"/>
              </w:rPr>
              <w:noBreakHyphen/>
              <w:t xml:space="preserve">management; to support </w:t>
            </w:r>
            <w:r w:rsidR="00F24EF5" w:rsidRPr="006B102C">
              <w:rPr>
                <w:spacing w:val="-2"/>
              </w:rPr>
              <w:t>clinically</w:t>
            </w:r>
            <w:r w:rsidR="00F24EF5" w:rsidRPr="006B102C">
              <w:rPr>
                <w:spacing w:val="-2"/>
              </w:rPr>
              <w:noBreakHyphen/>
              <w:t>justified</w:t>
            </w:r>
            <w:r w:rsidRPr="006B102C">
              <w:rPr>
                <w:spacing w:val="-2"/>
              </w:rPr>
              <w:t xml:space="preserve"> prescribing and monitoring</w:t>
            </w:r>
            <w:r w:rsidR="00C412FC" w:rsidRPr="006B102C">
              <w:rPr>
                <w:spacing w:val="-2"/>
              </w:rPr>
              <w:t>;</w:t>
            </w:r>
            <w:r w:rsidRPr="006B102C">
              <w:rPr>
                <w:spacing w:val="-2"/>
              </w:rPr>
              <w:t xml:space="preserve"> increase GP team diabetes knowledge and skills; address barriers to implementation of best practice diabetes management</w:t>
            </w:r>
            <w:r w:rsidR="00C412FC" w:rsidRPr="006B102C">
              <w:rPr>
                <w:spacing w:val="-2"/>
              </w:rPr>
              <w:t>;</w:t>
            </w:r>
            <w:r w:rsidRPr="006B102C">
              <w:rPr>
                <w:spacing w:val="-2"/>
              </w:rPr>
              <w:t xml:space="preserve"> and reduce the time taken by clinicians to initiate or intensify treatment. The model of care drew heavily on collecting patient data to monitor progress and respond (including benchmarking against other practices).</w:t>
            </w:r>
          </w:p>
          <w:p w14:paraId="1EA38CE5" w14:textId="77777777" w:rsidR="00D611BE" w:rsidRPr="006B102C" w:rsidRDefault="00C412FC" w:rsidP="009743E9">
            <w:pPr>
              <w:pStyle w:val="Box"/>
              <w:rPr>
                <w:spacing w:val="-2"/>
              </w:rPr>
            </w:pPr>
            <w:r w:rsidRPr="006B102C">
              <w:rPr>
                <w:spacing w:val="-2"/>
              </w:rPr>
              <w:t xml:space="preserve">Over 14 months, </w:t>
            </w:r>
            <w:r w:rsidR="00D611BE" w:rsidRPr="006B102C">
              <w:rPr>
                <w:spacing w:val="-2"/>
              </w:rPr>
              <w:t xml:space="preserve">456 patients with T2DM were seen. At the start of the intervention, 29% of T2DM patients with a BMI&gt;35 had not seen a dietician (noting a BMI&gt;30 is regarded as obese), 12.5% had not had their </w:t>
            </w:r>
            <w:r w:rsidR="00CA3567" w:rsidRPr="006B102C">
              <w:rPr>
                <w:spacing w:val="-2"/>
              </w:rPr>
              <w:t>glycated haemoglobin levels (HbA1c)</w:t>
            </w:r>
            <w:r w:rsidR="00D611BE" w:rsidRPr="006B102C">
              <w:rPr>
                <w:spacing w:val="-2"/>
              </w:rPr>
              <w:t xml:space="preserve"> checked in the last year (despite this being a key measure of future adverse outcomes like coronary heart disease), and 33% had no record of testing for urine microalbuminuria (an indicator of kidney damage).</w:t>
            </w:r>
          </w:p>
          <w:p w14:paraId="1EA38CE6" w14:textId="77777777" w:rsidR="006B102C" w:rsidRDefault="00D611BE" w:rsidP="009743E9">
            <w:pPr>
              <w:pStyle w:val="Box"/>
              <w:rPr>
                <w:spacing w:val="-2"/>
              </w:rPr>
            </w:pPr>
            <w:r w:rsidRPr="006B102C">
              <w:rPr>
                <w:spacing w:val="-2"/>
              </w:rPr>
              <w:t xml:space="preserve">After the case conference, 92% of patients had medication changes recommended. </w:t>
            </w:r>
            <w:r w:rsidR="00C412FC" w:rsidRPr="006B102C">
              <w:rPr>
                <w:spacing w:val="-2"/>
              </w:rPr>
              <w:t>Thirty</w:t>
            </w:r>
            <w:r w:rsidR="00C412FC" w:rsidRPr="006B102C">
              <w:rPr>
                <w:spacing w:val="-2"/>
              </w:rPr>
              <w:noBreakHyphen/>
              <w:t>six per cent</w:t>
            </w:r>
            <w:r w:rsidRPr="006B102C">
              <w:rPr>
                <w:spacing w:val="-2"/>
              </w:rPr>
              <w:t xml:space="preserve"> were referred to a dietician. After a 6 month follow up for a sample of patients, there was a significant improvement in HbA1c levels, 51% of patients had lost weight; and the share of people exercising for 30 or more minutes per day increased from 30% to 75%. A significant share of patients reported improved knowledge, confidence and skills in self</w:t>
            </w:r>
            <w:r w:rsidRPr="006B102C">
              <w:rPr>
                <w:spacing w:val="-2"/>
              </w:rPr>
              <w:noBreakHyphen/>
              <w:t xml:space="preserve">management. Overall clinician costs of care fell by </w:t>
            </w:r>
            <w:r w:rsidR="00BD734A" w:rsidRPr="006B102C">
              <w:rPr>
                <w:spacing w:val="-2"/>
              </w:rPr>
              <w:t>about</w:t>
            </w:r>
            <w:r w:rsidRPr="006B102C">
              <w:rPr>
                <w:spacing w:val="-2"/>
              </w:rPr>
              <w:t xml:space="preserve"> 20%. The ‘did not attend rate’ fell from 25% to 2%. And it cost less. The evaluation found a range of qualitative improvements (as shown below).</w:t>
            </w:r>
          </w:p>
          <w:p w14:paraId="1EA38CE7" w14:textId="77777777" w:rsidR="009743E9" w:rsidRPr="009743E9" w:rsidRDefault="009743E9" w:rsidP="009743E9">
            <w:pPr>
              <w:pStyle w:val="Continued"/>
              <w:spacing w:before="120"/>
            </w:pPr>
            <w:r w:rsidRPr="009743E9">
              <w:t>(continued</w:t>
            </w:r>
            <w:r>
              <w:t>)</w:t>
            </w:r>
          </w:p>
        </w:tc>
      </w:tr>
      <w:tr w:rsidR="00D611BE" w14:paraId="1EA38CEA" w14:textId="77777777" w:rsidTr="002D5631">
        <w:tc>
          <w:tcPr>
            <w:tcW w:w="5000" w:type="pct"/>
            <w:tcBorders>
              <w:top w:val="nil"/>
              <w:left w:val="nil"/>
              <w:bottom w:val="single" w:sz="6" w:space="0" w:color="78A22F"/>
              <w:right w:val="nil"/>
            </w:tcBorders>
            <w:shd w:val="clear" w:color="auto" w:fill="F2F2F2"/>
          </w:tcPr>
          <w:p w14:paraId="1EA38CE9" w14:textId="77777777" w:rsidR="00D611BE" w:rsidRPr="006B102C" w:rsidRDefault="00D611BE" w:rsidP="006B102C">
            <w:pPr>
              <w:pStyle w:val="BoxSpaceBelow"/>
              <w:spacing w:before="0" w:after="0"/>
            </w:pPr>
          </w:p>
        </w:tc>
      </w:tr>
      <w:tr w:rsidR="00D611BE" w:rsidRPr="000863A5" w14:paraId="1EA38CEC" w14:textId="77777777" w:rsidTr="002D5631">
        <w:tc>
          <w:tcPr>
            <w:tcW w:w="5000" w:type="pct"/>
            <w:tcBorders>
              <w:top w:val="single" w:sz="6" w:space="0" w:color="78A22F"/>
              <w:left w:val="nil"/>
              <w:bottom w:val="nil"/>
              <w:right w:val="nil"/>
            </w:tcBorders>
          </w:tcPr>
          <w:p w14:paraId="1EA38CEB" w14:textId="77777777" w:rsidR="00D611BE" w:rsidRPr="00626D32" w:rsidRDefault="00D611BE" w:rsidP="002D5631">
            <w:pPr>
              <w:pStyle w:val="BoxSpaceBelow"/>
            </w:pPr>
          </w:p>
        </w:tc>
      </w:tr>
    </w:tbl>
    <w:p w14:paraId="1EA38CED" w14:textId="77777777" w:rsidR="009743E9" w:rsidRDefault="009743E9" w:rsidP="009743E9">
      <w:pPr>
        <w:pStyle w:val="BodyText"/>
      </w:pPr>
      <w:r>
        <w:br w:type="page"/>
      </w:r>
    </w:p>
    <w:p w14:paraId="1EA38CEE" w14:textId="77777777" w:rsidR="009743E9" w:rsidRPr="009743E9" w:rsidRDefault="009743E9" w:rsidP="009743E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9743E9" w14:paraId="1EA38CF0" w14:textId="77777777" w:rsidTr="00EA2B19">
        <w:tc>
          <w:tcPr>
            <w:tcW w:w="5000" w:type="pct"/>
            <w:tcBorders>
              <w:top w:val="single" w:sz="6" w:space="0" w:color="78A22F"/>
              <w:left w:val="nil"/>
              <w:bottom w:val="nil"/>
              <w:right w:val="nil"/>
            </w:tcBorders>
            <w:shd w:val="clear" w:color="auto" w:fill="F2F2F2"/>
          </w:tcPr>
          <w:p w14:paraId="1EA38CEF" w14:textId="77777777" w:rsidR="009743E9" w:rsidRDefault="009743E9" w:rsidP="004109FC">
            <w:pPr>
              <w:pStyle w:val="FigureTitle"/>
            </w:pPr>
            <w:r w:rsidRPr="00944790">
              <w:rPr>
                <w:b w:val="0"/>
              </w:rPr>
              <w:t>Box 4.</w:t>
            </w:r>
            <w:r w:rsidRPr="00944790">
              <w:rPr>
                <w:b w:val="0"/>
              </w:rPr>
              <w:fldChar w:fldCharType="begin"/>
            </w:r>
            <w:r w:rsidRPr="00944790">
              <w:rPr>
                <w:b w:val="0"/>
              </w:rPr>
              <w:instrText xml:space="preserve"> COMMENTS  \* MERGEFORMAT </w:instrText>
            </w:r>
            <w:r w:rsidRPr="00944790">
              <w:rPr>
                <w:b w:val="0"/>
              </w:rPr>
              <w:fldChar w:fldCharType="end"/>
            </w:r>
            <w:r w:rsidRPr="00944790">
              <w:rPr>
                <w:b w:val="0"/>
              </w:rPr>
              <w:fldChar w:fldCharType="begin"/>
            </w:r>
            <w:r w:rsidRPr="00944790">
              <w:rPr>
                <w:b w:val="0"/>
              </w:rPr>
              <w:instrText xml:space="preserve"> SEQ Box \* ARABIC </w:instrText>
            </w:r>
            <w:r w:rsidRPr="00944790">
              <w:rPr>
                <w:b w:val="0"/>
              </w:rPr>
              <w:fldChar w:fldCharType="separate"/>
            </w:r>
            <w:r w:rsidR="00335985">
              <w:rPr>
                <w:b w:val="0"/>
                <w:noProof/>
              </w:rPr>
              <w:t>1</w:t>
            </w:r>
            <w:r w:rsidRPr="00944790">
              <w:rPr>
                <w:b w:val="0"/>
              </w:rPr>
              <w:fldChar w:fldCharType="end"/>
            </w:r>
            <w:r>
              <w:tab/>
            </w:r>
            <w:r w:rsidR="00AB3720">
              <w:t>(continued)</w:t>
            </w:r>
          </w:p>
        </w:tc>
      </w:tr>
      <w:tr w:rsidR="009743E9" w14:paraId="1EA38D0E" w14:textId="77777777" w:rsidTr="00EA2B19">
        <w:tc>
          <w:tcPr>
            <w:tcW w:w="5000" w:type="pct"/>
            <w:tcBorders>
              <w:top w:val="nil"/>
              <w:left w:val="nil"/>
              <w:bottom w:val="nil"/>
              <w:right w:val="nil"/>
            </w:tcBorders>
            <w:shd w:val="clear" w:color="auto" w:fill="F2F2F2"/>
          </w:tcPr>
          <w:tbl>
            <w:tblPr>
              <w:tblpPr w:leftFromText="180" w:rightFromText="180" w:vertAnchor="text" w:horzAnchor="margin" w:tblpY="153"/>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3969"/>
              <w:gridCol w:w="4820"/>
            </w:tblGrid>
            <w:tr w:rsidR="009743E9" w:rsidRPr="006B102C" w14:paraId="1EA38CF3" w14:textId="77777777" w:rsidTr="009743E9">
              <w:tc>
                <w:tcPr>
                  <w:tcW w:w="2258" w:type="pct"/>
                  <w:tcBorders>
                    <w:top w:val="nil"/>
                    <w:left w:val="nil"/>
                    <w:bottom w:val="nil"/>
                    <w:right w:val="nil"/>
                  </w:tcBorders>
                  <w:shd w:val="clear" w:color="auto" w:fill="8F8F8F" w:themeFill="background2" w:themeFillShade="BF"/>
                </w:tcPr>
                <w:p w14:paraId="1EA38CF1" w14:textId="77777777" w:rsidR="009743E9" w:rsidRPr="006B102C" w:rsidRDefault="009743E9" w:rsidP="009743E9">
                  <w:pPr>
                    <w:pStyle w:val="TableColumnHeading"/>
                    <w:ind w:left="142"/>
                    <w:jc w:val="left"/>
                    <w:rPr>
                      <w:color w:val="FFFFFF" w:themeColor="background1"/>
                      <w:spacing w:val="-2"/>
                    </w:rPr>
                  </w:pPr>
                  <w:r w:rsidRPr="006B102C">
                    <w:rPr>
                      <w:color w:val="FFFFFF" w:themeColor="background1"/>
                      <w:spacing w:val="-2"/>
                    </w:rPr>
                    <w:t>Orthodox Model</w:t>
                  </w:r>
                </w:p>
              </w:tc>
              <w:tc>
                <w:tcPr>
                  <w:tcW w:w="2742" w:type="pct"/>
                  <w:tcBorders>
                    <w:top w:val="nil"/>
                    <w:left w:val="nil"/>
                    <w:bottom w:val="nil"/>
                    <w:right w:val="nil"/>
                  </w:tcBorders>
                  <w:shd w:val="clear" w:color="auto" w:fill="8F8F8F" w:themeFill="background2" w:themeFillShade="BF"/>
                </w:tcPr>
                <w:p w14:paraId="1EA38CF2" w14:textId="77777777" w:rsidR="009743E9" w:rsidRPr="006B102C" w:rsidRDefault="009743E9" w:rsidP="009743E9">
                  <w:pPr>
                    <w:pStyle w:val="TableColumnHeading"/>
                    <w:jc w:val="left"/>
                    <w:rPr>
                      <w:color w:val="FFFFFF" w:themeColor="background1"/>
                      <w:spacing w:val="-2"/>
                    </w:rPr>
                  </w:pPr>
                  <w:r w:rsidRPr="006B102C">
                    <w:rPr>
                      <w:color w:val="FFFFFF" w:themeColor="background1"/>
                      <w:spacing w:val="-2"/>
                    </w:rPr>
                    <w:t>Alliance model</w:t>
                  </w:r>
                </w:p>
              </w:tc>
            </w:tr>
            <w:tr w:rsidR="009743E9" w:rsidRPr="006B102C" w14:paraId="1EA38CF6" w14:textId="77777777" w:rsidTr="009743E9">
              <w:tc>
                <w:tcPr>
                  <w:tcW w:w="2258" w:type="pct"/>
                  <w:tcBorders>
                    <w:top w:val="nil"/>
                    <w:left w:val="nil"/>
                    <w:bottom w:val="nil"/>
                    <w:right w:val="nil"/>
                  </w:tcBorders>
                  <w:shd w:val="clear" w:color="auto" w:fill="D9D9D9" w:themeFill="background1" w:themeFillShade="D9"/>
                </w:tcPr>
                <w:p w14:paraId="1EA38CF4" w14:textId="77777777" w:rsidR="009743E9" w:rsidRPr="006B102C" w:rsidRDefault="009743E9" w:rsidP="009743E9">
                  <w:pPr>
                    <w:pStyle w:val="TableBodyText"/>
                    <w:ind w:left="142"/>
                    <w:jc w:val="left"/>
                    <w:rPr>
                      <w:spacing w:val="-2"/>
                    </w:rPr>
                  </w:pPr>
                  <w:r w:rsidRPr="006B102C">
                    <w:rPr>
                      <w:spacing w:val="-2"/>
                    </w:rPr>
                    <w:t>Consultations at hospital</w:t>
                  </w:r>
                </w:p>
              </w:tc>
              <w:tc>
                <w:tcPr>
                  <w:tcW w:w="2742" w:type="pct"/>
                  <w:tcBorders>
                    <w:top w:val="nil"/>
                    <w:left w:val="nil"/>
                    <w:bottom w:val="nil"/>
                    <w:right w:val="nil"/>
                  </w:tcBorders>
                  <w:shd w:val="clear" w:color="auto" w:fill="D9D9D9" w:themeFill="background1" w:themeFillShade="D9"/>
                </w:tcPr>
                <w:p w14:paraId="1EA38CF5" w14:textId="77777777" w:rsidR="009743E9" w:rsidRPr="006B102C" w:rsidRDefault="009743E9" w:rsidP="009743E9">
                  <w:pPr>
                    <w:pStyle w:val="TableBodyText"/>
                    <w:jc w:val="left"/>
                    <w:rPr>
                      <w:spacing w:val="-2"/>
                    </w:rPr>
                  </w:pPr>
                  <w:r w:rsidRPr="006B102C">
                    <w:rPr>
                      <w:spacing w:val="-2"/>
                    </w:rPr>
                    <w:t>Consultations close to people at GP clinics</w:t>
                  </w:r>
                </w:p>
              </w:tc>
            </w:tr>
            <w:tr w:rsidR="009743E9" w:rsidRPr="006B102C" w14:paraId="1EA38CF9" w14:textId="77777777" w:rsidTr="009743E9">
              <w:tc>
                <w:tcPr>
                  <w:tcW w:w="2258" w:type="pct"/>
                  <w:tcBorders>
                    <w:top w:val="nil"/>
                    <w:left w:val="nil"/>
                    <w:bottom w:val="nil"/>
                    <w:right w:val="nil"/>
                  </w:tcBorders>
                  <w:shd w:val="clear" w:color="auto" w:fill="D9D9D9" w:themeFill="background1" w:themeFillShade="D9"/>
                </w:tcPr>
                <w:p w14:paraId="1EA38CF7" w14:textId="77777777" w:rsidR="009743E9" w:rsidRPr="006B102C" w:rsidRDefault="009743E9" w:rsidP="009743E9">
                  <w:pPr>
                    <w:pStyle w:val="TableBodyText"/>
                    <w:ind w:left="142"/>
                    <w:jc w:val="left"/>
                    <w:rPr>
                      <w:spacing w:val="-2"/>
                    </w:rPr>
                  </w:pPr>
                  <w:r w:rsidRPr="006B102C">
                    <w:rPr>
                      <w:spacing w:val="-2"/>
                    </w:rPr>
                    <w:t>Recommendation made to GPs, which may not be implemented by GPs</w:t>
                  </w:r>
                </w:p>
              </w:tc>
              <w:tc>
                <w:tcPr>
                  <w:tcW w:w="2742" w:type="pct"/>
                  <w:tcBorders>
                    <w:top w:val="nil"/>
                    <w:left w:val="nil"/>
                    <w:bottom w:val="nil"/>
                    <w:right w:val="nil"/>
                  </w:tcBorders>
                  <w:shd w:val="clear" w:color="auto" w:fill="D9D9D9" w:themeFill="background1" w:themeFillShade="D9"/>
                </w:tcPr>
                <w:p w14:paraId="1EA38CF8" w14:textId="77777777" w:rsidR="009743E9" w:rsidRPr="006B102C" w:rsidRDefault="009743E9" w:rsidP="009743E9">
                  <w:pPr>
                    <w:pStyle w:val="TableBodyText"/>
                    <w:jc w:val="left"/>
                    <w:rPr>
                      <w:spacing w:val="-2"/>
                    </w:rPr>
                  </w:pPr>
                  <w:r w:rsidRPr="006B102C">
                    <w:rPr>
                      <w:spacing w:val="-2"/>
                    </w:rPr>
                    <w:t>During the case</w:t>
                  </w:r>
                  <w:r w:rsidRPr="006B102C">
                    <w:rPr>
                      <w:spacing w:val="-2"/>
                    </w:rPr>
                    <w:noBreakHyphen/>
                    <w:t>conference, the GP takes ownership of recommendations and implements them</w:t>
                  </w:r>
                </w:p>
              </w:tc>
            </w:tr>
            <w:tr w:rsidR="009743E9" w:rsidRPr="006B102C" w14:paraId="1EA38CFC" w14:textId="77777777" w:rsidTr="009743E9">
              <w:tc>
                <w:tcPr>
                  <w:tcW w:w="2258" w:type="pct"/>
                  <w:tcBorders>
                    <w:top w:val="nil"/>
                    <w:left w:val="nil"/>
                    <w:bottom w:val="nil"/>
                    <w:right w:val="nil"/>
                  </w:tcBorders>
                  <w:shd w:val="clear" w:color="auto" w:fill="D9D9D9" w:themeFill="background1" w:themeFillShade="D9"/>
                </w:tcPr>
                <w:p w14:paraId="1EA38CFA" w14:textId="77777777" w:rsidR="009743E9" w:rsidRPr="006B102C" w:rsidRDefault="009743E9" w:rsidP="009743E9">
                  <w:pPr>
                    <w:pStyle w:val="TableBodyText"/>
                    <w:ind w:left="142"/>
                    <w:jc w:val="left"/>
                    <w:rPr>
                      <w:spacing w:val="-2"/>
                    </w:rPr>
                  </w:pPr>
                  <w:r w:rsidRPr="006B102C">
                    <w:rPr>
                      <w:spacing w:val="-2"/>
                    </w:rPr>
                    <w:t>Little skill development of primary care team (letters sent only)</w:t>
                  </w:r>
                </w:p>
              </w:tc>
              <w:tc>
                <w:tcPr>
                  <w:tcW w:w="2742" w:type="pct"/>
                  <w:tcBorders>
                    <w:top w:val="nil"/>
                    <w:left w:val="nil"/>
                    <w:bottom w:val="nil"/>
                    <w:right w:val="nil"/>
                  </w:tcBorders>
                  <w:shd w:val="clear" w:color="auto" w:fill="D9D9D9" w:themeFill="background1" w:themeFillShade="D9"/>
                </w:tcPr>
                <w:p w14:paraId="1EA38CFB" w14:textId="77777777" w:rsidR="009743E9" w:rsidRPr="006B102C" w:rsidRDefault="009743E9" w:rsidP="009743E9">
                  <w:pPr>
                    <w:pStyle w:val="TableBodyText"/>
                    <w:jc w:val="left"/>
                    <w:rPr>
                      <w:spacing w:val="-2"/>
                    </w:rPr>
                  </w:pPr>
                  <w:r w:rsidRPr="006B102C">
                    <w:rPr>
                      <w:spacing w:val="-2"/>
                    </w:rPr>
                    <w:t>High levels of upskilling for primary care practitioners, including live demonstrations in case conferences</w:t>
                  </w:r>
                </w:p>
              </w:tc>
            </w:tr>
            <w:tr w:rsidR="009743E9" w:rsidRPr="006B102C" w14:paraId="1EA38CFF" w14:textId="77777777" w:rsidTr="009743E9">
              <w:tc>
                <w:tcPr>
                  <w:tcW w:w="2258" w:type="pct"/>
                  <w:tcBorders>
                    <w:top w:val="nil"/>
                    <w:left w:val="nil"/>
                    <w:bottom w:val="nil"/>
                    <w:right w:val="nil"/>
                  </w:tcBorders>
                  <w:shd w:val="clear" w:color="auto" w:fill="D9D9D9" w:themeFill="background1" w:themeFillShade="D9"/>
                </w:tcPr>
                <w:p w14:paraId="1EA38CFD" w14:textId="77777777" w:rsidR="009743E9" w:rsidRPr="006B102C" w:rsidRDefault="009743E9" w:rsidP="009743E9">
                  <w:pPr>
                    <w:pStyle w:val="TableBodyText"/>
                    <w:ind w:left="142"/>
                    <w:jc w:val="left"/>
                    <w:rPr>
                      <w:spacing w:val="-2"/>
                    </w:rPr>
                  </w:pPr>
                  <w:r w:rsidRPr="006B102C">
                    <w:rPr>
                      <w:spacing w:val="-2"/>
                    </w:rPr>
                    <w:t>Specialists obtained limited information and consultations were slowed down to gather data</w:t>
                  </w:r>
                </w:p>
              </w:tc>
              <w:tc>
                <w:tcPr>
                  <w:tcW w:w="2742" w:type="pct"/>
                  <w:tcBorders>
                    <w:top w:val="nil"/>
                    <w:left w:val="nil"/>
                    <w:bottom w:val="nil"/>
                    <w:right w:val="nil"/>
                  </w:tcBorders>
                  <w:shd w:val="clear" w:color="auto" w:fill="D9D9D9" w:themeFill="background1" w:themeFillShade="D9"/>
                </w:tcPr>
                <w:p w14:paraId="1EA38CFE" w14:textId="77777777" w:rsidR="009743E9" w:rsidRPr="006B102C" w:rsidRDefault="009743E9" w:rsidP="009743E9">
                  <w:pPr>
                    <w:pStyle w:val="TableBodyText"/>
                    <w:jc w:val="left"/>
                    <w:rPr>
                      <w:spacing w:val="-2"/>
                    </w:rPr>
                  </w:pPr>
                  <w:r w:rsidRPr="006B102C">
                    <w:rPr>
                      <w:spacing w:val="-2"/>
                    </w:rPr>
                    <w:t>Comprehensive information available with GP database (also saving time)</w:t>
                  </w:r>
                </w:p>
              </w:tc>
            </w:tr>
            <w:tr w:rsidR="009743E9" w:rsidRPr="006B102C" w14:paraId="1EA38D02" w14:textId="77777777" w:rsidTr="009743E9">
              <w:tc>
                <w:tcPr>
                  <w:tcW w:w="2258" w:type="pct"/>
                  <w:tcBorders>
                    <w:top w:val="nil"/>
                    <w:left w:val="nil"/>
                    <w:bottom w:val="nil"/>
                    <w:right w:val="nil"/>
                  </w:tcBorders>
                  <w:shd w:val="clear" w:color="auto" w:fill="D9D9D9" w:themeFill="background1" w:themeFillShade="D9"/>
                </w:tcPr>
                <w:p w14:paraId="1EA38D00" w14:textId="77777777" w:rsidR="009743E9" w:rsidRPr="006B102C" w:rsidRDefault="009743E9" w:rsidP="009743E9">
                  <w:pPr>
                    <w:pStyle w:val="TableBodyText"/>
                    <w:ind w:left="142"/>
                    <w:jc w:val="left"/>
                    <w:rPr>
                      <w:spacing w:val="-2"/>
                    </w:rPr>
                  </w:pPr>
                  <w:r w:rsidRPr="006B102C">
                    <w:rPr>
                      <w:spacing w:val="-2"/>
                    </w:rPr>
                    <w:t>Multiple routine follow</w:t>
                  </w:r>
                  <w:r w:rsidRPr="006B102C">
                    <w:rPr>
                      <w:spacing w:val="-2"/>
                    </w:rPr>
                    <w:noBreakHyphen/>
                    <w:t>ups with specialists</w:t>
                  </w:r>
                </w:p>
              </w:tc>
              <w:tc>
                <w:tcPr>
                  <w:tcW w:w="2742" w:type="pct"/>
                  <w:tcBorders>
                    <w:top w:val="nil"/>
                    <w:left w:val="nil"/>
                    <w:bottom w:val="nil"/>
                    <w:right w:val="nil"/>
                  </w:tcBorders>
                  <w:shd w:val="clear" w:color="auto" w:fill="D9D9D9" w:themeFill="background1" w:themeFillShade="D9"/>
                </w:tcPr>
                <w:p w14:paraId="1EA38D01" w14:textId="77777777" w:rsidR="009743E9" w:rsidRPr="006B102C" w:rsidRDefault="009743E9" w:rsidP="009743E9">
                  <w:pPr>
                    <w:pStyle w:val="TableBodyText"/>
                    <w:jc w:val="left"/>
                    <w:rPr>
                      <w:spacing w:val="-2"/>
                    </w:rPr>
                  </w:pPr>
                  <w:r w:rsidRPr="006B102C">
                    <w:rPr>
                      <w:spacing w:val="-2"/>
                    </w:rPr>
                    <w:t>No routine follow</w:t>
                  </w:r>
                  <w:r w:rsidRPr="006B102C">
                    <w:rPr>
                      <w:spacing w:val="-2"/>
                    </w:rPr>
                    <w:noBreakHyphen/>
                    <w:t>up from specialists. All follow</w:t>
                  </w:r>
                  <w:r w:rsidRPr="006B102C">
                    <w:rPr>
                      <w:spacing w:val="-2"/>
                    </w:rPr>
                    <w:noBreakHyphen/>
                    <w:t>ups were at the GP practice from the primary care team. Liaison with specialist if needed.</w:t>
                  </w:r>
                </w:p>
              </w:tc>
            </w:tr>
            <w:tr w:rsidR="009743E9" w:rsidRPr="006B102C" w14:paraId="1EA38D05" w14:textId="77777777" w:rsidTr="009743E9">
              <w:tc>
                <w:tcPr>
                  <w:tcW w:w="2258" w:type="pct"/>
                  <w:tcBorders>
                    <w:top w:val="nil"/>
                    <w:left w:val="nil"/>
                    <w:bottom w:val="nil"/>
                    <w:right w:val="nil"/>
                  </w:tcBorders>
                  <w:shd w:val="clear" w:color="auto" w:fill="D9D9D9" w:themeFill="background1" w:themeFillShade="D9"/>
                </w:tcPr>
                <w:p w14:paraId="1EA38D03" w14:textId="77777777" w:rsidR="009743E9" w:rsidRPr="006B102C" w:rsidRDefault="009743E9" w:rsidP="009743E9">
                  <w:pPr>
                    <w:pStyle w:val="TableBodyText"/>
                    <w:ind w:left="142"/>
                    <w:jc w:val="left"/>
                    <w:rPr>
                      <w:spacing w:val="-2"/>
                    </w:rPr>
                  </w:pPr>
                  <w:r w:rsidRPr="006B102C">
                    <w:rPr>
                      <w:spacing w:val="-2"/>
                    </w:rPr>
                    <w:t>Limited development of partnerships</w:t>
                  </w:r>
                </w:p>
              </w:tc>
              <w:tc>
                <w:tcPr>
                  <w:tcW w:w="2742" w:type="pct"/>
                  <w:tcBorders>
                    <w:top w:val="nil"/>
                    <w:left w:val="nil"/>
                    <w:bottom w:val="nil"/>
                    <w:right w:val="nil"/>
                  </w:tcBorders>
                  <w:shd w:val="clear" w:color="auto" w:fill="D9D9D9" w:themeFill="background1" w:themeFillShade="D9"/>
                </w:tcPr>
                <w:p w14:paraId="1EA38D04" w14:textId="77777777" w:rsidR="009743E9" w:rsidRPr="006B102C" w:rsidRDefault="009743E9" w:rsidP="009743E9">
                  <w:pPr>
                    <w:pStyle w:val="TableBodyText"/>
                    <w:jc w:val="left"/>
                    <w:rPr>
                      <w:spacing w:val="-2"/>
                    </w:rPr>
                  </w:pPr>
                  <w:r w:rsidRPr="006B102C">
                    <w:rPr>
                      <w:spacing w:val="-2"/>
                    </w:rPr>
                    <w:t>Based on a partnership model</w:t>
                  </w:r>
                </w:p>
              </w:tc>
            </w:tr>
            <w:tr w:rsidR="009743E9" w:rsidRPr="006B102C" w14:paraId="1EA38D08" w14:textId="77777777" w:rsidTr="009743E9">
              <w:tc>
                <w:tcPr>
                  <w:tcW w:w="2258" w:type="pct"/>
                  <w:tcBorders>
                    <w:top w:val="nil"/>
                    <w:left w:val="nil"/>
                    <w:bottom w:val="nil"/>
                    <w:right w:val="nil"/>
                  </w:tcBorders>
                  <w:shd w:val="clear" w:color="auto" w:fill="D9D9D9" w:themeFill="background1" w:themeFillShade="D9"/>
                </w:tcPr>
                <w:p w14:paraId="1EA38D06" w14:textId="77777777" w:rsidR="009743E9" w:rsidRPr="006B102C" w:rsidRDefault="009743E9" w:rsidP="009743E9">
                  <w:pPr>
                    <w:pStyle w:val="TableBodyText"/>
                    <w:ind w:left="142"/>
                    <w:jc w:val="left"/>
                    <w:rPr>
                      <w:spacing w:val="-2"/>
                    </w:rPr>
                  </w:pPr>
                  <w:r w:rsidRPr="006B102C">
                    <w:rPr>
                      <w:spacing w:val="-2"/>
                    </w:rPr>
                    <w:t>By definition, no new learnings to be diffused</w:t>
                  </w:r>
                </w:p>
              </w:tc>
              <w:tc>
                <w:tcPr>
                  <w:tcW w:w="2742" w:type="pct"/>
                  <w:tcBorders>
                    <w:top w:val="nil"/>
                    <w:left w:val="nil"/>
                    <w:bottom w:val="nil"/>
                    <w:right w:val="nil"/>
                  </w:tcBorders>
                  <w:shd w:val="clear" w:color="auto" w:fill="D9D9D9" w:themeFill="background1" w:themeFillShade="D9"/>
                </w:tcPr>
                <w:p w14:paraId="1EA38D07" w14:textId="77777777" w:rsidR="009743E9" w:rsidRPr="006B102C" w:rsidRDefault="009743E9" w:rsidP="009743E9">
                  <w:pPr>
                    <w:pStyle w:val="TableBodyText"/>
                    <w:jc w:val="left"/>
                    <w:rPr>
                      <w:spacing w:val="-2"/>
                    </w:rPr>
                  </w:pPr>
                  <w:r w:rsidRPr="006B102C">
                    <w:rPr>
                      <w:spacing w:val="-2"/>
                    </w:rPr>
                    <w:t>Potential to improve entire practice cohort</w:t>
                  </w:r>
                </w:p>
              </w:tc>
            </w:tr>
            <w:tr w:rsidR="009743E9" w14:paraId="1EA38D0A" w14:textId="77777777" w:rsidTr="009743E9">
              <w:tc>
                <w:tcPr>
                  <w:tcW w:w="5000" w:type="pct"/>
                  <w:gridSpan w:val="2"/>
                  <w:tcBorders>
                    <w:top w:val="nil"/>
                    <w:left w:val="nil"/>
                    <w:bottom w:val="nil"/>
                    <w:right w:val="nil"/>
                  </w:tcBorders>
                  <w:shd w:val="clear" w:color="auto" w:fill="F2F2F2"/>
                </w:tcPr>
                <w:p w14:paraId="1EA38D09" w14:textId="77777777" w:rsidR="009743E9" w:rsidRDefault="009743E9" w:rsidP="009743E9">
                  <w:pPr>
                    <w:pStyle w:val="Note"/>
                  </w:pPr>
                  <w:r w:rsidRPr="00A97ECC">
                    <w:rPr>
                      <w:rStyle w:val="NoteLabel"/>
                    </w:rPr>
                    <w:t>a</w:t>
                  </w:r>
                  <w:r>
                    <w:t xml:space="preserve"> There were some differences in the data reported by the two sources below (likely to reflect updated information used by Lynch et al. 2016). The biggest discrepancy related to the share of patients reporting improved knowledge and confidence in diabetes management, but both measures were still material.</w:t>
                  </w:r>
                </w:p>
              </w:tc>
            </w:tr>
            <w:tr w:rsidR="009743E9" w14:paraId="1EA38D0C" w14:textId="77777777" w:rsidTr="009743E9">
              <w:tc>
                <w:tcPr>
                  <w:tcW w:w="5000" w:type="pct"/>
                  <w:gridSpan w:val="2"/>
                  <w:tcBorders>
                    <w:top w:val="nil"/>
                    <w:left w:val="nil"/>
                    <w:bottom w:val="nil"/>
                    <w:right w:val="nil"/>
                  </w:tcBorders>
                  <w:shd w:val="clear" w:color="auto" w:fill="F2F2F2"/>
                </w:tcPr>
                <w:p w14:paraId="1EA38D0B" w14:textId="77777777" w:rsidR="009743E9" w:rsidRDefault="009743E9" w:rsidP="009743E9">
                  <w:pPr>
                    <w:pStyle w:val="BoxSource"/>
                    <w:spacing w:before="80"/>
                  </w:pPr>
                  <w:r>
                    <w:rPr>
                      <w:i/>
                    </w:rPr>
                    <w:t>Sources</w:t>
                  </w:r>
                  <w:r w:rsidRPr="00167F06">
                    <w:t xml:space="preserve">: </w:t>
                  </w:r>
                  <w:r>
                    <w:t xml:space="preserve">Lynch et al. </w:t>
                  </w:r>
                  <w:r w:rsidRPr="00C65A42">
                    <w:rPr>
                      <w:rFonts w:cs="Arial"/>
                    </w:rPr>
                    <w:t>(2016)</w:t>
                  </w:r>
                  <w:r>
                    <w:t xml:space="preserve"> and Hawker et al. </w:t>
                  </w:r>
                  <w:r w:rsidRPr="00C65A42">
                    <w:rPr>
                      <w:rFonts w:cs="Arial"/>
                    </w:rPr>
                    <w:t>(2016)</w:t>
                  </w:r>
                  <w:r>
                    <w:t>.</w:t>
                  </w:r>
                </w:p>
              </w:tc>
            </w:tr>
          </w:tbl>
          <w:p w14:paraId="1EA38D0D" w14:textId="77777777" w:rsidR="009743E9" w:rsidRDefault="009743E9" w:rsidP="00EA2B19">
            <w:pPr>
              <w:pStyle w:val="Box"/>
            </w:pPr>
          </w:p>
        </w:tc>
      </w:tr>
      <w:tr w:rsidR="009743E9" w14:paraId="1EA38D10" w14:textId="77777777" w:rsidTr="00EA2B19">
        <w:tc>
          <w:tcPr>
            <w:tcW w:w="5000" w:type="pct"/>
            <w:tcBorders>
              <w:top w:val="nil"/>
              <w:left w:val="nil"/>
              <w:bottom w:val="single" w:sz="6" w:space="0" w:color="78A22F"/>
              <w:right w:val="nil"/>
            </w:tcBorders>
            <w:shd w:val="clear" w:color="auto" w:fill="F2F2F2"/>
          </w:tcPr>
          <w:p w14:paraId="1EA38D0F" w14:textId="77777777" w:rsidR="009743E9" w:rsidRPr="00AB3720" w:rsidRDefault="009743E9" w:rsidP="00AB3720">
            <w:pPr>
              <w:pStyle w:val="BoxSpaceBelow"/>
              <w:spacing w:before="0" w:after="0"/>
            </w:pPr>
          </w:p>
        </w:tc>
      </w:tr>
      <w:tr w:rsidR="009743E9" w:rsidRPr="000863A5" w14:paraId="1EA38D12" w14:textId="77777777" w:rsidTr="00EA2B19">
        <w:tc>
          <w:tcPr>
            <w:tcW w:w="5000" w:type="pct"/>
            <w:tcBorders>
              <w:top w:val="single" w:sz="6" w:space="0" w:color="78A22F"/>
              <w:left w:val="nil"/>
              <w:bottom w:val="nil"/>
              <w:right w:val="nil"/>
            </w:tcBorders>
          </w:tcPr>
          <w:p w14:paraId="1EA38D11" w14:textId="77777777" w:rsidR="009743E9" w:rsidRPr="009743E9" w:rsidRDefault="009743E9" w:rsidP="009743E9">
            <w:pPr>
              <w:pStyle w:val="BoxSpaceBelow"/>
            </w:pPr>
          </w:p>
        </w:tc>
      </w:tr>
    </w:tbl>
    <w:p w14:paraId="1EA38D13" w14:textId="77777777" w:rsidR="004143BD" w:rsidRDefault="005F6ADC" w:rsidP="004143BD">
      <w:pPr>
        <w:pStyle w:val="BodyText"/>
      </w:pPr>
      <w:r>
        <w:t>The ACI’s</w:t>
      </w:r>
      <w:r w:rsidR="004143BD">
        <w:t xml:space="preserve"> approach </w:t>
      </w:r>
      <w:r w:rsidR="004143BD" w:rsidRPr="00941B88">
        <w:t>helped redress unusually high mortality from stroke in certain hospitals</w:t>
      </w:r>
      <w:r w:rsidR="004143BD">
        <w:t xml:space="preserve"> (section 9.3 of chapter 9). But it also indicated the value of data (the basis for discovering the problem), local engagement, behavioural change and measurement of impacts — all requiring trusted networks and local buy</w:t>
      </w:r>
      <w:r w:rsidR="000D7464">
        <w:noBreakHyphen/>
      </w:r>
      <w:r w:rsidR="004143BD">
        <w:t xml:space="preserve">in. </w:t>
      </w:r>
    </w:p>
    <w:p w14:paraId="1EA38D14" w14:textId="77777777" w:rsidR="00D611BE" w:rsidRDefault="00D611BE" w:rsidP="00D611BE">
      <w:pPr>
        <w:pStyle w:val="BodyText"/>
      </w:pPr>
      <w:r>
        <w:t>At the Australian Government level, the prospective Health</w:t>
      </w:r>
      <w:r w:rsidR="00923B4C">
        <w:t xml:space="preserve"> Ca</w:t>
      </w:r>
      <w:r>
        <w:t xml:space="preserve">re Home program has many positive elements. However, capitation payment rates are fixed across the various locations, and it does not include provisions for LHNs and PHNs to change the funding model or develop innovative contracting and incentive approaches with the </w:t>
      </w:r>
      <w:r w:rsidR="0051246A">
        <w:t xml:space="preserve">Health Care </w:t>
      </w:r>
      <w:r>
        <w:t>Homes. That suggests that there are benefits in retaining Health Care Homes as a Commonwealth</w:t>
      </w:r>
      <w:r>
        <w:noBreakHyphen/>
        <w:t>initiated initiative, but with permission for, and indeed encouragement of, local adaptation.</w:t>
      </w:r>
    </w:p>
    <w:p w14:paraId="1EA38D15" w14:textId="77777777" w:rsidR="00D611BE" w:rsidRDefault="00D611BE" w:rsidP="00D611BE">
      <w:pPr>
        <w:pStyle w:val="BodyText"/>
      </w:pPr>
      <w:r>
        <w:t>Moreover, as discussed earlier, the success of financial and non</w:t>
      </w:r>
      <w:r>
        <w:noBreakHyphen/>
        <w:t xml:space="preserve">financial rewards to motivate lifestyle behavioural changes or to increase compliance with care plans, medication and attendance at health care facilities </w:t>
      </w:r>
      <w:r w:rsidR="00C23BDA">
        <w:t>depend on the</w:t>
      </w:r>
      <w:r>
        <w:t xml:space="preserve"> context. Local area bodies are likely to be best able to experiment, learn and transfer their experiences to others. As PHNs and LHNs are close to their community, real time assessment and qualitative judgments can more quickly establish whether an experiment should be modified or abandoned. Central organisations would remain relevant as supporting (rather than directing) institutions, assisting in contributing ideas, providing advice on evaluation, consolidating and analysing data, and diffusing kno</w:t>
      </w:r>
      <w:r w:rsidR="00C23BDA">
        <w:t>wledge about what works (and what doesn’t)</w:t>
      </w:r>
      <w:r>
        <w:t xml:space="preserve">. </w:t>
      </w:r>
    </w:p>
    <w:p w14:paraId="1EA38D16" w14:textId="77777777" w:rsidR="00D611BE" w:rsidRDefault="00D611BE" w:rsidP="00D611BE">
      <w:pPr>
        <w:pStyle w:val="BodyText"/>
      </w:pPr>
      <w:r>
        <w:t xml:space="preserve">Moreover, under the blended funding arrangements envisaged by the Commission, LHNs and PHNs have strong incentives to discover the interventions that save them money (such as through lower hospitalisation rates). </w:t>
      </w:r>
    </w:p>
    <w:p w14:paraId="1EA38D17" w14:textId="4956C251" w:rsidR="00D611BE" w:rsidRDefault="00D611BE" w:rsidP="00D611BE">
      <w:pPr>
        <w:pStyle w:val="BodyText"/>
      </w:pPr>
      <w:r>
        <w:t>Of course, experimentation should not be arbitrary. There are common features to effective models of integrated care (illustrated in figure </w:t>
      </w:r>
      <w:r w:rsidR="00F813E7">
        <w:t>2</w:t>
      </w:r>
      <w:r w:rsidR="00574A0A">
        <w:t>.1</w:t>
      </w:r>
      <w:r>
        <w:t xml:space="preserve"> in chapter </w:t>
      </w:r>
      <w:r w:rsidR="00F813E7">
        <w:t>2</w:t>
      </w:r>
      <w:r>
        <w:t xml:space="preserve"> of the main report). In particular these require a patient</w:t>
      </w:r>
      <w:r>
        <w:noBreakHyphen/>
        <w:t>directed approach, breaking down of the boundaries between the medical disciplines, highly</w:t>
      </w:r>
      <w:r>
        <w:noBreakHyphen/>
        <w:t>developed supplier links underpinned by aligned incentives for cooperation (relating primarily to community health, general practice and hospitals), and data sharing. In short, there should be a coherent system for addressing all of a patient’s needs.</w:t>
      </w:r>
    </w:p>
    <w:p w14:paraId="1EA38D18" w14:textId="77777777" w:rsidR="00D611BE" w:rsidRDefault="00114AE6" w:rsidP="00D611BE">
      <w:pPr>
        <w:pStyle w:val="Heading2"/>
      </w:pPr>
      <w:bookmarkStart w:id="38" w:name="_Toc488929690"/>
      <w:bookmarkStart w:id="39" w:name="_Toc489250068"/>
      <w:r>
        <w:t>4</w:t>
      </w:r>
      <w:r w:rsidR="00D611BE">
        <w:t>.4</w:t>
      </w:r>
      <w:r w:rsidR="00D611BE">
        <w:tab/>
        <w:t>There should be links to regional community services and public health initiatives</w:t>
      </w:r>
      <w:bookmarkEnd w:id="38"/>
      <w:bookmarkEnd w:id="39"/>
    </w:p>
    <w:p w14:paraId="1EA38D19" w14:textId="77777777" w:rsidR="00D611BE" w:rsidRDefault="00D611BE" w:rsidP="00D611BE">
      <w:pPr>
        <w:pStyle w:val="BodyText"/>
      </w:pPr>
      <w:r>
        <w:t xml:space="preserve">Public health is sometimes seen as the poor cousin of the integrated care family because of the weight given to joining up conventional health care </w:t>
      </w:r>
      <w:r w:rsidRPr="00486A54">
        <w:t>services</w:t>
      </w:r>
      <w:r>
        <w:t>. The public health role of integrated care is often largely isolated to vaccination, maternal and infant health monitoring, and advice from clinicians and allied health professionals about lifestyle risks, such as smoking, physical activity and obesity (though currently physicians rarely provide such advice). These are all very important, but there is more to public health.</w:t>
      </w:r>
    </w:p>
    <w:p w14:paraId="1EA38D1A" w14:textId="77777777" w:rsidR="00D611BE" w:rsidRDefault="00D611BE" w:rsidP="00D611BE">
      <w:pPr>
        <w:pStyle w:val="BodyText"/>
      </w:pPr>
      <w:r>
        <w:t xml:space="preserve">There is a strong prima facie rationale for a greater emphasis on public health and prevention in an integrated system, and in </w:t>
      </w:r>
      <w:r w:rsidR="007E58BE">
        <w:t>particular,</w:t>
      </w:r>
      <w:r>
        <w:t xml:space="preserve"> an extension to community engagement and purchasing services that may have public health benefits and advocacy. For example, this can encompass:</w:t>
      </w:r>
    </w:p>
    <w:p w14:paraId="1EA38D1B" w14:textId="4DE9BD47" w:rsidR="00D611BE" w:rsidRDefault="00D611BE" w:rsidP="00D611BE">
      <w:pPr>
        <w:pStyle w:val="ListBullet"/>
      </w:pPr>
      <w:r>
        <w:t>engagement of the community, paid community workers and the not</w:t>
      </w:r>
      <w:r>
        <w:noBreakHyphen/>
        <w:t>for</w:t>
      </w:r>
      <w:r>
        <w:noBreakHyphen/>
        <w:t>profit sector</w:t>
      </w:r>
      <w:r w:rsidRPr="00DB4B94">
        <w:t xml:space="preserve"> </w:t>
      </w:r>
      <w:r>
        <w:t xml:space="preserve">to assist vulnerable people. Social housing, drug rehabilitation and harm minimisation services, outreach to homeless people and sex workers, and engagement with families at risk are examples of areas where public health and community services intersect with primary health </w:t>
      </w:r>
      <w:r w:rsidR="00F65FF0" w:rsidRPr="00F65FF0">
        <w:rPr>
          <w:szCs w:val="24"/>
        </w:rPr>
        <w:t xml:space="preserve">(for example, as described in </w:t>
      </w:r>
      <w:r w:rsidR="006F73D7">
        <w:rPr>
          <w:szCs w:val="24"/>
        </w:rPr>
        <w:t>VicHealth</w:t>
      </w:r>
      <w:r w:rsidR="00F65FF0" w:rsidRPr="00F65FF0">
        <w:rPr>
          <w:szCs w:val="24"/>
        </w:rPr>
        <w:t> 2009)</w:t>
      </w:r>
      <w:r>
        <w:t xml:space="preserve">. Provision of meals on wheels is another illustration, with evidence (albeit incomplete) of social and health benefits (Campbell et al. 2015). There are, more broadly, grounds for interventions to relieve people’s loneliness because of its effects on people’s wellbeing </w:t>
      </w:r>
      <w:r w:rsidR="00C65A42" w:rsidRPr="00C65A42">
        <w:rPr>
          <w:szCs w:val="24"/>
        </w:rPr>
        <w:t>(Ong, Uchino and Wethington 2016; UKLGA 2016; Willett 2015)</w:t>
      </w:r>
      <w:r>
        <w:t>. There is (as yet incomplete) evidence that loneliness and low social participation rates are associated with higher re</w:t>
      </w:r>
      <w:r>
        <w:noBreakHyphen/>
        <w:t>hospitalisation rates, longer hospital stays, greater visits to physicians, higher participation in behaviours with health risks, and greater mortality.</w:t>
      </w:r>
      <w:r w:rsidRPr="003D243B">
        <w:rPr>
          <w:rStyle w:val="FootnoteReference"/>
        </w:rPr>
        <w:footnoteReference w:id="16"/>
      </w:r>
      <w:r>
        <w:t xml:space="preserve"> For instance, p</w:t>
      </w:r>
      <w:r w:rsidRPr="00D51188">
        <w:t xml:space="preserve">oor social relationships </w:t>
      </w:r>
      <w:r>
        <w:t>are</w:t>
      </w:r>
      <w:r w:rsidRPr="00D51188">
        <w:t xml:space="preserve"> associated with a 29</w:t>
      </w:r>
      <w:r>
        <w:t> per cent</w:t>
      </w:r>
      <w:r w:rsidRPr="00D51188">
        <w:t xml:space="preserve"> increase in risk of incident </w:t>
      </w:r>
      <w:r>
        <w:t xml:space="preserve">coronary heart disease and a </w:t>
      </w:r>
      <w:r w:rsidRPr="00D51188">
        <w:t>32</w:t>
      </w:r>
      <w:r>
        <w:t> per cent</w:t>
      </w:r>
      <w:r w:rsidRPr="00D51188">
        <w:t xml:space="preserve"> increase in risk of stroke</w:t>
      </w:r>
      <w:r>
        <w:t xml:space="preserve"> </w:t>
      </w:r>
      <w:r w:rsidR="00C65A42" w:rsidRPr="00C65A42">
        <w:rPr>
          <w:szCs w:val="24"/>
        </w:rPr>
        <w:t>(Valtorta et al. 2016)</w:t>
      </w:r>
    </w:p>
    <w:p w14:paraId="1EA38D1C" w14:textId="77777777" w:rsidR="00D611BE" w:rsidRDefault="00D611BE" w:rsidP="00D611BE">
      <w:pPr>
        <w:pStyle w:val="ListBullet"/>
      </w:pPr>
      <w:r>
        <w:t xml:space="preserve">partnerships with commercial parties that may voluntarily change their practices. (The Commission was told of a </w:t>
      </w:r>
      <w:r w:rsidR="00DF2413">
        <w:t>local hospital network</w:t>
      </w:r>
      <w:r>
        <w:t xml:space="preserve"> that successfully engaged with local supermarkets about promoting healthy eating)</w:t>
      </w:r>
    </w:p>
    <w:p w14:paraId="1EA38D1D" w14:textId="77777777" w:rsidR="00D611BE" w:rsidRDefault="00D611BE" w:rsidP="00D611BE">
      <w:pPr>
        <w:pStyle w:val="ListBullet"/>
      </w:pPr>
      <w:r>
        <w:t>social marketing about lifestyle risks (where that works)</w:t>
      </w:r>
    </w:p>
    <w:p w14:paraId="1EA38D1E" w14:textId="77777777" w:rsidR="00D611BE" w:rsidRDefault="00D611BE" w:rsidP="00D611BE">
      <w:pPr>
        <w:pStyle w:val="ListBullet"/>
      </w:pPr>
      <w:r>
        <w:t>engagement with, and learning from, private health insurers and bodies that regulate workforce, health and safety</w:t>
      </w:r>
    </w:p>
    <w:p w14:paraId="1EA38D1F" w14:textId="36755506" w:rsidR="003537DE" w:rsidRDefault="003537DE" w:rsidP="00D611BE">
      <w:pPr>
        <w:pStyle w:val="ListBullet"/>
      </w:pPr>
      <w:r>
        <w:t>engagement with state bodies responsible for interregional infrastructure decisions, which can have implications for health, for example through their impact on road safety (Aust</w:t>
      </w:r>
      <w:r w:rsidR="003E01C4">
        <w:t>ralasian College of Road Safety </w:t>
      </w:r>
      <w:r>
        <w:t>sub. 34, p</w:t>
      </w:r>
      <w:r w:rsidR="00777314">
        <w:t>p</w:t>
      </w:r>
      <w:r>
        <w:t>.</w:t>
      </w:r>
      <w:r w:rsidR="009261BB">
        <w:t> </w:t>
      </w:r>
      <w:r>
        <w:t>4</w:t>
      </w:r>
      <w:r w:rsidR="003E01C4">
        <w:noBreakHyphen/>
      </w:r>
      <w:r>
        <w:t xml:space="preserve">6) and/or </w:t>
      </w:r>
      <w:r w:rsidR="003E01C4">
        <w:t xml:space="preserve">air quality </w:t>
      </w:r>
      <w:r>
        <w:t>(Clearways sub. 44, p</w:t>
      </w:r>
      <w:r w:rsidR="00777314">
        <w:t>p</w:t>
      </w:r>
      <w:r>
        <w:t>.</w:t>
      </w:r>
      <w:r w:rsidR="009261BB">
        <w:t> </w:t>
      </w:r>
      <w:r>
        <w:t>26</w:t>
      </w:r>
      <w:r w:rsidR="003E01C4">
        <w:noBreakHyphen/>
      </w:r>
      <w:r>
        <w:t>27)</w:t>
      </w:r>
    </w:p>
    <w:p w14:paraId="1EA38D20" w14:textId="77777777" w:rsidR="00D611BE" w:rsidRDefault="00D611BE" w:rsidP="00D611BE">
      <w:pPr>
        <w:pStyle w:val="ListBullet"/>
      </w:pPr>
      <w:r>
        <w:t>cooperation with local governments about the services they provide, and the built environment, such as access to recreational facilities. Sometimes information provided by a local government agency to a health service can trigger other needed services (box </w:t>
      </w:r>
      <w:r w:rsidR="003537DE">
        <w:t>4.2</w:t>
      </w:r>
      <w:r>
        <w:t>).</w:t>
      </w:r>
    </w:p>
    <w:p w14:paraId="1EA38D21" w14:textId="77777777" w:rsidR="00F729FB" w:rsidRDefault="00D611BE" w:rsidP="00D611BE">
      <w:pPr>
        <w:pStyle w:val="BodyText"/>
      </w:pPr>
      <w:r>
        <w:t xml:space="preserve">There are limits to the </w:t>
      </w:r>
      <w:r w:rsidRPr="004309C9">
        <w:rPr>
          <w:i/>
        </w:rPr>
        <w:t>direct</w:t>
      </w:r>
      <w:r>
        <w:t xml:space="preserve"> role of the health system in some areas that affect health risks. Some public health measures require coercive actio</w:t>
      </w:r>
      <w:r w:rsidR="007E58BE">
        <w:t xml:space="preserve">n through taxes and regulation — </w:t>
      </w:r>
      <w:r>
        <w:t>tools that have proven effective in reducing the risks from to</w:t>
      </w:r>
      <w:r w:rsidR="007E58BE">
        <w:t>bacco use and vehicle accidents (appendix D)</w:t>
      </w:r>
      <w:r>
        <w:t xml:space="preserve">. Other measures relating to the management of people with drug and mental problems involve the criminal law and the justice system. The use of these measures involve considerations outside health care, such as regulatory burden, community norms and </w:t>
      </w:r>
      <w:r w:rsidR="00F24EF5">
        <w:t>the acceptable</w:t>
      </w:r>
      <w:r>
        <w:t xml:space="preserve"> boundaries on the powers of the state, which mean that the decisions should be directly politically accountable. Nevertheless, there are grounds for more systematic involvement of the parties responsible for health policy and purchasing with those making regulatory and tax policy decisions, including through data sharing that would allow more effective assessment of the h</w:t>
      </w:r>
      <w:r w:rsidR="004309C9">
        <w:t>ealth impacts of such policies.</w:t>
      </w:r>
      <w:r w:rsidR="00F729FB">
        <w:br w:type="page"/>
      </w:r>
    </w:p>
    <w:p w14:paraId="1EA38D22" w14:textId="77777777" w:rsidR="00D611BE" w:rsidRDefault="00D611BE" w:rsidP="00D611B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D611BE" w14:paraId="1EA38D24" w14:textId="77777777" w:rsidTr="002D5631">
        <w:tc>
          <w:tcPr>
            <w:tcW w:w="5000" w:type="pct"/>
            <w:tcBorders>
              <w:top w:val="single" w:sz="6" w:space="0" w:color="78A22F"/>
              <w:left w:val="nil"/>
              <w:bottom w:val="nil"/>
              <w:right w:val="nil"/>
            </w:tcBorders>
            <w:shd w:val="clear" w:color="auto" w:fill="F2F2F2"/>
          </w:tcPr>
          <w:p w14:paraId="1EA38D23" w14:textId="77777777" w:rsidR="00D611BE" w:rsidRDefault="00D611BE" w:rsidP="00AF098D">
            <w:pPr>
              <w:pStyle w:val="FigureTitle"/>
            </w:pPr>
            <w:r w:rsidRPr="00944790">
              <w:rPr>
                <w:b w:val="0"/>
              </w:rPr>
              <w:t xml:space="preserve">Box </w:t>
            </w:r>
            <w:r w:rsidR="00114AE6" w:rsidRPr="00944790">
              <w:rPr>
                <w:b w:val="0"/>
              </w:rPr>
              <w:t>4.2</w:t>
            </w:r>
            <w:r>
              <w:tab/>
              <w:t>Two brothers — a journey to better health</w:t>
            </w:r>
          </w:p>
        </w:tc>
      </w:tr>
      <w:tr w:rsidR="00D611BE" w14:paraId="1EA38D2C" w14:textId="77777777" w:rsidTr="002D5631">
        <w:tc>
          <w:tcPr>
            <w:tcW w:w="5000" w:type="pct"/>
            <w:tcBorders>
              <w:top w:val="nil"/>
              <w:left w:val="nil"/>
              <w:bottom w:val="nil"/>
              <w:right w:val="nil"/>
            </w:tcBorders>
            <w:shd w:val="clear" w:color="auto" w:fill="F2F2F2"/>
          </w:tcPr>
          <w:p w14:paraId="1EA38D25" w14:textId="77777777" w:rsidR="00D611BE" w:rsidRDefault="00D611BE" w:rsidP="002D5631">
            <w:pPr>
              <w:pStyle w:val="Box"/>
            </w:pPr>
            <w:r>
              <w:t xml:space="preserve">The Latrobe City Council and the </w:t>
            </w:r>
            <w:r w:rsidRPr="005E7696">
              <w:t>Latrobe Community Health Service</w:t>
            </w:r>
            <w:r>
              <w:t xml:space="preserve"> have been working together for several years to improve service coordination. In one case, two brothers were referred to the city council for meals on wheels. Assessment indicated the need for provision of other services by the Council and the Health Service that went well beyond meals on wheels, but included multiple coordinated</w:t>
            </w:r>
            <w:r w:rsidR="002E38DF">
              <w:t xml:space="preserve"> interventions.</w:t>
            </w:r>
          </w:p>
          <w:p w14:paraId="1EA38D26" w14:textId="77777777" w:rsidR="00D611BE" w:rsidRDefault="00D611BE" w:rsidP="002D5631">
            <w:pPr>
              <w:pStyle w:val="BoxListBullet"/>
            </w:pPr>
            <w:r>
              <w:t>‘Fred’ and his brother were poor at meal preparation, and purchased many takeaways (creating financial pressures). A dietician assisted them in shifting away from this pattern of eating.</w:t>
            </w:r>
          </w:p>
          <w:p w14:paraId="1EA38D27" w14:textId="77777777" w:rsidR="00D611BE" w:rsidRDefault="00D611BE" w:rsidP="002D5631">
            <w:pPr>
              <w:pStyle w:val="BoxListBullet"/>
            </w:pPr>
            <w:r>
              <w:t>Fred found it difficult to swallow and was referred to a speech pathologist.</w:t>
            </w:r>
          </w:p>
          <w:p w14:paraId="1EA38D28" w14:textId="77777777" w:rsidR="00D611BE" w:rsidRDefault="00D611BE" w:rsidP="002D5631">
            <w:pPr>
              <w:pStyle w:val="BoxListBullet"/>
            </w:pPr>
            <w:r>
              <w:t>Fred found it hard to undertake personal care as a result of dizziness and fatigue — and was assisted by an occupational therapist.</w:t>
            </w:r>
          </w:p>
          <w:p w14:paraId="1EA38D29" w14:textId="77777777" w:rsidR="00D611BE" w:rsidRDefault="00D611BE" w:rsidP="002D5631">
            <w:pPr>
              <w:pStyle w:val="BoxListBullet"/>
            </w:pPr>
            <w:r>
              <w:t>Fred was often in severe pain, was depressed and talked of suicide. A mental health caseworker provided assistance.</w:t>
            </w:r>
          </w:p>
          <w:p w14:paraId="1EA38D2A" w14:textId="77777777" w:rsidR="00D611BE" w:rsidRDefault="00D611BE" w:rsidP="002D5631">
            <w:pPr>
              <w:pStyle w:val="BoxListBullet"/>
            </w:pPr>
            <w:r>
              <w:t>The brothers had difficulty controlling spending on poker machines, increasing their financial burdens. A financial counsellor provided support and planning.</w:t>
            </w:r>
          </w:p>
          <w:p w14:paraId="1EA38D2B" w14:textId="77777777" w:rsidR="00D611BE" w:rsidRDefault="00D611BE" w:rsidP="002D5631">
            <w:pPr>
              <w:pStyle w:val="Box"/>
            </w:pPr>
            <w:r>
              <w:t>The practitioners involved in Fred’s care used a common electronic support plan and given access to an e</w:t>
            </w:r>
            <w:r>
              <w:noBreakHyphen/>
              <w:t>care planning system so they could follow progress and know about others’ interventions. Outcomes for Fred and his brother improved significantly from this joint approach.</w:t>
            </w:r>
          </w:p>
        </w:tc>
      </w:tr>
      <w:tr w:rsidR="00D611BE" w14:paraId="1EA38D2E" w14:textId="77777777" w:rsidTr="002D5631">
        <w:tc>
          <w:tcPr>
            <w:tcW w:w="5000" w:type="pct"/>
            <w:tcBorders>
              <w:top w:val="nil"/>
              <w:left w:val="nil"/>
              <w:bottom w:val="nil"/>
              <w:right w:val="nil"/>
            </w:tcBorders>
            <w:shd w:val="clear" w:color="auto" w:fill="F2F2F2"/>
          </w:tcPr>
          <w:p w14:paraId="1EA38D2D" w14:textId="77777777" w:rsidR="00D611BE" w:rsidRDefault="00D611BE" w:rsidP="002D5631">
            <w:pPr>
              <w:pStyle w:val="BoxSource"/>
            </w:pPr>
            <w:r>
              <w:rPr>
                <w:i/>
              </w:rPr>
              <w:t>Source</w:t>
            </w:r>
            <w:r w:rsidRPr="00167F06">
              <w:t xml:space="preserve">: </w:t>
            </w:r>
            <w:r>
              <w:t xml:space="preserve">Victorian Government, Department of Health and Human Services </w:t>
            </w:r>
            <w:r w:rsidR="00DA3429" w:rsidRPr="00DA3429">
              <w:rPr>
                <w:rFonts w:cs="Arial"/>
              </w:rPr>
              <w:t>(2016e)</w:t>
            </w:r>
            <w:r>
              <w:t>.</w:t>
            </w:r>
          </w:p>
        </w:tc>
      </w:tr>
      <w:tr w:rsidR="00D611BE" w14:paraId="1EA38D30" w14:textId="77777777" w:rsidTr="002D5631">
        <w:tc>
          <w:tcPr>
            <w:tcW w:w="5000" w:type="pct"/>
            <w:tcBorders>
              <w:top w:val="nil"/>
              <w:left w:val="nil"/>
              <w:bottom w:val="single" w:sz="6" w:space="0" w:color="78A22F"/>
              <w:right w:val="nil"/>
            </w:tcBorders>
            <w:shd w:val="clear" w:color="auto" w:fill="F2F2F2"/>
          </w:tcPr>
          <w:p w14:paraId="1EA38D2F" w14:textId="77777777" w:rsidR="00D611BE" w:rsidRDefault="00D611BE" w:rsidP="002D5631">
            <w:pPr>
              <w:pStyle w:val="Box"/>
              <w:spacing w:before="0" w:line="120" w:lineRule="exact"/>
            </w:pPr>
          </w:p>
        </w:tc>
      </w:tr>
      <w:tr w:rsidR="00D611BE" w:rsidRPr="000863A5" w14:paraId="1EA38D32" w14:textId="77777777" w:rsidTr="002D5631">
        <w:tc>
          <w:tcPr>
            <w:tcW w:w="5000" w:type="pct"/>
            <w:tcBorders>
              <w:top w:val="single" w:sz="6" w:space="0" w:color="78A22F"/>
              <w:left w:val="nil"/>
              <w:bottom w:val="nil"/>
              <w:right w:val="nil"/>
            </w:tcBorders>
          </w:tcPr>
          <w:p w14:paraId="1EA38D31" w14:textId="77777777" w:rsidR="00D611BE" w:rsidRPr="00626D32" w:rsidRDefault="00D611BE" w:rsidP="002D5631">
            <w:pPr>
              <w:pStyle w:val="BoxSpaceBelow"/>
            </w:pPr>
          </w:p>
        </w:tc>
      </w:tr>
    </w:tbl>
    <w:p w14:paraId="1EA38D33" w14:textId="77777777" w:rsidR="0016133A" w:rsidRDefault="0016133A" w:rsidP="0016133A">
      <w:pPr>
        <w:pStyle w:val="Heading2"/>
      </w:pPr>
      <w:bookmarkStart w:id="40" w:name="_Toc488929691"/>
      <w:bookmarkStart w:id="41" w:name="_Toc489250069"/>
      <w:r>
        <w:t>4.</w:t>
      </w:r>
      <w:r w:rsidR="00ED7677">
        <w:t>5</w:t>
      </w:r>
      <w:r>
        <w:tab/>
        <w:t>Horses for courses — not everything should be devolved</w:t>
      </w:r>
      <w:bookmarkEnd w:id="40"/>
      <w:bookmarkEnd w:id="41"/>
    </w:p>
    <w:p w14:paraId="1EA38D34" w14:textId="77777777" w:rsidR="0016133A" w:rsidRDefault="0016133A" w:rsidP="0016133A">
      <w:pPr>
        <w:pStyle w:val="BodyText"/>
      </w:pPr>
      <w:r>
        <w:t xml:space="preserve">While devolution and links between primary care and hospitals are probably the most important directions for the Australian health system, some functions require coordination and cooperation across regional boundaries, or exhibit significant economies of scale — which means they are best left at </w:t>
      </w:r>
      <w:r w:rsidR="00B63ADE">
        <w:t xml:space="preserve">the national level. There are myriad </w:t>
      </w:r>
      <w:r>
        <w:t xml:space="preserve">Australian State and Territory Government agencies and committees whose existence is justified on these grounds. Almost all research activities fall into this category, although that should not limit the capacity and desirability of strong links between researchers and regional decision makers. </w:t>
      </w:r>
    </w:p>
    <w:p w14:paraId="1EA38D35" w14:textId="77777777" w:rsidR="00114AE6" w:rsidRPr="004E3B94" w:rsidRDefault="00114AE6" w:rsidP="00114AE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129"/>
      </w:tblGrid>
      <w:tr w:rsidR="00F729FB" w:rsidRPr="00F729FB" w14:paraId="1EA38D40" w14:textId="77777777" w:rsidTr="00F729FB">
        <w:trPr>
          <w:cantSplit/>
          <w:tblHeader/>
        </w:trPr>
        <w:tc>
          <w:tcPr>
            <w:tcW w:w="5000" w:type="pct"/>
            <w:tcBorders>
              <w:top w:val="single" w:sz="4" w:space="0" w:color="265A9A" w:themeColor="accent2"/>
              <w:left w:val="nil"/>
              <w:bottom w:val="nil"/>
              <w:right w:val="nil"/>
            </w:tcBorders>
            <w:shd w:val="clear" w:color="auto" w:fill="E1EBF5"/>
            <w:tcMar>
              <w:left w:w="170" w:type="dxa"/>
              <w:right w:w="170" w:type="dxa"/>
            </w:tcMar>
          </w:tcPr>
          <w:p w14:paraId="1EA38D36" w14:textId="77777777" w:rsidR="00114AE6" w:rsidRPr="00F729FB" w:rsidRDefault="00114AE6" w:rsidP="002D5631">
            <w:pPr>
              <w:pStyle w:val="FindingTitle"/>
              <w:spacing w:before="120"/>
              <w:rPr>
                <w:noProof/>
              </w:rPr>
            </w:pPr>
            <w:r w:rsidRPr="00F729FB">
              <w:t>conclusion 4.1</w:t>
            </w:r>
          </w:p>
          <w:p w14:paraId="1EA38D37" w14:textId="77777777" w:rsidR="00564952" w:rsidRPr="004A4B5C" w:rsidRDefault="00114AE6" w:rsidP="00944790">
            <w:pPr>
              <w:pStyle w:val="Rec"/>
            </w:pPr>
            <w:r w:rsidRPr="004A4B5C">
              <w:t>There are compelling grounds for</w:t>
            </w:r>
            <w:r w:rsidR="00564952" w:rsidRPr="004A4B5C">
              <w:t xml:space="preserve"> greater devolution of decision</w:t>
            </w:r>
            <w:r w:rsidR="00090993" w:rsidRPr="004A4B5C">
              <w:t xml:space="preserve"> </w:t>
            </w:r>
            <w:r w:rsidR="00564952" w:rsidRPr="004A4B5C">
              <w:t xml:space="preserve">making about primary health initiatives to local health </w:t>
            </w:r>
            <w:r w:rsidR="00DF2413" w:rsidRPr="004A4B5C">
              <w:t>institutions</w:t>
            </w:r>
            <w:r w:rsidR="00564952" w:rsidRPr="004A4B5C">
              <w:t xml:space="preserve">, involving alliances between primary health networks, community health centres, local hospital networks, </w:t>
            </w:r>
            <w:r w:rsidR="00A80387" w:rsidRPr="004A4B5C">
              <w:t xml:space="preserve">and </w:t>
            </w:r>
            <w:r w:rsidR="00564952" w:rsidRPr="004A4B5C">
              <w:t>local governments</w:t>
            </w:r>
            <w:r w:rsidR="008317A8" w:rsidRPr="004A4B5C">
              <w:t>.</w:t>
            </w:r>
          </w:p>
          <w:p w14:paraId="1EA38D38" w14:textId="77777777" w:rsidR="00564952" w:rsidRPr="00F729FB" w:rsidRDefault="00564952" w:rsidP="00944790">
            <w:pPr>
              <w:pStyle w:val="Rec"/>
            </w:pPr>
            <w:r w:rsidRPr="00F729FB">
              <w:t>The goals of such alliances should be:</w:t>
            </w:r>
          </w:p>
          <w:p w14:paraId="1EA38D39" w14:textId="77777777" w:rsidR="00564952" w:rsidRPr="00F729FB" w:rsidRDefault="00564952" w:rsidP="00944790">
            <w:pPr>
              <w:pStyle w:val="RecBullet"/>
            </w:pPr>
            <w:r w:rsidRPr="00F729FB">
              <w:t>effective preventative health</w:t>
            </w:r>
          </w:p>
          <w:p w14:paraId="1EA38D3A" w14:textId="77777777" w:rsidR="00564952" w:rsidRPr="00F729FB" w:rsidRDefault="00564952" w:rsidP="00944790">
            <w:pPr>
              <w:pStyle w:val="RecBullet"/>
            </w:pPr>
            <w:r w:rsidRPr="00F729FB">
              <w:t>better management of chronic conditions</w:t>
            </w:r>
          </w:p>
          <w:p w14:paraId="1EA38D3B" w14:textId="77777777" w:rsidR="00564952" w:rsidRPr="00F729FB" w:rsidRDefault="00564952" w:rsidP="00944790">
            <w:pPr>
              <w:pStyle w:val="RecBullet"/>
            </w:pPr>
            <w:r w:rsidRPr="00F729FB">
              <w:t xml:space="preserve">reduced </w:t>
            </w:r>
            <w:r w:rsidR="006C2651" w:rsidRPr="00F729FB">
              <w:t>need for</w:t>
            </w:r>
            <w:r w:rsidRPr="00F729FB">
              <w:t xml:space="preserve"> the (high</w:t>
            </w:r>
            <w:r w:rsidRPr="00F729FB">
              <w:noBreakHyphen/>
              <w:t>cost) hospital system</w:t>
            </w:r>
            <w:r w:rsidR="008317A8" w:rsidRPr="00F729FB">
              <w:t>.</w:t>
            </w:r>
          </w:p>
          <w:p w14:paraId="1EA38D3C" w14:textId="77777777" w:rsidR="00564952" w:rsidRPr="00F729FB" w:rsidRDefault="00564952" w:rsidP="00944790">
            <w:pPr>
              <w:pStyle w:val="Rec"/>
            </w:pPr>
            <w:r w:rsidRPr="00F729FB">
              <w:t xml:space="preserve">Subject to achieving the above goals, </w:t>
            </w:r>
            <w:r w:rsidR="00A80387" w:rsidRPr="00F729FB">
              <w:t>c</w:t>
            </w:r>
            <w:r w:rsidRPr="00F729FB">
              <w:t>ollaborative a</w:t>
            </w:r>
            <w:r w:rsidR="00A80387" w:rsidRPr="00F729FB">
              <w:t>rrangements should</w:t>
            </w:r>
            <w:r w:rsidRPr="00F729FB">
              <w:t xml:space="preserve"> extend to non</w:t>
            </w:r>
            <w:r w:rsidRPr="00F729FB">
              <w:noBreakHyphen/>
              <w:t>government parties — such as not</w:t>
            </w:r>
            <w:r w:rsidR="009C49CA" w:rsidRPr="00F729FB">
              <w:noBreakHyphen/>
            </w:r>
            <w:r w:rsidRPr="00F729FB">
              <w:t>for</w:t>
            </w:r>
            <w:r w:rsidRPr="00F729FB">
              <w:noBreakHyphen/>
              <w:t>profit enterprises and private health insurers</w:t>
            </w:r>
            <w:r w:rsidR="008317A8" w:rsidRPr="00F729FB">
              <w:t>.</w:t>
            </w:r>
          </w:p>
          <w:p w14:paraId="1EA38D3D" w14:textId="77777777" w:rsidR="008317A8" w:rsidRPr="00F729FB" w:rsidRDefault="008317A8" w:rsidP="00944790">
            <w:pPr>
              <w:pStyle w:val="Rec"/>
            </w:pPr>
            <w:r w:rsidRPr="00F729FB">
              <w:t>Changes to funding (conclusion </w:t>
            </w:r>
            <w:r w:rsidR="00AB0E2F" w:rsidRPr="00F729FB">
              <w:t>6.1</w:t>
            </w:r>
            <w:r w:rsidRPr="00F729FB">
              <w:t>) and attitudes by parties not accustomed to collaborative arrangements are need</w:t>
            </w:r>
            <w:r w:rsidR="006C6577" w:rsidRPr="00F729FB">
              <w:t>ed</w:t>
            </w:r>
            <w:r w:rsidRPr="00F729FB">
              <w:t xml:space="preserve"> to </w:t>
            </w:r>
            <w:r w:rsidR="006C6577" w:rsidRPr="00F729FB">
              <w:t>support</w:t>
            </w:r>
            <w:r w:rsidRPr="00F729FB">
              <w:t xml:space="preserve"> any alliances.</w:t>
            </w:r>
          </w:p>
          <w:p w14:paraId="1EA38D3E" w14:textId="77777777" w:rsidR="00D2237E" w:rsidRPr="00F729FB" w:rsidRDefault="008317A8" w:rsidP="00944790">
            <w:pPr>
              <w:pStyle w:val="Rec"/>
            </w:pPr>
            <w:r w:rsidRPr="00F729FB">
              <w:t>Formal mechanisms, such as memoranda of understanding</w:t>
            </w:r>
            <w:r w:rsidR="00823796" w:rsidRPr="00F729FB">
              <w:t xml:space="preserve">, joint board memberships, </w:t>
            </w:r>
            <w:r w:rsidR="00D2237E" w:rsidRPr="00F729FB">
              <w:t>compatible</w:t>
            </w:r>
            <w:r w:rsidR="00823796" w:rsidRPr="00F729FB">
              <w:t xml:space="preserve"> electronic health records, </w:t>
            </w:r>
            <w:r w:rsidR="00D2237E" w:rsidRPr="00F729FB">
              <w:t>data</w:t>
            </w:r>
            <w:r w:rsidR="00D2237E" w:rsidRPr="00F729FB">
              <w:noBreakHyphen/>
              <w:t xml:space="preserve">sharing </w:t>
            </w:r>
            <w:r w:rsidR="00823796" w:rsidRPr="00F729FB">
              <w:t>agreements, localised health pathways</w:t>
            </w:r>
            <w:r w:rsidRPr="00F729FB">
              <w:t xml:space="preserve"> and broader involvement of diverse parties on decision</w:t>
            </w:r>
            <w:r w:rsidRPr="00F729FB">
              <w:noBreakHyphen/>
              <w:t>making boards, will be required.</w:t>
            </w:r>
            <w:r w:rsidR="00823796" w:rsidRPr="00F729FB">
              <w:t xml:space="preserve"> </w:t>
            </w:r>
          </w:p>
          <w:p w14:paraId="1EA38D3F" w14:textId="77777777" w:rsidR="00114AE6" w:rsidRPr="00F729FB" w:rsidRDefault="00D2237E" w:rsidP="00944790">
            <w:pPr>
              <w:pStyle w:val="Rec"/>
            </w:pPr>
            <w:r w:rsidRPr="00F729FB">
              <w:t>G</w:t>
            </w:r>
            <w:r w:rsidR="007B0CD1" w:rsidRPr="00F729FB">
              <w:t xml:space="preserve">overnments should </w:t>
            </w:r>
            <w:r w:rsidR="00F40308" w:rsidRPr="00F729FB">
              <w:t xml:space="preserve">hold </w:t>
            </w:r>
            <w:r w:rsidRPr="00F729FB">
              <w:t xml:space="preserve">the </w:t>
            </w:r>
            <w:r w:rsidR="00F40308" w:rsidRPr="00F729FB">
              <w:t xml:space="preserve">boards </w:t>
            </w:r>
            <w:r w:rsidRPr="00F729FB">
              <w:t xml:space="preserve">of PHNs and LHNs </w:t>
            </w:r>
            <w:r w:rsidR="00F40308" w:rsidRPr="00F729FB">
              <w:t xml:space="preserve">accountable for </w:t>
            </w:r>
            <w:r w:rsidRPr="00F729FB">
              <w:t xml:space="preserve">their </w:t>
            </w:r>
            <w:r w:rsidR="00AA0FFA" w:rsidRPr="00F729FB">
              <w:t>impacts</w:t>
            </w:r>
            <w:r w:rsidRPr="00F729FB">
              <w:t xml:space="preserve"> on </w:t>
            </w:r>
            <w:r w:rsidR="00AA0FFA" w:rsidRPr="00F729FB">
              <w:t>patient</w:t>
            </w:r>
            <w:r w:rsidRPr="00F729FB">
              <w:t xml:space="preserve"> experiences, </w:t>
            </w:r>
            <w:r w:rsidR="00AA0FFA" w:rsidRPr="00F729FB">
              <w:t>efficiency</w:t>
            </w:r>
            <w:r w:rsidRPr="00F729FB">
              <w:t xml:space="preserve"> and outcomes</w:t>
            </w:r>
            <w:r w:rsidR="00AA0FFA" w:rsidRPr="00F729FB">
              <w:t xml:space="preserve"> across primary care, and not just the hospital system. This requires refinement of KPIs that measure the </w:t>
            </w:r>
            <w:r w:rsidR="003C575A" w:rsidRPr="00F729FB">
              <w:t>effects</w:t>
            </w:r>
            <w:r w:rsidR="00AA0FFA" w:rsidRPr="00F729FB">
              <w:t xml:space="preserve"> of primary care</w:t>
            </w:r>
            <w:r w:rsidR="00A80387" w:rsidRPr="00F729FB">
              <w:t>.</w:t>
            </w:r>
          </w:p>
        </w:tc>
      </w:tr>
      <w:tr w:rsidR="00F729FB" w:rsidRPr="00F729FB" w14:paraId="1EA38D42" w14:textId="77777777" w:rsidTr="00F729FB">
        <w:trPr>
          <w:cantSplit/>
          <w:tblHeader/>
        </w:trPr>
        <w:tc>
          <w:tcPr>
            <w:tcW w:w="5000" w:type="pct"/>
            <w:tcBorders>
              <w:top w:val="nil"/>
              <w:left w:val="nil"/>
              <w:bottom w:val="single" w:sz="4" w:space="0" w:color="265A9A" w:themeColor="accent2"/>
              <w:right w:val="nil"/>
            </w:tcBorders>
            <w:shd w:val="clear" w:color="auto" w:fill="E1EBF5"/>
            <w:tcMar>
              <w:left w:w="170" w:type="dxa"/>
              <w:right w:w="170" w:type="dxa"/>
            </w:tcMar>
          </w:tcPr>
          <w:p w14:paraId="1EA38D41" w14:textId="77777777" w:rsidR="00114AE6" w:rsidRPr="00F729FB" w:rsidRDefault="00114AE6" w:rsidP="00F729FB">
            <w:pPr>
              <w:pStyle w:val="Space"/>
              <w:keepLines/>
            </w:pPr>
          </w:p>
        </w:tc>
      </w:tr>
      <w:tr w:rsidR="00114AE6" w:rsidRPr="000863A5" w14:paraId="1EA38D44" w14:textId="77777777" w:rsidTr="00F729FB">
        <w:trPr>
          <w:cantSplit/>
          <w:tblHeader/>
        </w:trPr>
        <w:tc>
          <w:tcPr>
            <w:tcW w:w="5000" w:type="pct"/>
            <w:tcBorders>
              <w:top w:val="single" w:sz="4" w:space="0" w:color="265A9A" w:themeColor="accent2"/>
              <w:left w:val="nil"/>
              <w:bottom w:val="nil"/>
              <w:right w:val="nil"/>
            </w:tcBorders>
            <w:tcMar>
              <w:left w:w="170" w:type="dxa"/>
              <w:right w:w="170" w:type="dxa"/>
            </w:tcMar>
          </w:tcPr>
          <w:p w14:paraId="1EA38D43" w14:textId="77777777" w:rsidR="00114AE6" w:rsidRPr="00626D32" w:rsidRDefault="00114AE6" w:rsidP="002D5631">
            <w:pPr>
              <w:pStyle w:val="BoxSpaceBelow"/>
              <w:keepLines/>
            </w:pPr>
          </w:p>
        </w:tc>
      </w:tr>
    </w:tbl>
    <w:p w14:paraId="1EA38D45" w14:textId="77777777" w:rsidR="00D611BE" w:rsidRDefault="00D611BE" w:rsidP="00D611BE">
      <w:pPr>
        <w:pStyle w:val="BodyText"/>
      </w:pPr>
      <w:r>
        <w:t>At the Australian Government level, the leading examples of functions best undertaken centrally include the estimation of hospital costs that underpin activity</w:t>
      </w:r>
      <w:r>
        <w:noBreakHyphen/>
        <w:t xml:space="preserve">based funding (undertaken by the Independent Hospital Pricing Authority), the centralised purchasing of pharmaceuticals (the </w:t>
      </w:r>
      <w:r w:rsidR="00942510">
        <w:t xml:space="preserve">Pharmaceutical Benefits Scheme and the </w:t>
      </w:r>
      <w:r>
        <w:t xml:space="preserve">associated </w:t>
      </w:r>
      <w:r w:rsidR="00942510">
        <w:t>Pharmaceutical Benefits Advisory Committee</w:t>
      </w:r>
      <w:r>
        <w:t xml:space="preserve">), the assessment of the safety of new technologies and drugs (the Therapeutic Goods Administration), the systematic evaluation of quality across the entire Australian health system (the Australian Commission on Safety and Quality in Health Care) and a centralised repository for health statistics (the Australian Institute of Health and Welfare). Similarly, committees like the Medical Services Advisory Committee provides advice to the Australian Government on </w:t>
      </w:r>
      <w:r w:rsidRPr="00805ACA">
        <w:t>new medical services proposed for public funding</w:t>
      </w:r>
      <w:r>
        <w:t>.</w:t>
      </w:r>
    </w:p>
    <w:p w14:paraId="1EA38D46" w14:textId="77777777" w:rsidR="00D611BE" w:rsidRDefault="00D611BE" w:rsidP="00D611BE">
      <w:pPr>
        <w:pStyle w:val="BodyText"/>
      </w:pPr>
      <w:r>
        <w:t xml:space="preserve">State and Territory Governments sometimes </w:t>
      </w:r>
      <w:r w:rsidR="00785AF7">
        <w:t xml:space="preserve">also </w:t>
      </w:r>
      <w:r>
        <w:t>have expert bodies whose work could not cost</w:t>
      </w:r>
      <w:r>
        <w:noBreakHyphen/>
        <w:t>effectively be replicated at the regional level.</w:t>
      </w:r>
      <w:r w:rsidRPr="003D243B">
        <w:rPr>
          <w:rStyle w:val="FootnoteReference"/>
        </w:rPr>
        <w:footnoteReference w:id="17"/>
      </w:r>
    </w:p>
    <w:p w14:paraId="1EA38D47" w14:textId="77777777" w:rsidR="00D611BE" w:rsidRDefault="00D611BE" w:rsidP="00D611BE">
      <w:pPr>
        <w:pStyle w:val="BodyText"/>
      </w:pPr>
      <w:r>
        <w:t xml:space="preserve">In addition, while there are strong grounds for experimentation at the PHN/LHN level, there are compelling grounds for interoperability in </w:t>
      </w:r>
      <w:r w:rsidR="00DA79BF">
        <w:t>information technology</w:t>
      </w:r>
      <w:r>
        <w:t xml:space="preserve"> for managing medical records (which require cooperation), and for links to My Health Record. </w:t>
      </w:r>
      <w:r w:rsidR="00785AF7">
        <w:t>Moreover</w:t>
      </w:r>
      <w:r>
        <w:t xml:space="preserve">, as discussed in </w:t>
      </w:r>
      <w:r w:rsidR="003D0DFD">
        <w:t>chapter 9</w:t>
      </w:r>
      <w:r>
        <w:t>, there is an imperative for data sharing</w:t>
      </w:r>
      <w:r w:rsidR="003D0DFD">
        <w:t xml:space="preserve"> and </w:t>
      </w:r>
      <w:r>
        <w:t xml:space="preserve">an established vehicle for diffusing successful initiatives across regions and jurisdictions. </w:t>
      </w:r>
      <w:r w:rsidR="00DA1990">
        <w:t>N</w:t>
      </w:r>
      <w:r>
        <w:t>ot all Australian States and Territories quickly adopted NSW’s Ambulance Frequent Use Management Program.</w:t>
      </w:r>
    </w:p>
    <w:p w14:paraId="1EA38D48" w14:textId="77777777" w:rsidR="00D611BE" w:rsidRDefault="00D611BE" w:rsidP="00D611BE">
      <w:pPr>
        <w:pStyle w:val="BodyText"/>
      </w:pPr>
      <w:r>
        <w:t xml:space="preserve">There </w:t>
      </w:r>
      <w:r w:rsidRPr="00641453">
        <w:rPr>
          <w:i/>
        </w:rPr>
        <w:t>may</w:t>
      </w:r>
      <w:r>
        <w:t xml:space="preserve"> be some scope for pruning the </w:t>
      </w:r>
      <w:r w:rsidR="00DA1990">
        <w:t>many bodies</w:t>
      </w:r>
      <w:r>
        <w:t xml:space="preserve"> by substituting </w:t>
      </w:r>
      <w:r w:rsidR="00DA1990">
        <w:t>some</w:t>
      </w:r>
      <w:r>
        <w:t xml:space="preserve"> at the state and territory level and replacing them with cross</w:t>
      </w:r>
      <w:r>
        <w:noBreakHyphen/>
        <w:t>jurisdictional entities funded jointly by the Australian</w:t>
      </w:r>
      <w:r w:rsidR="00DA1990">
        <w:t>,</w:t>
      </w:r>
      <w:r>
        <w:t xml:space="preserve"> State and Territory Governments, For instance, the </w:t>
      </w:r>
      <w:r w:rsidRPr="00752F79">
        <w:t xml:space="preserve">Australian Commission on Safety and Quality in Health Care </w:t>
      </w:r>
      <w:r>
        <w:t xml:space="preserve">is jointly funded by all governments to </w:t>
      </w:r>
      <w:r w:rsidRPr="00F74BF4">
        <w:t>lead and coordinate national improvements in safety and quality in health car</w:t>
      </w:r>
      <w:r>
        <w:t xml:space="preserve">e. Yet, NSW still has a Clinical Excellence Commission, which is the lead agency for quality and safety improvement in NSW. Other jurisdictions include clinical excellence functions in their health departments (which has the virtue of sharing some common costs and allowing a greater </w:t>
      </w:r>
      <w:r w:rsidR="00DF2413">
        <w:t>degree</w:t>
      </w:r>
      <w:r>
        <w:t xml:space="preserve"> of flexibility in shifting resources between the multiple tasks such departments must undertake).</w:t>
      </w:r>
    </w:p>
    <w:p w14:paraId="1EA38D49" w14:textId="77777777" w:rsidR="004309C9" w:rsidRDefault="00D611BE" w:rsidP="00D611BE">
      <w:pPr>
        <w:pStyle w:val="BodyText"/>
      </w:pPr>
      <w:r>
        <w:t xml:space="preserve">The </w:t>
      </w:r>
      <w:r w:rsidR="00267C9B">
        <w:t xml:space="preserve">Productivity </w:t>
      </w:r>
      <w:r>
        <w:t xml:space="preserve">Commission has not examined whether the apparent duplication </w:t>
      </w:r>
      <w:r w:rsidR="00267C9B">
        <w:t xml:space="preserve">is a genuine problem </w:t>
      </w:r>
      <w:r>
        <w:t>because it is easy to advocate neatness and not always prudent to follow through. There are differences in regulatory requirements in health between jurisdictions that would need to be addressed before any re</w:t>
      </w:r>
      <w:r w:rsidR="009C49CA">
        <w:noBreakHyphen/>
      </w:r>
      <w:r>
        <w:t>structuring. Change itself creates costs — and those costs are upfront and might not cover the long</w:t>
      </w:r>
      <w:r>
        <w:noBreakHyphen/>
        <w:t>run benefits. There might also be alternative hybrid arrangements whereby state and territory bodies agree to share some common aspects in their function</w:t>
      </w:r>
      <w:r w:rsidR="00267C9B">
        <w:t>s</w:t>
      </w:r>
      <w:r>
        <w:t>, while leaving other functions alone.</w:t>
      </w:r>
      <w:r w:rsidR="00BD67D2" w:rsidRPr="003D243B">
        <w:rPr>
          <w:rStyle w:val="FootnoteReference"/>
        </w:rPr>
        <w:footnoteReference w:id="18"/>
      </w:r>
      <w:r>
        <w:t xml:space="preserve"> That said, it is easy for bodies and functions to proliferate over time, and unlike the various Commissions of Audit at the jurisdictional level, there is no periodic re</w:t>
      </w:r>
      <w:r w:rsidR="009C49CA">
        <w:noBreakHyphen/>
      </w:r>
      <w:r>
        <w:t>consideration of whether there is scope for economies across all jurisdictions. It is time to look.</w:t>
      </w:r>
    </w:p>
    <w:p w14:paraId="1EA38D4A" w14:textId="6B26D30E" w:rsidR="004309C9" w:rsidRDefault="004309C9" w:rsidP="00D611BE">
      <w:pPr>
        <w:pStyle w:val="BodyText"/>
      </w:pPr>
      <w:r>
        <w:t>Many public health initiatives —</w:t>
      </w:r>
      <w:r w:rsidR="005C436F">
        <w:t xml:space="preserve"> </w:t>
      </w:r>
      <w:r>
        <w:t>regulations, school</w:t>
      </w:r>
      <w:r>
        <w:noBreakHyphen/>
        <w:t xml:space="preserve">based education and information campaigns — are often best progressed by Australian, State and Territory Governments. Given </w:t>
      </w:r>
      <w:r w:rsidR="00CA57F3">
        <w:t xml:space="preserve">section 90 of the </w:t>
      </w:r>
      <w:r>
        <w:t>Cons</w:t>
      </w:r>
      <w:r w:rsidR="00CA57F3">
        <w:t>titution, t</w:t>
      </w:r>
      <w:r>
        <w:t xml:space="preserve">axes, such as those levied on alcohol and tobacco, are the province of the Australian Government. </w:t>
      </w:r>
      <w:r w:rsidR="00892AD1">
        <w:t>Chapter </w:t>
      </w:r>
      <w:r w:rsidR="00F813E7">
        <w:t>2</w:t>
      </w:r>
      <w:r w:rsidR="00892AD1">
        <w:t xml:space="preserve"> of the main report discusses alcohol and sugar taxes. </w:t>
      </w:r>
    </w:p>
    <w:p w14:paraId="1EA38D4B" w14:textId="77777777" w:rsidR="00D611BE" w:rsidRPr="004E3B94" w:rsidRDefault="00D611BE" w:rsidP="00D611BE">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129"/>
      </w:tblGrid>
      <w:tr w:rsidR="00F729FB" w:rsidRPr="00F729FB" w14:paraId="1EA38D4E" w14:textId="77777777" w:rsidTr="00F729FB">
        <w:trPr>
          <w:cantSplit/>
          <w:tblHeader/>
        </w:trPr>
        <w:tc>
          <w:tcPr>
            <w:tcW w:w="5000" w:type="pct"/>
            <w:tcBorders>
              <w:top w:val="single" w:sz="4" w:space="0" w:color="265A9A" w:themeColor="accent2"/>
              <w:left w:val="nil"/>
              <w:bottom w:val="nil"/>
              <w:right w:val="nil"/>
            </w:tcBorders>
            <w:shd w:val="clear" w:color="auto" w:fill="E1EBF5"/>
            <w:tcMar>
              <w:left w:w="170" w:type="dxa"/>
              <w:right w:w="170" w:type="dxa"/>
            </w:tcMar>
          </w:tcPr>
          <w:p w14:paraId="1EA38D4C" w14:textId="77777777" w:rsidR="00D611BE" w:rsidRPr="00F729FB" w:rsidRDefault="00D611BE" w:rsidP="002D5631">
            <w:pPr>
              <w:pStyle w:val="FindingTitle"/>
              <w:spacing w:before="120"/>
              <w:rPr>
                <w:noProof/>
              </w:rPr>
            </w:pPr>
            <w:r w:rsidRPr="00F729FB">
              <w:t xml:space="preserve">conclusion </w:t>
            </w:r>
            <w:r w:rsidR="00114AE6" w:rsidRPr="00F729FB">
              <w:t>4.2</w:t>
            </w:r>
          </w:p>
          <w:p w14:paraId="1EA38D4D" w14:textId="77777777" w:rsidR="00D611BE" w:rsidRPr="00F729FB" w:rsidRDefault="00D611BE" w:rsidP="00944790">
            <w:pPr>
              <w:pStyle w:val="Rec"/>
            </w:pPr>
            <w:r w:rsidRPr="00F729FB">
              <w:t xml:space="preserve">The functional value of the tasks performed by the multiple </w:t>
            </w:r>
            <w:r w:rsidR="006C6577" w:rsidRPr="00F729FB">
              <w:t>State, Territory</w:t>
            </w:r>
            <w:r w:rsidRPr="00F729FB">
              <w:t xml:space="preserve"> and </w:t>
            </w:r>
            <w:r w:rsidR="006C6577" w:rsidRPr="00F729FB">
              <w:t>Australian Government</w:t>
            </w:r>
            <w:r w:rsidRPr="00F729FB">
              <w:t xml:space="preserve"> entities that provide statistics, monitor quality and safety and provide advice on clinical best practice is not questioned, but there may be economies from amalgamating some of them or creating more structured networks that reduce duplicated fixed costs or incompatible data items. </w:t>
            </w:r>
          </w:p>
        </w:tc>
      </w:tr>
      <w:tr w:rsidR="00F729FB" w:rsidRPr="00F729FB" w14:paraId="1EA38D50" w14:textId="77777777" w:rsidTr="00F729FB">
        <w:trPr>
          <w:cantSplit/>
          <w:tblHeader/>
        </w:trPr>
        <w:tc>
          <w:tcPr>
            <w:tcW w:w="5000" w:type="pct"/>
            <w:tcBorders>
              <w:top w:val="nil"/>
              <w:left w:val="nil"/>
              <w:bottom w:val="single" w:sz="4" w:space="0" w:color="265A9A" w:themeColor="accent2"/>
              <w:right w:val="nil"/>
            </w:tcBorders>
            <w:shd w:val="clear" w:color="auto" w:fill="E1EBF5"/>
            <w:tcMar>
              <w:left w:w="170" w:type="dxa"/>
              <w:right w:w="170" w:type="dxa"/>
            </w:tcMar>
          </w:tcPr>
          <w:p w14:paraId="1EA38D4F" w14:textId="77777777" w:rsidR="00D611BE" w:rsidRPr="00F729FB" w:rsidRDefault="00D611BE" w:rsidP="00F729FB">
            <w:pPr>
              <w:pStyle w:val="Space"/>
              <w:keepLines/>
            </w:pPr>
          </w:p>
        </w:tc>
      </w:tr>
      <w:tr w:rsidR="00D611BE" w:rsidRPr="000863A5" w14:paraId="1EA38D52" w14:textId="77777777" w:rsidTr="00F729FB">
        <w:trPr>
          <w:cantSplit/>
          <w:tblHeader/>
        </w:trPr>
        <w:tc>
          <w:tcPr>
            <w:tcW w:w="5000" w:type="pct"/>
            <w:tcBorders>
              <w:top w:val="single" w:sz="4" w:space="0" w:color="265A9A" w:themeColor="accent2"/>
              <w:left w:val="nil"/>
              <w:bottom w:val="nil"/>
              <w:right w:val="nil"/>
            </w:tcBorders>
            <w:tcMar>
              <w:left w:w="170" w:type="dxa"/>
              <w:right w:w="170" w:type="dxa"/>
            </w:tcMar>
          </w:tcPr>
          <w:p w14:paraId="1EA38D51" w14:textId="77777777" w:rsidR="00D611BE" w:rsidRPr="00626D32" w:rsidRDefault="00D611BE" w:rsidP="002D5631">
            <w:pPr>
              <w:pStyle w:val="BoxSpaceBelow"/>
              <w:keepLines/>
            </w:pPr>
          </w:p>
        </w:tc>
      </w:tr>
    </w:tbl>
    <w:p w14:paraId="1EA38D53" w14:textId="77777777" w:rsidR="00C446FE" w:rsidRDefault="00C446FE" w:rsidP="00C446FE">
      <w:pPr>
        <w:pStyle w:val="Heading3"/>
      </w:pPr>
      <w:r>
        <w:t>The Australian and State and Territory Governments must be active participants in devolution</w:t>
      </w:r>
    </w:p>
    <w:p w14:paraId="1EA38D54" w14:textId="77777777" w:rsidR="000103C8" w:rsidRDefault="00C446FE" w:rsidP="00544C59">
      <w:pPr>
        <w:pStyle w:val="BodyText"/>
      </w:pPr>
      <w:r>
        <w:t>Devolution cannot come autonomously, but requires buy</w:t>
      </w:r>
      <w:r>
        <w:noBreakHyphen/>
        <w:t xml:space="preserve">in from the Australian and State and Territory Governments, changes to their hospital and MBS funding arrangements, the development of performance metrics to hold PHNs and LHNs accountable, and clarity about what happens if regional organisations do not meet performance requirements. </w:t>
      </w:r>
      <w:r w:rsidR="00500EE4">
        <w:t xml:space="preserve">The treatment of coordinated care in the 2016 </w:t>
      </w:r>
      <w:r w:rsidR="00500EE4" w:rsidRPr="00500EE4">
        <w:t>Heads of Agreement between the Commonwealth and the States and Territories on Public Hospital Funding</w:t>
      </w:r>
      <w:r w:rsidR="00500EE4">
        <w:t xml:space="preserve"> is imprecise about </w:t>
      </w:r>
      <w:r w:rsidR="00827D01">
        <w:t>the roles of, and interaction between LHNs, PHNs and HCHs,</w:t>
      </w:r>
      <w:r w:rsidR="00500EE4">
        <w:t xml:space="preserve"> leav</w:t>
      </w:r>
      <w:r w:rsidR="00827D01">
        <w:t>ing</w:t>
      </w:r>
      <w:r w:rsidR="00500EE4">
        <w:t xml:space="preserve"> </w:t>
      </w:r>
      <w:r w:rsidR="00827D01">
        <w:t xml:space="preserve">the form and degree of cooperation as </w:t>
      </w:r>
      <w:r w:rsidR="00500EE4">
        <w:t>discretionary</w:t>
      </w:r>
      <w:r w:rsidR="00827D01">
        <w:t xml:space="preserve">. </w:t>
      </w:r>
      <w:r w:rsidR="000103C8">
        <w:t>There is accordingly a need to re-configure Commonwealth</w:t>
      </w:r>
      <w:r w:rsidR="000103C8">
        <w:noBreakHyphen/>
        <w:t>State agreements in this area</w:t>
      </w:r>
      <w:r w:rsidR="00E13EC0">
        <w:t>, clearly specifying the roles, funding and accountability of the regional bodies — as specified throughout this supporting paper</w:t>
      </w:r>
      <w:r w:rsidR="000103C8">
        <w:t xml:space="preserve"> </w:t>
      </w:r>
      <w:r w:rsidR="000103C8" w:rsidRPr="000103C8">
        <w:rPr>
          <w:szCs w:val="24"/>
        </w:rPr>
        <w:t>(a view also put by the Grattan Institute in its proposals for similar reforms of primary health care, Duckett and Swerissen 2017, p. 25)</w:t>
      </w:r>
      <w:r w:rsidR="000103C8">
        <w:t>.</w:t>
      </w:r>
    </w:p>
    <w:p w14:paraId="1EA38D55" w14:textId="77777777" w:rsidR="00EE6C31" w:rsidRDefault="00EE6C31">
      <w:r>
        <w:br w:type="page"/>
      </w:r>
    </w:p>
    <w:p w14:paraId="1EA38D56" w14:textId="77777777" w:rsidR="00A35CCF" w:rsidRDefault="007131E0" w:rsidP="00EE6C31">
      <w:pPr>
        <w:pStyle w:val="Heading1"/>
      </w:pPr>
      <w:bookmarkStart w:id="42" w:name="_Toc488929692"/>
      <w:bookmarkStart w:id="43" w:name="_Toc489250070"/>
      <w:r>
        <w:t>5</w:t>
      </w:r>
      <w:r w:rsidR="00EF348D">
        <w:tab/>
        <w:t>Insufficient incentives for a system</w:t>
      </w:r>
      <w:r w:rsidR="00EF348D">
        <w:noBreakHyphen/>
        <w:t>wide approach</w:t>
      </w:r>
      <w:bookmarkEnd w:id="42"/>
      <w:bookmarkEnd w:id="43"/>
    </w:p>
    <w:p w14:paraId="1EA38D57" w14:textId="77777777" w:rsidR="00FC048E" w:rsidRDefault="00FC048E" w:rsidP="00A35CCF">
      <w:pPr>
        <w:pStyle w:val="BodyText"/>
      </w:pPr>
      <w:r>
        <w:t>A drawback of Australia’s current health system is that there are a series of budget silos. Key providers (particularly hospitals and GPs) make decisions that determine the level of expenditure under other budgets (such as the PBS</w:t>
      </w:r>
      <w:r w:rsidR="00F55A01">
        <w:t xml:space="preserve"> and diagnostics)</w:t>
      </w:r>
      <w:r>
        <w:t xml:space="preserve">, but without any financial implications for their own budget. Therefore, the key decision makers in our system have no direct financial incentive to be efficient in their use of other parts of the system. Indeed, there is some evidence that providers waste resources by trying to push costs onto other parts of the system (Ernst &amp; Young 2017). This budget silo approach is blocking progress towards an integrated health system. </w:t>
      </w:r>
    </w:p>
    <w:p w14:paraId="1EA38D58" w14:textId="77777777" w:rsidR="00EF348D" w:rsidRDefault="00EF348D" w:rsidP="00A35CCF">
      <w:pPr>
        <w:pStyle w:val="BodyText"/>
      </w:pPr>
      <w:r>
        <w:t>I</w:t>
      </w:r>
      <w:r w:rsidR="00781FD9">
        <w:t>n a well</w:t>
      </w:r>
      <w:r w:rsidR="00781FD9">
        <w:noBreakHyphen/>
      </w:r>
      <w:r w:rsidR="00FA77A3">
        <w:t xml:space="preserve">integrated system, suppliers should have incentives to direct people to the most </w:t>
      </w:r>
      <w:r w:rsidR="00F24EF5">
        <w:t>suitable</w:t>
      </w:r>
      <w:r w:rsidR="00FA77A3">
        <w:t xml:space="preserve"> and cost effective services, and where possible, prevent</w:t>
      </w:r>
      <w:r w:rsidR="00D07C9A">
        <w:t xml:space="preserve"> </w:t>
      </w:r>
      <w:r w:rsidR="00FA77A3">
        <w:t>the onset of chr</w:t>
      </w:r>
      <w:r w:rsidR="00D07C9A">
        <w:t>o</w:t>
      </w:r>
      <w:r w:rsidR="00FA77A3">
        <w:t xml:space="preserve">nic conditions. </w:t>
      </w:r>
    </w:p>
    <w:p w14:paraId="1EA38D59" w14:textId="77777777" w:rsidR="00FA77A3" w:rsidRDefault="00D07C9A" w:rsidP="00A35CCF">
      <w:pPr>
        <w:pStyle w:val="BodyText"/>
      </w:pPr>
      <w:r>
        <w:t>Achieving</w:t>
      </w:r>
      <w:r w:rsidR="00FA77A3">
        <w:t xml:space="preserve"> that outcome is not </w:t>
      </w:r>
      <w:r>
        <w:t>straightforward</w:t>
      </w:r>
      <w:r w:rsidR="00FA77A3">
        <w:t xml:space="preserve">, but there are some </w:t>
      </w:r>
      <w:r>
        <w:t>reasonably</w:t>
      </w:r>
      <w:r w:rsidR="00FA77A3">
        <w:t xml:space="preserve"> obvious ‘do not dos’ in health</w:t>
      </w:r>
      <w:r w:rsidR="008147E3">
        <w:t xml:space="preserve"> care payments and funding, </w:t>
      </w:r>
      <w:r w:rsidR="00FA77A3">
        <w:t xml:space="preserve">including </w:t>
      </w:r>
      <w:r>
        <w:t>payments that encourage excessive use of services or that discourage shifts in services away from costlier parts to less expensive parts of the system</w:t>
      </w:r>
      <w:r w:rsidR="008147E3">
        <w:t xml:space="preserve"> </w:t>
      </w:r>
      <w:r w:rsidR="00123BD7" w:rsidRPr="00123BD7">
        <w:rPr>
          <w:szCs w:val="24"/>
        </w:rPr>
        <w:t>(PC 2015, p. 30ff)</w:t>
      </w:r>
      <w:r>
        <w:t>.</w:t>
      </w:r>
    </w:p>
    <w:p w14:paraId="1EA38D5A" w14:textId="77777777" w:rsidR="00293260" w:rsidRDefault="007131E0" w:rsidP="00361618">
      <w:pPr>
        <w:pStyle w:val="Heading2"/>
      </w:pPr>
      <w:bookmarkStart w:id="44" w:name="_Toc488929693"/>
      <w:bookmarkStart w:id="45" w:name="_Toc489250071"/>
      <w:r>
        <w:t>5</w:t>
      </w:r>
      <w:r w:rsidR="005F1867">
        <w:t>.1</w:t>
      </w:r>
      <w:r w:rsidR="00361618">
        <w:tab/>
      </w:r>
      <w:r w:rsidR="00293260">
        <w:t>Activity</w:t>
      </w:r>
      <w:r w:rsidR="00293260">
        <w:noBreakHyphen/>
        <w:t>based funding of hospitals has improved ‘seamless production’, but only within hospitals</w:t>
      </w:r>
      <w:bookmarkEnd w:id="44"/>
      <w:bookmarkEnd w:id="45"/>
    </w:p>
    <w:p w14:paraId="1EA38D5B" w14:textId="77777777" w:rsidR="00293260" w:rsidRDefault="00293260" w:rsidP="00293260">
      <w:pPr>
        <w:pStyle w:val="BodyText"/>
      </w:pPr>
      <w:r>
        <w:t xml:space="preserve">Australia has advanced its hospital funding arrangements a long way in a relatively short time, with most of the effort concentrated on improving efficiency. While each jurisdiction has different variations, major Australian hospitals are funded </w:t>
      </w:r>
      <w:r w:rsidR="00BB049D">
        <w:t xml:space="preserve">for the bulk of their services </w:t>
      </w:r>
      <w:r>
        <w:t>through activity based funding (ABF), under which hospitals receive revenues based on the efficient costs of delivering specified services to their mix of patients.</w:t>
      </w:r>
      <w:r w:rsidR="00BB049D" w:rsidRPr="003D243B">
        <w:rPr>
          <w:rStyle w:val="FootnoteReference"/>
        </w:rPr>
        <w:footnoteReference w:id="19"/>
      </w:r>
      <w:r>
        <w:t xml:space="preserve"> </w:t>
      </w:r>
      <w:r w:rsidR="002C4610">
        <w:t xml:space="preserve">Following the introduction of </w:t>
      </w:r>
      <w:r>
        <w:t>ABF</w:t>
      </w:r>
      <w:r w:rsidR="002C4610">
        <w:t>, national growth in the average cost</w:t>
      </w:r>
      <w:r>
        <w:t xml:space="preserve"> </w:t>
      </w:r>
      <w:r w:rsidR="002C4610">
        <w:t>of providing hospital services has slowed significantly,</w:t>
      </w:r>
      <w:r>
        <w:t xml:space="preserve"> including through the adoption of the kind of production processes discussed above. </w:t>
      </w:r>
    </w:p>
    <w:p w14:paraId="1EA38D5C" w14:textId="77777777" w:rsidR="00293260" w:rsidRPr="00593967" w:rsidRDefault="00875515">
      <w:pPr>
        <w:pStyle w:val="BodyText"/>
      </w:pPr>
      <w:r w:rsidRPr="00593967">
        <w:t>Nevertheless</w:t>
      </w:r>
      <w:r w:rsidR="00293260" w:rsidRPr="00593967">
        <w:t xml:space="preserve">, ABF creates risks. </w:t>
      </w:r>
    </w:p>
    <w:p w14:paraId="1EA38D5D" w14:textId="77777777" w:rsidR="00293260" w:rsidRDefault="00293260" w:rsidP="00293260">
      <w:pPr>
        <w:pStyle w:val="BodyText"/>
      </w:pPr>
      <w:r>
        <w:t>One concern is that where inadequate care requires a hospital to provide additional services, ABF will pay for these (that is, there is implicit ‘pay for poor performance’).</w:t>
      </w:r>
      <w:r w:rsidRPr="0058617E">
        <w:t xml:space="preserve"> </w:t>
      </w:r>
      <w:r>
        <w:t xml:space="preserve">Nevertheless, the current </w:t>
      </w:r>
      <w:r w:rsidR="00BF7174">
        <w:t>form</w:t>
      </w:r>
      <w:r>
        <w:t xml:space="preserve"> of ABF is not entirely bereft of a capacity to improve quality outcomes </w:t>
      </w:r>
      <w:r w:rsidRPr="00E16880">
        <w:rPr>
          <w:i/>
        </w:rPr>
        <w:t>within</w:t>
      </w:r>
      <w:r>
        <w:t xml:space="preserve"> hospitals. While not a feature of the funding model, ABF can support quality care because it provides data that allow hospital administrators and clinicians to identify conditions that patients acquire while receiving treatment, which is a basis for voluntary changes in clinical practices. To a lesser extent, cost minimisation is sometimes associated with quality improvement (for example, better patient management will result in shorter stays in hospital). Moreover, policy is moving in the right direction to discourage low quality care. Queensland, for example, will not pay a hospital for six ‘never events’ (events that should not under any circumstances arise). COAG has agreed to new funding formulas commencing in 2017 that financially penalise hospitals for a certain group of hospital</w:t>
      </w:r>
      <w:r>
        <w:noBreakHyphen/>
        <w:t>acquired conditions</w:t>
      </w:r>
      <w:r w:rsidRPr="00915167">
        <w:t>.</w:t>
      </w:r>
      <w:r>
        <w:t xml:space="preserve"> Financial incentives may later be extended to unplanned readmissions — but caution in this area is justified. More sophisticated data analysis and divulgence can also assist best practice.</w:t>
      </w:r>
    </w:p>
    <w:p w14:paraId="1EA38D5E" w14:textId="77777777" w:rsidR="00293260" w:rsidRDefault="00293260" w:rsidP="00293260">
      <w:pPr>
        <w:pStyle w:val="BodyText"/>
      </w:pPr>
      <w:r>
        <w:t>Another flaw is that a hospital that has lower costs relative to the benchmark will find it profitable to increase those activities even if these are not clinically optimal.</w:t>
      </w:r>
      <w:r w:rsidR="00C22433" w:rsidRPr="003D243B">
        <w:rPr>
          <w:rStyle w:val="FootnoteReference"/>
        </w:rPr>
        <w:footnoteReference w:id="20"/>
      </w:r>
      <w:r>
        <w:t xml:space="preserve"> This may </w:t>
      </w:r>
      <w:r w:rsidRPr="00232344">
        <w:t>partly</w:t>
      </w:r>
      <w:r>
        <w:t xml:space="preserve"> explain the considerable variations in clinical practices across hospitals, but its contribution to such variations is uncertain.</w:t>
      </w:r>
    </w:p>
    <w:p w14:paraId="1EA38D5F" w14:textId="77777777" w:rsidR="00293260" w:rsidRDefault="00293260" w:rsidP="00293260">
      <w:pPr>
        <w:pStyle w:val="BodyText"/>
      </w:pPr>
      <w:r>
        <w:t>The most fundamental concern with ABF within an integrated care framework is that its incentives only relate to hospital care</w:t>
      </w:r>
      <w:r w:rsidR="00003C2A">
        <w:t xml:space="preserve"> (including hospital in the home programs)</w:t>
      </w:r>
      <w:r>
        <w:t>. Hospitals generally benefit from illness not from its prevention or its management in lower cost settings. Ideally, purchasers of hospital services would have incentives to discover, fund, coordinate and encourage out</w:t>
      </w:r>
      <w:r>
        <w:noBreakHyphen/>
        <w:t>of</w:t>
      </w:r>
      <w:r>
        <w:noBreakHyphen/>
        <w:t>hospital initiatives that reduce activities within hospitals. Mechanisms that shift the system towards that end is one of the Commission’s key focuses.</w:t>
      </w:r>
    </w:p>
    <w:p w14:paraId="1EA38D60" w14:textId="77777777" w:rsidR="00A63C7B" w:rsidRDefault="00A63C7B" w:rsidP="00A63C7B">
      <w:pPr>
        <w:pStyle w:val="BodyText"/>
      </w:pPr>
      <w:r>
        <w:t xml:space="preserve">As an illustration of the </w:t>
      </w:r>
      <w:r w:rsidR="000109CC">
        <w:t xml:space="preserve">important role that LHNs could play in producing better outcomes, </w:t>
      </w:r>
      <w:r>
        <w:t xml:space="preserve">the </w:t>
      </w:r>
      <w:r w:rsidR="000109CC">
        <w:t xml:space="preserve">Western Sydney Local Health District (a LHN) </w:t>
      </w:r>
      <w:r>
        <w:t>created a team of specialists to work with GPs to improve the management of patients with chronic diabetes. Early indications are that patient outcomes are improving in terms of desirable reductions in blood sugar levels, weight and blood pressure (Western Sydney Local Health District and PHN Western Sydney 201</w:t>
      </w:r>
      <w:r w:rsidR="00F72C2A">
        <w:t>6b). However, t</w:t>
      </w:r>
      <w:r>
        <w:t>he LHN’s expenditure on the program was not considered an ‘activity’ that attracts funding under its activity based hospital budget. Rather, to maintain the program, the LHN had to rely on the temporary injection of funds under the New South Wales Government’s integrated care demonstration scheme. Further, the LHN anticipates that rolling out the scheme — and expanding it to include health literacy education in local communities</w:t>
      </w:r>
      <w:r w:rsidR="000109CC">
        <w:t xml:space="preserve">, </w:t>
      </w:r>
      <w:r>
        <w:t xml:space="preserve">will lower the rates of hospitalisation for diabetes, resulting in a reduction in its activity based funding. While the Western Sydney LHN expressed a commitment to improving patient outcomes despite the risk of reduced activity based funding, this is not financially sustainable under the current funding system. Rather, the </w:t>
      </w:r>
      <w:r w:rsidR="00BF7174">
        <w:t>ABF</w:t>
      </w:r>
      <w:r>
        <w:t xml:space="preserve"> system</w:t>
      </w:r>
      <w:r w:rsidR="00BF7174">
        <w:t>,</w:t>
      </w:r>
      <w:r>
        <w:t xml:space="preserve"> </w:t>
      </w:r>
      <w:r w:rsidR="00BF7174">
        <w:t>as currently designed,</w:t>
      </w:r>
      <w:r>
        <w:t xml:space="preserve"> deters such investments and undermines the financial capacity of LHNs </w:t>
      </w:r>
      <w:r w:rsidR="00DF64F2">
        <w:t>to</w:t>
      </w:r>
      <w:r>
        <w:t xml:space="preserve"> invest in improving integration with primary care or </w:t>
      </w:r>
      <w:r w:rsidR="00DF64F2">
        <w:t xml:space="preserve">to </w:t>
      </w:r>
      <w:r>
        <w:t>undertake innovative activities in preventative health.</w:t>
      </w:r>
    </w:p>
    <w:p w14:paraId="1EA38D61" w14:textId="77777777" w:rsidR="00361618" w:rsidRPr="00361618" w:rsidRDefault="007131E0" w:rsidP="00361618">
      <w:pPr>
        <w:pStyle w:val="Heading2"/>
      </w:pPr>
      <w:bookmarkStart w:id="46" w:name="_Toc488929694"/>
      <w:bookmarkStart w:id="47" w:name="_Toc489250072"/>
      <w:r>
        <w:t>5</w:t>
      </w:r>
      <w:r w:rsidR="005F1867">
        <w:t>.2</w:t>
      </w:r>
      <w:r w:rsidR="00361618">
        <w:tab/>
      </w:r>
      <w:r w:rsidR="00293260">
        <w:t>Fee</w:t>
      </w:r>
      <w:r w:rsidR="00293260">
        <w:noBreakHyphen/>
        <w:t>for</w:t>
      </w:r>
      <w:r w:rsidR="00293260">
        <w:noBreakHyphen/>
        <w:t>service does not encourage fully</w:t>
      </w:r>
      <w:r w:rsidR="00293260">
        <w:noBreakHyphen/>
        <w:t>integrated care</w:t>
      </w:r>
      <w:bookmarkEnd w:id="46"/>
      <w:bookmarkEnd w:id="47"/>
    </w:p>
    <w:p w14:paraId="1EA38D62" w14:textId="77777777" w:rsidR="004F7669" w:rsidRDefault="00293260" w:rsidP="004F7669">
      <w:pPr>
        <w:pStyle w:val="BodyText"/>
      </w:pPr>
      <w:r>
        <w:t>With a few exceptions, GPs and specialists are paid on a fee</w:t>
      </w:r>
      <w:r>
        <w:noBreakHyphen/>
        <w:t>for</w:t>
      </w:r>
      <w:r>
        <w:noBreakHyphen/>
        <w:t>service basis for items on the government</w:t>
      </w:r>
      <w:r>
        <w:noBreakHyphen/>
        <w:t xml:space="preserve">determined </w:t>
      </w:r>
      <w:r w:rsidR="0084360A">
        <w:t>Medicare</w:t>
      </w:r>
      <w:r>
        <w:t xml:space="preserve"> Benefits Schedule</w:t>
      </w:r>
      <w:r w:rsidR="0084360A">
        <w:t> (MBS)</w:t>
      </w:r>
      <w:r>
        <w:t xml:space="preserve">. </w:t>
      </w:r>
    </w:p>
    <w:p w14:paraId="1EA38D63" w14:textId="77777777" w:rsidR="00293260" w:rsidRDefault="00293260" w:rsidP="004F7669">
      <w:pPr>
        <w:pStyle w:val="BodyText"/>
      </w:pPr>
      <w:r>
        <w:t>Both the structure of the MBS and the fee</w:t>
      </w:r>
      <w:r>
        <w:noBreakHyphen/>
        <w:t>for</w:t>
      </w:r>
      <w:r>
        <w:noBreakHyphen/>
        <w:t xml:space="preserve">service reimbursement model mean that, as in funding of hospitals, clinicians do not face strong </w:t>
      </w:r>
      <w:r w:rsidRPr="00E16880">
        <w:rPr>
          <w:i/>
        </w:rPr>
        <w:t>financial</w:t>
      </w:r>
      <w:r>
        <w:t xml:space="preserve"> incentives to:</w:t>
      </w:r>
    </w:p>
    <w:p w14:paraId="1EA38D64" w14:textId="77777777" w:rsidR="00293260" w:rsidRDefault="00293260" w:rsidP="00293260">
      <w:pPr>
        <w:pStyle w:val="BodyText"/>
        <w:numPr>
          <w:ilvl w:val="0"/>
          <w:numId w:val="22"/>
        </w:numPr>
        <w:ind w:left="426" w:hanging="425"/>
      </w:pPr>
      <w:r>
        <w:t>avoid high</w:t>
      </w:r>
      <w:r>
        <w:noBreakHyphen/>
        <w:t>cost activities (such as tests, referrals to specialists and</w:t>
      </w:r>
      <w:r w:rsidR="00196A5A">
        <w:t>, above all,</w:t>
      </w:r>
      <w:r>
        <w:t xml:space="preserve"> hospital admissions)</w:t>
      </w:r>
    </w:p>
    <w:p w14:paraId="1EA38D65" w14:textId="77777777" w:rsidR="00293260" w:rsidRDefault="00293260" w:rsidP="00293260">
      <w:pPr>
        <w:pStyle w:val="BodyText"/>
        <w:numPr>
          <w:ilvl w:val="0"/>
          <w:numId w:val="22"/>
        </w:numPr>
        <w:ind w:left="426" w:hanging="425"/>
      </w:pPr>
      <w:r>
        <w:t>use lower</w:t>
      </w:r>
      <w:r>
        <w:noBreakHyphen/>
        <w:t>cost delivery methods, such as employing nurse practitioners or phone</w:t>
      </w:r>
      <w:r>
        <w:noBreakHyphen/>
        <w:t>based consultations</w:t>
      </w:r>
      <w:r w:rsidR="004E7C14">
        <w:t>.</w:t>
      </w:r>
      <w:r w:rsidR="009D4C15">
        <w:t xml:space="preserve"> </w:t>
      </w:r>
    </w:p>
    <w:p w14:paraId="1EA38D66" w14:textId="77777777" w:rsidR="00293260" w:rsidRDefault="00293260" w:rsidP="00293260">
      <w:pPr>
        <w:pStyle w:val="BodyText"/>
        <w:numPr>
          <w:ilvl w:val="0"/>
          <w:numId w:val="22"/>
        </w:numPr>
        <w:ind w:left="426" w:hanging="425"/>
      </w:pPr>
      <w:r>
        <w:t>direct patients to services not covered by the MBS, such as physiotherapists</w:t>
      </w:r>
    </w:p>
    <w:p w14:paraId="1EA38D67" w14:textId="77777777" w:rsidR="00293260" w:rsidRDefault="00293260" w:rsidP="00293260">
      <w:pPr>
        <w:pStyle w:val="BodyText"/>
        <w:numPr>
          <w:ilvl w:val="0"/>
          <w:numId w:val="22"/>
        </w:numPr>
        <w:ind w:left="426" w:hanging="425"/>
      </w:pPr>
      <w:r>
        <w:t>limit future consultations</w:t>
      </w:r>
    </w:p>
    <w:p w14:paraId="1EA38D68" w14:textId="77777777" w:rsidR="00293260" w:rsidRDefault="00293260" w:rsidP="00293260">
      <w:pPr>
        <w:pStyle w:val="BodyText"/>
        <w:numPr>
          <w:ilvl w:val="0"/>
          <w:numId w:val="22"/>
        </w:numPr>
        <w:ind w:left="426" w:hanging="425"/>
      </w:pPr>
      <w:r>
        <w:t xml:space="preserve">prevent illness in the first place, such as through advice on lifestyle risks and other </w:t>
      </w:r>
      <w:r w:rsidR="009D44FA">
        <w:t>preventative</w:t>
      </w:r>
      <w:r>
        <w:t xml:space="preserve"> strategies. The old witticism that ‘a</w:t>
      </w:r>
      <w:r w:rsidRPr="005122FF">
        <w:t xml:space="preserve"> doctor is the only </w:t>
      </w:r>
      <w:r>
        <w:t>person</w:t>
      </w:r>
      <w:r w:rsidRPr="005122FF">
        <w:t xml:space="preserve"> who can suffer from good health</w:t>
      </w:r>
      <w:r>
        <w:t xml:space="preserve">’ </w:t>
      </w:r>
      <w:r w:rsidR="003B20CE">
        <w:t>reflects</w:t>
      </w:r>
      <w:r w:rsidR="002674B3">
        <w:t xml:space="preserve"> </w:t>
      </w:r>
      <w:r>
        <w:t>the consequences of any payment system that does not reward clinicians for maintenance of health.</w:t>
      </w:r>
      <w:r w:rsidR="00CB3425">
        <w:t xml:space="preserve"> This should not be taken to mean that GPs are uninterested in </w:t>
      </w:r>
      <w:r w:rsidR="009D44FA">
        <w:t>preventative</w:t>
      </w:r>
      <w:r w:rsidR="00CB3425">
        <w:t xml:space="preserve"> health — merely that </w:t>
      </w:r>
      <w:r w:rsidR="001948E3">
        <w:t>the funding model inhibi</w:t>
      </w:r>
      <w:r w:rsidR="007E61CC">
        <w:t>ts their full capacity to do so</w:t>
      </w:r>
    </w:p>
    <w:p w14:paraId="1EA38D69" w14:textId="77777777" w:rsidR="007E61CC" w:rsidRDefault="007E61CC" w:rsidP="00293260">
      <w:pPr>
        <w:pStyle w:val="BodyText"/>
        <w:numPr>
          <w:ilvl w:val="0"/>
          <w:numId w:val="22"/>
        </w:numPr>
        <w:ind w:left="426" w:hanging="425"/>
      </w:pPr>
      <w:r>
        <w:t>support team</w:t>
      </w:r>
      <w:r>
        <w:noBreakHyphen/>
        <w:t>based care.</w:t>
      </w:r>
    </w:p>
    <w:p w14:paraId="1EA38D6A" w14:textId="620D36D8" w:rsidR="004E7C14" w:rsidRDefault="004E7C14" w:rsidP="004E7C14">
      <w:pPr>
        <w:pStyle w:val="BodyText"/>
      </w:pPr>
      <w:r>
        <w:t>Moreover, fee</w:t>
      </w:r>
      <w:r>
        <w:noBreakHyphen/>
        <w:t>for</w:t>
      </w:r>
      <w:r>
        <w:noBreakHyphen/>
        <w:t>service introduces considerable rigidity into the management of care. Once medical professionals are paid on a fee</w:t>
      </w:r>
      <w:r>
        <w:noBreakHyphen/>
        <w:t>for-service basis, a funder must tell them what they can be paid for, especially when the patient does not bear the full costs and is often ill</w:t>
      </w:r>
      <w:r>
        <w:noBreakHyphen/>
        <w:t>informed about the value of the service. Hence, Australia has the MB</w:t>
      </w:r>
      <w:r w:rsidR="009E42F7">
        <w:t>S</w:t>
      </w:r>
      <w:r>
        <w:t xml:space="preserve"> — a long list of closely defined compensable activities accompanied by </w:t>
      </w:r>
      <w:r w:rsidR="009E42F7">
        <w:t>centrally</w:t>
      </w:r>
      <w:r>
        <w:noBreakHyphen/>
        <w:t xml:space="preserve">determined prices that are generally fixed across the country. </w:t>
      </w:r>
      <w:r w:rsidR="00622347">
        <w:t>Even v</w:t>
      </w:r>
      <w:r w:rsidRPr="009D4C15">
        <w:t xml:space="preserve">ery long lists of this kind will fail to cover all the activities that a </w:t>
      </w:r>
      <w:r>
        <w:t>health professional</w:t>
      </w:r>
      <w:r w:rsidRPr="009D4C15">
        <w:t xml:space="preserve"> might reasonably undertake in a genuinely integrated system, and can be slow to adapt to technological developments.</w:t>
      </w:r>
      <w:r>
        <w:t xml:space="preserve"> For example, it was only after mid</w:t>
      </w:r>
      <w:r>
        <w:noBreakHyphen/>
      </w:r>
      <w:r w:rsidR="00F20471">
        <w:t>2011</w:t>
      </w:r>
      <w:r>
        <w:t xml:space="preserve"> that MBS payments for telehealth were widened beyond </w:t>
      </w:r>
      <w:r w:rsidRPr="004E7C14">
        <w:t>tele</w:t>
      </w:r>
      <w:r>
        <w:noBreakHyphen/>
      </w:r>
      <w:r w:rsidRPr="004E7C14">
        <w:t>p</w:t>
      </w:r>
      <w:r>
        <w:t>sychiatry and tele</w:t>
      </w:r>
      <w:r>
        <w:noBreakHyphen/>
      </w:r>
      <w:r w:rsidRPr="004E7C14">
        <w:t>radiology.</w:t>
      </w:r>
      <w:r>
        <w:t xml:space="preserve"> Telehealth MBS items still re</w:t>
      </w:r>
      <w:r w:rsidR="00685D27">
        <w:t>main highly restricted (chapter </w:t>
      </w:r>
      <w:r w:rsidR="00F813E7">
        <w:t>2</w:t>
      </w:r>
      <w:r>
        <w:t xml:space="preserve"> </w:t>
      </w:r>
      <w:r w:rsidR="00685D27">
        <w:t>in the main report</w:t>
      </w:r>
      <w:r>
        <w:t>), so that compensation through the MBS requires the consultation to be via video and be only used in regional areas, even when it is easy to foresee circumstances in which telehealth consultations in a city could be beneficial.</w:t>
      </w:r>
      <w:r w:rsidR="006C5506">
        <w:t xml:space="preserve"> </w:t>
      </w:r>
      <w:r w:rsidR="00F20471" w:rsidRPr="00F20471">
        <w:rPr>
          <w:szCs w:val="24"/>
        </w:rPr>
        <w:t>(Some have advocated this - Bupa 2017.)</w:t>
      </w:r>
      <w:r w:rsidR="00622347" w:rsidRPr="003D243B">
        <w:rPr>
          <w:rStyle w:val="FootnoteReference"/>
        </w:rPr>
        <w:footnoteReference w:id="21"/>
      </w:r>
      <w:r w:rsidR="006C5506">
        <w:t xml:space="preserve"> </w:t>
      </w:r>
      <w:r w:rsidR="00F20471">
        <w:t xml:space="preserve">Regardless of whether such an extension might be justified, the point is that the MBS is slow to adapt to new developments, and its design must give considerable weight to risk management across the entire country and population of </w:t>
      </w:r>
      <w:r w:rsidR="005626C7">
        <w:t xml:space="preserve">physicians. </w:t>
      </w:r>
    </w:p>
    <w:p w14:paraId="1EA38D6B" w14:textId="77777777" w:rsidR="00293260" w:rsidRDefault="00293260" w:rsidP="00293260">
      <w:pPr>
        <w:pStyle w:val="BodyText"/>
      </w:pPr>
      <w:r>
        <w:t xml:space="preserve">While the </w:t>
      </w:r>
      <w:r w:rsidR="00DC26EC">
        <w:t>clinician</w:t>
      </w:r>
      <w:r w:rsidR="00196A5A">
        <w:noBreakHyphen/>
      </w:r>
      <w:r>
        <w:t xml:space="preserve">funding model provides some similar incentives as ABF of hospitals, there are some </w:t>
      </w:r>
      <w:r w:rsidR="00315795">
        <w:t>important</w:t>
      </w:r>
      <w:r>
        <w:t xml:space="preserve"> differences:</w:t>
      </w:r>
    </w:p>
    <w:p w14:paraId="1EA38D6C" w14:textId="77777777" w:rsidR="00293260" w:rsidRDefault="00293260" w:rsidP="00293260">
      <w:pPr>
        <w:pStyle w:val="ListBullet"/>
      </w:pPr>
      <w:r>
        <w:t xml:space="preserve">The financial disincentives associated with (iii) to (v) are partly mitigated by </w:t>
      </w:r>
      <w:r w:rsidRPr="00E16880">
        <w:rPr>
          <w:i/>
        </w:rPr>
        <w:t>individual</w:t>
      </w:r>
      <w:r>
        <w:t xml:space="preserve"> doctors’ ethical convictions</w:t>
      </w:r>
      <w:r w:rsidRPr="003D243B">
        <w:rPr>
          <w:rStyle w:val="FootnoteReference"/>
        </w:rPr>
        <w:footnoteReference w:id="22"/>
      </w:r>
      <w:r>
        <w:t xml:space="preserve"> and the fact that in some areas, growing demand or physician shortages means that there is an excess demand for consultations, and therefore no financial penalty from limiting future consultations through effective disease management. Some MBS items are also directly aimed at prevention and condition management, for example, the ‘Healthy Kids Check’ for children aged </w:t>
      </w:r>
      <w:r w:rsidR="0083038E">
        <w:t>three</w:t>
      </w:r>
      <w:r>
        <w:t xml:space="preserve"> or </w:t>
      </w:r>
      <w:r w:rsidR="0083038E">
        <w:t>five</w:t>
      </w:r>
      <w:r>
        <w:t xml:space="preserve"> years old and care planning for people with chronic illnesses. Changes to MBS items have also sometimes encouraged referrals to lower</w:t>
      </w:r>
      <w:r>
        <w:noBreakHyphen/>
        <w:t xml:space="preserve">cost professionals — for example, a shift to psychologists rather than psychiatrists for treatment of anxiety and depression </w:t>
      </w:r>
      <w:r w:rsidR="00F65FF0" w:rsidRPr="00F65FF0">
        <w:rPr>
          <w:szCs w:val="24"/>
        </w:rPr>
        <w:t>(Britt and Miller 2009, pp. 7–8)</w:t>
      </w:r>
      <w:r>
        <w:t>. Practice incentive payments lie outside the fee</w:t>
      </w:r>
      <w:r>
        <w:noBreakHyphen/>
        <w:t>for</w:t>
      </w:r>
      <w:r w:rsidR="009C49CA">
        <w:noBreakHyphen/>
      </w:r>
      <w:r>
        <w:t>service model and also provide incentives for general practices to detect and manage chronic conditions. (</w:t>
      </w:r>
      <w:r w:rsidR="006755DC">
        <w:t>That said</w:t>
      </w:r>
      <w:r>
        <w:t xml:space="preserve">, the uptake of Medicare incentive payments has been low </w:t>
      </w:r>
      <w:r w:rsidR="00BD734A" w:rsidRPr="00BD734A">
        <w:rPr>
          <w:szCs w:val="24"/>
        </w:rPr>
        <w:t>(accounting for about 10% of GP’s remuneration according to NSW ACI 2015, p. 12)</w:t>
      </w:r>
      <w:r>
        <w:t>).</w:t>
      </w:r>
      <w:r w:rsidR="008A3DBC">
        <w:t xml:space="preserve"> The Practice Incentive program is discussed further in chapter </w:t>
      </w:r>
      <w:r w:rsidR="0084360A">
        <w:t>6</w:t>
      </w:r>
      <w:r w:rsidR="008A3DBC">
        <w:t>.</w:t>
      </w:r>
    </w:p>
    <w:p w14:paraId="1EA38D6D" w14:textId="77777777" w:rsidR="00293260" w:rsidRDefault="00293260" w:rsidP="00293260">
      <w:pPr>
        <w:pStyle w:val="ListBullet"/>
      </w:pPr>
      <w:r>
        <w:t xml:space="preserve">People have choice of </w:t>
      </w:r>
      <w:r w:rsidR="00DC26EC">
        <w:t>GP</w:t>
      </w:r>
      <w:r>
        <w:t>, which is consistent with a patient</w:t>
      </w:r>
      <w:r>
        <w:noBreakHyphen/>
        <w:t>centric model. (On the other hand, the capacity to exercise choice is limited by poor information about the attributes and performance of different practices).</w:t>
      </w:r>
    </w:p>
    <w:p w14:paraId="1EA38D6E" w14:textId="77777777" w:rsidR="00293260" w:rsidRDefault="00293260" w:rsidP="00293260">
      <w:pPr>
        <w:pStyle w:val="ListBullet"/>
      </w:pPr>
      <w:r>
        <w:t>The Australian Government covers the cost of the MBS</w:t>
      </w:r>
      <w:r>
        <w:noBreakHyphen/>
        <w:t>scheduled fee, but there is no particular link between that fee and efficient costs, with GPs allowed to set their own prices to recover any additional costs from patient</w:t>
      </w:r>
      <w:r w:rsidR="00C64F21">
        <w:t>s</w:t>
      </w:r>
      <w:r>
        <w:t>. Accordingly, efficiency is largely driven by competition between GPs, as it is for many other goods and services. It is hard to determine the degree to which competition has driven costs to efficient levels. Notably bulk</w:t>
      </w:r>
      <w:r>
        <w:noBreakHyphen/>
        <w:t xml:space="preserve">billing rates — an indicator of price competition — are geographically variable, and depend on proximity of nearby GP practices, suggesting that competitive forces vary </w:t>
      </w:r>
      <w:r w:rsidR="00C65A42" w:rsidRPr="00C65A42">
        <w:rPr>
          <w:szCs w:val="24"/>
        </w:rPr>
        <w:t>(Gravelle et al. 2016)</w:t>
      </w:r>
      <w:r>
        <w:t>.</w:t>
      </w:r>
    </w:p>
    <w:p w14:paraId="1EA38D6F" w14:textId="77777777" w:rsidR="00293260" w:rsidRDefault="00293260" w:rsidP="00293260">
      <w:pPr>
        <w:pStyle w:val="ListBullet"/>
      </w:pPr>
      <w:r>
        <w:t xml:space="preserve">A fully integrated system should deliver treatments that have demonstrated efficacy — that is a reasonable consumer mantra is ‘Don’t do things to people that are not needed or harmful’. There is less timely and detailed assessment of the evidence base for physicians’ practices than in hospitals. The payment method in hospitals means that there is good evidence concerning unwarranted clinical variations — which at least provides a basis for limiting these through provision of information to clinicians. In contrast, overwhelmingly, the most common MBS items for GPs are consultations of varying lengths (most commonly a single MBS item — number 23), rather than provision of specific services. Accordingly, much of what goes on in general practice is a black box, with the outcome that no tools exist to </w:t>
      </w:r>
      <w:r w:rsidRPr="00E16880">
        <w:rPr>
          <w:i/>
        </w:rPr>
        <w:t>systematically</w:t>
      </w:r>
      <w:r>
        <w:t xml:space="preserve"> understand the extent of variation in quality of care in general practice, or the consequences of those variations </w:t>
      </w:r>
      <w:r w:rsidR="00E45613" w:rsidRPr="00E45613">
        <w:rPr>
          <w:szCs w:val="24"/>
        </w:rPr>
        <w:t>(EY 2015a, p. 16)</w:t>
      </w:r>
      <w:r>
        <w:t>. The data that do exist on what happen</w:t>
      </w:r>
      <w:r w:rsidR="0005035E">
        <w:t>s in the black box relate</w:t>
      </w:r>
      <w:r w:rsidR="00C64F21">
        <w:t xml:space="preserve"> to </w:t>
      </w:r>
      <w:r>
        <w:t xml:space="preserve">only a sample of GPs and the survey has now been discontinued </w:t>
      </w:r>
      <w:r w:rsidR="00C65A42" w:rsidRPr="00C65A42">
        <w:rPr>
          <w:szCs w:val="24"/>
        </w:rPr>
        <w:t>(Britt et al. 2016)</w:t>
      </w:r>
      <w:r>
        <w:t>. Nevertheless, there is some evidence. For example, t</w:t>
      </w:r>
      <w:r w:rsidRPr="004D2DCD">
        <w:t xml:space="preserve">he rates of amoxycillin dispensing were 20.5 times more in the </w:t>
      </w:r>
      <w:r>
        <w:t xml:space="preserve">geographic </w:t>
      </w:r>
      <w:r w:rsidRPr="004D2DCD">
        <w:t>area with the highest rate compared with the area with the lowest rate, and 2.7 times when the highest and lowest rates were excluded</w:t>
      </w:r>
      <w:r>
        <w:t xml:space="preserve"> — which will primarily reflect variations in prescribing patterns in general practice </w:t>
      </w:r>
      <w:r w:rsidR="00C65A42" w:rsidRPr="00C65A42">
        <w:rPr>
          <w:szCs w:val="24"/>
        </w:rPr>
        <w:t>(ACSQHC 2015)</w:t>
      </w:r>
      <w:r>
        <w:t xml:space="preserve">. There seems also to be variations in the clinical practices of physicians depending on their age and gender </w:t>
      </w:r>
      <w:r w:rsidR="00C65A42" w:rsidRPr="00C65A42">
        <w:rPr>
          <w:szCs w:val="24"/>
        </w:rPr>
        <w:t>(Charles, Britt and Valenti 2004)</w:t>
      </w:r>
      <w:r>
        <w:t xml:space="preserve">. </w:t>
      </w:r>
    </w:p>
    <w:p w14:paraId="1EA38D70" w14:textId="77777777" w:rsidR="00293260" w:rsidRDefault="00293260" w:rsidP="00293260">
      <w:pPr>
        <w:pStyle w:val="BodyText"/>
      </w:pPr>
      <w:r>
        <w:t>It has long been recognised that the dominant fee</w:t>
      </w:r>
      <w:r>
        <w:noBreakHyphen/>
        <w:t>for</w:t>
      </w:r>
      <w:r>
        <w:noBreakHyphen/>
        <w:t>service model in general practice does not encourage coordinated care of people or disease management</w:t>
      </w:r>
      <w:r w:rsidR="00B25D78">
        <w:t>, nor strong incentives to adopt processes like e</w:t>
      </w:r>
      <w:r w:rsidR="00144A1A">
        <w:t>H</w:t>
      </w:r>
      <w:r w:rsidR="00B25D78">
        <w:t>e</w:t>
      </w:r>
      <w:r w:rsidR="00315795">
        <w:t xml:space="preserve">alth or the employment of </w:t>
      </w:r>
      <w:r w:rsidR="00B25D78">
        <w:t>allied health professionals. When looked through the lens of normal business practices, the fact that government has to co</w:t>
      </w:r>
      <w:r w:rsidR="00B25D78">
        <w:noBreakHyphen/>
        <w:t xml:space="preserve">fund general practices to introduce new technologies and change their occupational mix to provide good quality services is symptomatic of something </w:t>
      </w:r>
      <w:r w:rsidR="00315795">
        <w:t xml:space="preserve">very </w:t>
      </w:r>
      <w:r w:rsidR="00B25D78">
        <w:t>awry.</w:t>
      </w:r>
      <w:r>
        <w:t xml:space="preserve"> </w:t>
      </w:r>
      <w:r w:rsidR="00B25D78">
        <w:t xml:space="preserve">This has motivated the various incentive payments (like the PIP) and </w:t>
      </w:r>
      <w:r w:rsidR="00315795">
        <w:t xml:space="preserve">the </w:t>
      </w:r>
      <w:r w:rsidR="00B25D78">
        <w:t>special MBS items described above, which represent attempts by the Australian Government to combat the perverse incentives posed by the fee</w:t>
      </w:r>
      <w:r w:rsidR="00B25D78">
        <w:noBreakHyphen/>
        <w:t>for</w:t>
      </w:r>
      <w:r w:rsidR="00B25D78">
        <w:noBreakHyphen/>
        <w:t xml:space="preserve">service model. </w:t>
      </w:r>
      <w:r w:rsidR="00315795">
        <w:t xml:space="preserve">Moreover, it has driven governments to trial </w:t>
      </w:r>
      <w:r>
        <w:t xml:space="preserve">completely new models of care that do not reward activities </w:t>
      </w:r>
      <w:r w:rsidR="00315795">
        <w:t xml:space="preserve">— which the Commission sees as the most promising direction for policy change in primary care </w:t>
      </w:r>
      <w:r w:rsidR="00196A5A">
        <w:t>(chapter</w:t>
      </w:r>
      <w:r w:rsidR="00FA55F4">
        <w:t> 6</w:t>
      </w:r>
      <w:r w:rsidR="00196A5A">
        <w:t>)</w:t>
      </w:r>
      <w:r>
        <w:t>.</w:t>
      </w:r>
      <w:r w:rsidR="00B25D78">
        <w:t xml:space="preserve"> </w:t>
      </w:r>
    </w:p>
    <w:p w14:paraId="1EA38D71" w14:textId="77777777" w:rsidR="00361618" w:rsidRPr="00361618" w:rsidRDefault="007131E0" w:rsidP="00361618">
      <w:pPr>
        <w:pStyle w:val="Heading2"/>
      </w:pPr>
      <w:bookmarkStart w:id="48" w:name="_Toc488929695"/>
      <w:bookmarkStart w:id="49" w:name="_Toc489250073"/>
      <w:r>
        <w:t>5</w:t>
      </w:r>
      <w:r w:rsidR="005F1867">
        <w:t>.3</w:t>
      </w:r>
      <w:r w:rsidR="00361618">
        <w:tab/>
      </w:r>
      <w:r w:rsidR="00293260">
        <w:t>Private health insurers face frustrating incentives</w:t>
      </w:r>
      <w:bookmarkEnd w:id="48"/>
      <w:bookmarkEnd w:id="49"/>
    </w:p>
    <w:p w14:paraId="1EA38D72" w14:textId="77777777" w:rsidR="0084138B" w:rsidRDefault="00293260" w:rsidP="00293260">
      <w:pPr>
        <w:pStyle w:val="BodyText"/>
      </w:pPr>
      <w:r>
        <w:t xml:space="preserve">Private health insurance is highly regulated — with many of the most significant rules stemming from the overarching principle of community rating, which, unlike orthodox insurance products, sets premiums that are unrelated to the patterns of </w:t>
      </w:r>
      <w:r w:rsidR="001F175C">
        <w:t xml:space="preserve">claims of </w:t>
      </w:r>
      <w:r>
        <w:t>the class to which a person belongs</w:t>
      </w:r>
      <w:r w:rsidR="001A6A29">
        <w:t>. Accordingly, a person aged 70 </w:t>
      </w:r>
      <w:r>
        <w:t>years (who has higher than average claims) will pay the s</w:t>
      </w:r>
      <w:r w:rsidR="001A6A29">
        <w:t>ame premium as a person aged 20 </w:t>
      </w:r>
      <w:r>
        <w:t xml:space="preserve">years (who has low average claims). </w:t>
      </w:r>
    </w:p>
    <w:p w14:paraId="1EA38D73" w14:textId="77777777" w:rsidR="0084138B" w:rsidRDefault="00293260" w:rsidP="0084138B">
      <w:pPr>
        <w:pStyle w:val="BodyText"/>
      </w:pPr>
      <w:r>
        <w:t>Risk equalisation underpins community rating by requiring that insurers with healthier members (most commonly younger people) bear some of the costs of insurers with greater representation of less healthy people. However, the risk</w:t>
      </w:r>
      <w:r>
        <w:noBreakHyphen/>
        <w:t xml:space="preserve">equalisation scheme (at May 2017) also reduces the drive for efficiency and </w:t>
      </w:r>
      <w:r w:rsidR="009D44FA">
        <w:t>preventative</w:t>
      </w:r>
      <w:r>
        <w:t xml:space="preserve"> care because any gains made by one insurer are shared with other insurers, weakening incentives for investment by any insurer in cost minimisation. The implicit tax rate imposed by risk equalisation can readily be as high as 50 per cent</w:t>
      </w:r>
      <w:r w:rsidR="0084360A">
        <w:t> (box 5.1)</w:t>
      </w:r>
      <w:r>
        <w:t xml:space="preserve">. </w:t>
      </w:r>
      <w:r w:rsidR="0084138B">
        <w:t xml:space="preserve">That does not preclude the adoption of some </w:t>
      </w:r>
      <w:r w:rsidR="009D44FA">
        <w:t>preventative</w:t>
      </w:r>
      <w:r w:rsidR="0084138B">
        <w:t xml:space="preserve"> measures, and indeed some insurers </w:t>
      </w:r>
      <w:r w:rsidR="0066235E">
        <w:t xml:space="preserve">have </w:t>
      </w:r>
      <w:r w:rsidR="0084138B">
        <w:t xml:space="preserve">been innovative in using their data to target </w:t>
      </w:r>
      <w:r w:rsidR="009D44FA">
        <w:t>preventative</w:t>
      </w:r>
      <w:r w:rsidR="0084138B">
        <w:t xml:space="preserve"> care to avoid subsequent large claims (for example Australian Unity and Medibank). </w:t>
      </w:r>
      <w:r w:rsidR="006755DC">
        <w:t>Nevertheless</w:t>
      </w:r>
      <w:r w:rsidR="00C617B6">
        <w:t xml:space="preserve">, as </w:t>
      </w:r>
      <w:r w:rsidR="006755DC">
        <w:t>for</w:t>
      </w:r>
      <w:r w:rsidR="00C617B6">
        <w:t xml:space="preserve"> all investment, a lower rate of return must reduce the scale of investment.</w:t>
      </w:r>
      <w:r w:rsidR="0084138B">
        <w:t xml:space="preserve"> </w:t>
      </w:r>
    </w:p>
    <w:p w14:paraId="1EA38D74" w14:textId="77777777" w:rsidR="00293260" w:rsidRDefault="00293260" w:rsidP="00293260">
      <w:pPr>
        <w:pStyle w:val="BodyText"/>
      </w:pPr>
      <w:r>
        <w:t xml:space="preserve">There are other barriers to </w:t>
      </w:r>
      <w:r w:rsidR="009D44FA">
        <w:t>preventative</w:t>
      </w:r>
      <w:r>
        <w:t xml:space="preserve"> care by insurers:</w:t>
      </w:r>
    </w:p>
    <w:p w14:paraId="1EA38D75" w14:textId="77777777" w:rsidR="00293260" w:rsidRDefault="00293260" w:rsidP="00293260">
      <w:pPr>
        <w:pStyle w:val="ListBullet"/>
      </w:pPr>
      <w:r>
        <w:t xml:space="preserve">while often desirable, the regulatory requirement for portability of membership across insurers means that an investment in </w:t>
      </w:r>
      <w:r w:rsidR="009D44FA">
        <w:t>preventative</w:t>
      </w:r>
      <w:r>
        <w:t xml:space="preserve"> care by one insurer (upfront costs for the insurer and long</w:t>
      </w:r>
      <w:r>
        <w:noBreakHyphen/>
        <w:t>run reduction in claims) can be lost if the participating members move to another insurer before the returns from the investments have been sufficiently realised</w:t>
      </w:r>
    </w:p>
    <w:p w14:paraId="1EA38D76" w14:textId="77777777" w:rsidR="00293260" w:rsidRDefault="00293260" w:rsidP="00293260">
      <w:pPr>
        <w:pStyle w:val="ListBullet"/>
      </w:pPr>
      <w:r>
        <w:t xml:space="preserve">there are restrictions on the parties that private insurers can use for provision of </w:t>
      </w:r>
      <w:r w:rsidR="009D44FA">
        <w:t>preventative</w:t>
      </w:r>
      <w:r>
        <w:t xml:space="preserve"> care services. While some of these restrictions may be justified, some prominent insurers </w:t>
      </w:r>
      <w:r w:rsidR="001851B1">
        <w:t xml:space="preserve">have </w:t>
      </w:r>
      <w:r>
        <w:t>argue</w:t>
      </w:r>
      <w:r w:rsidR="001851B1">
        <w:t>d</w:t>
      </w:r>
      <w:r>
        <w:t xml:space="preserve"> that they limit innovation in prevention </w:t>
      </w:r>
      <w:r w:rsidR="00C65A42" w:rsidRPr="00C65A42">
        <w:rPr>
          <w:szCs w:val="24"/>
        </w:rPr>
        <w:t>(HRSCH 2016, pp. 58–60; PHA 2017)</w:t>
      </w:r>
      <w:r>
        <w:t>.</w:t>
      </w:r>
    </w:p>
    <w:p w14:paraId="1EA38D77" w14:textId="77777777" w:rsidR="00293260" w:rsidRDefault="00293260" w:rsidP="00293260">
      <w:pPr>
        <w:pStyle w:val="BodyText"/>
      </w:pPr>
      <w:r>
        <w:t>Notwithstanding these barriers, some insurers have introduced new services aimed at reducing use of hospitals (box </w:t>
      </w:r>
      <w:r w:rsidR="00F42148">
        <w:t>5</w:t>
      </w:r>
      <w:r>
        <w:t xml:space="preserve">.1). Unlike ABF for public hospital services, private health insurers do retain </w:t>
      </w:r>
      <w:r w:rsidRPr="00E16880">
        <w:rPr>
          <w:i/>
        </w:rPr>
        <w:t>some</w:t>
      </w:r>
      <w:r>
        <w:t xml:space="preserve"> incentives to shift resources out of the high cost part of the system. </w:t>
      </w:r>
    </w:p>
    <w:p w14:paraId="1EA38D78" w14:textId="77777777" w:rsidR="00F729FB" w:rsidRDefault="00293260" w:rsidP="00293260">
      <w:pPr>
        <w:pStyle w:val="BodyText"/>
        <w:rPr>
          <w:i/>
        </w:rPr>
      </w:pPr>
      <w:r w:rsidRPr="00DD013F">
        <w:rPr>
          <w:i/>
        </w:rPr>
        <w:t>This suggests that local hospital networks (who run public hospitals) would also have incentives to provide similar services if doing so was not inimical to their financial position, and would likely do so even if they shared the gains with other parties (such as primary health networks and governments).</w:t>
      </w:r>
    </w:p>
    <w:p w14:paraId="27D51C4A" w14:textId="77777777" w:rsidR="009659D4" w:rsidRDefault="009659D4" w:rsidP="009659D4">
      <w:pPr>
        <w:pStyle w:val="BodyText"/>
      </w:pPr>
      <w:r>
        <w:t xml:space="preserve">The complex nexus between Medicare and private health insurance may also affect the scope for full health care integration. </w:t>
      </w:r>
    </w:p>
    <w:p w14:paraId="35AB0A84" w14:textId="77777777" w:rsidR="009659D4" w:rsidRDefault="009659D4" w:rsidP="009659D4">
      <w:pPr>
        <w:pStyle w:val="BodyText"/>
      </w:pPr>
      <w:r>
        <w:t xml:space="preserve">At times, public hospital funding arrangements have provided incentives for public hospitals to encourage people admitted as public patients (primarily through emergency departments) to subsequently convert to private patients if they have private insurance cover </w:t>
      </w:r>
      <w:r w:rsidRPr="00C65A42">
        <w:rPr>
          <w:szCs w:val="24"/>
        </w:rPr>
        <w:t>(King 2013, p. 14)</w:t>
      </w:r>
      <w:r>
        <w:t>. The number of admissions in public hospitals funded by private health insurance increased by 110 per cent from 2007</w:t>
      </w:r>
      <w:r>
        <w:noBreakHyphen/>
        <w:t>08 to 2015</w:t>
      </w:r>
      <w:r>
        <w:noBreakHyphen/>
        <w:t>16 compared with growth of only about 25 per cent for publicly</w:t>
      </w:r>
      <w:r>
        <w:noBreakHyphen/>
        <w:t xml:space="preserve">funded patients over the same period. Reliance on private health insurance funding was particularly high in NSW and Tasmania (figure 5.1). Public hospitals have recruited specific staff to encourage patients to opt for private insurance status on admission </w:t>
      </w:r>
      <w:r w:rsidRPr="00D75E4F">
        <w:rPr>
          <w:szCs w:val="24"/>
        </w:rPr>
        <w:t>(EY 2017, pp. 27–28)</w:t>
      </w:r>
      <w:r>
        <w:t xml:space="preserve"> and have sometimes guaranteed no gaps for such people. </w:t>
      </w:r>
    </w:p>
    <w:p w14:paraId="00527404" w14:textId="77777777" w:rsidR="009659D4" w:rsidRDefault="009659D4" w:rsidP="009659D4">
      <w:pPr>
        <w:pStyle w:val="BodyText"/>
      </w:pPr>
      <w:r>
        <w:t>Notwithstanding recent changes to Commonwealth funding formula that would remove these incentives, state</w:t>
      </w:r>
      <w:r>
        <w:noBreakHyphen/>
        <w:t xml:space="preserve">level variations in the implementation of ABF has meant that incentives for attracting private patients continue in NSW, Queensland, Western Australia, and Tasmania, while there are now either no or weaker incentives in other jurisdictions </w:t>
      </w:r>
      <w:r w:rsidRPr="00D75E4F">
        <w:rPr>
          <w:szCs w:val="24"/>
        </w:rPr>
        <w:t>(EY 2017)</w:t>
      </w:r>
      <w:r>
        <w:t xml:space="preserve">. </w:t>
      </w:r>
    </w:p>
    <w:p w14:paraId="7D84873C" w14:textId="0E3F3B4D" w:rsidR="009659D4" w:rsidRPr="009659D4" w:rsidRDefault="009659D4" w:rsidP="00293260">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073"/>
      </w:tblGrid>
      <w:tr w:rsidR="009659D4" w14:paraId="7E84DECD" w14:textId="77777777" w:rsidTr="007D1F76">
        <w:tc>
          <w:tcPr>
            <w:tcW w:w="5000" w:type="pct"/>
            <w:tcBorders>
              <w:top w:val="single" w:sz="6" w:space="0" w:color="78A22F"/>
              <w:left w:val="nil"/>
              <w:bottom w:val="nil"/>
              <w:right w:val="nil"/>
            </w:tcBorders>
            <w:shd w:val="clear" w:color="auto" w:fill="F2F2F2"/>
          </w:tcPr>
          <w:p w14:paraId="77331A4C" w14:textId="77777777" w:rsidR="009659D4" w:rsidRDefault="009659D4" w:rsidP="007D1F76">
            <w:pPr>
              <w:pStyle w:val="FigureTitle"/>
            </w:pPr>
            <w:r w:rsidRPr="00944790">
              <w:rPr>
                <w:b w:val="0"/>
              </w:rPr>
              <w:t>Box 5.1</w:t>
            </w:r>
            <w:r>
              <w:tab/>
              <w:t>Notwithstanding adverse incentives, some private health insurers are offering preventative care programs</w:t>
            </w:r>
          </w:p>
        </w:tc>
      </w:tr>
      <w:tr w:rsidR="009659D4" w14:paraId="28972AEA" w14:textId="77777777" w:rsidTr="007D1F76">
        <w:tc>
          <w:tcPr>
            <w:tcW w:w="5000" w:type="pct"/>
            <w:tcBorders>
              <w:top w:val="nil"/>
              <w:left w:val="nil"/>
              <w:bottom w:val="nil"/>
              <w:right w:val="nil"/>
            </w:tcBorders>
            <w:shd w:val="clear" w:color="auto" w:fill="F2F2F2"/>
          </w:tcPr>
          <w:p w14:paraId="4A644ECA" w14:textId="77777777" w:rsidR="009659D4" w:rsidRDefault="009659D4" w:rsidP="007D1F76">
            <w:pPr>
              <w:pStyle w:val="Box"/>
            </w:pPr>
            <w:r>
              <w:t xml:space="preserve">After 2007, private insurers were permitted to offer cover for clinically justified alternatives to hospital services (‘Hospital Substitute’ treatments) such as wound care at home rather than in hospital, and chronic illness management (‘Chronic Disease Management Programs’ — CDMPs), for example management of diabetes </w:t>
            </w:r>
            <w:r w:rsidRPr="00C65A42">
              <w:rPr>
                <w:rFonts w:cs="Arial"/>
                <w:szCs w:val="24"/>
              </w:rPr>
              <w:t>(HRSCH 2016, p. 57)</w:t>
            </w:r>
            <w:r>
              <w:t>. Some insurers offer phone</w:t>
            </w:r>
            <w:r>
              <w:noBreakHyphen/>
              <w:t>based health coaching, goal setting and monitoring. Insurers are not obliged to offer such cover.</w:t>
            </w:r>
          </w:p>
          <w:p w14:paraId="052F8004" w14:textId="77777777" w:rsidR="009659D4" w:rsidRDefault="009659D4" w:rsidP="007D1F76">
            <w:pPr>
              <w:pStyle w:val="Box"/>
            </w:pPr>
            <w:r>
              <w:t>As an illustration, HCF offered a CDMP — My Health Guardian</w:t>
            </w:r>
            <w:r w:rsidRPr="003D243B">
              <w:rPr>
                <w:rStyle w:val="FootnoteReference"/>
              </w:rPr>
              <w:footnoteReference w:id="23"/>
            </w:r>
            <w:r>
              <w:t xml:space="preserve"> — which included </w:t>
            </w:r>
            <w:r w:rsidRPr="00E776D0">
              <w:t>individuali</w:t>
            </w:r>
            <w:r>
              <w:t>s</w:t>
            </w:r>
            <w:r w:rsidRPr="00E776D0">
              <w:t>ed support via telephonic nurse outreach and online tools for self</w:t>
            </w:r>
            <w:r>
              <w:noBreakHyphen/>
            </w:r>
            <w:r w:rsidRPr="00E776D0">
              <w:t>management, behaviour</w:t>
            </w:r>
            <w:r>
              <w:t xml:space="preserve"> change and well</w:t>
            </w:r>
            <w:r w:rsidRPr="00E776D0">
              <w:t>being</w:t>
            </w:r>
            <w:r>
              <w:t>. Longitudinal data over a four year period found significant reductions in hospital admissions by the covered group (</w:t>
            </w:r>
            <w:r>
              <w:noBreakHyphen/>
              <w:t>11.4%), readmissions (</w:t>
            </w:r>
            <w:r>
              <w:noBreakHyphen/>
              <w:t>36.7%) and bed days (</w:t>
            </w:r>
            <w:r>
              <w:noBreakHyphen/>
              <w:t xml:space="preserve">17.2%). Effects increased over time </w:t>
            </w:r>
            <w:r w:rsidRPr="00C65A42">
              <w:rPr>
                <w:rFonts w:cs="Arial"/>
                <w:szCs w:val="24"/>
              </w:rPr>
              <w:t>(Hamar et al. 2015)</w:t>
            </w:r>
            <w:r>
              <w:t>. Under the risk equalisation arrangements of the time, HCF retained about 54 per cent of the savings, with the other savings shared among all other insurers despite the fact that they had committed no resources to HCF’s program. Of course, HCF itself would have benefited from any successful programs implemented by other insurers. Regardless, risk–equalisation effectively taxed the investment returns by more than 50 per cent, with obvious effects on investment incentives.</w:t>
            </w:r>
          </w:p>
          <w:p w14:paraId="0A4ECAC2" w14:textId="77777777" w:rsidR="009659D4" w:rsidRDefault="009659D4" w:rsidP="007D1F76">
            <w:pPr>
              <w:pStyle w:val="Box"/>
            </w:pPr>
            <w:r>
              <w:t>Australian Unity offers ‘Mindstep’, a six</w:t>
            </w:r>
            <w:r>
              <w:noBreakHyphen/>
              <w:t>week phone</w:t>
            </w:r>
            <w:r>
              <w:noBreakHyphen/>
              <w:t>based program using cognitive</w:t>
            </w:r>
            <w:r>
              <w:noBreakHyphen/>
              <w:t xml:space="preserve">behavioural therapy that helps manage depression and anxiety for people who have been admitted to a hospital for these conditions in the past. Claim costs fell $7800 per person per year for those enrolled in the program, and average days in hospitals fell, as did readmissions. The insurer saved $4 million in the first year of the program </w:t>
            </w:r>
            <w:r w:rsidRPr="00C65A42">
              <w:rPr>
                <w:rFonts w:cs="Arial"/>
                <w:szCs w:val="24"/>
              </w:rPr>
              <w:t>(Potter 2017)</w:t>
            </w:r>
            <w:r>
              <w:t>.</w:t>
            </w:r>
          </w:p>
          <w:p w14:paraId="0BC53BE3" w14:textId="77777777" w:rsidR="009659D4" w:rsidRDefault="009659D4" w:rsidP="007D1F76">
            <w:pPr>
              <w:pStyle w:val="Box"/>
            </w:pPr>
            <w:r>
              <w:t>Medibank Private also offers a sophisticated integrated care package for people with chronic conditions — CareComplete — which includes three elements (CareFirst, CarePoint and CareTransition).</w:t>
            </w:r>
            <w:r w:rsidRPr="003D243B">
              <w:rPr>
                <w:rStyle w:val="FootnoteReference"/>
              </w:rPr>
              <w:footnoteReference w:id="24"/>
            </w:r>
            <w:r>
              <w:t xml:space="preserve"> CareComplete is distinctive among other private insurer packages in that it is funded in partnership with several state governments and is also available for other private insurers, with free access by patients enrolled in the system. It is discussed further in appendix A.</w:t>
            </w:r>
          </w:p>
        </w:tc>
      </w:tr>
      <w:tr w:rsidR="009659D4" w14:paraId="63A4F94D" w14:textId="77777777" w:rsidTr="007D1F76">
        <w:tc>
          <w:tcPr>
            <w:tcW w:w="5000" w:type="pct"/>
            <w:tcBorders>
              <w:top w:val="nil"/>
              <w:left w:val="nil"/>
              <w:bottom w:val="single" w:sz="6" w:space="0" w:color="78A22F"/>
              <w:right w:val="nil"/>
            </w:tcBorders>
            <w:shd w:val="clear" w:color="auto" w:fill="F2F2F2"/>
          </w:tcPr>
          <w:p w14:paraId="4A56165E" w14:textId="77777777" w:rsidR="009659D4" w:rsidRDefault="009659D4" w:rsidP="007D1F76">
            <w:pPr>
              <w:pStyle w:val="Box"/>
              <w:spacing w:before="0" w:line="120" w:lineRule="exact"/>
            </w:pPr>
          </w:p>
        </w:tc>
      </w:tr>
      <w:tr w:rsidR="009659D4" w:rsidRPr="00626D32" w14:paraId="6252A702" w14:textId="77777777" w:rsidTr="007D1F76">
        <w:tc>
          <w:tcPr>
            <w:tcW w:w="5000" w:type="pct"/>
            <w:tcBorders>
              <w:top w:val="single" w:sz="6" w:space="0" w:color="78A22F"/>
              <w:left w:val="nil"/>
              <w:bottom w:val="nil"/>
              <w:right w:val="nil"/>
            </w:tcBorders>
          </w:tcPr>
          <w:p w14:paraId="4AFCE10E" w14:textId="77777777" w:rsidR="009659D4" w:rsidRPr="00626D32" w:rsidRDefault="009659D4" w:rsidP="007D1F76">
            <w:pPr>
              <w:pStyle w:val="BoxSpaceBelow"/>
            </w:pPr>
          </w:p>
        </w:tc>
      </w:tr>
    </w:tbl>
    <w:p w14:paraId="66EA1087" w14:textId="77777777" w:rsidR="00176E36" w:rsidRDefault="00176E36" w:rsidP="00176E36">
      <w:pPr>
        <w:pStyle w:val="BodyText"/>
      </w:pPr>
      <w:r>
        <w:t>In those jurisdictions where these incentives still exist, the capacity to cross</w:t>
      </w:r>
      <w:r>
        <w:noBreakHyphen/>
        <w:t>subsidise public hospitals through private health insurance has several consequences beyond its immediate effects on private health insurance premiums.</w:t>
      </w:r>
    </w:p>
    <w:p w14:paraId="3C8906E6" w14:textId="77777777" w:rsidR="00176E36" w:rsidRDefault="00176E36" w:rsidP="00176E36">
      <w:pPr>
        <w:pStyle w:val="BodyText"/>
      </w:pPr>
      <w:r>
        <w:t>For example, it has been claimed that public hospitals have invested in more single room accommodation to motivate patients to switch to private insurance funding of their stay. Certainly, some public hospitals provide single rooms to privately</w:t>
      </w:r>
      <w:r>
        <w:noBreakHyphen/>
        <w:t>insured patients as a matter of course (subject to availability), with this not being the norm for publicly</w:t>
      </w:r>
      <w:r>
        <w:noBreakHyphen/>
        <w:t xml:space="preserve">insured patients. As one of the attractions of private health insurance is a capacity to gain access to a single room, increasing access to these for private patients in public hospitals is not per se bad. Nonetheless, it appears that the particular implementation of ABF in some public hospitals means that the returns from building rooms in public hospitals are greater than for private hospitals, which would distort investment decisions </w:t>
      </w:r>
      <w:r w:rsidRPr="00C65A42">
        <w:rPr>
          <w:szCs w:val="24"/>
        </w:rPr>
        <w:t>(King 2013)</w:t>
      </w:r>
      <w:r>
        <w:t xml:space="preserve">. There might, for example, be better </w:t>
      </w:r>
      <w:r w:rsidRPr="00E16880">
        <w:rPr>
          <w:i/>
        </w:rPr>
        <w:t>social</w:t>
      </w:r>
      <w:r>
        <w:t xml:space="preserve"> returns from other capital expenditure in public hospitals. </w:t>
      </w:r>
    </w:p>
    <w:p w14:paraId="1EA38D88" w14:textId="77777777" w:rsidR="00D062DC" w:rsidRDefault="00D062DC" w:rsidP="00D062D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D062DC" w14:paraId="1EA38D8A" w14:textId="77777777" w:rsidTr="006C117F">
        <w:trPr>
          <w:tblHeader/>
        </w:trPr>
        <w:tc>
          <w:tcPr>
            <w:tcW w:w="5000" w:type="pct"/>
            <w:tcBorders>
              <w:top w:val="single" w:sz="6" w:space="0" w:color="78A22F"/>
              <w:left w:val="nil"/>
              <w:bottom w:val="nil"/>
              <w:right w:val="nil"/>
            </w:tcBorders>
            <w:shd w:val="clear" w:color="auto" w:fill="auto"/>
          </w:tcPr>
          <w:p w14:paraId="1EA38D89" w14:textId="77777777" w:rsidR="00D062DC" w:rsidRPr="00176D3F" w:rsidRDefault="00D062DC" w:rsidP="006C117F">
            <w:pPr>
              <w:pStyle w:val="FigureTitle"/>
            </w:pPr>
            <w:r w:rsidRPr="00944790">
              <w:rPr>
                <w:b w:val="0"/>
              </w:rPr>
              <w:t>Figure 5.1</w:t>
            </w:r>
            <w:r w:rsidRPr="00AF098D">
              <w:tab/>
            </w:r>
            <w:r>
              <w:t>Private insurance is increasingly funding public hospitals</w:t>
            </w:r>
            <w:r w:rsidRPr="00287597">
              <w:rPr>
                <w:rStyle w:val="NoteLabel"/>
              </w:rPr>
              <w:t>a</w:t>
            </w:r>
            <w:r>
              <w:t xml:space="preserve"> </w:t>
            </w:r>
          </w:p>
        </w:tc>
      </w:tr>
      <w:tr w:rsidR="00D062DC" w14:paraId="1EA38D92" w14:textId="77777777" w:rsidTr="006C117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397"/>
              <w:gridCol w:w="4392"/>
            </w:tblGrid>
            <w:tr w:rsidR="00D062DC" w:rsidRPr="00B1465D" w14:paraId="1EA38D8D" w14:textId="77777777" w:rsidTr="006C117F">
              <w:trPr>
                <w:trHeight w:val="150"/>
                <w:tblHeader/>
                <w:jc w:val="center"/>
              </w:trPr>
              <w:tc>
                <w:tcPr>
                  <w:tcW w:w="2596" w:type="pct"/>
                  <w:tcBorders>
                    <w:top w:val="nil"/>
                    <w:bottom w:val="nil"/>
                  </w:tcBorders>
                </w:tcPr>
                <w:p w14:paraId="1EA38D8B" w14:textId="77777777" w:rsidR="00D062DC" w:rsidRPr="00B1465D" w:rsidRDefault="00D062DC" w:rsidP="006C117F">
                  <w:pPr>
                    <w:pStyle w:val="Figure"/>
                    <w:spacing w:before="60" w:after="60"/>
                    <w:rPr>
                      <w:rFonts w:ascii="Arial" w:hAnsi="Arial" w:cs="Arial"/>
                      <w:sz w:val="18"/>
                      <w:szCs w:val="18"/>
                    </w:rPr>
                  </w:pPr>
                  <w:r>
                    <w:rPr>
                      <w:rFonts w:ascii="Arial" w:hAnsi="Arial" w:cs="Arial"/>
                      <w:sz w:val="18"/>
                      <w:szCs w:val="18"/>
                    </w:rPr>
                    <w:t>2008</w:t>
                  </w:r>
                  <w:r>
                    <w:rPr>
                      <w:rFonts w:ascii="Arial" w:hAnsi="Arial" w:cs="Arial"/>
                      <w:sz w:val="18"/>
                      <w:szCs w:val="18"/>
                    </w:rPr>
                    <w:noBreakHyphen/>
                    <w:t>09 to 2015</w:t>
                  </w:r>
                  <w:r>
                    <w:rPr>
                      <w:rFonts w:ascii="Arial" w:hAnsi="Arial" w:cs="Arial"/>
                      <w:sz w:val="18"/>
                      <w:szCs w:val="18"/>
                    </w:rPr>
                    <w:noBreakHyphen/>
                    <w:t>16</w:t>
                  </w:r>
                </w:p>
              </w:tc>
              <w:tc>
                <w:tcPr>
                  <w:tcW w:w="2404" w:type="pct"/>
                  <w:tcBorders>
                    <w:top w:val="nil"/>
                    <w:bottom w:val="nil"/>
                  </w:tcBorders>
                </w:tcPr>
                <w:p w14:paraId="1EA38D8C" w14:textId="77777777" w:rsidR="00D062DC" w:rsidRPr="00B1465D" w:rsidRDefault="00D062DC" w:rsidP="006C117F">
                  <w:pPr>
                    <w:pStyle w:val="Figure"/>
                    <w:spacing w:before="60" w:after="60"/>
                    <w:rPr>
                      <w:rFonts w:ascii="Arial" w:hAnsi="Arial" w:cs="Arial"/>
                      <w:sz w:val="18"/>
                      <w:szCs w:val="18"/>
                    </w:rPr>
                  </w:pPr>
                  <w:r>
                    <w:rPr>
                      <w:rFonts w:ascii="Arial" w:hAnsi="Arial" w:cs="Arial"/>
                      <w:sz w:val="18"/>
                      <w:szCs w:val="18"/>
                    </w:rPr>
                    <w:t>Share of patients in public hospitals that are funded by private insurance, 2015</w:t>
                  </w:r>
                  <w:r>
                    <w:rPr>
                      <w:rFonts w:ascii="Arial" w:hAnsi="Arial" w:cs="Arial"/>
                      <w:sz w:val="18"/>
                      <w:szCs w:val="18"/>
                    </w:rPr>
                    <w:noBreakHyphen/>
                    <w:t>16</w:t>
                  </w:r>
                </w:p>
              </w:tc>
            </w:tr>
            <w:tr w:rsidR="00D062DC" w:rsidRPr="00B1465D" w14:paraId="1EA38D90" w14:textId="77777777" w:rsidTr="006C117F">
              <w:tblPrEx>
                <w:tblCellMar>
                  <w:left w:w="108" w:type="dxa"/>
                  <w:right w:w="108" w:type="dxa"/>
                </w:tblCellMar>
              </w:tblPrEx>
              <w:trPr>
                <w:trHeight w:val="150"/>
                <w:tblHeader/>
                <w:jc w:val="center"/>
              </w:trPr>
              <w:tc>
                <w:tcPr>
                  <w:tcW w:w="2596" w:type="pct"/>
                  <w:tcBorders>
                    <w:top w:val="nil"/>
                    <w:bottom w:val="nil"/>
                  </w:tcBorders>
                </w:tcPr>
                <w:p w14:paraId="1EA38D8E" w14:textId="77777777" w:rsidR="00D062DC" w:rsidRPr="00B1465D" w:rsidRDefault="002122D0" w:rsidP="006C117F">
                  <w:pPr>
                    <w:pStyle w:val="Figure"/>
                    <w:spacing w:before="60" w:after="60"/>
                    <w:rPr>
                      <w:rFonts w:ascii="Arial" w:hAnsi="Arial" w:cs="Arial"/>
                      <w:sz w:val="18"/>
                      <w:szCs w:val="18"/>
                    </w:rPr>
                  </w:pPr>
                  <w:r>
                    <w:rPr>
                      <w:rFonts w:ascii="Arial" w:hAnsi="Arial" w:cs="Arial"/>
                      <w:noProof/>
                      <w:sz w:val="18"/>
                      <w:szCs w:val="18"/>
                    </w:rPr>
                    <w:drawing>
                      <wp:inline distT="0" distB="0" distL="0" distR="0" wp14:anchorId="1EA3964C" wp14:editId="334D69FB">
                        <wp:extent cx="2670175" cy="2341245"/>
                        <wp:effectExtent l="0" t="0" r="0" b="1905"/>
                        <wp:docPr id="25" name="Picture 25" descr="This figure is divided into two panels. The first panel shows that the growth of public hospital patients funded by private health insurance has been around ten per cent a year between 2008-09 and 2015-16. This growth has exceeded the growth in private hospital patients funded by private health insurance and the growth in publicly funded public hospital patients. The second panel shows the share of public hospital patients who are funded by private insurance across the states of Australia in 2015-16. The highest shares were in New South Wales (19.9 per cent) and Tasmania (17.6 per cent). The lowest was in the Northern Territory (2.5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70175" cy="2341245"/>
                                </a:xfrm>
                                <a:prstGeom prst="rect">
                                  <a:avLst/>
                                </a:prstGeom>
                                <a:noFill/>
                              </pic:spPr>
                            </pic:pic>
                          </a:graphicData>
                        </a:graphic>
                      </wp:inline>
                    </w:drawing>
                  </w:r>
                </w:p>
              </w:tc>
              <w:tc>
                <w:tcPr>
                  <w:tcW w:w="2404" w:type="pct"/>
                  <w:tcBorders>
                    <w:top w:val="nil"/>
                    <w:bottom w:val="nil"/>
                  </w:tcBorders>
                </w:tcPr>
                <w:p w14:paraId="1EA38D8F" w14:textId="77777777" w:rsidR="00D062DC" w:rsidRPr="00B1465D" w:rsidRDefault="002122D0" w:rsidP="006C117F">
                  <w:pPr>
                    <w:pStyle w:val="Figure"/>
                    <w:spacing w:before="60" w:after="60"/>
                    <w:rPr>
                      <w:rFonts w:ascii="Arial" w:hAnsi="Arial" w:cs="Arial"/>
                      <w:sz w:val="18"/>
                      <w:szCs w:val="18"/>
                    </w:rPr>
                  </w:pPr>
                  <w:r>
                    <w:rPr>
                      <w:rFonts w:ascii="Arial" w:hAnsi="Arial" w:cs="Arial"/>
                      <w:noProof/>
                      <w:sz w:val="18"/>
                      <w:szCs w:val="18"/>
                    </w:rPr>
                    <w:drawing>
                      <wp:inline distT="0" distB="0" distL="0" distR="0" wp14:anchorId="1EA3964E" wp14:editId="47DE36F1">
                        <wp:extent cx="2664460" cy="2341245"/>
                        <wp:effectExtent l="0" t="0" r="2540" b="1905"/>
                        <wp:docPr id="26" name="Picture 26" descr="This figure is divided into two panels. The first panel shows that the growth of public hospital patients funded by private health insurance has been around ten per cent a year between 2008-09 and 2015-16. This growth has exceeded the growth in private hospital patients funded by private health insurance and the growth in publicly funded public hospital patients. The second panel shows the share of public hospital patients who are funded by private insurance across the states of Australia in 2015-16. The highest shares were in New South Wales (19.9 per cent) and Tasmania (17.6 per cent). The lowest was in the Northern Territory (2.5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64460" cy="2341245"/>
                                </a:xfrm>
                                <a:prstGeom prst="rect">
                                  <a:avLst/>
                                </a:prstGeom>
                                <a:noFill/>
                              </pic:spPr>
                            </pic:pic>
                          </a:graphicData>
                        </a:graphic>
                      </wp:inline>
                    </w:drawing>
                  </w:r>
                </w:p>
              </w:tc>
            </w:tr>
          </w:tbl>
          <w:p w14:paraId="1EA38D91" w14:textId="77777777" w:rsidR="00D062DC" w:rsidRDefault="00D062DC" w:rsidP="006C117F">
            <w:pPr>
              <w:pStyle w:val="Figure"/>
            </w:pPr>
          </w:p>
        </w:tc>
      </w:tr>
      <w:tr w:rsidR="00D062DC" w:rsidRPr="00176D3F" w14:paraId="1EA38D94" w14:textId="77777777" w:rsidTr="006C117F">
        <w:tc>
          <w:tcPr>
            <w:tcW w:w="5000" w:type="pct"/>
            <w:tcBorders>
              <w:top w:val="nil"/>
              <w:left w:val="nil"/>
              <w:bottom w:val="nil"/>
              <w:right w:val="nil"/>
            </w:tcBorders>
            <w:shd w:val="clear" w:color="auto" w:fill="auto"/>
          </w:tcPr>
          <w:p w14:paraId="1EA38D93" w14:textId="77777777" w:rsidR="00D062DC" w:rsidRPr="00176D3F" w:rsidRDefault="00D062DC" w:rsidP="006C117F">
            <w:pPr>
              <w:pStyle w:val="Note"/>
            </w:pPr>
            <w:r>
              <w:rPr>
                <w:rStyle w:val="NoteLabel"/>
              </w:rPr>
              <w:t>a</w:t>
            </w:r>
            <w:r>
              <w:t xml:space="preserve"> PHI is a hospital admission funded by private health insurance.</w:t>
            </w:r>
          </w:p>
        </w:tc>
      </w:tr>
      <w:tr w:rsidR="00D062DC" w:rsidRPr="00176D3F" w14:paraId="1EA38D96" w14:textId="77777777" w:rsidTr="006C117F">
        <w:tc>
          <w:tcPr>
            <w:tcW w:w="5000" w:type="pct"/>
            <w:tcBorders>
              <w:top w:val="nil"/>
              <w:left w:val="nil"/>
              <w:bottom w:val="nil"/>
              <w:right w:val="nil"/>
            </w:tcBorders>
            <w:shd w:val="clear" w:color="auto" w:fill="auto"/>
          </w:tcPr>
          <w:p w14:paraId="1EA38D95" w14:textId="77777777" w:rsidR="00D062DC" w:rsidRPr="00176D3F" w:rsidRDefault="00D062DC" w:rsidP="006C117F">
            <w:pPr>
              <w:pStyle w:val="Source"/>
            </w:pPr>
            <w:r>
              <w:rPr>
                <w:i/>
              </w:rPr>
              <w:t>S</w:t>
            </w:r>
            <w:r w:rsidRPr="00784A05">
              <w:rPr>
                <w:i/>
              </w:rPr>
              <w:t>ource</w:t>
            </w:r>
            <w:r>
              <w:rPr>
                <w:i/>
              </w:rPr>
              <w:t>s</w:t>
            </w:r>
            <w:r w:rsidRPr="00176D3F">
              <w:t xml:space="preserve">: </w:t>
            </w:r>
            <w:r>
              <w:t>AIHW 2017, Admitted patient care 2015</w:t>
            </w:r>
            <w:r>
              <w:noBreakHyphen/>
              <w:t>16: Australian hospital statistics, Health services series no. 75, Cat. no. HSE 185, Canberra; AIHW 2013, Australian hospital statistics 2011</w:t>
            </w:r>
            <w:r>
              <w:noBreakHyphen/>
              <w:t>12, Health services series no. 50, Cat. no. HSE 134. Canberra.</w:t>
            </w:r>
          </w:p>
        </w:tc>
      </w:tr>
      <w:tr w:rsidR="00D062DC" w14:paraId="1EA38D98" w14:textId="77777777" w:rsidTr="006C117F">
        <w:tc>
          <w:tcPr>
            <w:tcW w:w="5000" w:type="pct"/>
            <w:tcBorders>
              <w:top w:val="nil"/>
              <w:left w:val="nil"/>
              <w:bottom w:val="single" w:sz="6" w:space="0" w:color="78A22F"/>
              <w:right w:val="nil"/>
            </w:tcBorders>
            <w:shd w:val="clear" w:color="auto" w:fill="auto"/>
          </w:tcPr>
          <w:p w14:paraId="1EA38D97" w14:textId="77777777" w:rsidR="00D062DC" w:rsidRDefault="00D062DC" w:rsidP="006C117F">
            <w:pPr>
              <w:pStyle w:val="Figurespace"/>
            </w:pPr>
          </w:p>
        </w:tc>
      </w:tr>
      <w:tr w:rsidR="00D062DC" w:rsidRPr="000863A5" w14:paraId="1EA38D9A" w14:textId="77777777" w:rsidTr="006C117F">
        <w:tc>
          <w:tcPr>
            <w:tcW w:w="5000" w:type="pct"/>
            <w:tcBorders>
              <w:top w:val="single" w:sz="6" w:space="0" w:color="78A22F"/>
              <w:left w:val="nil"/>
              <w:bottom w:val="nil"/>
              <w:right w:val="nil"/>
            </w:tcBorders>
          </w:tcPr>
          <w:p w14:paraId="1EA38D99" w14:textId="77777777" w:rsidR="00D062DC" w:rsidRPr="00626D32" w:rsidRDefault="00D062DC" w:rsidP="006C117F">
            <w:pPr>
              <w:pStyle w:val="BoxSpaceBelow"/>
            </w:pPr>
          </w:p>
        </w:tc>
      </w:tr>
    </w:tbl>
    <w:p w14:paraId="1EA38D9E" w14:textId="77777777" w:rsidR="00293260" w:rsidRDefault="00891FAE" w:rsidP="0041281B">
      <w:pPr>
        <w:pStyle w:val="BodyText"/>
      </w:pPr>
      <w:r>
        <w:t>Some argue that single rooms produce better clinical outcomes (such as lower infection rates), which would justify the investments. However, those clinical benefits have been disputed in several evidence reviews</w:t>
      </w:r>
      <w:r w:rsidR="008226BB">
        <w:t>. E</w:t>
      </w:r>
      <w:r>
        <w:t xml:space="preserve">ven if, on balance, </w:t>
      </w:r>
      <w:r w:rsidR="008226BB">
        <w:t xml:space="preserve">these benefits were </w:t>
      </w:r>
      <w:r>
        <w:t xml:space="preserve">accepted, </w:t>
      </w:r>
      <w:r w:rsidR="008226BB">
        <w:t xml:space="preserve">this </w:t>
      </w:r>
      <w:r>
        <w:t>would not justify privileged access to privately</w:t>
      </w:r>
      <w:r>
        <w:noBreakHyphen/>
        <w:t>insured patients.</w:t>
      </w:r>
      <w:r w:rsidRPr="003D243B">
        <w:rPr>
          <w:rStyle w:val="FootnoteReference"/>
        </w:rPr>
        <w:footnoteReference w:id="25"/>
      </w:r>
      <w:r>
        <w:t xml:space="preserve"> The key point is that a</w:t>
      </w:r>
      <w:r w:rsidR="00293260">
        <w:t xml:space="preserve"> genuinely integrated public system allocates resources to the parts that generate the best health outcomes. Some have certainly called for a more collaborative approach between the public and private sectors for health care infrastructure investment </w:t>
      </w:r>
      <w:r w:rsidR="00C65A42" w:rsidRPr="00C65A42">
        <w:rPr>
          <w:szCs w:val="24"/>
        </w:rPr>
        <w:t>(Infrastructure NSW 2014)</w:t>
      </w:r>
      <w:r w:rsidR="00293260">
        <w:t>, though achieving that would require aligned incentives.</w:t>
      </w:r>
    </w:p>
    <w:p w14:paraId="1EA38D9F" w14:textId="77777777" w:rsidR="00293260" w:rsidRDefault="00293260" w:rsidP="0041281B">
      <w:pPr>
        <w:pStyle w:val="BodyText"/>
      </w:pPr>
      <w:r>
        <w:t>If the growth rate of private health insurance funding of public hospitals continues at its current rate, then it will place significant pressures on premiums. The demand effects that this induces may act as a threat to the longer</w:t>
      </w:r>
      <w:r>
        <w:noBreakHyphen/>
        <w:t>run sustainability of private health insurance. By diverting demand to the public system, this would require either rationing in the public system or additional taxpayer revenue to fund it. The desirability of that outcome depends on debates about the role of private insurance as a limb to a universal system and the degree to which private health insurance efficiently relieves the public health care system of costs (noting that the Australian Government commits large amounts of funding to support private health insurance). These are subjects beyond the scope of this inquiry, and in any case, involve some value</w:t>
      </w:r>
      <w:r>
        <w:noBreakHyphen/>
        <w:t>based issues that are inherently political in nature.</w:t>
      </w:r>
    </w:p>
    <w:p w14:paraId="1EA38DA1" w14:textId="72978704" w:rsidR="00285C87" w:rsidRDefault="00293260" w:rsidP="00293260">
      <w:pPr>
        <w:pStyle w:val="BodyText"/>
      </w:pPr>
      <w:r>
        <w:t xml:space="preserve">As most patients who elect private insurance cover for their hospital stay do so after an unplanned admission through the emergency department </w:t>
      </w:r>
      <w:r w:rsidR="00D40ECB" w:rsidRPr="00D40ECB">
        <w:rPr>
          <w:szCs w:val="24"/>
        </w:rPr>
        <w:t>(AIHW 2017a, p. 69)</w:t>
      </w:r>
      <w:r>
        <w:t>, it is unlikely that they receive clinical treatment that is different from people without insurance status, though they may get a private room. This does not apply to elective surgery, where waiting times are less for people who are privately insured than publicly</w:t>
      </w:r>
      <w:r>
        <w:noBreakHyphen/>
        <w:t xml:space="preserve">funded patients </w:t>
      </w:r>
      <w:r w:rsidR="00D40ECB" w:rsidRPr="00D40ECB">
        <w:rPr>
          <w:szCs w:val="24"/>
        </w:rPr>
        <w:t>(AIHW 2017a, p. 202)</w:t>
      </w:r>
      <w:r>
        <w:t xml:space="preserve">. It has been claimed that in NSW, public hospitals have placed pressure on doctors to admit private patients ‘promising them immediate access to the hospital in preference to public patients’ </w:t>
      </w:r>
      <w:r w:rsidR="00C65A42" w:rsidRPr="00C65A42">
        <w:rPr>
          <w:szCs w:val="24"/>
        </w:rPr>
        <w:t>(King 2013, p. 3)</w:t>
      </w:r>
      <w:r>
        <w:t>. On face value, this appears at odds with an integrated system, which would ideally admit people into the public system using clinical and cost</w:t>
      </w:r>
      <w:r>
        <w:noBreakHyphen/>
        <w:t xml:space="preserve">effectiveness criteria as the basis for queuing. </w:t>
      </w:r>
    </w:p>
    <w:p w14:paraId="1EA38DA2" w14:textId="77777777" w:rsidR="00293260" w:rsidRDefault="00293260" w:rsidP="00293260">
      <w:pPr>
        <w:pStyle w:val="BodyText"/>
      </w:pPr>
      <w:r>
        <w:t>However, the issue is less clear</w:t>
      </w:r>
      <w:r>
        <w:noBreakHyphen/>
        <w:t xml:space="preserve">cut than this. Most elective surgery for privately insured patients is undertaken in private hospitals — and that too confers an advantage in reduced waiting times. Removing the scope to ‘jump the queue’ in public hospitals would most likely divert private patients to an expanded private hospital system. Absent new injections of public funding into public hospitals to replace the lost private funding, public hospitals may not be able to reduce waiting times by as much as might be thought, especially if the bottleneck is the availability of specialists. The intrinsic problem is that the ideal of ‘treatment according to clinical need’ is in tension with the requirement by members that private health insurance offer something in excess of that supplied at no cost by the public system. </w:t>
      </w:r>
    </w:p>
    <w:p w14:paraId="1EA38DA3" w14:textId="77777777" w:rsidR="00293260" w:rsidRDefault="00293260" w:rsidP="00293260">
      <w:pPr>
        <w:pStyle w:val="BodyText"/>
      </w:pPr>
      <w:r>
        <w:t xml:space="preserve">Arguably, the biggest problems associated with the existing model of private health insurance and Medicare is that it brings additional complexity to the already messy system that arises from the mixture of responsibilities and funding of state and territory governments and the Australian Government. Changes to government funding and governance arrangements to provide more incentives for integrated care will need to avoid a circumstance in which this mess gets worse. If nothing else, private insurers have demonstrated a capacity to provide novel </w:t>
      </w:r>
      <w:r w:rsidR="009D44FA">
        <w:t>preventative</w:t>
      </w:r>
      <w:r>
        <w:t xml:space="preserve"> care and integrated services</w:t>
      </w:r>
      <w:r w:rsidR="002C39EF">
        <w:t xml:space="preserve">. </w:t>
      </w:r>
      <w:r w:rsidR="00F71900">
        <w:t>G</w:t>
      </w:r>
      <w:r w:rsidR="001E4F7D">
        <w:t xml:space="preserve">overnments </w:t>
      </w:r>
      <w:r w:rsidR="00F71900">
        <w:t>sh</w:t>
      </w:r>
      <w:r w:rsidR="001E4F7D">
        <w:t>ould collaborate with insu</w:t>
      </w:r>
      <w:r w:rsidR="00F71900">
        <w:t>r</w:t>
      </w:r>
      <w:r w:rsidR="001E4F7D">
        <w:t>ers or where sensible, fund them to provide services</w:t>
      </w:r>
      <w:r w:rsidR="00F71900">
        <w:t xml:space="preserve"> to public patients</w:t>
      </w:r>
      <w:r w:rsidR="001E4F7D">
        <w:t xml:space="preserve">. </w:t>
      </w:r>
      <w:r w:rsidR="00F71900">
        <w:t>The integrated care pilot (</w:t>
      </w:r>
      <w:r w:rsidR="00F71900" w:rsidRPr="00F71900">
        <w:rPr>
          <w:i/>
        </w:rPr>
        <w:t>CarePoint</w:t>
      </w:r>
      <w:r w:rsidR="00F71900">
        <w:t xml:space="preserve">) involving Medibank Private and the Victorian Department of Health and Human Services is an example (appendix A). </w:t>
      </w:r>
    </w:p>
    <w:p w14:paraId="1EA38DA4" w14:textId="77777777" w:rsidR="00293260" w:rsidRDefault="00293260" w:rsidP="00293260">
      <w:pPr>
        <w:pStyle w:val="BodyText"/>
      </w:pPr>
      <w:r>
        <w:t>Moreover, there are opportunities to break the current nexus between ownership of hospitals and the funding source for patients. Currently, non</w:t>
      </w:r>
      <w:r>
        <w:noBreakHyphen/>
        <w:t>public hospitals primarily supply services to privately insured patients, while public hospitals largely serve publicly</w:t>
      </w:r>
      <w:r>
        <w:noBreakHyphen/>
        <w:t>insured patients (figure </w:t>
      </w:r>
      <w:r w:rsidR="0032784F">
        <w:t>5.2</w:t>
      </w:r>
      <w:r>
        <w:t>). That nexus is arbitrary and can forgo opportunities for maximising spare capacity across the supply system and gains from specialisation. A recent study of NSW hospitals found that greater commissioning of public in</w:t>
      </w:r>
      <w:r>
        <w:noBreakHyphen/>
        <w:t xml:space="preserve">patient rehabilitation bed days in private hospitals would significantly relieve elective surgery waiting times for public patients </w:t>
      </w:r>
      <w:r w:rsidR="00C65A42" w:rsidRPr="00C65A42">
        <w:rPr>
          <w:szCs w:val="24"/>
        </w:rPr>
        <w:t>(Saunders and Carter 2016)</w:t>
      </w:r>
      <w:r>
        <w:t>. Even if it cannot ignore different funding streams, integrated care can ignore ownership. That is already evident with GP services, which are largely privately</w:t>
      </w:r>
      <w:r>
        <w:noBreakHyphen/>
        <w:t xml:space="preserve">provided, </w:t>
      </w:r>
      <w:r w:rsidR="00EC5A81">
        <w:t>though largely publicly</w:t>
      </w:r>
      <w:r w:rsidR="00EC5A81">
        <w:noBreakHyphen/>
        <w:t>funded. In making this observation, we are not saying that private provision is preferred. The key message is not to put the cart before the horse, whether that cart be ownership, funding source, technology, primary or acute care</w:t>
      </w:r>
      <w:r w:rsidR="00BA290E">
        <w:t>,</w:t>
      </w:r>
      <w:r w:rsidR="00EC5A81">
        <w:t xml:space="preserve"> and so on. Rather, </w:t>
      </w:r>
      <w:r w:rsidR="00EC5A81" w:rsidRPr="00EC5A81">
        <w:rPr>
          <w:i/>
        </w:rPr>
        <w:t>always concentrate on the best outcomes for people</w:t>
      </w:r>
      <w:r w:rsidR="00BA290E">
        <w:t xml:space="preserve">, </w:t>
      </w:r>
      <w:r w:rsidR="00EC5A81">
        <w:t xml:space="preserve">subject to any budget constraints. </w:t>
      </w:r>
    </w:p>
    <w:p w14:paraId="1EA38DA9" w14:textId="77777777" w:rsidR="00524B8D" w:rsidRDefault="00524B8D" w:rsidP="00524B8D">
      <w:pPr>
        <w:pStyle w:val="BoxSpaceAbove"/>
      </w:pPr>
    </w:p>
    <w:tbl>
      <w:tblPr>
        <w:tblW w:w="5000" w:type="pct"/>
        <w:tblBorders>
          <w:top w:val="single" w:sz="6" w:space="0" w:color="78A22F"/>
          <w:bottom w:val="single" w:sz="4" w:space="0" w:color="78A22F" w:themeColor="accent1"/>
        </w:tblBorders>
        <w:tblCellMar>
          <w:left w:w="142" w:type="dxa"/>
          <w:right w:w="142" w:type="dxa"/>
        </w:tblCellMar>
        <w:tblLook w:val="0000" w:firstRow="0" w:lastRow="0" w:firstColumn="0" w:lastColumn="0" w:noHBand="0" w:noVBand="0"/>
        <w:tblDescription w:val="Table used for design layout."/>
      </w:tblPr>
      <w:tblGrid>
        <w:gridCol w:w="9073"/>
      </w:tblGrid>
      <w:tr w:rsidR="00524B8D" w14:paraId="1EA38DAB" w14:textId="77777777" w:rsidTr="00D44485">
        <w:trPr>
          <w:tblHeader/>
        </w:trPr>
        <w:tc>
          <w:tcPr>
            <w:tcW w:w="5000" w:type="pct"/>
            <w:shd w:val="clear" w:color="auto" w:fill="auto"/>
          </w:tcPr>
          <w:p w14:paraId="1EA38DAA" w14:textId="77777777" w:rsidR="00524B8D" w:rsidRPr="00176D3F" w:rsidRDefault="00524B8D" w:rsidP="007131E0">
            <w:pPr>
              <w:pStyle w:val="FigureTitle"/>
            </w:pPr>
            <w:r w:rsidRPr="00944790">
              <w:rPr>
                <w:b w:val="0"/>
              </w:rPr>
              <w:t xml:space="preserve">Figure </w:t>
            </w:r>
            <w:r w:rsidR="007131E0" w:rsidRPr="00944790">
              <w:rPr>
                <w:b w:val="0"/>
              </w:rPr>
              <w:t>5</w:t>
            </w:r>
            <w:r w:rsidR="005F1867" w:rsidRPr="00944790">
              <w:rPr>
                <w:b w:val="0"/>
              </w:rPr>
              <w:t>.2</w:t>
            </w:r>
            <w:r>
              <w:tab/>
              <w:t>Funding source and ownership of services are closely related</w:t>
            </w:r>
            <w:r w:rsidRPr="00150E84">
              <w:rPr>
                <w:rStyle w:val="NoteLabel"/>
              </w:rPr>
              <w:t>a</w:t>
            </w:r>
          </w:p>
        </w:tc>
      </w:tr>
      <w:tr w:rsidR="00524B8D" w14:paraId="1EA38DB0" w14:textId="77777777" w:rsidTr="00D44485">
        <w:tc>
          <w:tcPr>
            <w:tcW w:w="5000" w:type="pct"/>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524B8D" w:rsidRPr="00B1465D" w14:paraId="1EA38DAE" w14:textId="77777777" w:rsidTr="00D2312A">
              <w:trPr>
                <w:tblHeader/>
                <w:jc w:val="center"/>
              </w:trPr>
              <w:tc>
                <w:tcPr>
                  <w:tcW w:w="2500" w:type="pct"/>
                  <w:tcBorders>
                    <w:top w:val="nil"/>
                    <w:bottom w:val="nil"/>
                  </w:tcBorders>
                </w:tcPr>
                <w:p w14:paraId="1EA38DAC" w14:textId="77777777" w:rsidR="00524B8D" w:rsidRPr="00B1465D" w:rsidRDefault="00524B8D" w:rsidP="00D2312A">
                  <w:pPr>
                    <w:pStyle w:val="Figure"/>
                    <w:spacing w:before="60" w:after="60"/>
                    <w:rPr>
                      <w:rFonts w:ascii="Arial" w:hAnsi="Arial" w:cs="Arial"/>
                      <w:sz w:val="18"/>
                      <w:szCs w:val="18"/>
                    </w:rPr>
                  </w:pPr>
                  <w:r>
                    <w:rPr>
                      <w:rFonts w:ascii="Arial" w:hAnsi="Arial" w:cs="Arial"/>
                      <w:noProof/>
                      <w:sz w:val="18"/>
                      <w:szCs w:val="18"/>
                    </w:rPr>
                    <w:drawing>
                      <wp:inline distT="0" distB="0" distL="0" distR="0" wp14:anchorId="1EA39650" wp14:editId="54A6F82E">
                        <wp:extent cx="2670175" cy="2346960"/>
                        <wp:effectExtent l="0" t="0" r="0" b="0"/>
                        <wp:docPr id="3" name="Picture 3" descr="This figure is divided into two panels, each showing the source of hospital funding between 2007-08 and 2015-16. The first panel shows that public funding accounts for over 80 per cent of the funding of public hospitals. The second panel shows that private health insurance accounts for around 80 per cent of the funding of private hospi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70175" cy="2346960"/>
                                </a:xfrm>
                                <a:prstGeom prst="rect">
                                  <a:avLst/>
                                </a:prstGeom>
                                <a:noFill/>
                              </pic:spPr>
                            </pic:pic>
                          </a:graphicData>
                        </a:graphic>
                      </wp:inline>
                    </w:drawing>
                  </w:r>
                </w:p>
              </w:tc>
              <w:tc>
                <w:tcPr>
                  <w:tcW w:w="2500" w:type="pct"/>
                  <w:tcBorders>
                    <w:top w:val="nil"/>
                    <w:bottom w:val="nil"/>
                  </w:tcBorders>
                </w:tcPr>
                <w:p w14:paraId="1EA38DAD" w14:textId="77777777" w:rsidR="00524B8D" w:rsidRPr="00B1465D" w:rsidRDefault="00524B8D" w:rsidP="00D2312A">
                  <w:pPr>
                    <w:pStyle w:val="Figure"/>
                    <w:spacing w:before="60" w:after="60"/>
                    <w:rPr>
                      <w:rFonts w:ascii="Arial" w:hAnsi="Arial" w:cs="Arial"/>
                      <w:sz w:val="18"/>
                      <w:szCs w:val="18"/>
                    </w:rPr>
                  </w:pPr>
                  <w:r>
                    <w:rPr>
                      <w:rFonts w:ascii="Arial" w:hAnsi="Arial" w:cs="Arial"/>
                      <w:noProof/>
                      <w:sz w:val="18"/>
                      <w:szCs w:val="18"/>
                    </w:rPr>
                    <w:drawing>
                      <wp:inline distT="0" distB="0" distL="0" distR="0" wp14:anchorId="1EA39652" wp14:editId="7BD7F1DF">
                        <wp:extent cx="2670175" cy="2346960"/>
                        <wp:effectExtent l="0" t="0" r="0" b="0"/>
                        <wp:docPr id="6" name="Picture 6" descr="This figure is divided into two panels, each showing the source of hospital funding between 2007-08 and 2015-16. The first panel shows that public funding accounts for over 80 per cent of the funding of public hospitals. The second panel shows that private health insurance accounts for around 80 per cent of the funding of private hospi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0175" cy="2346960"/>
                                </a:xfrm>
                                <a:prstGeom prst="rect">
                                  <a:avLst/>
                                </a:prstGeom>
                                <a:noFill/>
                              </pic:spPr>
                            </pic:pic>
                          </a:graphicData>
                        </a:graphic>
                      </wp:inline>
                    </w:drawing>
                  </w:r>
                </w:p>
              </w:tc>
            </w:tr>
          </w:tbl>
          <w:p w14:paraId="1EA38DAF" w14:textId="77777777" w:rsidR="00524B8D" w:rsidRDefault="00524B8D" w:rsidP="00D2312A">
            <w:pPr>
              <w:pStyle w:val="Figure"/>
            </w:pPr>
          </w:p>
        </w:tc>
      </w:tr>
      <w:tr w:rsidR="00524B8D" w:rsidRPr="00176D3F" w14:paraId="1EA38DB2" w14:textId="77777777" w:rsidTr="00D44485">
        <w:tc>
          <w:tcPr>
            <w:tcW w:w="5000" w:type="pct"/>
            <w:shd w:val="clear" w:color="auto" w:fill="auto"/>
          </w:tcPr>
          <w:p w14:paraId="1EA38DB1" w14:textId="77777777" w:rsidR="00524B8D" w:rsidRPr="00176D3F" w:rsidRDefault="00524B8D" w:rsidP="00D2312A">
            <w:pPr>
              <w:pStyle w:val="Note"/>
            </w:pPr>
            <w:r>
              <w:rPr>
                <w:rStyle w:val="NoteLabel"/>
              </w:rPr>
              <w:t>a</w:t>
            </w:r>
            <w:r>
              <w:t xml:space="preserve"> </w:t>
            </w:r>
            <w:r w:rsidR="00156722">
              <w:t>‘</w:t>
            </w:r>
            <w:r w:rsidRPr="00726AC5">
              <w:t>PHI</w:t>
            </w:r>
            <w:r w:rsidR="00156722">
              <w:noBreakHyphen/>
              <w:t>funded’</w:t>
            </w:r>
            <w:r w:rsidRPr="00726AC5">
              <w:t xml:space="preserve"> is a hospital admission fun</w:t>
            </w:r>
            <w:r>
              <w:t>ded by private health insurance.</w:t>
            </w:r>
          </w:p>
        </w:tc>
      </w:tr>
      <w:tr w:rsidR="00524B8D" w:rsidRPr="00176D3F" w14:paraId="1EA38DB4" w14:textId="77777777" w:rsidTr="00D44485">
        <w:tc>
          <w:tcPr>
            <w:tcW w:w="5000" w:type="pct"/>
            <w:shd w:val="clear" w:color="auto" w:fill="auto"/>
          </w:tcPr>
          <w:p w14:paraId="1EA38DB3" w14:textId="1D44B7D3" w:rsidR="00524B8D" w:rsidRPr="00176D3F" w:rsidRDefault="00524B8D" w:rsidP="00D2312A">
            <w:pPr>
              <w:pStyle w:val="Source"/>
            </w:pPr>
            <w:r>
              <w:rPr>
                <w:i/>
              </w:rPr>
              <w:t>S</w:t>
            </w:r>
            <w:r w:rsidRPr="00784A05">
              <w:rPr>
                <w:i/>
              </w:rPr>
              <w:t>ource</w:t>
            </w:r>
            <w:r>
              <w:rPr>
                <w:i/>
              </w:rPr>
              <w:t>s</w:t>
            </w:r>
            <w:r w:rsidRPr="00176D3F">
              <w:t xml:space="preserve">: </w:t>
            </w:r>
            <w:r w:rsidRPr="00726AC5">
              <w:t xml:space="preserve">AIHW 2017, </w:t>
            </w:r>
            <w:r>
              <w:rPr>
                <w:i/>
              </w:rPr>
              <w:t>Admitted patient care 2015</w:t>
            </w:r>
            <w:r>
              <w:rPr>
                <w:i/>
              </w:rPr>
              <w:noBreakHyphen/>
            </w:r>
            <w:r w:rsidRPr="00726AC5">
              <w:rPr>
                <w:i/>
              </w:rPr>
              <w:t>16: Australian hospital statistics</w:t>
            </w:r>
            <w:r w:rsidRPr="00726AC5">
              <w:t>, Healt</w:t>
            </w:r>
            <w:r w:rsidR="001F2808">
              <w:t>h services series no. </w:t>
            </w:r>
            <w:r w:rsidRPr="00726AC5">
              <w:t xml:space="preserve">75, Cat. no. HSE 185, Canberra; AIHW 2013, </w:t>
            </w:r>
            <w:r w:rsidRPr="00726AC5">
              <w:rPr>
                <w:i/>
              </w:rPr>
              <w:t>Aust</w:t>
            </w:r>
            <w:r>
              <w:rPr>
                <w:i/>
              </w:rPr>
              <w:t>ralian hospital statistics 2011</w:t>
            </w:r>
            <w:r>
              <w:rPr>
                <w:i/>
              </w:rPr>
              <w:noBreakHyphen/>
            </w:r>
            <w:r w:rsidRPr="00726AC5">
              <w:rPr>
                <w:i/>
              </w:rPr>
              <w:t>12</w:t>
            </w:r>
            <w:r w:rsidR="001F2808">
              <w:t>, Health services series no. 50, Cat. no. </w:t>
            </w:r>
            <w:r w:rsidRPr="00726AC5">
              <w:t>HSE 134. Canberra.</w:t>
            </w:r>
          </w:p>
        </w:tc>
      </w:tr>
    </w:tbl>
    <w:p w14:paraId="155DC3E0" w14:textId="77777777" w:rsidR="001F2808" w:rsidRDefault="001F2808" w:rsidP="001F2808">
      <w:pPr>
        <w:pStyle w:val="BodyText"/>
      </w:pPr>
      <w:r>
        <w:t>Absent a coherent funding system aligned with integrated care in Australia, it is hard to envision anything other than partial and fragmented attempts to improve patient care and generate efficiencies — though these have merit. While not possible to implement quickly, there are several linked initiatives that will create much better incentives for integrated care. Chapters 4 and 6 set out these linked initiatives, whose basic thrust is:</w:t>
      </w:r>
    </w:p>
    <w:p w14:paraId="493029A3" w14:textId="77777777" w:rsidR="001F2808" w:rsidRDefault="001F2808" w:rsidP="001F2808">
      <w:pPr>
        <w:pStyle w:val="ListBullet"/>
      </w:pPr>
      <w:r>
        <w:t>subsidiarity — regions are the best organisers of hospitals and primary care (chapter 4)</w:t>
      </w:r>
    </w:p>
    <w:p w14:paraId="57BA3412" w14:textId="77777777" w:rsidR="001F2808" w:rsidRDefault="001F2808" w:rsidP="001F2808">
      <w:pPr>
        <w:pStyle w:val="ListBullet"/>
      </w:pPr>
      <w:r>
        <w:t>hospital funding should shift so that local hospital networks can fund activities that prevent hospitalisation (chapter 6)</w:t>
      </w:r>
    </w:p>
    <w:p w14:paraId="1D6C78EC" w14:textId="77777777" w:rsidR="001F2808" w:rsidRDefault="001F2808" w:rsidP="001F2808">
      <w:pPr>
        <w:pStyle w:val="ListBullet"/>
      </w:pPr>
      <w:r>
        <w:t>there should be hard</w:t>
      </w:r>
      <w:r>
        <w:noBreakHyphen/>
        <w:t>headed experimentation of targeted rewards for patients to change behaviours that generate costs for the health care system and themselves (chapter 8).</w:t>
      </w:r>
    </w:p>
    <w:p w14:paraId="1EA38DB6" w14:textId="77777777" w:rsidR="00EC5A81" w:rsidRPr="004E3B94" w:rsidRDefault="00EC5A81" w:rsidP="00EC5A81">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129"/>
      </w:tblGrid>
      <w:tr w:rsidR="00EC5A81" w:rsidRPr="00E31256" w14:paraId="1EA38DBE" w14:textId="77777777" w:rsidTr="00D44485">
        <w:trPr>
          <w:tblHeader/>
        </w:trPr>
        <w:tc>
          <w:tcPr>
            <w:tcW w:w="5000" w:type="pct"/>
            <w:tcBorders>
              <w:top w:val="single" w:sz="4" w:space="0" w:color="265A9A" w:themeColor="accent2"/>
              <w:left w:val="nil"/>
              <w:bottom w:val="nil"/>
              <w:right w:val="nil"/>
            </w:tcBorders>
            <w:shd w:val="clear" w:color="auto" w:fill="E1EBF5"/>
            <w:tcMar>
              <w:left w:w="170" w:type="dxa"/>
              <w:right w:w="170" w:type="dxa"/>
            </w:tcMar>
          </w:tcPr>
          <w:p w14:paraId="1EA38DB7" w14:textId="77777777" w:rsidR="00EC5A81" w:rsidRPr="00D44485" w:rsidRDefault="00EC5A81" w:rsidP="006C117F">
            <w:pPr>
              <w:pStyle w:val="RecTitle"/>
              <w:spacing w:before="120"/>
              <w:rPr>
                <w:noProof/>
              </w:rPr>
            </w:pPr>
            <w:r w:rsidRPr="00D44485">
              <w:t>conclusion 5.1</w:t>
            </w:r>
          </w:p>
          <w:p w14:paraId="1EA38DB8" w14:textId="77777777" w:rsidR="00EC5A81" w:rsidRPr="00D44485" w:rsidRDefault="00EC5A81" w:rsidP="006C117F">
            <w:pPr>
              <w:pStyle w:val="Rec"/>
              <w:keepNext/>
            </w:pPr>
            <w:r w:rsidRPr="00D44485">
              <w:t>While Australia’s health system has many positive attributes, there are significant limitations in its funding models and service structures, including</w:t>
            </w:r>
          </w:p>
          <w:p w14:paraId="1EA38DB9" w14:textId="77777777" w:rsidR="00EC5A81" w:rsidRPr="00D44485" w:rsidRDefault="00EC5A81" w:rsidP="006C117F">
            <w:pPr>
              <w:pStyle w:val="Rec"/>
              <w:keepNext/>
              <w:numPr>
                <w:ilvl w:val="0"/>
                <w:numId w:val="29"/>
              </w:numPr>
              <w:spacing w:before="60" w:line="260" w:lineRule="atLeast"/>
              <w:ind w:left="397" w:hanging="357"/>
            </w:pPr>
            <w:r w:rsidRPr="00D44485">
              <w:t>the lack of incentives for parties to cooperate and efficiently provide integrated services:</w:t>
            </w:r>
          </w:p>
          <w:p w14:paraId="1EA38DBA" w14:textId="77777777" w:rsidR="00EC5A81" w:rsidRPr="00D44485" w:rsidRDefault="00EC5A81" w:rsidP="006C117F">
            <w:pPr>
              <w:pStyle w:val="Rec"/>
              <w:keepNext/>
              <w:numPr>
                <w:ilvl w:val="1"/>
                <w:numId w:val="30"/>
              </w:numPr>
              <w:spacing w:before="60" w:line="260" w:lineRule="atLeast"/>
              <w:ind w:left="681" w:hanging="357"/>
            </w:pPr>
            <w:r w:rsidRPr="00D44485">
              <w:t>across community health care centres (funded and managed by State and Territory Governments), general practice (funded and regulated by the Australian Government) and hospitals (managed by State and Territory Governments, and jointly funded by both levels of government)</w:t>
            </w:r>
          </w:p>
          <w:p w14:paraId="1EA38DBB" w14:textId="77777777" w:rsidR="00EC5A81" w:rsidRPr="00D44485" w:rsidRDefault="00EC5A81" w:rsidP="006C117F">
            <w:pPr>
              <w:pStyle w:val="Rec"/>
              <w:keepNext/>
              <w:numPr>
                <w:ilvl w:val="1"/>
                <w:numId w:val="30"/>
              </w:numPr>
              <w:spacing w:before="60" w:line="260" w:lineRule="atLeast"/>
              <w:ind w:left="681" w:hanging="357"/>
            </w:pPr>
            <w:r w:rsidRPr="00D44485">
              <w:t>between private insurers and public funders</w:t>
            </w:r>
          </w:p>
          <w:p w14:paraId="1EA38DBC" w14:textId="77777777" w:rsidR="00EC5A81" w:rsidRPr="00D44485" w:rsidRDefault="00EC5A81" w:rsidP="006C117F">
            <w:pPr>
              <w:pStyle w:val="Rec"/>
              <w:keepNext/>
              <w:numPr>
                <w:ilvl w:val="0"/>
                <w:numId w:val="29"/>
              </w:numPr>
              <w:spacing w:before="60" w:line="260" w:lineRule="atLeast"/>
              <w:ind w:left="397" w:hanging="357"/>
            </w:pPr>
            <w:r w:rsidRPr="00D44485">
              <w:t>the disincentives posed by risk equalisation for private insurers to prevent or manage costly conditions</w:t>
            </w:r>
          </w:p>
          <w:p w14:paraId="1EA38DBD" w14:textId="77777777" w:rsidR="00EC5A81" w:rsidRPr="00D44485" w:rsidRDefault="00EC5A81" w:rsidP="006C117F">
            <w:pPr>
              <w:pStyle w:val="Rec"/>
              <w:keepNext/>
              <w:numPr>
                <w:ilvl w:val="0"/>
                <w:numId w:val="29"/>
              </w:numPr>
              <w:spacing w:before="60" w:line="260" w:lineRule="atLeast"/>
              <w:ind w:left="397" w:hanging="357"/>
            </w:pPr>
            <w:r w:rsidRPr="00D44485">
              <w:t>the limits on using private hospitals as suppliers of services to publicly</w:t>
            </w:r>
            <w:r w:rsidRPr="00D44485">
              <w:noBreakHyphen/>
              <w:t xml:space="preserve">funded patients. </w:t>
            </w:r>
          </w:p>
        </w:tc>
      </w:tr>
      <w:tr w:rsidR="00EC5A81" w14:paraId="1EA38DC0" w14:textId="77777777" w:rsidTr="00D44485">
        <w:tc>
          <w:tcPr>
            <w:tcW w:w="5000" w:type="pct"/>
            <w:tcBorders>
              <w:top w:val="nil"/>
              <w:left w:val="nil"/>
              <w:bottom w:val="single" w:sz="4" w:space="0" w:color="265A9A" w:themeColor="accent2"/>
              <w:right w:val="nil"/>
            </w:tcBorders>
            <w:shd w:val="clear" w:color="auto" w:fill="E1EBF5"/>
            <w:tcMar>
              <w:left w:w="170" w:type="dxa"/>
              <w:right w:w="170" w:type="dxa"/>
            </w:tcMar>
          </w:tcPr>
          <w:p w14:paraId="1EA38DBF" w14:textId="77777777" w:rsidR="00EC5A81" w:rsidRPr="00D44485" w:rsidRDefault="00EC5A81" w:rsidP="00D44485">
            <w:pPr>
              <w:pStyle w:val="Space"/>
              <w:keepLines/>
            </w:pPr>
          </w:p>
        </w:tc>
      </w:tr>
      <w:tr w:rsidR="00EC5A81" w:rsidRPr="000863A5" w14:paraId="1EA38DC2" w14:textId="77777777" w:rsidTr="00D44485">
        <w:tc>
          <w:tcPr>
            <w:tcW w:w="5000" w:type="pct"/>
            <w:tcBorders>
              <w:top w:val="single" w:sz="4" w:space="0" w:color="265A9A" w:themeColor="accent2"/>
              <w:left w:val="nil"/>
              <w:bottom w:val="nil"/>
              <w:right w:val="nil"/>
            </w:tcBorders>
            <w:tcMar>
              <w:left w:w="170" w:type="dxa"/>
              <w:right w:w="170" w:type="dxa"/>
            </w:tcMar>
          </w:tcPr>
          <w:p w14:paraId="1EA38DC1" w14:textId="77777777" w:rsidR="00EC5A81" w:rsidRPr="00626D32" w:rsidRDefault="00EC5A81" w:rsidP="006C117F">
            <w:pPr>
              <w:pStyle w:val="BoxSpaceBelow"/>
              <w:keepLines/>
            </w:pPr>
          </w:p>
        </w:tc>
      </w:tr>
    </w:tbl>
    <w:p w14:paraId="1EA38DC3" w14:textId="77777777" w:rsidR="00E6063C" w:rsidRDefault="00E6063C" w:rsidP="004A3EB5">
      <w:pPr>
        <w:pStyle w:val="BodyText"/>
        <w:sectPr w:rsidR="00E6063C" w:rsidSect="00D41EC1">
          <w:headerReference w:type="even" r:id="rId34"/>
          <w:headerReference w:type="default" r:id="rId35"/>
          <w:footerReference w:type="even" r:id="rId36"/>
          <w:footerReference w:type="default" r:id="rId37"/>
          <w:type w:val="oddPage"/>
          <w:pgSz w:w="11907" w:h="16840" w:code="9"/>
          <w:pgMar w:top="1985" w:right="1304" w:bottom="1418" w:left="1814" w:header="1701" w:footer="397" w:gutter="0"/>
          <w:pgNumType w:chapSep="period"/>
          <w:cols w:space="720"/>
          <w:docGrid w:linePitch="326"/>
        </w:sectPr>
      </w:pPr>
    </w:p>
    <w:p w14:paraId="1EA38DC4" w14:textId="77777777" w:rsidR="004A3EB5" w:rsidRDefault="00830486" w:rsidP="004A3EB5">
      <w:pPr>
        <w:pStyle w:val="Heading1"/>
      </w:pPr>
      <w:bookmarkStart w:id="50" w:name="_Toc488929696"/>
      <w:bookmarkStart w:id="51" w:name="_Toc489250074"/>
      <w:bookmarkStart w:id="52" w:name="OLE_LINK1"/>
      <w:r>
        <w:t>6</w:t>
      </w:r>
      <w:r w:rsidR="004A3EB5">
        <w:tab/>
        <w:t>Show me the money — where from, to whom, and how allocated?</w:t>
      </w:r>
      <w:bookmarkEnd w:id="50"/>
      <w:bookmarkEnd w:id="51"/>
    </w:p>
    <w:p w14:paraId="1EA38DC5" w14:textId="77777777" w:rsidR="00DF6F7F" w:rsidRDefault="00830486" w:rsidP="004A3EB5">
      <w:pPr>
        <w:pStyle w:val="Heading2"/>
      </w:pPr>
      <w:bookmarkStart w:id="53" w:name="_Toc488929697"/>
      <w:bookmarkStart w:id="54" w:name="_Toc489250075"/>
      <w:bookmarkEnd w:id="52"/>
      <w:r>
        <w:t>6.1</w:t>
      </w:r>
      <w:r w:rsidR="004A3EB5">
        <w:tab/>
      </w:r>
      <w:r w:rsidR="00DF6F7F">
        <w:t>Changes to hospital funding</w:t>
      </w:r>
      <w:bookmarkEnd w:id="53"/>
      <w:bookmarkEnd w:id="54"/>
    </w:p>
    <w:p w14:paraId="1EA38DC6" w14:textId="77777777" w:rsidR="00DF6F7F" w:rsidRDefault="00DF6F7F" w:rsidP="00DF6F7F">
      <w:pPr>
        <w:pStyle w:val="BodyText"/>
      </w:pPr>
      <w:r>
        <w:t>Given the weaknesses identified in chapter </w:t>
      </w:r>
      <w:r w:rsidR="00ED05F4">
        <w:t>5</w:t>
      </w:r>
      <w:r>
        <w:t xml:space="preserve">, hospital funding needs to </w:t>
      </w:r>
      <w:r w:rsidR="004F541C">
        <w:t xml:space="preserve">create incentives to </w:t>
      </w:r>
      <w:r w:rsidR="00EF6F26">
        <w:t>cost</w:t>
      </w:r>
      <w:r w:rsidR="00EF6F26">
        <w:noBreakHyphen/>
        <w:t xml:space="preserve">effectively </w:t>
      </w:r>
      <w:r w:rsidR="004F541C">
        <w:t>avoid</w:t>
      </w:r>
      <w:r>
        <w:t xml:space="preserve"> hospitalisations</w:t>
      </w:r>
      <w:r w:rsidR="00EF6F26">
        <w:t xml:space="preserve"> through investments in public health and in community and primary care</w:t>
      </w:r>
      <w:r>
        <w:t>.</w:t>
      </w:r>
      <w:r w:rsidR="004F541C">
        <w:t xml:space="preserve"> </w:t>
      </w:r>
    </w:p>
    <w:p w14:paraId="1EA38DC7" w14:textId="77777777" w:rsidR="007720D5" w:rsidRPr="00EA2C1F" w:rsidRDefault="00817ED7" w:rsidP="005A3001">
      <w:pPr>
        <w:pStyle w:val="BodyText"/>
      </w:pPr>
      <w:r>
        <w:t>There are several options for reform</w:t>
      </w:r>
      <w:r w:rsidR="007720D5">
        <w:t>, all involving some common issues. It is therefore useful to start with the least complex</w:t>
      </w:r>
      <w:r w:rsidR="006E6038">
        <w:t xml:space="preserve"> because it exposes all the main issues</w:t>
      </w:r>
      <w:r w:rsidR="007720D5">
        <w:t>.</w:t>
      </w:r>
      <w:r w:rsidR="00446F3D">
        <w:t xml:space="preserve"> However, we would like to make one point emphatically: </w:t>
      </w:r>
      <w:r w:rsidR="00446F3D" w:rsidRPr="00446F3D">
        <w:rPr>
          <w:b/>
          <w:i/>
        </w:rPr>
        <w:t xml:space="preserve">Do not </w:t>
      </w:r>
      <w:r w:rsidR="00446F3D">
        <w:rPr>
          <w:b/>
          <w:i/>
        </w:rPr>
        <w:t>become mired in</w:t>
      </w:r>
      <w:r w:rsidR="00446F3D" w:rsidRPr="00446F3D">
        <w:rPr>
          <w:b/>
          <w:i/>
        </w:rPr>
        <w:t xml:space="preserve"> the specifics. If there are better ways of </w:t>
      </w:r>
      <w:r w:rsidR="00446F3D">
        <w:rPr>
          <w:b/>
          <w:i/>
        </w:rPr>
        <w:t>changing activity</w:t>
      </w:r>
      <w:r w:rsidR="00446F3D">
        <w:rPr>
          <w:b/>
          <w:i/>
        </w:rPr>
        <w:noBreakHyphen/>
        <w:t xml:space="preserve">based funding to give LHNs the incentives to </w:t>
      </w:r>
      <w:r w:rsidR="00446F3D" w:rsidRPr="00446F3D">
        <w:rPr>
          <w:b/>
          <w:i/>
        </w:rPr>
        <w:t>avoid hospitalisation</w:t>
      </w:r>
      <w:r w:rsidR="00446F3D">
        <w:rPr>
          <w:b/>
          <w:i/>
        </w:rPr>
        <w:t>s and hospital durations</w:t>
      </w:r>
      <w:r w:rsidR="00446F3D" w:rsidRPr="00446F3D">
        <w:rPr>
          <w:b/>
          <w:i/>
        </w:rPr>
        <w:t>, then impl</w:t>
      </w:r>
      <w:r w:rsidR="00446F3D">
        <w:rPr>
          <w:b/>
          <w:i/>
        </w:rPr>
        <w:t>e</w:t>
      </w:r>
      <w:r w:rsidR="00446F3D" w:rsidRPr="00446F3D">
        <w:rPr>
          <w:b/>
          <w:i/>
        </w:rPr>
        <w:t>ment those.</w:t>
      </w:r>
    </w:p>
    <w:p w14:paraId="1EA38DC8" w14:textId="77777777" w:rsidR="00B473CB" w:rsidRDefault="00B473CB" w:rsidP="00BE7C2C">
      <w:pPr>
        <w:pStyle w:val="Heading3"/>
      </w:pPr>
      <w:r>
        <w:t>A basic approach</w:t>
      </w:r>
    </w:p>
    <w:p w14:paraId="1EA38DC9" w14:textId="77777777" w:rsidR="00D42ED7" w:rsidRDefault="00086A30" w:rsidP="00D42ED7">
      <w:pPr>
        <w:pStyle w:val="BodyText"/>
      </w:pPr>
      <w:r>
        <w:t xml:space="preserve">The intention is that LHNs be able to make investments outside a hospital setting to reduce costly hospitalisations, with the overall outcome that </w:t>
      </w:r>
      <w:r w:rsidR="003D4C72">
        <w:t xml:space="preserve">hospital </w:t>
      </w:r>
      <w:r>
        <w:t>costs currently funded through ABF would fall</w:t>
      </w:r>
      <w:r w:rsidR="003D4C72">
        <w:t>, but with LHNs obtaining a share of the savings to motivate their initial investments.</w:t>
      </w:r>
      <w:r w:rsidR="00CB4FE0" w:rsidRPr="003D243B">
        <w:rPr>
          <w:rStyle w:val="FootnoteReference"/>
        </w:rPr>
        <w:footnoteReference w:id="26"/>
      </w:r>
    </w:p>
    <w:p w14:paraId="1EA38DCA" w14:textId="77777777" w:rsidR="00E210CA" w:rsidRDefault="00E210CA" w:rsidP="00E210CA">
      <w:pPr>
        <w:pStyle w:val="BodyText"/>
      </w:pPr>
      <w:r>
        <w:t>The concept that ABF could cover interventions outside a hospital setting is already well</w:t>
      </w:r>
      <w:r>
        <w:noBreakHyphen/>
        <w:t>understood. Currently ABF provides funding to some non</w:t>
      </w:r>
      <w:r>
        <w:noBreakHyphen/>
        <w:t>admitted services, including services that:</w:t>
      </w:r>
    </w:p>
    <w:p w14:paraId="1EA38DCB" w14:textId="77777777" w:rsidR="00E210CA" w:rsidRDefault="00E210CA" w:rsidP="00E210CA">
      <w:pPr>
        <w:pStyle w:val="Quote"/>
      </w:pPr>
      <w:r>
        <w:t xml:space="preserve">… intended to substitute directly for an inpatient admission or Emergency Department attendance; or expected to improve the health or better manage the symptoms of persons with physical or mental health conditions who have a history of frequent hospital attendance or admission. </w:t>
      </w:r>
      <w:r w:rsidRPr="001A017F">
        <w:rPr>
          <w:szCs w:val="24"/>
        </w:rPr>
        <w:t>(IHPA 2017, p. 12)</w:t>
      </w:r>
      <w:r>
        <w:t xml:space="preserve"> </w:t>
      </w:r>
    </w:p>
    <w:p w14:paraId="1EA38DCC" w14:textId="77777777" w:rsidR="00E210CA" w:rsidRDefault="00E210CA" w:rsidP="00E210CA">
      <w:pPr>
        <w:pStyle w:val="BodyText"/>
      </w:pPr>
      <w:r>
        <w:t>However, there are several constraints on the funding of non</w:t>
      </w:r>
      <w:r>
        <w:noBreakHyphen/>
        <w:t xml:space="preserve">admitted services under </w:t>
      </w:r>
      <w:r w:rsidR="00797A6C">
        <w:t xml:space="preserve">the current </w:t>
      </w:r>
      <w:r>
        <w:t>ABF</w:t>
      </w:r>
      <w:r w:rsidR="00797A6C">
        <w:t xml:space="preserve"> model</w:t>
      </w:r>
      <w:r>
        <w:t>:</w:t>
      </w:r>
    </w:p>
    <w:p w14:paraId="1EA38DCD" w14:textId="77777777" w:rsidR="00E210CA" w:rsidRDefault="00E210CA" w:rsidP="00E210CA">
      <w:pPr>
        <w:pStyle w:val="ListBullet"/>
      </w:pPr>
      <w:r>
        <w:t>the ‘interpretative guidelines’ for funding of such non</w:t>
      </w:r>
      <w:r>
        <w:noBreakHyphen/>
        <w:t xml:space="preserve">admitted services would rule out many innovative approaches to </w:t>
      </w:r>
      <w:r w:rsidR="009D44FA">
        <w:t>preventative</w:t>
      </w:r>
      <w:r>
        <w:t xml:space="preserve"> health care</w:t>
      </w:r>
    </w:p>
    <w:p w14:paraId="1EA38DCE" w14:textId="77777777" w:rsidR="00E210CA" w:rsidRDefault="00E210CA" w:rsidP="00E210CA">
      <w:pPr>
        <w:pStyle w:val="ListBullet"/>
      </w:pPr>
      <w:r>
        <w:t xml:space="preserve">given existing funding streams and methods, such services exclude general counselling and primary health care. From the perspective of an integrated care model, it would not be desirable to forego these levers for reducing acute care demands. </w:t>
      </w:r>
    </w:p>
    <w:p w14:paraId="1EA38DCF" w14:textId="77777777" w:rsidR="00E210CA" w:rsidRDefault="00E210CA" w:rsidP="00E210CA">
      <w:pPr>
        <w:pStyle w:val="BodyText"/>
      </w:pPr>
      <w:r>
        <w:t xml:space="preserve">As noted earlier, some state and territory jurisdictions have given LHNs temporary funding </w:t>
      </w:r>
      <w:r w:rsidR="00797A6C">
        <w:t xml:space="preserve">outside ABF </w:t>
      </w:r>
      <w:r>
        <w:t>for initiatives to better manage health in their regions with a key goal being savings in the acute care system. These have been useful for indicating the proof of concept, but their temporary nature makes it difficult for LHNs to implement long</w:t>
      </w:r>
      <w:r>
        <w:noBreakHyphen/>
        <w:t>run strategic approaches and to involve PHNs in enduring alliances. Accordingly, there needs to be a greater long</w:t>
      </w:r>
      <w:r>
        <w:noBreakHyphen/>
        <w:t xml:space="preserve">run commitment. Second, as a contributory funder to </w:t>
      </w:r>
      <w:r w:rsidR="00797A6C">
        <w:t>hospitals</w:t>
      </w:r>
      <w:r>
        <w:t>, the Commonwealth also has an incentive to reduce use of the acute care system, and so should also be a party to funding arrangements that achieve that.</w:t>
      </w:r>
    </w:p>
    <w:p w14:paraId="1EA38DD0" w14:textId="77777777" w:rsidR="007B2366" w:rsidRDefault="00224C63" w:rsidP="007B2366">
      <w:pPr>
        <w:pStyle w:val="BodyText"/>
      </w:pPr>
      <w:r>
        <w:t xml:space="preserve">The Commission does not propose a prescriptive model because all options will involve information and implementation issues that cannot be determined yet. </w:t>
      </w:r>
      <w:r w:rsidR="00EE722F">
        <w:t xml:space="preserve">One way of formalising </w:t>
      </w:r>
      <w:r w:rsidR="00797A6C">
        <w:t>a new</w:t>
      </w:r>
      <w:r w:rsidR="00EE722F">
        <w:t xml:space="preserve"> approach would be to establish </w:t>
      </w:r>
      <w:r w:rsidR="000967BD">
        <w:t xml:space="preserve">a </w:t>
      </w:r>
      <w:r w:rsidR="000967BD" w:rsidRPr="00326EB3">
        <w:t>Prevention and Chronic Condition Management Fund (PCCM</w:t>
      </w:r>
      <w:r w:rsidR="000967BD">
        <w:t>F</w:t>
      </w:r>
      <w:r w:rsidR="000967BD" w:rsidRPr="00326EB3">
        <w:t xml:space="preserve">) in each local health district. </w:t>
      </w:r>
      <w:r w:rsidR="000967BD">
        <w:t xml:space="preserve">The LHN in each district would decide how and where to spend </w:t>
      </w:r>
      <w:r w:rsidR="0066235E">
        <w:t>funds from the PCCMF (though often they would do so collaboratively with other local partners)</w:t>
      </w:r>
      <w:r w:rsidR="000967BD">
        <w:t>.</w:t>
      </w:r>
      <w:r w:rsidR="000967BD" w:rsidRPr="000967BD">
        <w:t xml:space="preserve"> </w:t>
      </w:r>
      <w:r w:rsidR="00A6080B">
        <w:t xml:space="preserve">There should be few restrictions on the types of investments made by LHNs. For instance, if </w:t>
      </w:r>
      <w:r w:rsidR="00EF6F26">
        <w:t>low</w:t>
      </w:r>
      <w:r w:rsidR="00EF6F26">
        <w:noBreakHyphen/>
        <w:t xml:space="preserve">cost </w:t>
      </w:r>
      <w:r w:rsidR="00A6080B">
        <w:t>community ini</w:t>
      </w:r>
      <w:r w:rsidR="0074469A">
        <w:t>ti</w:t>
      </w:r>
      <w:r w:rsidR="00A6080B">
        <w:t xml:space="preserve">atives to reduce </w:t>
      </w:r>
      <w:r w:rsidR="0074469A">
        <w:t>loneliness</w:t>
      </w:r>
      <w:r w:rsidR="00A6080B">
        <w:t xml:space="preserve"> </w:t>
      </w:r>
      <w:r w:rsidR="0074469A">
        <w:t xml:space="preserve">among </w:t>
      </w:r>
      <w:r w:rsidR="00A6080B">
        <w:t>older people reduced hospitalisations</w:t>
      </w:r>
      <w:r w:rsidR="00644629">
        <w:t>,</w:t>
      </w:r>
      <w:r w:rsidR="00A6080B">
        <w:t xml:space="preserve"> then this would be an attractive intervention.</w:t>
      </w:r>
      <w:r w:rsidR="00B225CF">
        <w:t xml:space="preserve"> </w:t>
      </w:r>
      <w:r w:rsidR="00244402">
        <w:t xml:space="preserve">Equally, so too might an alliance with PHNs that led to more effective management of people with incipient obesity, and thereby, at some later time, reduced rates of </w:t>
      </w:r>
      <w:r w:rsidR="00365170">
        <w:t>type </w:t>
      </w:r>
      <w:r w:rsidR="007511F6">
        <w:t>2</w:t>
      </w:r>
      <w:r w:rsidR="00365170">
        <w:t xml:space="preserve"> diabetes</w:t>
      </w:r>
      <w:r w:rsidR="00244402">
        <w:t>, and lower hospitalisation rates.</w:t>
      </w:r>
    </w:p>
    <w:p w14:paraId="1EA38DD1" w14:textId="77777777" w:rsidR="00B225CF" w:rsidRDefault="00224C63" w:rsidP="007B2366">
      <w:pPr>
        <w:pStyle w:val="BodyText"/>
      </w:pPr>
      <w:r>
        <w:t xml:space="preserve">Australian and State and Territory Governments would provide </w:t>
      </w:r>
      <w:r w:rsidR="00FF3655">
        <w:t xml:space="preserve">annual </w:t>
      </w:r>
      <w:r w:rsidR="00B225CF">
        <w:t xml:space="preserve">funding injections </w:t>
      </w:r>
      <w:r>
        <w:t xml:space="preserve">for each LHN’s PCCMF </w:t>
      </w:r>
      <w:r w:rsidR="00B225CF">
        <w:t>over a span of years (say five years)</w:t>
      </w:r>
      <w:r w:rsidR="00FF3655">
        <w:t>. This would be accompanied by a performance contract that outlined minimum expected savings from reduced acute care activities over the relevant period, but with no expectation that the gains be immediate</w:t>
      </w:r>
      <w:r w:rsidR="00B225CF">
        <w:t xml:space="preserve">. </w:t>
      </w:r>
      <w:r>
        <w:t>The returns from reduced activities would need to provide sufficient returns to recover governments’ investments, thus lowering overall future ABF.</w:t>
      </w:r>
    </w:p>
    <w:p w14:paraId="1EA38DD2" w14:textId="77777777" w:rsidR="00FF3655" w:rsidRDefault="00B225CF" w:rsidP="007B2366">
      <w:pPr>
        <w:pStyle w:val="BodyText"/>
      </w:pPr>
      <w:r>
        <w:t>The PCCMF would then be renewed</w:t>
      </w:r>
      <w:r w:rsidR="00FF3655">
        <w:t xml:space="preserve"> in subsequent periods</w:t>
      </w:r>
      <w:r>
        <w:t xml:space="preserve">, based on performance. </w:t>
      </w:r>
      <w:r w:rsidR="000F5CD1">
        <w:t xml:space="preserve">The Commonwealth and the relevant State or Territory Governments would be the ultimate shareholders in this venture. Any gains over the minimum </w:t>
      </w:r>
      <w:r w:rsidR="00FF3655">
        <w:t xml:space="preserve">returns in the performance agreement </w:t>
      </w:r>
      <w:r w:rsidR="000F5CD1">
        <w:t>would be kept by the LHN for future investments</w:t>
      </w:r>
      <w:r w:rsidR="00C73967">
        <w:t xml:space="preserve">. </w:t>
      </w:r>
    </w:p>
    <w:p w14:paraId="1EA38DD3" w14:textId="77777777" w:rsidR="00FF3655" w:rsidRDefault="00FF3655" w:rsidP="007B2366">
      <w:pPr>
        <w:pStyle w:val="BodyText"/>
      </w:pPr>
      <w:r>
        <w:t>From the perspective of</w:t>
      </w:r>
      <w:r w:rsidR="00797A6C">
        <w:t xml:space="preserve"> current ABF, </w:t>
      </w:r>
      <w:r>
        <w:t xml:space="preserve">the model is </w:t>
      </w:r>
      <w:r w:rsidR="00E74BED">
        <w:t>new, but not revolutionary</w:t>
      </w:r>
      <w:r>
        <w:t xml:space="preserve">. It would simply create a new compensable non-admitted hospital activity — </w:t>
      </w:r>
      <w:r w:rsidR="009D44FA">
        <w:t>preventative</w:t>
      </w:r>
      <w:r w:rsidR="00797A6C">
        <w:t xml:space="preserve"> care </w:t>
      </w:r>
      <w:r w:rsidR="00797A6C" w:rsidRPr="00326EB3">
        <w:t xml:space="preserve">and </w:t>
      </w:r>
      <w:r w:rsidR="00797A6C">
        <w:t>c</w:t>
      </w:r>
      <w:r w:rsidR="00797A6C" w:rsidRPr="00326EB3">
        <w:t xml:space="preserve">hronic </w:t>
      </w:r>
      <w:r w:rsidR="00797A6C">
        <w:t>c</w:t>
      </w:r>
      <w:r w:rsidR="00797A6C" w:rsidRPr="00326EB3">
        <w:t xml:space="preserve">ondition </w:t>
      </w:r>
      <w:r w:rsidR="00797A6C">
        <w:t>m</w:t>
      </w:r>
      <w:r>
        <w:t>anagement, accompanied by limits on</w:t>
      </w:r>
      <w:r w:rsidR="00797A6C">
        <w:t xml:space="preserve"> allowable expenditures</w:t>
      </w:r>
      <w:r>
        <w:t xml:space="preserve">, expectations about outcomes, and significant freedom by LHNs about how to manage the PCCMF. </w:t>
      </w:r>
    </w:p>
    <w:p w14:paraId="1EA38DD4" w14:textId="77777777" w:rsidR="000F5CD1" w:rsidRDefault="00B225CF" w:rsidP="007B2366">
      <w:pPr>
        <w:pStyle w:val="BodyText"/>
      </w:pPr>
      <w:r>
        <w:t>There are other variants</w:t>
      </w:r>
      <w:r w:rsidR="006F5835">
        <w:t xml:space="preserve"> of such a PCCMF — </w:t>
      </w:r>
      <w:r>
        <w:t xml:space="preserve">some of which were suggested to the </w:t>
      </w:r>
      <w:r w:rsidR="006F5835">
        <w:t xml:space="preserve">Commission in its consultations — </w:t>
      </w:r>
      <w:r>
        <w:t xml:space="preserve">but they all involve the creation of incentives for LHNs to cut avoidable activities. </w:t>
      </w:r>
    </w:p>
    <w:p w14:paraId="1EA38DD5" w14:textId="77777777" w:rsidR="00C454DF" w:rsidRDefault="00C454DF" w:rsidP="00872F39">
      <w:pPr>
        <w:pStyle w:val="BodyText"/>
      </w:pPr>
      <w:r w:rsidRPr="00C454DF">
        <w:t>Any method must also take into account that many PCCMF investments would yield savings in hospitalisation only after several years</w:t>
      </w:r>
      <w:r w:rsidR="00B225CF">
        <w:t xml:space="preserve"> (hence the suggested five year contract period above). </w:t>
      </w:r>
    </w:p>
    <w:p w14:paraId="1EA38DD6" w14:textId="77777777" w:rsidR="00EA43AF" w:rsidRDefault="00EA43AF" w:rsidP="00BE7C2C">
      <w:pPr>
        <w:pStyle w:val="Heading3"/>
      </w:pPr>
      <w:r>
        <w:t>Governance and accountability</w:t>
      </w:r>
    </w:p>
    <w:p w14:paraId="1EA38DD7" w14:textId="77777777" w:rsidR="00D81DF7" w:rsidRDefault="00D81DF7" w:rsidP="00D81DF7">
      <w:pPr>
        <w:pStyle w:val="BodyText"/>
      </w:pPr>
      <w:r>
        <w:t>The most likely avenue for success</w:t>
      </w:r>
      <w:r w:rsidR="00DF15D7">
        <w:t>ful initiatives</w:t>
      </w:r>
      <w:r>
        <w:t xml:space="preserve"> would be collaborative ventures </w:t>
      </w:r>
      <w:r w:rsidR="00DF15D7">
        <w:t>between LHNs, PHNs</w:t>
      </w:r>
      <w:r>
        <w:t xml:space="preserve"> and other regional parties that can generate and implement good ideas for effective health management</w:t>
      </w:r>
      <w:r w:rsidR="00DF15D7">
        <w:t xml:space="preserve"> at the regional level</w:t>
      </w:r>
      <w:r>
        <w:t xml:space="preserve">. LHNs could also cooperate with each other — as they saw fit — to undertake initiatives that spanned several regions. </w:t>
      </w:r>
    </w:p>
    <w:p w14:paraId="1EA38DD8" w14:textId="77777777" w:rsidR="008E598E" w:rsidRDefault="00DF15D7" w:rsidP="00D81DF7">
      <w:pPr>
        <w:pStyle w:val="BodyText"/>
      </w:pPr>
      <w:r>
        <w:t>O</w:t>
      </w:r>
      <w:r w:rsidR="003A4481">
        <w:t xml:space="preserve">nce </w:t>
      </w:r>
      <w:r w:rsidR="008E598E">
        <w:t>the concept of subsidiarity is accepted</w:t>
      </w:r>
      <w:r>
        <w:t xml:space="preserve"> (chapter</w:t>
      </w:r>
      <w:r w:rsidR="009C49CA">
        <w:t> </w:t>
      </w:r>
      <w:r w:rsidR="000E1CF8">
        <w:t>4</w:t>
      </w:r>
      <w:r>
        <w:t>)</w:t>
      </w:r>
      <w:r w:rsidR="008E598E">
        <w:t>, then</w:t>
      </w:r>
      <w:r w:rsidR="003A4481">
        <w:t xml:space="preserve"> </w:t>
      </w:r>
      <w:r w:rsidR="00D81DF7">
        <w:t xml:space="preserve">LHN’s boards </w:t>
      </w:r>
      <w:r w:rsidR="008E598E">
        <w:t>sh</w:t>
      </w:r>
      <w:r w:rsidR="00D81DF7">
        <w:t xml:space="preserve">ould be ultimately accountable for </w:t>
      </w:r>
      <w:r w:rsidR="008E598E">
        <w:t>the outcomes of their</w:t>
      </w:r>
      <w:r w:rsidR="00D81DF7">
        <w:t xml:space="preserve"> investment choices</w:t>
      </w:r>
      <w:r w:rsidR="00F40308">
        <w:t>, including against the KPIs specified in their service agreements</w:t>
      </w:r>
      <w:r w:rsidR="00D81DF7">
        <w:t xml:space="preserve">. </w:t>
      </w:r>
      <w:r w:rsidR="00C16FE6">
        <w:t>In some instances, t</w:t>
      </w:r>
      <w:r w:rsidR="008E598E">
        <w:t xml:space="preserve">here could be scope for LHNs to form joint ventures </w:t>
      </w:r>
      <w:r w:rsidR="0066235E">
        <w:t xml:space="preserve">or alliances </w:t>
      </w:r>
      <w:r w:rsidR="008E598E">
        <w:t xml:space="preserve">with various other parties for </w:t>
      </w:r>
      <w:r w:rsidR="00F8602B">
        <w:t>some</w:t>
      </w:r>
      <w:r w:rsidR="008E598E">
        <w:t xml:space="preserve"> projects</w:t>
      </w:r>
      <w:r>
        <w:t>. However, that s</w:t>
      </w:r>
      <w:r w:rsidR="00296F69">
        <w:t>h</w:t>
      </w:r>
      <w:r w:rsidR="008E598E">
        <w:t xml:space="preserve">ould still </w:t>
      </w:r>
      <w:r w:rsidR="00C16FE6">
        <w:t>preserve</w:t>
      </w:r>
      <w:r w:rsidR="008E598E">
        <w:t xml:space="preserve"> ultimate accountability of LHNs</w:t>
      </w:r>
      <w:r w:rsidR="00C16FE6" w:rsidRPr="00C16FE6">
        <w:t xml:space="preserve"> </w:t>
      </w:r>
      <w:r w:rsidR="00C16FE6">
        <w:t>for their performance across the full portfolio of their initiatives</w:t>
      </w:r>
      <w:r w:rsidR="008E598E">
        <w:t xml:space="preserve"> to their </w:t>
      </w:r>
      <w:r w:rsidR="00F8602B">
        <w:t>relevant State and T</w:t>
      </w:r>
      <w:r w:rsidR="008E598E">
        <w:t>erritory Governments.</w:t>
      </w:r>
    </w:p>
    <w:p w14:paraId="1EA38DD9" w14:textId="77777777" w:rsidR="00DF15D7" w:rsidRDefault="00365461" w:rsidP="00BE7C2C">
      <w:pPr>
        <w:pStyle w:val="Heading3"/>
      </w:pPr>
      <w:r>
        <w:t>How big should the PCCMF be</w:t>
      </w:r>
      <w:r w:rsidR="00DF15D7">
        <w:t>?</w:t>
      </w:r>
    </w:p>
    <w:p w14:paraId="1EA38DDA" w14:textId="77777777" w:rsidR="00365461" w:rsidRDefault="00296F69" w:rsidP="00365461">
      <w:pPr>
        <w:pStyle w:val="BodyText"/>
      </w:pPr>
      <w:r>
        <w:t xml:space="preserve">It is difficult to determine the desirable </w:t>
      </w:r>
      <w:r w:rsidR="005C4705">
        <w:t xml:space="preserve">size of each PCCMF but, given </w:t>
      </w:r>
      <w:r w:rsidR="00365461">
        <w:t>regional</w:t>
      </w:r>
      <w:r w:rsidR="005C4705">
        <w:t xml:space="preserve"> variability, a rule of thumb would be that the </w:t>
      </w:r>
      <w:r w:rsidR="00365461">
        <w:t xml:space="preserve">annual funding amounts would reflect the overall anticipated ABF in each region in each year, taking into account the factors that drive hospital use, such as </w:t>
      </w:r>
      <w:r w:rsidR="00365461" w:rsidRPr="00C454DF">
        <w:t>population growth and ageing.</w:t>
      </w:r>
    </w:p>
    <w:p w14:paraId="1EA38DDB" w14:textId="77777777" w:rsidR="00110C96" w:rsidRDefault="00110C96" w:rsidP="00BE7C2C">
      <w:pPr>
        <w:pStyle w:val="Heading4"/>
      </w:pPr>
      <w:r>
        <w:t xml:space="preserve">What </w:t>
      </w:r>
      <w:r w:rsidR="00874289">
        <w:t>sh</w:t>
      </w:r>
      <w:r>
        <w:t>ould be the desirable floor?</w:t>
      </w:r>
    </w:p>
    <w:p w14:paraId="1EA38DDC" w14:textId="77777777" w:rsidR="005F4550" w:rsidRDefault="00BC26B3" w:rsidP="00296F69">
      <w:pPr>
        <w:pStyle w:val="BodyText"/>
      </w:pPr>
      <w:r>
        <w:t xml:space="preserve">If an LHN is unable to identify a sufficient portfolio of profitable investments, then </w:t>
      </w:r>
      <w:r w:rsidR="00365461">
        <w:t xml:space="preserve">it could </w:t>
      </w:r>
      <w:r w:rsidR="006171A0">
        <w:t>simply decline</w:t>
      </w:r>
      <w:r w:rsidR="00365461">
        <w:t xml:space="preserve"> to enter any agreement with funders</w:t>
      </w:r>
      <w:r w:rsidR="00FF01BB">
        <w:t xml:space="preserve"> (although a failure to do so might suggest some problem in the capabilities of the LHN’s leadership). On the other hand, a requirement to have a minimum PCCMF pool would provide a</w:t>
      </w:r>
      <w:r w:rsidR="00110C96">
        <w:t>n</w:t>
      </w:r>
      <w:r w:rsidR="00FF01BB">
        <w:t xml:space="preserve"> incentive for an LHN to </w:t>
      </w:r>
      <w:r w:rsidR="00110C96">
        <w:t>search for</w:t>
      </w:r>
      <w:r w:rsidR="00FF01BB">
        <w:t xml:space="preserve"> profitable investments up </w:t>
      </w:r>
      <w:r w:rsidR="0015134E">
        <w:t xml:space="preserve">to </w:t>
      </w:r>
      <w:r w:rsidR="00FF01BB">
        <w:t>that pool size</w:t>
      </w:r>
      <w:r w:rsidR="00B872AB">
        <w:t xml:space="preserve"> — ‘necessity is the mother of invention’</w:t>
      </w:r>
      <w:r w:rsidR="006171A0">
        <w:t xml:space="preserve"> — albeit with risks for funders, the </w:t>
      </w:r>
      <w:r w:rsidR="00365461">
        <w:t>CEO</w:t>
      </w:r>
      <w:r w:rsidR="006171A0">
        <w:t xml:space="preserve"> and board </w:t>
      </w:r>
      <w:r w:rsidR="00365461">
        <w:t xml:space="preserve">if </w:t>
      </w:r>
      <w:r w:rsidR="006171A0">
        <w:t>it</w:t>
      </w:r>
      <w:r w:rsidR="00365461">
        <w:t xml:space="preserve"> fail</w:t>
      </w:r>
      <w:r w:rsidR="006171A0">
        <w:t>ed.</w:t>
      </w:r>
    </w:p>
    <w:p w14:paraId="1EA38DDD" w14:textId="77777777" w:rsidR="00B872AB" w:rsidRDefault="00110C96" w:rsidP="00296F69">
      <w:pPr>
        <w:pStyle w:val="BodyText"/>
      </w:pPr>
      <w:r>
        <w:t>Overall, t</w:t>
      </w:r>
      <w:r w:rsidR="00B872AB">
        <w:t xml:space="preserve">he Commission is </w:t>
      </w:r>
      <w:r>
        <w:t>un</w:t>
      </w:r>
      <w:r w:rsidR="00B872AB">
        <w:t xml:space="preserve">certain </w:t>
      </w:r>
      <w:r>
        <w:t>about</w:t>
      </w:r>
      <w:r w:rsidR="00B872AB">
        <w:t xml:space="preserve"> the desirability of a requirement for a minimum PCCMF pool size. </w:t>
      </w:r>
      <w:r>
        <w:t>This question</w:t>
      </w:r>
      <w:r w:rsidR="00B872AB">
        <w:t xml:space="preserve"> should be investigated </w:t>
      </w:r>
      <w:r>
        <w:t xml:space="preserve">as part of any implementation plan for changes to hospital funding, but if sufficient uncertainties remain, then governments should err on the side of simplicity — which would entail no floor. </w:t>
      </w:r>
    </w:p>
    <w:p w14:paraId="1EA38DDE" w14:textId="77777777" w:rsidR="00110C96" w:rsidRDefault="00110C96" w:rsidP="00BE7C2C">
      <w:pPr>
        <w:pStyle w:val="Heading4"/>
      </w:pPr>
      <w:r>
        <w:t>What would be the desirable ceiling?</w:t>
      </w:r>
    </w:p>
    <w:p w14:paraId="1EA38DDF" w14:textId="77777777" w:rsidR="002C72AF" w:rsidRDefault="006E0DE2" w:rsidP="000967BD">
      <w:pPr>
        <w:pStyle w:val="BodyText"/>
      </w:pPr>
      <w:r>
        <w:t>W</w:t>
      </w:r>
      <w:r w:rsidR="00296F69">
        <w:t>ere the PCCMF to comprise a significant share of the activity</w:t>
      </w:r>
      <w:r w:rsidR="00296F69">
        <w:noBreakHyphen/>
        <w:t xml:space="preserve">based funding </w:t>
      </w:r>
      <w:r w:rsidR="002C72AF">
        <w:t xml:space="preserve">payments pool, </w:t>
      </w:r>
      <w:r w:rsidR="00296F69">
        <w:t xml:space="preserve">and </w:t>
      </w:r>
      <w:r w:rsidR="002C72AF">
        <w:t>LHN</w:t>
      </w:r>
      <w:r w:rsidR="002C72AF">
        <w:noBreakHyphen/>
        <w:t xml:space="preserve">funded </w:t>
      </w:r>
      <w:r w:rsidR="00296F69">
        <w:t>initiatives did not yield lower hospitalisation rates, State and Territory Governments would most likely be obliged to intervene to supplement hospital funding</w:t>
      </w:r>
      <w:r w:rsidR="002C72AF">
        <w:t xml:space="preserve">. </w:t>
      </w:r>
      <w:r w:rsidR="00EA2C1F">
        <w:t>Clear accountability by LHN boards could never eliminate such risks. Any such required interventions</w:t>
      </w:r>
      <w:r w:rsidR="002C72AF">
        <w:t xml:space="preserve"> would have immediate adverse financial and political ramifications for government</w:t>
      </w:r>
      <w:r w:rsidR="00C16FE6">
        <w:t>s</w:t>
      </w:r>
      <w:r w:rsidR="002C72AF">
        <w:t>, but could also imperil the implementation of long</w:t>
      </w:r>
      <w:r w:rsidR="002C72AF">
        <w:noBreakHyphen/>
        <w:t xml:space="preserve">run innovations in health care funding and management. In government, </w:t>
      </w:r>
      <w:r w:rsidR="00F938CC">
        <w:t xml:space="preserve">there </w:t>
      </w:r>
      <w:r w:rsidR="002C58B1">
        <w:t>often can be</w:t>
      </w:r>
      <w:r w:rsidR="00F938CC">
        <w:t xml:space="preserve"> a temptation to </w:t>
      </w:r>
      <w:r w:rsidR="002C72AF">
        <w:t>centralise control follow</w:t>
      </w:r>
      <w:r w:rsidR="00F938CC">
        <w:t>ing</w:t>
      </w:r>
      <w:r w:rsidR="002C72AF">
        <w:t xml:space="preserve"> local mistakes</w:t>
      </w:r>
      <w:r w:rsidR="00F938CC">
        <w:t xml:space="preserve">, but Australia’s health system is </w:t>
      </w:r>
      <w:r w:rsidR="002C58B1">
        <w:t>already</w:t>
      </w:r>
      <w:r w:rsidR="00F938CC">
        <w:t xml:space="preserve"> too complex </w:t>
      </w:r>
      <w:r w:rsidR="002C58B1">
        <w:t>for a</w:t>
      </w:r>
      <w:r w:rsidR="00F938CC">
        <w:t xml:space="preserve"> centralised system</w:t>
      </w:r>
      <w:r w:rsidR="002C58B1">
        <w:t xml:space="preserve"> to be effective</w:t>
      </w:r>
      <w:r w:rsidR="00F938CC">
        <w:t> </w:t>
      </w:r>
      <w:r w:rsidR="00C65A42" w:rsidRPr="00C65A42">
        <w:rPr>
          <w:szCs w:val="24"/>
        </w:rPr>
        <w:t>(Ham and Timmins 2015)</w:t>
      </w:r>
      <w:r w:rsidR="002C72AF">
        <w:t>.</w:t>
      </w:r>
      <w:r w:rsidR="002C72AF" w:rsidRPr="002C72AF">
        <w:t xml:space="preserve"> </w:t>
      </w:r>
    </w:p>
    <w:p w14:paraId="1EA38DE0" w14:textId="77777777" w:rsidR="000967BD" w:rsidRDefault="000967BD" w:rsidP="000967BD">
      <w:pPr>
        <w:pStyle w:val="BodyText"/>
      </w:pPr>
      <w:r>
        <w:t>Given this, it would be prudent to comme</w:t>
      </w:r>
      <w:r w:rsidR="006171A0">
        <w:t>nce with relatively modest PCCMFs</w:t>
      </w:r>
      <w:r w:rsidR="00B22EE1">
        <w:t> </w:t>
      </w:r>
      <w:r>
        <w:t xml:space="preserve">— say </w:t>
      </w:r>
      <w:r w:rsidR="006171A0">
        <w:t xml:space="preserve">equivalent to </w:t>
      </w:r>
      <w:r>
        <w:t>two to three per cent</w:t>
      </w:r>
      <w:r w:rsidR="006171A0">
        <w:t xml:space="preserve"> of projected ABF</w:t>
      </w:r>
      <w:r>
        <w:t xml:space="preserve">. This may sound small, but to put it in </w:t>
      </w:r>
      <w:r w:rsidR="00693F86">
        <w:t>perspective</w:t>
      </w:r>
      <w:r>
        <w:t>, the activity</w:t>
      </w:r>
      <w:r>
        <w:noBreakHyphen/>
        <w:t xml:space="preserve">based funding payment pools are </w:t>
      </w:r>
      <w:r w:rsidR="006171A0">
        <w:t xml:space="preserve">often </w:t>
      </w:r>
      <w:r>
        <w:t>large. For example, the payments pool for the Western Sydney Local Health District is likely to be more than $1.1 billion for 2016</w:t>
      </w:r>
      <w:r>
        <w:noBreakHyphen/>
        <w:t xml:space="preserve">17, so that a 3 per cent allocation would be </w:t>
      </w:r>
      <w:r w:rsidR="00B8596F">
        <w:t xml:space="preserve">about </w:t>
      </w:r>
      <w:r>
        <w:t>$35 million in that year.</w:t>
      </w:r>
      <w:r w:rsidRPr="003D243B">
        <w:rPr>
          <w:rStyle w:val="FootnoteReference"/>
        </w:rPr>
        <w:footnoteReference w:id="27"/>
      </w:r>
      <w:r>
        <w:t xml:space="preserve"> </w:t>
      </w:r>
    </w:p>
    <w:p w14:paraId="1EA38DE1" w14:textId="77777777" w:rsidR="006E0DE2" w:rsidRDefault="006E0DE2" w:rsidP="000967BD">
      <w:pPr>
        <w:pStyle w:val="BodyText"/>
      </w:pPr>
      <w:r>
        <w:t xml:space="preserve">Over time, the ceilings could be amended based on the performance of LHNs. An LHN whose demonstrated capacity for innovative investment is constrained by </w:t>
      </w:r>
      <w:r w:rsidR="006171A0">
        <w:t>its</w:t>
      </w:r>
      <w:r>
        <w:t xml:space="preserve"> </w:t>
      </w:r>
      <w:r w:rsidR="006171A0">
        <w:t>contracted</w:t>
      </w:r>
      <w:r>
        <w:t xml:space="preserve"> </w:t>
      </w:r>
      <w:r w:rsidR="006171A0">
        <w:t>limit</w:t>
      </w:r>
      <w:r>
        <w:t xml:space="preserve"> on its PCCMF should have that </w:t>
      </w:r>
      <w:r w:rsidR="006171A0">
        <w:t>limit</w:t>
      </w:r>
      <w:r>
        <w:t xml:space="preserve"> </w:t>
      </w:r>
      <w:r w:rsidR="0010165A">
        <w:t xml:space="preserve">raised </w:t>
      </w:r>
      <w:r w:rsidR="006171A0">
        <w:t>by its funders</w:t>
      </w:r>
      <w:r w:rsidR="00B978C7">
        <w:t>.</w:t>
      </w:r>
    </w:p>
    <w:p w14:paraId="1EA38DE2" w14:textId="77777777" w:rsidR="00B978C7" w:rsidRDefault="00B978C7" w:rsidP="00B978C7">
      <w:pPr>
        <w:pStyle w:val="Heading2"/>
      </w:pPr>
      <w:bookmarkStart w:id="55" w:name="_Toc488929698"/>
      <w:bookmarkStart w:id="56" w:name="_Toc489250076"/>
      <w:r>
        <w:t>6.2</w:t>
      </w:r>
      <w:r>
        <w:tab/>
        <w:t>Primary care</w:t>
      </w:r>
      <w:bookmarkEnd w:id="55"/>
      <w:bookmarkEnd w:id="56"/>
    </w:p>
    <w:p w14:paraId="1EA38DE3" w14:textId="77777777" w:rsidR="00B978C7" w:rsidRDefault="00B978C7" w:rsidP="00B978C7">
      <w:pPr>
        <w:pStyle w:val="Heading3"/>
      </w:pPr>
      <w:r>
        <w:t>Adopt blended payments</w:t>
      </w:r>
    </w:p>
    <w:p w14:paraId="1EA38DE4" w14:textId="77777777" w:rsidR="00B978C7" w:rsidRDefault="00B978C7" w:rsidP="00B978C7">
      <w:pPr>
        <w:pStyle w:val="BodyText"/>
      </w:pPr>
      <w:r>
        <w:t>W</w:t>
      </w:r>
      <w:r w:rsidRPr="002837CA">
        <w:t>hile fee</w:t>
      </w:r>
      <w:r w:rsidRPr="002837CA">
        <w:noBreakHyphen/>
        <w:t>for</w:t>
      </w:r>
      <w:r w:rsidRPr="002837CA">
        <w:noBreakHyphen/>
        <w:t>service has its weakness by rewarding thro</w:t>
      </w:r>
      <w:r>
        <w:t>ughput instead of value of care (chapter 5)</w:t>
      </w:r>
      <w:r w:rsidRPr="002837CA">
        <w:t>, a p</w:t>
      </w:r>
      <w:r>
        <w:t>ure bundled payment (as currently proposed for the Australian Governments’ Health Care Homes initiative — appendix A) also has limitations</w:t>
      </w:r>
      <w:r w:rsidRPr="002837CA">
        <w:t>. A bundled payment introduces an incentive to under</w:t>
      </w:r>
      <w:r w:rsidRPr="002837CA">
        <w:noBreakHyphen/>
        <w:t xml:space="preserve">service, particularly when other </w:t>
      </w:r>
      <w:r>
        <w:t>parts</w:t>
      </w:r>
      <w:r w:rsidRPr="002837CA">
        <w:t xml:space="preserve"> of the health care system bear the cost of reduced outcomes. Further, GPs have </w:t>
      </w:r>
      <w:r>
        <w:t>a financial dis</w:t>
      </w:r>
      <w:r w:rsidRPr="002837CA">
        <w:t xml:space="preserve">incentive to </w:t>
      </w:r>
      <w:r>
        <w:t>enrol</w:t>
      </w:r>
      <w:r w:rsidRPr="002837CA">
        <w:t xml:space="preserve"> patients </w:t>
      </w:r>
      <w:r>
        <w:t>with particularly complex or high</w:t>
      </w:r>
      <w:r>
        <w:noBreakHyphen/>
        <w:t xml:space="preserve">cost conditions </w:t>
      </w:r>
      <w:r w:rsidRPr="002837CA">
        <w:t xml:space="preserve">who are likely to generate </w:t>
      </w:r>
      <w:r>
        <w:t>losses</w:t>
      </w:r>
      <w:r w:rsidRPr="002837CA">
        <w:t xml:space="preserve"> for the </w:t>
      </w:r>
      <w:r>
        <w:t>practice</w:t>
      </w:r>
      <w:r w:rsidRPr="002837CA">
        <w:t xml:space="preserve">. </w:t>
      </w:r>
      <w:r>
        <w:t>(This is often labelled pejoratively as ‘cream skimming’, but its presence may simply reflect the need for practices to remain financially viable.) The Australian Medical Association opposes capitation funding methods on this basis, noting the concern that clinicians may avoid high</w:t>
      </w:r>
      <w:r>
        <w:noBreakHyphen/>
        <w:t xml:space="preserve">risk patients </w:t>
      </w:r>
      <w:r w:rsidRPr="00C65A42">
        <w:rPr>
          <w:szCs w:val="24"/>
        </w:rPr>
        <w:t>(AMA 2015a)</w:t>
      </w:r>
      <w:r>
        <w:t xml:space="preserve">. </w:t>
      </w:r>
    </w:p>
    <w:p w14:paraId="1EA38DE5" w14:textId="77777777" w:rsidR="00AE0F1C" w:rsidRPr="004E3B94" w:rsidRDefault="00AE0F1C" w:rsidP="00AE0F1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129"/>
      </w:tblGrid>
      <w:tr w:rsidR="0088242F" w:rsidRPr="0088242F" w14:paraId="1EA38DF1" w14:textId="77777777" w:rsidTr="0088242F">
        <w:trPr>
          <w:tblHeader/>
        </w:trPr>
        <w:tc>
          <w:tcPr>
            <w:tcW w:w="5000" w:type="pct"/>
            <w:tcBorders>
              <w:top w:val="single" w:sz="4" w:space="0" w:color="265A9A" w:themeColor="accent2"/>
              <w:left w:val="nil"/>
              <w:bottom w:val="nil"/>
              <w:right w:val="nil"/>
            </w:tcBorders>
            <w:shd w:val="clear" w:color="auto" w:fill="E1EBF5"/>
            <w:tcMar>
              <w:left w:w="170" w:type="dxa"/>
              <w:right w:w="170" w:type="dxa"/>
            </w:tcMar>
          </w:tcPr>
          <w:p w14:paraId="1EA38DE6" w14:textId="77777777" w:rsidR="00AE0F1C" w:rsidRPr="0088242F" w:rsidRDefault="00AE0F1C" w:rsidP="002D5631">
            <w:pPr>
              <w:pStyle w:val="RecTitle"/>
              <w:spacing w:before="120"/>
              <w:rPr>
                <w:noProof/>
              </w:rPr>
            </w:pPr>
            <w:r w:rsidRPr="0088242F">
              <w:t xml:space="preserve">conclusion </w:t>
            </w:r>
            <w:r w:rsidR="007052B1" w:rsidRPr="0088242F">
              <w:t>6</w:t>
            </w:r>
            <w:r w:rsidR="008406EC" w:rsidRPr="0088242F">
              <w:t>.</w:t>
            </w:r>
            <w:r w:rsidR="007052B1" w:rsidRPr="0088242F">
              <w:t>1</w:t>
            </w:r>
            <w:r w:rsidR="00224C63" w:rsidRPr="0088242F">
              <w:t xml:space="preserve"> </w:t>
            </w:r>
          </w:p>
          <w:p w14:paraId="1EA38DE7" w14:textId="77777777" w:rsidR="00AE0F1C" w:rsidRPr="004A4B5C" w:rsidRDefault="00AE0F1C" w:rsidP="00944790">
            <w:pPr>
              <w:pStyle w:val="Rec"/>
            </w:pPr>
            <w:r w:rsidRPr="004A4B5C">
              <w:t>The Australian and State and Territory Governments should change the funding of hospitals as follows:</w:t>
            </w:r>
          </w:p>
          <w:p w14:paraId="1EA38DE8" w14:textId="77777777" w:rsidR="005040D1" w:rsidRPr="0088242F" w:rsidRDefault="003A2261" w:rsidP="00944790">
            <w:pPr>
              <w:pStyle w:val="RecBullet"/>
            </w:pPr>
            <w:r w:rsidRPr="0088242F">
              <w:t xml:space="preserve">They should </w:t>
            </w:r>
            <w:r w:rsidR="00224C63" w:rsidRPr="0088242F">
              <w:t>create</w:t>
            </w:r>
            <w:r w:rsidR="00DB7568" w:rsidRPr="0088242F">
              <w:t xml:space="preserve"> a </w:t>
            </w:r>
            <w:r w:rsidR="00ED6C7E" w:rsidRPr="0088242F">
              <w:t>P</w:t>
            </w:r>
            <w:r w:rsidR="00DB7568" w:rsidRPr="0088242F">
              <w:t xml:space="preserve">revention and </w:t>
            </w:r>
            <w:r w:rsidR="00ED6C7E" w:rsidRPr="0088242F">
              <w:t>C</w:t>
            </w:r>
            <w:r w:rsidR="00DB7568" w:rsidRPr="0088242F">
              <w:t xml:space="preserve">hronic </w:t>
            </w:r>
            <w:r w:rsidR="00ED6C7E" w:rsidRPr="0088242F">
              <w:t>Condition Management F</w:t>
            </w:r>
            <w:r w:rsidR="00DB7568" w:rsidRPr="0088242F">
              <w:t>und</w:t>
            </w:r>
            <w:r w:rsidR="00ED6C7E" w:rsidRPr="0088242F">
              <w:t xml:space="preserve"> </w:t>
            </w:r>
            <w:r w:rsidR="00F63214" w:rsidRPr="0088242F">
              <w:t>(</w:t>
            </w:r>
            <w:r w:rsidR="00ED6C7E" w:rsidRPr="0088242F">
              <w:t>PCCM</w:t>
            </w:r>
            <w:r w:rsidR="00F5191B" w:rsidRPr="0088242F">
              <w:t>F</w:t>
            </w:r>
            <w:r w:rsidR="00ED6C7E" w:rsidRPr="0088242F">
              <w:t>)</w:t>
            </w:r>
            <w:r w:rsidR="00DB7568" w:rsidRPr="0088242F">
              <w:t xml:space="preserve"> in each local health </w:t>
            </w:r>
            <w:r w:rsidR="005040D1" w:rsidRPr="0088242F">
              <w:t xml:space="preserve">district. </w:t>
            </w:r>
          </w:p>
          <w:p w14:paraId="1EA38DE9" w14:textId="77777777" w:rsidR="005040D1" w:rsidRPr="0088242F" w:rsidRDefault="005040D1" w:rsidP="00944790">
            <w:pPr>
              <w:pStyle w:val="RecBullet"/>
            </w:pPr>
            <w:r w:rsidRPr="0088242F">
              <w:t>They should provide annual funding injections for each LHN’s PCCMF over a span of years, accompanied by a performance contract that outlined minimum expected savings from reduced acute care activities over the relevant period, but with no expectation that the gains be immediate.</w:t>
            </w:r>
            <w:r w:rsidR="00224C63" w:rsidRPr="0088242F">
              <w:t xml:space="preserve"> </w:t>
            </w:r>
          </w:p>
          <w:p w14:paraId="1EA38DEA" w14:textId="77777777" w:rsidR="005040D1" w:rsidRPr="0088242F" w:rsidRDefault="005040D1" w:rsidP="00944790">
            <w:pPr>
              <w:pStyle w:val="RecBullet"/>
            </w:pPr>
            <w:r w:rsidRPr="0088242F">
              <w:t xml:space="preserve">The gains in reduced hospital costs from PCCMF investments in better health management should be shared between each LHN and the Australian and the respective State or Territory Government. </w:t>
            </w:r>
          </w:p>
          <w:p w14:paraId="1EA38DEB" w14:textId="77777777" w:rsidR="00DB7568" w:rsidRPr="0088242F" w:rsidRDefault="00D42ED7" w:rsidP="00944790">
            <w:pPr>
              <w:pStyle w:val="RecBullet"/>
            </w:pPr>
            <w:r w:rsidRPr="0088242F">
              <w:t>The a</w:t>
            </w:r>
            <w:r w:rsidR="005040D1" w:rsidRPr="0088242F">
              <w:t xml:space="preserve">nnual </w:t>
            </w:r>
            <w:r w:rsidRPr="0088242F">
              <w:t>funding</w:t>
            </w:r>
            <w:r w:rsidR="005040D1" w:rsidRPr="0088242F">
              <w:t xml:space="preserve"> </w:t>
            </w:r>
            <w:r w:rsidRPr="0088242F">
              <w:t xml:space="preserve">contributions </w:t>
            </w:r>
            <w:r w:rsidR="005040D1" w:rsidRPr="0088242F">
              <w:t xml:space="preserve">should be equivalent to a small share of expected ABF in each district </w:t>
            </w:r>
            <w:r w:rsidR="00F63214" w:rsidRPr="0088242F">
              <w:t>(say two</w:t>
            </w:r>
            <w:r w:rsidR="00F5191B" w:rsidRPr="0088242F">
              <w:t xml:space="preserve"> to three</w:t>
            </w:r>
            <w:r w:rsidR="00F63214" w:rsidRPr="0088242F">
              <w:t> per cent)</w:t>
            </w:r>
            <w:r w:rsidR="00AF0A86" w:rsidRPr="0088242F">
              <w:t>.</w:t>
            </w:r>
          </w:p>
          <w:p w14:paraId="1EA38DEC" w14:textId="77777777" w:rsidR="00EA78C4" w:rsidRPr="0088242F" w:rsidRDefault="00EA78C4" w:rsidP="00944790">
            <w:pPr>
              <w:pStyle w:val="RecBullet"/>
            </w:pPr>
            <w:r w:rsidRPr="0088242F">
              <w:t>Local Hospital Network</w:t>
            </w:r>
            <w:r w:rsidR="00EC5F5D" w:rsidRPr="0088242F">
              <w:t>s</w:t>
            </w:r>
            <w:r w:rsidRPr="0088242F">
              <w:t xml:space="preserve"> </w:t>
            </w:r>
            <w:r w:rsidR="00277A5F" w:rsidRPr="0088242F">
              <w:t xml:space="preserve">(LHNs) </w:t>
            </w:r>
            <w:r w:rsidRPr="0088242F">
              <w:t xml:space="preserve">would be responsible for the management of </w:t>
            </w:r>
            <w:r w:rsidR="006155AF" w:rsidRPr="0088242F">
              <w:t>their</w:t>
            </w:r>
            <w:r w:rsidRPr="0088242F">
              <w:t xml:space="preserve"> </w:t>
            </w:r>
            <w:r w:rsidR="00EC5F5D" w:rsidRPr="0088242F">
              <w:t xml:space="preserve">district’s </w:t>
            </w:r>
            <w:r w:rsidRPr="0088242F">
              <w:t>PCCM</w:t>
            </w:r>
            <w:r w:rsidR="00F5191B" w:rsidRPr="0088242F">
              <w:t>F</w:t>
            </w:r>
            <w:r w:rsidRPr="0088242F">
              <w:t xml:space="preserve">, using the funds </w:t>
            </w:r>
            <w:r w:rsidR="00EC5F5D" w:rsidRPr="0088242F">
              <w:t xml:space="preserve">as they deemed fit </w:t>
            </w:r>
            <w:r w:rsidRPr="0088242F">
              <w:t>to improve population health and to reduce hospitalisations and durations</w:t>
            </w:r>
            <w:r w:rsidR="00EC5F5D" w:rsidRPr="0088242F">
              <w:t>,</w:t>
            </w:r>
            <w:r w:rsidRPr="0088242F">
              <w:t xml:space="preserve"> in collaboration with other regional parties</w:t>
            </w:r>
            <w:r w:rsidR="00AF0A86" w:rsidRPr="0088242F">
              <w:t>.</w:t>
            </w:r>
            <w:r w:rsidR="00EC5F5D" w:rsidRPr="0088242F">
              <w:t xml:space="preserve"> </w:t>
            </w:r>
          </w:p>
          <w:p w14:paraId="1EA38DED" w14:textId="77777777" w:rsidR="00415B89" w:rsidRPr="0088242F" w:rsidRDefault="00BD18ED" w:rsidP="00944790">
            <w:pPr>
              <w:pStyle w:val="RecBullet"/>
            </w:pPr>
            <w:r w:rsidRPr="0088242F">
              <w:t>T</w:t>
            </w:r>
            <w:r w:rsidR="00415B89" w:rsidRPr="0088242F">
              <w:t xml:space="preserve">he effects of PCCMF investments on </w:t>
            </w:r>
            <w:r w:rsidR="005040D1" w:rsidRPr="0088242F">
              <w:t>acute care activity</w:t>
            </w:r>
            <w:r w:rsidRPr="0088242F">
              <w:t xml:space="preserve"> would need to be reasonably validated. </w:t>
            </w:r>
          </w:p>
          <w:p w14:paraId="1EA38DEE" w14:textId="77777777" w:rsidR="003A2261" w:rsidRPr="0088242F" w:rsidRDefault="00BD18ED" w:rsidP="00944790">
            <w:pPr>
              <w:pStyle w:val="RecBullet"/>
            </w:pPr>
            <w:r w:rsidRPr="0088242F">
              <w:t xml:space="preserve">The lessons from the </w:t>
            </w:r>
            <w:r w:rsidR="001D4A09" w:rsidRPr="0088242F">
              <w:t xml:space="preserve">assessments of PCCMF investments should be </w:t>
            </w:r>
            <w:r w:rsidR="009314D2" w:rsidRPr="0088242F">
              <w:t>disseminated</w:t>
            </w:r>
            <w:r w:rsidR="001D4A09" w:rsidRPr="0088242F">
              <w:t xml:space="preserve"> among all LHNs</w:t>
            </w:r>
            <w:r w:rsidR="00E743BF" w:rsidRPr="0088242F">
              <w:t xml:space="preserve"> (</w:t>
            </w:r>
            <w:r w:rsidR="008406EC" w:rsidRPr="0088242F">
              <w:t>conclusion</w:t>
            </w:r>
            <w:r w:rsidR="00E743BF" w:rsidRPr="0088242F">
              <w:t> 9.</w:t>
            </w:r>
            <w:r w:rsidR="008406EC" w:rsidRPr="0088242F">
              <w:t>2</w:t>
            </w:r>
            <w:r w:rsidR="00E743BF" w:rsidRPr="0088242F">
              <w:t>)</w:t>
            </w:r>
            <w:r w:rsidR="00A45FF7" w:rsidRPr="0088242F">
              <w:t>.</w:t>
            </w:r>
          </w:p>
          <w:p w14:paraId="1EA38DEF" w14:textId="77777777" w:rsidR="008D47F0" w:rsidRPr="0088242F" w:rsidRDefault="00AF0A86" w:rsidP="00944790">
            <w:pPr>
              <w:pStyle w:val="RecBullet"/>
            </w:pPr>
            <w:r w:rsidRPr="0088242F">
              <w:t>T</w:t>
            </w:r>
            <w:r w:rsidR="003A2261" w:rsidRPr="0088242F">
              <w:t xml:space="preserve">he </w:t>
            </w:r>
            <w:r w:rsidR="005040D1" w:rsidRPr="0088242F">
              <w:t>annual limit</w:t>
            </w:r>
            <w:r w:rsidR="00BD18ED" w:rsidRPr="0088242F">
              <w:t xml:space="preserve"> on the </w:t>
            </w:r>
            <w:r w:rsidR="005040D1" w:rsidRPr="0088242F">
              <w:t>scale of the</w:t>
            </w:r>
            <w:r w:rsidR="00BD18ED" w:rsidRPr="0088242F">
              <w:t xml:space="preserve"> </w:t>
            </w:r>
            <w:r w:rsidRPr="0088242F">
              <w:t>PCCM</w:t>
            </w:r>
            <w:r w:rsidR="00BD18ED" w:rsidRPr="0088242F">
              <w:t>F</w:t>
            </w:r>
            <w:r w:rsidRPr="0088242F">
              <w:t xml:space="preserve"> </w:t>
            </w:r>
            <w:r w:rsidR="00BD18ED" w:rsidRPr="0088242F">
              <w:t xml:space="preserve">for each LHN </w:t>
            </w:r>
            <w:r w:rsidR="003A2261" w:rsidRPr="0088242F">
              <w:t>should be adjusted over time</w:t>
            </w:r>
            <w:r w:rsidR="0010165A" w:rsidRPr="0088242F">
              <w:t xml:space="preserve"> to reflect the LHN’s success in reducing hospital activity levels.</w:t>
            </w:r>
          </w:p>
          <w:p w14:paraId="1EA38DF0" w14:textId="77777777" w:rsidR="00AE0F1C" w:rsidRPr="0088242F" w:rsidRDefault="008D47F0" w:rsidP="00944790">
            <w:pPr>
              <w:pStyle w:val="RecBullet"/>
            </w:pPr>
            <w:r w:rsidRPr="0088242F">
              <w:t xml:space="preserve">The Administrator of the National Health Funding Pool </w:t>
            </w:r>
            <w:r w:rsidR="00AF397F" w:rsidRPr="0088242F">
              <w:t xml:space="preserve">and the National Health Funding Body </w:t>
            </w:r>
            <w:r w:rsidRPr="0088242F">
              <w:t>would manage any formal arrangements for funding pools.</w:t>
            </w:r>
          </w:p>
        </w:tc>
      </w:tr>
      <w:tr w:rsidR="0088242F" w:rsidRPr="0088242F" w14:paraId="1EA38DF3" w14:textId="77777777" w:rsidTr="0088242F">
        <w:tc>
          <w:tcPr>
            <w:tcW w:w="5000" w:type="pct"/>
            <w:tcBorders>
              <w:top w:val="nil"/>
              <w:left w:val="nil"/>
              <w:bottom w:val="single" w:sz="4" w:space="0" w:color="265A9A" w:themeColor="accent2"/>
              <w:right w:val="nil"/>
            </w:tcBorders>
            <w:shd w:val="clear" w:color="auto" w:fill="E1EBF5"/>
            <w:tcMar>
              <w:left w:w="170" w:type="dxa"/>
              <w:right w:w="170" w:type="dxa"/>
            </w:tcMar>
          </w:tcPr>
          <w:p w14:paraId="1EA38DF2" w14:textId="77777777" w:rsidR="00AE0F1C" w:rsidRPr="0088242F" w:rsidRDefault="00AE0F1C" w:rsidP="0088242F">
            <w:pPr>
              <w:pStyle w:val="Space"/>
              <w:keepLines/>
            </w:pPr>
          </w:p>
        </w:tc>
      </w:tr>
      <w:tr w:rsidR="00AE0F1C" w:rsidRPr="000863A5" w14:paraId="1EA38DF5" w14:textId="77777777" w:rsidTr="0088242F">
        <w:tc>
          <w:tcPr>
            <w:tcW w:w="5000" w:type="pct"/>
            <w:tcBorders>
              <w:top w:val="single" w:sz="4" w:space="0" w:color="265A9A" w:themeColor="accent2"/>
              <w:left w:val="nil"/>
              <w:bottom w:val="nil"/>
              <w:right w:val="nil"/>
            </w:tcBorders>
            <w:tcMar>
              <w:left w:w="170" w:type="dxa"/>
              <w:right w:w="170" w:type="dxa"/>
            </w:tcMar>
          </w:tcPr>
          <w:p w14:paraId="1EA38DF4" w14:textId="77777777" w:rsidR="00AE0F1C" w:rsidRPr="00626D32" w:rsidRDefault="00AE0F1C" w:rsidP="002D5631">
            <w:pPr>
              <w:pStyle w:val="BoxSpaceBelow"/>
              <w:keepLines/>
            </w:pPr>
          </w:p>
        </w:tc>
      </w:tr>
    </w:tbl>
    <w:p w14:paraId="1EA38DF6" w14:textId="77777777" w:rsidR="00021D7C" w:rsidRDefault="00021D7C" w:rsidP="00021D7C">
      <w:pPr>
        <w:pStyle w:val="BodyText"/>
      </w:pPr>
      <w:r>
        <w:t>There is some empirical evidence of cream skimming. For example, medical homes in Canada paid through (non</w:t>
      </w:r>
      <w:r>
        <w:noBreakHyphen/>
        <w:t xml:space="preserve">casemix) capitation payments had a lower likelihood of enrolling people with mental illnesses </w:t>
      </w:r>
      <w:r w:rsidR="00C65A42" w:rsidRPr="00C65A42">
        <w:rPr>
          <w:szCs w:val="24"/>
        </w:rPr>
        <w:t>(Steele et al. 2013)</w:t>
      </w:r>
      <w:r>
        <w:t>. However, a meta</w:t>
      </w:r>
      <w:r>
        <w:noBreakHyphen/>
        <w:t xml:space="preserve">study of GP behaviour under different payment systems found that capitation did not inexorably lead to cream skimming </w:t>
      </w:r>
      <w:r w:rsidR="00C65A42" w:rsidRPr="00C65A42">
        <w:rPr>
          <w:szCs w:val="24"/>
        </w:rPr>
        <w:t>(Peckham and Gousia 2014)</w:t>
      </w:r>
      <w:r>
        <w:t xml:space="preserve">, while a Cochrane Review found no reliable results, in part attributing this to the low quality of the studies </w:t>
      </w:r>
      <w:r w:rsidR="006D3D17">
        <w:t>it</w:t>
      </w:r>
      <w:r>
        <w:t xml:space="preserve"> examined </w:t>
      </w:r>
      <w:r w:rsidR="00C65A42" w:rsidRPr="00C65A42">
        <w:rPr>
          <w:szCs w:val="24"/>
        </w:rPr>
        <w:t>(Scott et al. 2011)</w:t>
      </w:r>
      <w:r>
        <w:t>. The financial disincentives to enrol high</w:t>
      </w:r>
      <w:r>
        <w:noBreakHyphen/>
        <w:t xml:space="preserve">risk patients may be countered by other factors, such as professional ethics. Of course, all these results depend on particular fee levels. It would be surprising if clinicians were immune to the effects of financial carrots and sticks were these large enough. </w:t>
      </w:r>
    </w:p>
    <w:p w14:paraId="1EA38DF7" w14:textId="77777777" w:rsidR="00021D7C" w:rsidRDefault="00021D7C" w:rsidP="00021D7C">
      <w:pPr>
        <w:pStyle w:val="BodyText"/>
      </w:pPr>
      <w:r>
        <w:t xml:space="preserve">So where does this leave policymakers who must make some choice about payment methods? One US economist reached the acerbic judgment that </w:t>
      </w:r>
      <w:r w:rsidRPr="005A0A58">
        <w:rPr>
          <w:i/>
        </w:rPr>
        <w:t>all</w:t>
      </w:r>
      <w:r>
        <w:t xml:space="preserve"> the simple payment methods </w:t>
      </w:r>
      <w:r w:rsidR="00397192">
        <w:t xml:space="preserve">are </w:t>
      </w:r>
      <w:r>
        <w:t xml:space="preserve">bad: </w:t>
      </w:r>
    </w:p>
    <w:p w14:paraId="1EA38DF8" w14:textId="77777777" w:rsidR="00021D7C" w:rsidRDefault="00021D7C" w:rsidP="00021D7C">
      <w:pPr>
        <w:pStyle w:val="Quote"/>
      </w:pPr>
      <w:r>
        <w:t>There are many mechanisms for paying physicians; some are good and some are bad. The three worst are fee</w:t>
      </w:r>
      <w:r>
        <w:noBreakHyphen/>
        <w:t>for</w:t>
      </w:r>
      <w:r>
        <w:noBreakHyphen/>
        <w:t>service, capitation, and salary. Fee</w:t>
      </w:r>
      <w:r>
        <w:noBreakHyphen/>
        <w:t>for</w:t>
      </w:r>
      <w:r>
        <w:noBreakHyphen/>
        <w:t>service rewards the provision of inappropriate services, the fraudulent upcoding of visits and procedures, and the churning of “ping</w:t>
      </w:r>
      <w:r>
        <w:noBreakHyphen/>
        <w:t>pong” referrals among specialists. Capitation rewards the denial of appropriate services, the dumping of the chronically ill, and a narrow scope of practice that refers out every time</w:t>
      </w:r>
      <w:r>
        <w:noBreakHyphen/>
        <w:t>consuming patient. Salary undermines productivity, condones on</w:t>
      </w:r>
      <w:r>
        <w:noBreakHyphen/>
        <w:t>the</w:t>
      </w:r>
      <w:r>
        <w:noBreakHyphen/>
        <w:t xml:space="preserve">job leisure, and fosters a bureaucratic mentality in which every procedure is someone else’s problem. </w:t>
      </w:r>
      <w:r w:rsidR="003D243B" w:rsidRPr="003D243B">
        <w:rPr>
          <w:szCs w:val="24"/>
        </w:rPr>
        <w:t>(Robinson 2001, p. 149)</w:t>
      </w:r>
      <w:r>
        <w:t xml:space="preserve"> </w:t>
      </w:r>
    </w:p>
    <w:p w14:paraId="1EA38DF9" w14:textId="77777777" w:rsidR="00021D7C" w:rsidRDefault="00021D7C" w:rsidP="00021D7C">
      <w:pPr>
        <w:pStyle w:val="BodyText"/>
      </w:pPr>
      <w:r>
        <w:t>While the evidence suggest</w:t>
      </w:r>
      <w:r w:rsidR="005E0F16">
        <w:t>s</w:t>
      </w:r>
      <w:r>
        <w:t xml:space="preserve"> that Robinson’s assessment is </w:t>
      </w:r>
      <w:r w:rsidR="005E0F16">
        <w:t>too bleak</w:t>
      </w:r>
      <w:r>
        <w:t>, his proposal to implement mixed payment systems has merit. One such model would maintain fee</w:t>
      </w:r>
      <w:r>
        <w:noBreakHyphen/>
        <w:t>for</w:t>
      </w:r>
      <w:r>
        <w:noBreakHyphen/>
        <w:t xml:space="preserve">service as a major </w:t>
      </w:r>
      <w:r w:rsidRPr="002837CA">
        <w:t xml:space="preserve">portion of GP </w:t>
      </w:r>
      <w:r>
        <w:t>revenue, combined with capitation payments.</w:t>
      </w:r>
      <w:r w:rsidRPr="002837CA">
        <w:t xml:space="preserve"> This would </w:t>
      </w:r>
      <w:r w:rsidR="002C12F2">
        <w:t>strengthen the incentive</w:t>
      </w:r>
      <w:r w:rsidR="002C12F2" w:rsidRPr="002837CA">
        <w:t xml:space="preserve"> </w:t>
      </w:r>
      <w:r w:rsidRPr="002837CA">
        <w:t xml:space="preserve">GPs </w:t>
      </w:r>
      <w:r w:rsidR="002C12F2">
        <w:t>have</w:t>
      </w:r>
      <w:r w:rsidR="002C12F2" w:rsidRPr="002837CA">
        <w:t xml:space="preserve"> </w:t>
      </w:r>
      <w:r w:rsidRPr="002837CA">
        <w:t>to provide necessary services</w:t>
      </w:r>
      <w:r w:rsidR="0066235E">
        <w:t xml:space="preserve"> via multidisciplinary teams</w:t>
      </w:r>
      <w:r w:rsidRPr="002837CA">
        <w:t xml:space="preserve">, </w:t>
      </w:r>
      <w:r w:rsidR="002C12F2">
        <w:t>including</w:t>
      </w:r>
      <w:r w:rsidR="00721E9A" w:rsidRPr="00721E9A">
        <w:t xml:space="preserve"> a greater role in </w:t>
      </w:r>
      <w:r w:rsidR="009D44FA">
        <w:t>preventative</w:t>
      </w:r>
      <w:r w:rsidR="00721E9A" w:rsidRPr="00721E9A">
        <w:t xml:space="preserve"> health and management of chronic conditions</w:t>
      </w:r>
      <w:r w:rsidRPr="002837CA">
        <w:t>. Finding an effective mix may require some experimentation</w:t>
      </w:r>
      <w:r>
        <w:t xml:space="preserve">, </w:t>
      </w:r>
      <w:r w:rsidRPr="002837CA">
        <w:t>which is the advantage of running trials</w:t>
      </w:r>
      <w:r>
        <w:t xml:space="preserve">, and </w:t>
      </w:r>
      <w:r w:rsidR="007D2794">
        <w:t xml:space="preserve">suggests </w:t>
      </w:r>
      <w:r>
        <w:t>leaving open the scope for regional health entities to develop funding variants</w:t>
      </w:r>
      <w:r w:rsidRPr="002837CA">
        <w:t>.</w:t>
      </w:r>
      <w:r w:rsidR="00FE4926">
        <w:t xml:space="preserve"> </w:t>
      </w:r>
    </w:p>
    <w:p w14:paraId="1EA38DFA" w14:textId="77777777" w:rsidR="00E03ABB" w:rsidRDefault="00E03ABB" w:rsidP="004A3EB5">
      <w:pPr>
        <w:pStyle w:val="Heading3"/>
      </w:pPr>
      <w:r>
        <w:t>Listen and engage with general practitioners</w:t>
      </w:r>
    </w:p>
    <w:p w14:paraId="1EA38DFB" w14:textId="77777777" w:rsidR="001B16FF" w:rsidRDefault="0049424E" w:rsidP="00A83F3C">
      <w:pPr>
        <w:pStyle w:val="BodyText"/>
      </w:pPr>
      <w:r>
        <w:t xml:space="preserve">In its consultations, the Commission has been advised that the efforts of Primary Health Networks and Local Hospital Networks to achieve a more integrated system </w:t>
      </w:r>
      <w:r w:rsidR="008A7E15">
        <w:t xml:space="preserve">depend on the sometimes challenging task of engaging effectively </w:t>
      </w:r>
      <w:r w:rsidR="00F712BF">
        <w:t xml:space="preserve">with </w:t>
      </w:r>
      <w:r>
        <w:t xml:space="preserve">GPs. This can best be addressed in </w:t>
      </w:r>
      <w:r w:rsidR="00FA2C2B">
        <w:t>several</w:t>
      </w:r>
      <w:r>
        <w:t xml:space="preserve"> ways. </w:t>
      </w:r>
    </w:p>
    <w:p w14:paraId="1EA38DFC" w14:textId="77777777" w:rsidR="00DA1C7C" w:rsidRDefault="00FA2C2B" w:rsidP="00A83F3C">
      <w:pPr>
        <w:pStyle w:val="BodyText"/>
      </w:pPr>
      <w:r>
        <w:t>C</w:t>
      </w:r>
      <w:r w:rsidR="00DA1C7C">
        <w:t>ultivating relationships with GPs is critical — especially ones who are receptive to new models, who can then act as trusted agents for change within their professional community. Th</w:t>
      </w:r>
      <w:r w:rsidR="00C357DC">
        <w:t>e</w:t>
      </w:r>
      <w:r w:rsidR="00DA1C7C">
        <w:t xml:space="preserve"> task </w:t>
      </w:r>
      <w:r w:rsidR="00C357DC">
        <w:t xml:space="preserve">of engagement </w:t>
      </w:r>
      <w:r w:rsidR="00DA1C7C">
        <w:t xml:space="preserve">is probably best undertaken by PHNs, whose prime responsibility is to seek best practice in primary care. </w:t>
      </w:r>
    </w:p>
    <w:p w14:paraId="1EA38DFD" w14:textId="77777777" w:rsidR="0043343D" w:rsidRDefault="0043343D" w:rsidP="00A83F3C">
      <w:pPr>
        <w:pStyle w:val="BodyText"/>
      </w:pPr>
      <w:r>
        <w:t xml:space="preserve">GPs are often overstretched, reflecting </w:t>
      </w:r>
      <w:r w:rsidR="002B5D9A">
        <w:t>large</w:t>
      </w:r>
      <w:r>
        <w:t xml:space="preserve"> patient caseloads, paperwork, training of new medical staff, and professional development. It is hard to know whether these obligations are excessive</w:t>
      </w:r>
      <w:r w:rsidR="003423B4">
        <w:t>,</w:t>
      </w:r>
      <w:r>
        <w:t xml:space="preserve"> but regardless, long hours and stress are commonplace among GPs </w:t>
      </w:r>
      <w:r w:rsidR="00C65A42" w:rsidRPr="00C65A42">
        <w:rPr>
          <w:szCs w:val="24"/>
        </w:rPr>
        <w:t>(Evans 2015)</w:t>
      </w:r>
      <w:r>
        <w:t xml:space="preserve">. </w:t>
      </w:r>
      <w:r w:rsidR="00C80187">
        <w:t>Consequently, a</w:t>
      </w:r>
      <w:r>
        <w:t xml:space="preserve">ny </w:t>
      </w:r>
      <w:r w:rsidR="00183A4F">
        <w:t xml:space="preserve">proponents of </w:t>
      </w:r>
      <w:r>
        <w:t xml:space="preserve">new models of care </w:t>
      </w:r>
      <w:r w:rsidR="00183A4F">
        <w:t xml:space="preserve">must credibly demonstrate clinical gains, while not adding </w:t>
      </w:r>
      <w:r>
        <w:t xml:space="preserve">to </w:t>
      </w:r>
      <w:r w:rsidR="00183A4F">
        <w:t>GP workloads</w:t>
      </w:r>
      <w:r w:rsidR="00C61691">
        <w:t xml:space="preserve">. </w:t>
      </w:r>
      <w:r>
        <w:t xml:space="preserve">The Hunter Diabetes </w:t>
      </w:r>
      <w:r w:rsidR="005F7B8B">
        <w:t xml:space="preserve">Alliance found that all physicians </w:t>
      </w:r>
      <w:r w:rsidR="007D6CEC">
        <w:t>found the experience positive (box </w:t>
      </w:r>
      <w:r w:rsidR="006A4660">
        <w:t>4.1</w:t>
      </w:r>
      <w:r w:rsidR="007D6CEC">
        <w:t>).</w:t>
      </w:r>
      <w:r w:rsidR="009C49CA">
        <w:t xml:space="preserve"> </w:t>
      </w:r>
      <w:r w:rsidR="002B5D9A">
        <w:t xml:space="preserve">Expanded initiatives </w:t>
      </w:r>
      <w:r w:rsidR="00183A4F">
        <w:t>would need to</w:t>
      </w:r>
      <w:r w:rsidR="002B5D9A">
        <w:t xml:space="preserve"> sustain that outcome.</w:t>
      </w:r>
    </w:p>
    <w:p w14:paraId="1EA38DFE" w14:textId="77777777" w:rsidR="002B5D9A" w:rsidRDefault="002B5D9A" w:rsidP="004A3EB5">
      <w:pPr>
        <w:pStyle w:val="Heading3"/>
      </w:pPr>
      <w:r>
        <w:t>Give Local Hospital Networks an oppor</w:t>
      </w:r>
      <w:r w:rsidR="001B36F7">
        <w:t xml:space="preserve">tunity to engage with and fund </w:t>
      </w:r>
      <w:r>
        <w:t>primary care</w:t>
      </w:r>
    </w:p>
    <w:p w14:paraId="1EA38DFF" w14:textId="671CBC06" w:rsidR="00197ECB" w:rsidRDefault="00DA1C7C" w:rsidP="00E76BAA">
      <w:pPr>
        <w:pStyle w:val="BodyText"/>
      </w:pPr>
      <w:r>
        <w:t>LHNs</w:t>
      </w:r>
      <w:r w:rsidR="00A83F3C">
        <w:t xml:space="preserve"> should be given the legal capacity to </w:t>
      </w:r>
      <w:r>
        <w:t>fund</w:t>
      </w:r>
      <w:r w:rsidR="00A83F3C">
        <w:t xml:space="preserve"> GP practices</w:t>
      </w:r>
      <w:r>
        <w:t xml:space="preserve"> </w:t>
      </w:r>
      <w:r w:rsidR="004A0811">
        <w:t xml:space="preserve">to undertake specific tasks </w:t>
      </w:r>
      <w:r>
        <w:t>(which they are currently not able to do)</w:t>
      </w:r>
      <w:r w:rsidR="00A83F3C">
        <w:t>, including</w:t>
      </w:r>
      <w:r>
        <w:t xml:space="preserve"> for GPs</w:t>
      </w:r>
      <w:r w:rsidR="00A83F3C">
        <w:t xml:space="preserve"> to work with hospitals to better manage the care of patients with complex and chronic conditions. </w:t>
      </w:r>
      <w:r w:rsidR="00A95742">
        <w:t xml:space="preserve">Section 19 of the </w:t>
      </w:r>
      <w:r w:rsidR="001754BF">
        <w:rPr>
          <w:i/>
        </w:rPr>
        <w:t xml:space="preserve">Health Insurance Act </w:t>
      </w:r>
      <w:r w:rsidR="00A95742">
        <w:rPr>
          <w:i/>
        </w:rPr>
        <w:t>1973</w:t>
      </w:r>
      <w:r w:rsidR="001754BF">
        <w:t xml:space="preserve"> </w:t>
      </w:r>
      <w:r w:rsidR="00A95742" w:rsidRPr="001754BF">
        <w:t>(</w:t>
      </w:r>
      <w:r w:rsidR="001754BF">
        <w:t>Cth</w:t>
      </w:r>
      <w:r w:rsidR="00A95742" w:rsidRPr="001754BF">
        <w:t xml:space="preserve">) </w:t>
      </w:r>
      <w:r w:rsidR="00A95742">
        <w:t>currently prevents payment of Medicare</w:t>
      </w:r>
      <w:r w:rsidR="003E01C4">
        <w:t xml:space="preserve"> benefits where the service is ‘</w:t>
      </w:r>
      <w:r w:rsidR="00A95742">
        <w:t>by, or on behalf o</w:t>
      </w:r>
      <w:r w:rsidR="003E01C4">
        <w:t>f, or under an arrangement with’</w:t>
      </w:r>
      <w:r w:rsidR="00A95742">
        <w:t xml:space="preserve"> a state, including a state agency such as an LHN. This effectively precludes LHNs from funding </w:t>
      </w:r>
      <w:r w:rsidR="00197ECB">
        <w:t xml:space="preserve">or commissioning </w:t>
      </w:r>
      <w:r w:rsidR="00A95742">
        <w:t>GPs given that practically all GP work is at least partially funded under Medicare</w:t>
      </w:r>
      <w:r w:rsidR="00197ECB">
        <w:t xml:space="preserve"> (or of allied professionals to the extent their work is funded under Medicare). </w:t>
      </w:r>
    </w:p>
    <w:p w14:paraId="1EA38E00" w14:textId="77777777" w:rsidR="008E6997" w:rsidRDefault="00A83F3C" w:rsidP="00E76BAA">
      <w:pPr>
        <w:pStyle w:val="BodyText"/>
      </w:pPr>
      <w:r>
        <w:t>Funding might also be directed at allied professionals</w:t>
      </w:r>
      <w:r w:rsidR="00F70766">
        <w:t>,</w:t>
      </w:r>
      <w:r>
        <w:t xml:space="preserve"> who have a smaller scope of practice than GPs, can have lower caseloads and can therefore be trained more quickly. </w:t>
      </w:r>
      <w:r w:rsidR="00DA1C7C">
        <w:t>PHNs and LHNs shoul</w:t>
      </w:r>
      <w:r w:rsidR="001C7B79">
        <w:t xml:space="preserve">d </w:t>
      </w:r>
      <w:r w:rsidR="00F70766">
        <w:t xml:space="preserve">generally </w:t>
      </w:r>
      <w:r w:rsidR="001C7B79">
        <w:t xml:space="preserve">take a collaborative approach, underpinned by MOUs and joint governance arrangements </w:t>
      </w:r>
      <w:r w:rsidR="00DA1C7C">
        <w:t>to any commissioning by LHNs of primary care services</w:t>
      </w:r>
      <w:r w:rsidR="001C7B79">
        <w:t>. Otherwise,</w:t>
      </w:r>
      <w:r w:rsidR="00DA1C7C">
        <w:t xml:space="preserve"> there would be a risk that there would be multiple coordinators of care, working against each other. </w:t>
      </w:r>
      <w:r w:rsidR="00F72BC4" w:rsidRPr="00F72BC4">
        <w:t xml:space="preserve">The introduction of KPIs by their respective funding sources </w:t>
      </w:r>
      <w:r w:rsidR="00E76BAA">
        <w:t>will</w:t>
      </w:r>
      <w:r w:rsidR="00F72BC4" w:rsidRPr="00F72BC4">
        <w:t xml:space="preserve"> be required to ensure that PHNs and LHNs work in partnership</w:t>
      </w:r>
      <w:r w:rsidR="00E76BAA">
        <w:t>, with, as noted earlier, particular need for the development of indicators for primary health care (such as avoidable hospital admission rates).</w:t>
      </w:r>
    </w:p>
    <w:p w14:paraId="1EA38E01" w14:textId="77777777" w:rsidR="008F6D38" w:rsidRDefault="00A97654" w:rsidP="001B16FF">
      <w:pPr>
        <w:pStyle w:val="BodyText"/>
      </w:pPr>
      <w:r>
        <w:t>Under a</w:t>
      </w:r>
      <w:r w:rsidR="0043522D">
        <w:t xml:space="preserve"> regionally</w:t>
      </w:r>
      <w:r w:rsidR="0043522D">
        <w:noBreakHyphen/>
        <w:t>based</w:t>
      </w:r>
      <w:r>
        <w:t xml:space="preserve"> integrated care model, MBS funding would continue, but its role would </w:t>
      </w:r>
      <w:r w:rsidR="008F6D38">
        <w:t>diminish</w:t>
      </w:r>
      <w:r>
        <w:t xml:space="preserve"> as PHNs and LHNs sought other ways to remunerate GPs for clinical outcomes</w:t>
      </w:r>
      <w:r w:rsidR="0043522D">
        <w:t>,</w:t>
      </w:r>
      <w:r>
        <w:t xml:space="preserve"> or for processes that have a strong link to good outcomes. </w:t>
      </w:r>
      <w:r w:rsidR="008F6D38">
        <w:t xml:space="preserve">There are two </w:t>
      </w:r>
      <w:r w:rsidR="00711CEA">
        <w:t xml:space="preserve">broad caches of Australian Government funding </w:t>
      </w:r>
      <w:r w:rsidR="008F6D38">
        <w:t xml:space="preserve">that would need to fit into any genuinely integrated system: </w:t>
      </w:r>
      <w:r w:rsidR="00711CEA">
        <w:t>MBS payments aimed at preventative health and chr</w:t>
      </w:r>
      <w:r w:rsidR="00F104B7">
        <w:t>o</w:t>
      </w:r>
      <w:r w:rsidR="00711CEA">
        <w:t xml:space="preserve">nic disease management (including </w:t>
      </w:r>
      <w:r w:rsidR="008F6D38">
        <w:t xml:space="preserve">the Practice Incentives </w:t>
      </w:r>
      <w:r w:rsidR="00F104B7">
        <w:t>Program</w:t>
      </w:r>
      <w:r w:rsidR="008F6D38">
        <w:t xml:space="preserve">) and </w:t>
      </w:r>
      <w:r w:rsidR="00AE7962">
        <w:t xml:space="preserve">funding of the </w:t>
      </w:r>
      <w:r w:rsidR="00711CEA">
        <w:t xml:space="preserve">impending </w:t>
      </w:r>
      <w:r w:rsidR="008F6D38">
        <w:t xml:space="preserve">Health Care Homes </w:t>
      </w:r>
      <w:r w:rsidR="00711CEA">
        <w:t>program</w:t>
      </w:r>
      <w:r w:rsidR="008F6D38">
        <w:t xml:space="preserve">. </w:t>
      </w:r>
    </w:p>
    <w:p w14:paraId="1EA38E02" w14:textId="77777777" w:rsidR="0043522D" w:rsidRDefault="002B5D9A" w:rsidP="004A3EB5">
      <w:pPr>
        <w:pStyle w:val="Heading3"/>
      </w:pPr>
      <w:r>
        <w:t>Fit</w:t>
      </w:r>
      <w:r w:rsidR="00960FDF">
        <w:t>ting</w:t>
      </w:r>
      <w:r>
        <w:t xml:space="preserve"> </w:t>
      </w:r>
      <w:r w:rsidR="00E1113F">
        <w:t xml:space="preserve">MBS </w:t>
      </w:r>
      <w:r w:rsidR="00A2186C">
        <w:t>incentives</w:t>
      </w:r>
      <w:r w:rsidR="00E1113F">
        <w:t xml:space="preserve"> for </w:t>
      </w:r>
      <w:r w:rsidR="00A2186C">
        <w:t>c</w:t>
      </w:r>
      <w:r w:rsidR="00E1113F">
        <w:t xml:space="preserve">hronic </w:t>
      </w:r>
      <w:r w:rsidR="00A2186C">
        <w:t>d</w:t>
      </w:r>
      <w:r w:rsidR="00E1113F">
        <w:t xml:space="preserve">isease </w:t>
      </w:r>
      <w:r w:rsidR="00A2186C">
        <w:t>p</w:t>
      </w:r>
      <w:r w:rsidR="00E1113F">
        <w:t xml:space="preserve">revention and </w:t>
      </w:r>
      <w:r w:rsidR="00A2186C">
        <w:t>m</w:t>
      </w:r>
      <w:r w:rsidR="00E1113F">
        <w:t>anagement</w:t>
      </w:r>
      <w:r w:rsidR="00BC54A6">
        <w:t xml:space="preserve"> </w:t>
      </w:r>
      <w:r>
        <w:t>into a new system</w:t>
      </w:r>
    </w:p>
    <w:p w14:paraId="1EA38E03" w14:textId="77777777" w:rsidR="00BC54A6" w:rsidRDefault="0075333A" w:rsidP="0043522D">
      <w:pPr>
        <w:pStyle w:val="BodyText"/>
      </w:pPr>
      <w:r>
        <w:t xml:space="preserve">The MBS includes many specific payments for chronic disease prevention and management — with </w:t>
      </w:r>
      <w:r w:rsidR="00A2186C">
        <w:t>Wentworth</w:t>
      </w:r>
      <w:r>
        <w:t xml:space="preserve"> Healthcare </w:t>
      </w:r>
      <w:r w:rsidR="00C65A42" w:rsidRPr="00C65A42">
        <w:t>(2017)</w:t>
      </w:r>
      <w:r w:rsidR="00A2186C">
        <w:t xml:space="preserve"> i</w:t>
      </w:r>
      <w:r>
        <w:t xml:space="preserve">dentifying </w:t>
      </w:r>
      <w:r w:rsidR="00C37A25">
        <w:t xml:space="preserve">over </w:t>
      </w:r>
      <w:r>
        <w:t>4</w:t>
      </w:r>
      <w:r w:rsidR="00C37A25">
        <w:t>0</w:t>
      </w:r>
      <w:r>
        <w:t xml:space="preserve"> separate MBS items devoted to this role (in areas as diverse as screening for cervical cancer, asthma and diabetes </w:t>
      </w:r>
      <w:r w:rsidR="00A2186C">
        <w:t>management</w:t>
      </w:r>
      <w:r>
        <w:t xml:space="preserve">, care planning, case </w:t>
      </w:r>
      <w:r w:rsidR="00A2186C">
        <w:t>conferences</w:t>
      </w:r>
      <w:r>
        <w:t>, medication reviews, and preventative health assessments)</w:t>
      </w:r>
      <w:r w:rsidR="00A2186C">
        <w:t>.</w:t>
      </w:r>
      <w:r w:rsidR="00BC54A6" w:rsidRPr="003D243B">
        <w:rPr>
          <w:rStyle w:val="FootnoteReference"/>
        </w:rPr>
        <w:footnoteReference w:id="28"/>
      </w:r>
      <w:r w:rsidR="007B3076">
        <w:t xml:space="preserve"> </w:t>
      </w:r>
    </w:p>
    <w:p w14:paraId="1EA38E04" w14:textId="77777777" w:rsidR="000423A3" w:rsidRDefault="00714B91" w:rsidP="0043522D">
      <w:pPr>
        <w:pStyle w:val="BodyText"/>
      </w:pPr>
      <w:r>
        <w:t xml:space="preserve">Of these, some play a large role. There were </w:t>
      </w:r>
      <w:r w:rsidR="00DC081F">
        <w:t>8.7</w:t>
      </w:r>
      <w:r>
        <w:t> million claims for MBS item</w:t>
      </w:r>
      <w:r w:rsidR="00DC081F">
        <w:t>s</w:t>
      </w:r>
      <w:r>
        <w:t xml:space="preserve"> 721</w:t>
      </w:r>
      <w:r w:rsidR="00DC081F">
        <w:noBreakHyphen/>
      </w:r>
      <w:r w:rsidR="00DC081F" w:rsidRPr="00DC081F">
        <w:t>721</w:t>
      </w:r>
      <w:r w:rsidR="00DC081F">
        <w:t xml:space="preserve"> </w:t>
      </w:r>
      <w:r w:rsidR="00DC081F" w:rsidRPr="00DC081F">
        <w:t>&amp; 10</w:t>
      </w:r>
      <w:r w:rsidR="009C49CA">
        <w:t> </w:t>
      </w:r>
      <w:r w:rsidR="00DC081F" w:rsidRPr="00DC081F">
        <w:t>997</w:t>
      </w:r>
      <w:r>
        <w:t xml:space="preserve"> </w:t>
      </w:r>
      <w:r w:rsidR="00D77DD0">
        <w:t>in 2015</w:t>
      </w:r>
      <w:r w:rsidR="00D77DD0">
        <w:noBreakHyphen/>
        <w:t xml:space="preserve">16 </w:t>
      </w:r>
      <w:r>
        <w:t xml:space="preserve">— </w:t>
      </w:r>
      <w:r w:rsidR="00DC081F">
        <w:t xml:space="preserve">which entail </w:t>
      </w:r>
      <w:r w:rsidRPr="00714B91">
        <w:t>GP Management Plan</w:t>
      </w:r>
      <w:r>
        <w:t>s</w:t>
      </w:r>
      <w:r w:rsidRPr="00714B91">
        <w:t xml:space="preserve"> for Chronic Disease Management</w:t>
      </w:r>
      <w:r w:rsidR="00CC64D8">
        <w:t>, often involving multidisciplinary teams</w:t>
      </w:r>
      <w:r>
        <w:t>). Others where greater use might have been expected in an integrated system are little used.</w:t>
      </w:r>
      <w:r w:rsidR="00D77DD0" w:rsidRPr="003D243B">
        <w:rPr>
          <w:rStyle w:val="FootnoteReference"/>
        </w:rPr>
        <w:footnoteReference w:id="29"/>
      </w:r>
      <w:r>
        <w:t xml:space="preserve"> There were </w:t>
      </w:r>
      <w:r w:rsidR="00D77DD0">
        <w:t>less than 70 000 services involving case conferences, though these have been demonstrated as effective (box </w:t>
      </w:r>
      <w:r w:rsidR="001D30F0">
        <w:t>4.1; table A.4</w:t>
      </w:r>
      <w:r w:rsidR="00E974DB">
        <w:t xml:space="preserve"> in appendix A</w:t>
      </w:r>
      <w:r w:rsidR="00D77DD0">
        <w:t>).</w:t>
      </w:r>
      <w:r>
        <w:t xml:space="preserve"> </w:t>
      </w:r>
    </w:p>
    <w:p w14:paraId="1EA38E05" w14:textId="77777777" w:rsidR="00CC1559" w:rsidRDefault="00156BB4" w:rsidP="0043522D">
      <w:pPr>
        <w:pStyle w:val="BodyText"/>
      </w:pPr>
      <w:r>
        <w:t xml:space="preserve">Some of </w:t>
      </w:r>
      <w:r w:rsidR="00D31BC2">
        <w:t>the 40 plus MBS</w:t>
      </w:r>
      <w:r>
        <w:t xml:space="preserve"> items are </w:t>
      </w:r>
      <w:r w:rsidR="00D31BC2">
        <w:t>part</w:t>
      </w:r>
      <w:r>
        <w:t xml:space="preserve"> </w:t>
      </w:r>
      <w:r w:rsidR="00D31BC2">
        <w:t>of</w:t>
      </w:r>
      <w:r>
        <w:t xml:space="preserve"> the Practice Incentives Program</w:t>
      </w:r>
      <w:r w:rsidR="00CC6AA5">
        <w:t xml:space="preserve"> (PIP),</w:t>
      </w:r>
      <w:r>
        <w:t xml:space="preserve"> which</w:t>
      </w:r>
      <w:r w:rsidR="00D31BC2">
        <w:t>, a</w:t>
      </w:r>
      <w:r>
        <w:t xml:space="preserve">mong other objectives, was intended to encourage </w:t>
      </w:r>
      <w:r w:rsidR="008A3DBC">
        <w:t>general practices</w:t>
      </w:r>
      <w:r>
        <w:t xml:space="preserve"> to </w:t>
      </w:r>
      <w:r w:rsidR="00CC6AA5">
        <w:t>adopt e</w:t>
      </w:r>
      <w:r w:rsidR="00144A1A">
        <w:t>H</w:t>
      </w:r>
      <w:r w:rsidR="00CC6AA5">
        <w:t xml:space="preserve">ealth, review medications, </w:t>
      </w:r>
      <w:r>
        <w:t xml:space="preserve">manage </w:t>
      </w:r>
      <w:r w:rsidR="00D31BC2">
        <w:t>two chronic conditions (asthma, diabetes) and avo</w:t>
      </w:r>
      <w:r w:rsidR="00F0020A">
        <w:t>id the onset of cervical cancer (box </w:t>
      </w:r>
      <w:r w:rsidR="00E35C87">
        <w:t>6.1</w:t>
      </w:r>
      <w:r w:rsidR="00F0020A">
        <w:t>).</w:t>
      </w:r>
      <w:r w:rsidR="00CC6AA5">
        <w:t xml:space="preserve"> </w:t>
      </w:r>
    </w:p>
    <w:p w14:paraId="1EA38E06" w14:textId="77777777" w:rsidR="00940B8B" w:rsidRDefault="00940B8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940B8B" w14:paraId="1EA38E08" w14:textId="77777777" w:rsidTr="00653937">
        <w:tc>
          <w:tcPr>
            <w:tcW w:w="5000" w:type="pct"/>
            <w:tcBorders>
              <w:top w:val="single" w:sz="6" w:space="0" w:color="78A22F"/>
              <w:left w:val="nil"/>
              <w:bottom w:val="nil"/>
              <w:right w:val="nil"/>
            </w:tcBorders>
            <w:shd w:val="clear" w:color="auto" w:fill="F2F2F2"/>
          </w:tcPr>
          <w:p w14:paraId="1EA38E07" w14:textId="77777777" w:rsidR="00940B8B" w:rsidRDefault="00940B8B" w:rsidP="004A29CA">
            <w:pPr>
              <w:pStyle w:val="BoxTitle"/>
            </w:pPr>
            <w:r w:rsidRPr="00944790">
              <w:rPr>
                <w:b w:val="0"/>
              </w:rPr>
              <w:t xml:space="preserve">Box </w:t>
            </w:r>
            <w:r w:rsidR="00B82D32" w:rsidRPr="00944790">
              <w:rPr>
                <w:b w:val="0"/>
              </w:rPr>
              <w:t>6</w:t>
            </w:r>
            <w:r w:rsidR="004A29CA" w:rsidRPr="00944790">
              <w:rPr>
                <w:b w:val="0"/>
              </w:rPr>
              <w:t>.1</w:t>
            </w:r>
            <w:r w:rsidRPr="00AF098D">
              <w:tab/>
            </w:r>
            <w:r w:rsidR="00F0020A" w:rsidRPr="00AF098D">
              <w:t>The</w:t>
            </w:r>
            <w:r w:rsidR="00F0020A">
              <w:t xml:space="preserve"> Practice </w:t>
            </w:r>
            <w:r w:rsidR="00295ABD">
              <w:t>I</w:t>
            </w:r>
            <w:r w:rsidR="00F0020A">
              <w:t xml:space="preserve">ncentives Payment </w:t>
            </w:r>
          </w:p>
        </w:tc>
      </w:tr>
      <w:tr w:rsidR="00940B8B" w14:paraId="1EA38E0D" w14:textId="77777777" w:rsidTr="00653937">
        <w:tc>
          <w:tcPr>
            <w:tcW w:w="5000" w:type="pct"/>
            <w:tcBorders>
              <w:top w:val="nil"/>
              <w:left w:val="nil"/>
              <w:bottom w:val="nil"/>
              <w:right w:val="nil"/>
            </w:tcBorders>
            <w:shd w:val="clear" w:color="auto" w:fill="F2F2F2"/>
          </w:tcPr>
          <w:p w14:paraId="1EA38E09" w14:textId="77777777" w:rsidR="00F0020A" w:rsidRDefault="00F0020A" w:rsidP="00653937">
            <w:pPr>
              <w:pStyle w:val="Box"/>
            </w:pPr>
            <w:r w:rsidRPr="00F0020A">
              <w:t>The PIP provides blended payments for a variety of functions performed at the practice level. Apart from diabetes, asthma and cervical cancer screening, the payment covers a range of other activities, such as take</w:t>
            </w:r>
            <w:r w:rsidR="00006334">
              <w:t xml:space="preserve"> </w:t>
            </w:r>
            <w:r w:rsidRPr="00F0020A">
              <w:t>up of e</w:t>
            </w:r>
            <w:r w:rsidR="00144A1A">
              <w:t>H</w:t>
            </w:r>
            <w:r w:rsidRPr="00F0020A">
              <w:t>ealth, provision of after</w:t>
            </w:r>
            <w:r w:rsidR="009C49CA">
              <w:noBreakHyphen/>
            </w:r>
            <w:r w:rsidRPr="00F0020A">
              <w:t xml:space="preserve">hours service, teaching medical students, and quality prescribing, among others. </w:t>
            </w:r>
          </w:p>
          <w:p w14:paraId="1EA38E0A" w14:textId="77777777" w:rsidR="00F0020A" w:rsidRDefault="00F0020A" w:rsidP="00653937">
            <w:pPr>
              <w:pStyle w:val="Box"/>
            </w:pPr>
            <w:r w:rsidRPr="00F0020A">
              <w:t xml:space="preserve">For any given function, the PIP includes a payment for the entire practice, subject to it providing certain care services. The payment amount is based on the Standardised Whole Patient Equivalent (SWPE) value of a practice, which is the sum of the fractions of care provided to practice patients, weighted for the age and of each patient. The average practice has 1000 SPWE each year. </w:t>
            </w:r>
          </w:p>
          <w:p w14:paraId="1EA38E0B" w14:textId="77777777" w:rsidR="00F0020A" w:rsidRDefault="00050ABE" w:rsidP="00653937">
            <w:pPr>
              <w:pStyle w:val="Box"/>
            </w:pPr>
            <w:r>
              <w:t xml:space="preserve">Within </w:t>
            </w:r>
            <w:r w:rsidRPr="00F0020A">
              <w:t>a PIP registered practice</w:t>
            </w:r>
            <w:r>
              <w:t>,</w:t>
            </w:r>
            <w:r w:rsidR="00F0020A" w:rsidRPr="00F0020A">
              <w:t xml:space="preserve"> the relevant physicians who provides services </w:t>
            </w:r>
            <w:r w:rsidRPr="00F0020A">
              <w:t xml:space="preserve">will also receive payments </w:t>
            </w:r>
            <w:r w:rsidR="00F0020A" w:rsidRPr="00F0020A">
              <w:t>(so</w:t>
            </w:r>
            <w:r w:rsidR="009C49CA">
              <w:noBreakHyphen/>
            </w:r>
            <w:r w:rsidR="00F0020A" w:rsidRPr="00F0020A">
              <w:t xml:space="preserve">called Service Incentive Payments or SIPs). SIPs are paid in addition to the normal Medicare benefit for the particular items and require specific trigger </w:t>
            </w:r>
            <w:r w:rsidR="00AC55FD">
              <w:t>Medical Benefit Schedule</w:t>
            </w:r>
            <w:r w:rsidR="00F0020A" w:rsidRPr="00F0020A">
              <w:t xml:space="preserve"> item numbers to be billed. </w:t>
            </w:r>
          </w:p>
          <w:p w14:paraId="1EA38E0C" w14:textId="77777777" w:rsidR="00940B8B" w:rsidRDefault="00F0020A" w:rsidP="00653937">
            <w:pPr>
              <w:pStyle w:val="Box"/>
            </w:pPr>
            <w:r w:rsidRPr="00F0020A">
              <w:t>Accordingly, PIPs included a capitation based payment and a fee</w:t>
            </w:r>
            <w:r w:rsidR="009C49CA">
              <w:noBreakHyphen/>
            </w:r>
            <w:r w:rsidRPr="00F0020A">
              <w:t>for</w:t>
            </w:r>
            <w:r w:rsidR="009C49CA">
              <w:noBreakHyphen/>
            </w:r>
            <w:r w:rsidRPr="00F0020A">
              <w:t xml:space="preserve">service. To provide an illustration, under the PIP diabetes incentive a registered practice receives a sign on payment of $1 per SWPE, with the practice obliged to use a patient register and recall and reminder system for their patients with diabetes mellitus. The practice also receives a $20 per diabetic SWPE per year subject to there being at least 2% of practice patients diagnosed with diabetes mellitus and </w:t>
            </w:r>
            <w:r w:rsidR="00050ABE">
              <w:t>completion</w:t>
            </w:r>
            <w:r w:rsidRPr="00F0020A">
              <w:t xml:space="preserve"> of a diabetes cycle of care for at least 50% of these patients. The SIP is $40 per competed cycle of diabetes care per year.</w:t>
            </w:r>
          </w:p>
        </w:tc>
      </w:tr>
      <w:tr w:rsidR="00940B8B" w14:paraId="1EA38E0F" w14:textId="77777777" w:rsidTr="00653937">
        <w:tc>
          <w:tcPr>
            <w:tcW w:w="5000" w:type="pct"/>
            <w:tcBorders>
              <w:top w:val="nil"/>
              <w:left w:val="nil"/>
              <w:bottom w:val="single" w:sz="6" w:space="0" w:color="78A22F"/>
              <w:right w:val="nil"/>
            </w:tcBorders>
            <w:shd w:val="clear" w:color="auto" w:fill="F2F2F2"/>
          </w:tcPr>
          <w:p w14:paraId="1EA38E0E" w14:textId="77777777" w:rsidR="00940B8B" w:rsidRDefault="00940B8B">
            <w:pPr>
              <w:pStyle w:val="Box"/>
              <w:spacing w:before="0" w:line="120" w:lineRule="exact"/>
            </w:pPr>
          </w:p>
        </w:tc>
      </w:tr>
      <w:tr w:rsidR="00940B8B" w:rsidRPr="000863A5" w14:paraId="1EA38E11" w14:textId="77777777" w:rsidTr="00653937">
        <w:tc>
          <w:tcPr>
            <w:tcW w:w="5000" w:type="pct"/>
            <w:tcBorders>
              <w:top w:val="single" w:sz="6" w:space="0" w:color="78A22F"/>
              <w:left w:val="nil"/>
              <w:bottom w:val="nil"/>
              <w:right w:val="nil"/>
            </w:tcBorders>
          </w:tcPr>
          <w:p w14:paraId="1EA38E10" w14:textId="77777777" w:rsidR="00940B8B" w:rsidRPr="00626D32" w:rsidRDefault="00940B8B" w:rsidP="00653937">
            <w:pPr>
              <w:pStyle w:val="BoxSpaceBelow"/>
            </w:pPr>
          </w:p>
        </w:tc>
      </w:tr>
    </w:tbl>
    <w:p w14:paraId="1EA38E12" w14:textId="77777777" w:rsidR="00B978C7" w:rsidRDefault="00B978C7" w:rsidP="00B978C7">
      <w:pPr>
        <w:pStyle w:val="BodyText"/>
      </w:pPr>
      <w:r>
        <w:t>A practice can participate in any or all of the functions covered by the PIP. For the two chronic conditions, the PIP provides capitation payments to practices that commit to an annual cycle of care for a sufficient number of their patients, topped up by a fee</w:t>
      </w:r>
      <w:r>
        <w:noBreakHyphen/>
        <w:t>for</w:t>
      </w:r>
      <w:r>
        <w:noBreakHyphen/>
        <w:t>service for the actual services provided to patients. The capitation payment allows the practice to invest in capacity for addressing the condition. The PIP is accompanied by various other incentive programs, such as the Practice Nurse Incentive Program (PNIP), which co</w:t>
      </w:r>
      <w:r>
        <w:noBreakHyphen/>
        <w:t>funds employment of practice nurses and a wide range of allied health professionals (such as dieticians, diabetes educators and podiatrists). The PNIP moves practices towards more efficient use of scarce professional skills, while under a standard fee</w:t>
      </w:r>
      <w:r>
        <w:noBreakHyphen/>
        <w:t>for</w:t>
      </w:r>
      <w:r>
        <w:noBreakHyphen/>
        <w:t>service model, GPs risk facing financial losses if they substitute from a more highly remunerated service to a lower cost substitute service.</w:t>
      </w:r>
    </w:p>
    <w:p w14:paraId="1EA38E13" w14:textId="77777777" w:rsidR="00B82AE4" w:rsidRDefault="00B82AE4" w:rsidP="00B82AE4">
      <w:pPr>
        <w:pStyle w:val="BodyText"/>
      </w:pPr>
      <w:r>
        <w:t xml:space="preserve">When first introduced, the Practice Incentives Program was associated with a spike in standards of care, but GP uptake fell, in large part because of its administrative complexity </w:t>
      </w:r>
      <w:r w:rsidR="00C65A42" w:rsidRPr="00C65A42">
        <w:rPr>
          <w:szCs w:val="24"/>
        </w:rPr>
        <w:t>(Kecmanovic and Hall 2015; Swerissen and Duckett 2016)</w:t>
      </w:r>
      <w:r>
        <w:t xml:space="preserve">. A major concern too </w:t>
      </w:r>
      <w:r w:rsidR="008A3DBC">
        <w:t>was</w:t>
      </w:r>
      <w:r>
        <w:t xml:space="preserve"> that the number of people with the relevant chronic conditions who were engaged in the </w:t>
      </w:r>
      <w:r w:rsidR="00AC55FD">
        <w:t>PIP</w:t>
      </w:r>
      <w:r>
        <w:t xml:space="preserve"> was a fraction of those needing help. </w:t>
      </w:r>
    </w:p>
    <w:p w14:paraId="1EA38E14" w14:textId="77777777" w:rsidR="00B82AE4" w:rsidRDefault="00B82AE4" w:rsidP="0043522D">
      <w:pPr>
        <w:pStyle w:val="BodyText"/>
      </w:pPr>
      <w:r>
        <w:t>The PIP is changing in a positive way (</w:t>
      </w:r>
      <w:r w:rsidR="00837FC2">
        <w:t>as discussed</w:t>
      </w:r>
      <w:r>
        <w:t xml:space="preserve"> below), but the fact that it ever took the form that it did is revealing of the capricious character of incentives for health care in Australia, as is the miscellany of MBS payments and other incentives devoted to prevention and chronic condition management. Why for example, did the PIP focus on asthma, diabetes and cervical cancer? Accidental falls, melanoma, affective disorders, dementia</w:t>
      </w:r>
      <w:r w:rsidR="00663E93">
        <w:t>, malnutrition amongst the elderly,</w:t>
      </w:r>
      <w:r>
        <w:t xml:space="preserve"> and many other preventable or manageable disorders could have been justifiably included. </w:t>
      </w:r>
    </w:p>
    <w:p w14:paraId="1EA38E15" w14:textId="77777777" w:rsidR="00E03ABB" w:rsidRDefault="00143E7E" w:rsidP="0043522D">
      <w:pPr>
        <w:pStyle w:val="BodyText"/>
      </w:pPr>
      <w:r>
        <w:t xml:space="preserve">Following a consultation paper in late 2016 </w:t>
      </w:r>
      <w:r w:rsidR="00F26CC2" w:rsidRPr="00F26CC2">
        <w:rPr>
          <w:szCs w:val="24"/>
        </w:rPr>
        <w:t>(DoH 2016c)</w:t>
      </w:r>
      <w:r>
        <w:t xml:space="preserve">, the Australian Government is making changes to the program that will reduce complexity and be more oriented to quality outcomes (underpinned by mandatory data collection that substantiate that these have occurred). Following its commencement in May 2018, the Government intends that the new program — the </w:t>
      </w:r>
      <w:r w:rsidRPr="006B1D0A">
        <w:t>PIP Quality Improvement (QI) Incentive</w:t>
      </w:r>
      <w:r>
        <w:t xml:space="preserve"> </w:t>
      </w:r>
      <w:r w:rsidR="0022105F">
        <w:t xml:space="preserve">(PIPQII) </w:t>
      </w:r>
      <w:r>
        <w:t xml:space="preserve">— </w:t>
      </w:r>
      <w:r w:rsidR="007172C4">
        <w:t xml:space="preserve">will </w:t>
      </w:r>
      <w:r>
        <w:t xml:space="preserve">combine current incentives relating to </w:t>
      </w:r>
      <w:r w:rsidRPr="006B1D0A">
        <w:t>Asthma, Quality Prescribing, Cervical Screening, Diabetes, and General Practitioner Aged Care Access</w:t>
      </w:r>
      <w:r>
        <w:t xml:space="preserve"> into a single QI incentive that leaves GPs with more flexibility to choose aspects of care that are important to them and to target the high</w:t>
      </w:r>
      <w:r>
        <w:noBreakHyphen/>
        <w:t>risk sub</w:t>
      </w:r>
      <w:r>
        <w:noBreakHyphen/>
        <w:t>groups specific to their local area.</w:t>
      </w:r>
      <w:r w:rsidRPr="003D243B">
        <w:rPr>
          <w:rStyle w:val="FootnoteReference"/>
        </w:rPr>
        <w:footnoteReference w:id="30"/>
      </w:r>
      <w:r w:rsidR="00A26A97">
        <w:t xml:space="preserve"> </w:t>
      </w:r>
    </w:p>
    <w:p w14:paraId="1EA38E16" w14:textId="77777777" w:rsidR="00143E7E" w:rsidRDefault="0022105F" w:rsidP="0043522D">
      <w:pPr>
        <w:pStyle w:val="BodyText"/>
      </w:pPr>
      <w:r>
        <w:t xml:space="preserve">The details have not yet been fully specified, but the PIPQII is heading towards the </w:t>
      </w:r>
      <w:r w:rsidR="002F55EB">
        <w:t xml:space="preserve">funding </w:t>
      </w:r>
      <w:r>
        <w:t xml:space="preserve">model favoured by the Commission. </w:t>
      </w:r>
      <w:r w:rsidR="00E03ABB">
        <w:t>However, it will be still surrounded by a sea of fee</w:t>
      </w:r>
      <w:r w:rsidR="00E03ABB">
        <w:noBreakHyphen/>
        <w:t>for</w:t>
      </w:r>
      <w:r w:rsidR="00E03ABB">
        <w:noBreakHyphen/>
        <w:t xml:space="preserve">service MBS payments directed at many of the same chronic conditions that are the </w:t>
      </w:r>
      <w:r w:rsidR="0051696D">
        <w:t>focus</w:t>
      </w:r>
      <w:r w:rsidR="00E03ABB">
        <w:t xml:space="preserve"> of th</w:t>
      </w:r>
      <w:r w:rsidR="0051696D">
        <w:t>at</w:t>
      </w:r>
      <w:r w:rsidR="00E03ABB">
        <w:t xml:space="preserve"> program</w:t>
      </w:r>
      <w:r w:rsidR="0051696D">
        <w:t xml:space="preserve"> and </w:t>
      </w:r>
      <w:r w:rsidR="00E03ABB">
        <w:t>the capitation model underpinning Health Care Homes.</w:t>
      </w:r>
      <w:r w:rsidR="00F61D36">
        <w:t xml:space="preserve"> </w:t>
      </w:r>
    </w:p>
    <w:p w14:paraId="1EA38E17" w14:textId="77777777" w:rsidR="006B1D0A" w:rsidRDefault="00693F86" w:rsidP="0043522D">
      <w:pPr>
        <w:pStyle w:val="BodyText"/>
      </w:pPr>
      <w:r>
        <w:t>Given this</w:t>
      </w:r>
      <w:r w:rsidR="00D84960">
        <w:t>, t</w:t>
      </w:r>
      <w:r w:rsidR="00F61D36">
        <w:t xml:space="preserve">here are several directions </w:t>
      </w:r>
      <w:r w:rsidR="00613E8B">
        <w:t xml:space="preserve">for </w:t>
      </w:r>
      <w:r w:rsidR="00F61D36">
        <w:t>creat</w:t>
      </w:r>
      <w:r w:rsidR="00613E8B">
        <w:t>ing</w:t>
      </w:r>
      <w:r w:rsidR="00F61D36">
        <w:t xml:space="preserve"> a more coherent system for funding and governing </w:t>
      </w:r>
      <w:r w:rsidR="00514A57">
        <w:t>integrated</w:t>
      </w:r>
      <w:r w:rsidR="00D84960">
        <w:t xml:space="preserve"> care</w:t>
      </w:r>
      <w:r w:rsidR="00613E8B">
        <w:t>.</w:t>
      </w:r>
    </w:p>
    <w:p w14:paraId="1EA38E18" w14:textId="77777777" w:rsidR="00514A57" w:rsidRDefault="00514A57" w:rsidP="00613E8B">
      <w:pPr>
        <w:pStyle w:val="Heading4"/>
        <w:numPr>
          <w:ilvl w:val="0"/>
          <w:numId w:val="38"/>
        </w:numPr>
        <w:ind w:left="426" w:hanging="426"/>
      </w:pPr>
      <w:r>
        <w:t>Pooled funding</w:t>
      </w:r>
    </w:p>
    <w:p w14:paraId="1EA38E19" w14:textId="77777777" w:rsidR="00AC3D48" w:rsidRDefault="00514A57" w:rsidP="00514A57">
      <w:pPr>
        <w:pStyle w:val="BodyText"/>
      </w:pPr>
      <w:r w:rsidRPr="00514A57">
        <w:t>Under a pooled funding model, the Austra</w:t>
      </w:r>
      <w:r w:rsidR="001E704C">
        <w:t>l</w:t>
      </w:r>
      <w:r w:rsidRPr="00514A57">
        <w:t xml:space="preserve">ian Government would </w:t>
      </w:r>
      <w:r w:rsidR="00F61D36" w:rsidRPr="00514A57">
        <w:t xml:space="preserve">allocate the expected funding of </w:t>
      </w:r>
      <w:r w:rsidR="00644E50" w:rsidRPr="00514A57">
        <w:t>the PNIP, the PIPQII and all MBS items directly related to prevention and management of chronic conditions</w:t>
      </w:r>
      <w:r w:rsidR="00F61D36" w:rsidRPr="00514A57">
        <w:t xml:space="preserve"> to </w:t>
      </w:r>
      <w:r w:rsidR="00050ABE">
        <w:t>PHN</w:t>
      </w:r>
      <w:r w:rsidR="00F61D36" w:rsidRPr="00514A57">
        <w:t>s</w:t>
      </w:r>
      <w:r w:rsidR="00644E50" w:rsidRPr="00514A57">
        <w:t xml:space="preserve"> (or at least choose some from this suite of payments). </w:t>
      </w:r>
      <w:r w:rsidR="00CB2BE0">
        <w:t xml:space="preserve">The allocation would be based on the usage of these items at the regional level in the year of commencement. </w:t>
      </w:r>
    </w:p>
    <w:p w14:paraId="1EA38E1A" w14:textId="77777777" w:rsidR="004320CF" w:rsidRDefault="004320CF" w:rsidP="004320CF">
      <w:pPr>
        <w:pStyle w:val="BodyText"/>
      </w:pPr>
      <w:r>
        <w:t xml:space="preserve">In its consultation paper concerning reform of the PIP, </w:t>
      </w:r>
      <w:r w:rsidRPr="00514A57">
        <w:t xml:space="preserve">the Australian Government floated the option that the </w:t>
      </w:r>
      <w:r>
        <w:t xml:space="preserve">funds </w:t>
      </w:r>
      <w:r w:rsidRPr="00514A57">
        <w:t xml:space="preserve">could be allocated to </w:t>
      </w:r>
      <w:r w:rsidR="00050ABE">
        <w:t>PHN</w:t>
      </w:r>
      <w:r w:rsidRPr="00514A57">
        <w:t xml:space="preserve">s — </w:t>
      </w:r>
      <w:r>
        <w:t xml:space="preserve">which was </w:t>
      </w:r>
      <w:r w:rsidRPr="00514A57">
        <w:t xml:space="preserve">supported by the Consumers Health Forum </w:t>
      </w:r>
      <w:r w:rsidR="00C65A42" w:rsidRPr="00C65A42">
        <w:rPr>
          <w:szCs w:val="24"/>
        </w:rPr>
        <w:t>(CHF 2016)</w:t>
      </w:r>
      <w:r w:rsidRPr="00514A57">
        <w:t>. The Forum noted that this</w:t>
      </w:r>
      <w:r w:rsidR="009C49CA">
        <w:t>:</w:t>
      </w:r>
      <w:r w:rsidRPr="00514A57">
        <w:t xml:space="preserve"> </w:t>
      </w:r>
    </w:p>
    <w:p w14:paraId="1EA38E1B" w14:textId="77777777" w:rsidR="004320CF" w:rsidRDefault="004320CF" w:rsidP="004320CF">
      <w:pPr>
        <w:pStyle w:val="Quote"/>
      </w:pPr>
      <w:r>
        <w:t xml:space="preserve">… </w:t>
      </w:r>
      <w:r w:rsidRPr="004320CF">
        <w:t>fits with the desirability of promoting both quality general practice generally, but also practice readiness for any wider, national rollout of health care home models of care where it will be critical for practices to have good profiles of their practice populations, greater data literacy and analytics capability in order to take a more sophisticated approach to practice development, redesign, improvement etc as well as monitor patient outcomes.</w:t>
      </w:r>
      <w:r>
        <w:t xml:space="preserve"> (p. 3)</w:t>
      </w:r>
    </w:p>
    <w:p w14:paraId="1EA38E1C" w14:textId="77777777" w:rsidR="00D81FE2" w:rsidRDefault="00F61D36" w:rsidP="004320CF">
      <w:pPr>
        <w:pStyle w:val="BodyText"/>
      </w:pPr>
      <w:r w:rsidRPr="00514A57">
        <w:t xml:space="preserve">There is </w:t>
      </w:r>
      <w:r w:rsidR="004320CF">
        <w:t xml:space="preserve">also a recent </w:t>
      </w:r>
      <w:r w:rsidRPr="00514A57">
        <w:t xml:space="preserve">precedent for </w:t>
      </w:r>
      <w:r w:rsidR="00E611B6">
        <w:t>pooling program funds and shifting them from centralised allocation to delivery at the regional level</w:t>
      </w:r>
      <w:r w:rsidRPr="00514A57">
        <w:t xml:space="preserve">. </w:t>
      </w:r>
      <w:r w:rsidR="00420502">
        <w:t>In mid</w:t>
      </w:r>
      <w:r w:rsidR="00420502">
        <w:noBreakHyphen/>
        <w:t>2016, t</w:t>
      </w:r>
      <w:r w:rsidRPr="00514A57">
        <w:t xml:space="preserve">he Australian Government </w:t>
      </w:r>
      <w:r w:rsidR="00420502">
        <w:t xml:space="preserve">commenced the </w:t>
      </w:r>
      <w:r w:rsidR="00430102">
        <w:t>three</w:t>
      </w:r>
      <w:r w:rsidR="00E611B6">
        <w:noBreakHyphen/>
      </w:r>
      <w:r w:rsidR="00430102">
        <w:t xml:space="preserve">year </w:t>
      </w:r>
      <w:r w:rsidR="00420502">
        <w:t>transition from centralised</w:t>
      </w:r>
      <w:r w:rsidR="00420502" w:rsidRPr="00420502">
        <w:t xml:space="preserve"> </w:t>
      </w:r>
      <w:r w:rsidR="00420502">
        <w:t xml:space="preserve">delivery and funding of mental health </w:t>
      </w:r>
      <w:r w:rsidR="00ED3545">
        <w:t xml:space="preserve">to </w:t>
      </w:r>
      <w:r w:rsidR="00420502">
        <w:t xml:space="preserve">a devolved model </w:t>
      </w:r>
      <w:r w:rsidR="00430102">
        <w:t>in which PHNs could draw from the ‘</w:t>
      </w:r>
      <w:r w:rsidR="00430102" w:rsidRPr="00D81FE2">
        <w:t>Primary Mental Health Care flexible funding pool</w:t>
      </w:r>
      <w:r w:rsidR="00430102">
        <w:t>’</w:t>
      </w:r>
      <w:r w:rsidR="00D81FE2">
        <w:t xml:space="preserve"> </w:t>
      </w:r>
      <w:r w:rsidR="00430102">
        <w:t>to commission services at the local level</w:t>
      </w:r>
      <w:r w:rsidR="00CA3FF5">
        <w:t xml:space="preserve"> </w:t>
      </w:r>
      <w:r w:rsidR="00F26CC2" w:rsidRPr="00F26CC2">
        <w:rPr>
          <w:szCs w:val="24"/>
        </w:rPr>
        <w:t>(DoH 2016f, 2017b, p. 63)</w:t>
      </w:r>
      <w:r w:rsidR="00D81FE2">
        <w:t xml:space="preserve">. </w:t>
      </w:r>
      <w:r w:rsidR="00CA3FF5">
        <w:t>This is not a small change. I</w:t>
      </w:r>
      <w:r w:rsidR="004320CF">
        <w:t>t</w:t>
      </w:r>
      <w:r w:rsidR="00D81FE2" w:rsidRPr="00D81FE2">
        <w:t xml:space="preserve"> will provide PHNs with approximately </w:t>
      </w:r>
      <w:r w:rsidR="00430102">
        <w:t>$1</w:t>
      </w:r>
      <w:r w:rsidR="004320CF">
        <w:t> </w:t>
      </w:r>
      <w:r w:rsidR="00D81FE2" w:rsidRPr="00D81FE2">
        <w:t>billion over th</w:t>
      </w:r>
      <w:r w:rsidR="00D81FE2">
        <w:t>ree years commencing in 2016</w:t>
      </w:r>
      <w:r w:rsidR="009C49CA">
        <w:noBreakHyphen/>
      </w:r>
      <w:r w:rsidR="00D81FE2">
        <w:t>17</w:t>
      </w:r>
      <w:r w:rsidR="00523104">
        <w:t xml:space="preserve">. </w:t>
      </w:r>
    </w:p>
    <w:p w14:paraId="1EA38E1D" w14:textId="77777777" w:rsidR="00523104" w:rsidRDefault="00CA3FF5" w:rsidP="00514A57">
      <w:pPr>
        <w:pStyle w:val="BodyText"/>
      </w:pPr>
      <w:r>
        <w:t>T</w:t>
      </w:r>
      <w:r w:rsidR="00D81FE2">
        <w:t xml:space="preserve">he Australian Government’s </w:t>
      </w:r>
      <w:r w:rsidR="00ED3545">
        <w:t xml:space="preserve">reasoning </w:t>
      </w:r>
      <w:r w:rsidR="00D81FE2">
        <w:t xml:space="preserve">for </w:t>
      </w:r>
      <w:r w:rsidR="00430102">
        <w:t xml:space="preserve">mental health </w:t>
      </w:r>
      <w:r w:rsidR="00D81FE2">
        <w:t>pooling</w:t>
      </w:r>
      <w:r>
        <w:t xml:space="preserve"> is that</w:t>
      </w:r>
      <w:r w:rsidR="00ED3545">
        <w:t>:</w:t>
      </w:r>
    </w:p>
    <w:p w14:paraId="1EA38E1E" w14:textId="77777777" w:rsidR="00ED3545" w:rsidRDefault="00ED3545" w:rsidP="00ED3545">
      <w:pPr>
        <w:pStyle w:val="Quote"/>
      </w:pPr>
      <w:r>
        <w:t>To successfully deliver a stepped care model it must be recognised there are individual needs and challenges that are specific to communities that do not always fit the one</w:t>
      </w:r>
      <w:r w:rsidR="009C49CA">
        <w:noBreakHyphen/>
      </w:r>
      <w:r>
        <w:t>size</w:t>
      </w:r>
      <w:r w:rsidR="009C49CA">
        <w:noBreakHyphen/>
      </w:r>
      <w:r>
        <w:t>fits</w:t>
      </w:r>
      <w:r w:rsidR="009C49CA">
        <w:noBreakHyphen/>
      </w:r>
      <w:r>
        <w:t>all model of service delivery run from Canberra. What works in Brisbane may not work in Broken Hill. Service providers operating in Adelaide may not consider it viable to operate in Albury. … Service delivery [will shift] from Canberra to local communities through the 31 Primary Health Networks across the country. PHNs will be put in charge of commissioning the mental health services they consider necessary and appropriate to the needs of their local communities</w:t>
      </w:r>
      <w:r w:rsidR="009C49CA">
        <w:t xml:space="preserve"> </w:t>
      </w:r>
      <w:r>
        <w:t>… For example, decisions about the youth mental health services required in a local community will now be made by that local community, not Canberra. … The funding will be made up of: ATAPS; Early Psychosis Prevention &amp; Intervention Centres (EPPIC); Headspace service delivery (national office to remain); Mental Health Nurse Incentive Programme; Mental Health Services in Rural and Remote Areas; and various fragmented Suicide Prevention programmes.</w:t>
      </w:r>
      <w:r w:rsidR="00931EC5">
        <w:t xml:space="preserve"> </w:t>
      </w:r>
      <w:r w:rsidR="00C65A42" w:rsidRPr="00C65A42">
        <w:rPr>
          <w:szCs w:val="24"/>
        </w:rPr>
        <w:t>(Ley 2015)</w:t>
      </w:r>
    </w:p>
    <w:p w14:paraId="1EA38E1F" w14:textId="77777777" w:rsidR="0066129C" w:rsidRDefault="00CA3FF5" w:rsidP="00514A57">
      <w:pPr>
        <w:pStyle w:val="BodyText"/>
      </w:pPr>
      <w:r>
        <w:t xml:space="preserve">This reasoning applies with equal force to primary health services generally. </w:t>
      </w:r>
    </w:p>
    <w:p w14:paraId="1EA38E20" w14:textId="77777777" w:rsidR="00B5210E" w:rsidRDefault="0066129C" w:rsidP="00514A57">
      <w:pPr>
        <w:pStyle w:val="BodyText"/>
      </w:pPr>
      <w:r>
        <w:t>In further support of that reasoning, b</w:t>
      </w:r>
      <w:r w:rsidR="00A7513C">
        <w:t xml:space="preserve">ecause PHNs are on the ground, they are </w:t>
      </w:r>
      <w:r>
        <w:t>well</w:t>
      </w:r>
      <w:r w:rsidR="00A7513C">
        <w:t xml:space="preserve"> placed to promote </w:t>
      </w:r>
      <w:r>
        <w:t>government policy in their locality. For example, the Australian Atlas of Healthcare Variation may indicate a comparatively high rate of treatments in the PHN’s region, but the PHN is positioned to explore the extent to which that rate is warranted, including through its contacts with individual clinicians.</w:t>
      </w:r>
    </w:p>
    <w:p w14:paraId="1EA38E21" w14:textId="77777777" w:rsidR="004F2875" w:rsidRDefault="00B5210E" w:rsidP="00514A57">
      <w:pPr>
        <w:pStyle w:val="BodyText"/>
      </w:pPr>
      <w:r>
        <w:t>In combination with the PCCMFs discussed earlier, s</w:t>
      </w:r>
      <w:r w:rsidR="004320CF">
        <w:t>hifting to a pooled funding approach for prevention and management of chronic condition</w:t>
      </w:r>
      <w:r w:rsidR="00A63CBE">
        <w:t>s</w:t>
      </w:r>
      <w:r w:rsidR="00644E50" w:rsidRPr="00514A57">
        <w:t xml:space="preserve"> would </w:t>
      </w:r>
      <w:r w:rsidR="004320CF">
        <w:t xml:space="preserve">allow </w:t>
      </w:r>
      <w:r w:rsidR="004320CF" w:rsidRPr="00514A57">
        <w:t>PH</w:t>
      </w:r>
      <w:r>
        <w:t>N</w:t>
      </w:r>
      <w:r w:rsidR="004320CF" w:rsidRPr="00514A57">
        <w:t>s and LH</w:t>
      </w:r>
      <w:r>
        <w:t>N</w:t>
      </w:r>
      <w:r w:rsidR="004320CF" w:rsidRPr="00514A57">
        <w:t xml:space="preserve">s </w:t>
      </w:r>
      <w:r w:rsidR="004320CF">
        <w:t>to commission services through flexible localised funding</w:t>
      </w:r>
      <w:r w:rsidR="004320CF" w:rsidRPr="00514A57">
        <w:t xml:space="preserve"> models</w:t>
      </w:r>
      <w:r w:rsidR="004320CF">
        <w:t>,</w:t>
      </w:r>
      <w:r w:rsidR="004320CF" w:rsidRPr="00514A57">
        <w:t xml:space="preserve"> </w:t>
      </w:r>
      <w:r w:rsidR="00644E50" w:rsidRPr="00514A57">
        <w:t>avoid</w:t>
      </w:r>
      <w:r w:rsidR="004320CF">
        <w:t>ing</w:t>
      </w:r>
      <w:r w:rsidR="00644E50" w:rsidRPr="00514A57">
        <w:t xml:space="preserve"> the rigidities of the current system</w:t>
      </w:r>
      <w:r w:rsidR="004B6F7D">
        <w:t xml:space="preserve">. </w:t>
      </w:r>
      <w:r w:rsidR="00A63CBE">
        <w:t xml:space="preserve">They could specify different prices, incentives and </w:t>
      </w:r>
      <w:r w:rsidR="00644E50" w:rsidRPr="00514A57">
        <w:t>bundles of services</w:t>
      </w:r>
      <w:r w:rsidR="00A63CBE">
        <w:t xml:space="preserve"> compared with </w:t>
      </w:r>
      <w:r w:rsidR="00644E50" w:rsidRPr="00514A57">
        <w:t xml:space="preserve">those determined </w:t>
      </w:r>
      <w:r w:rsidR="004B6F7D">
        <w:t xml:space="preserve">centrally </w:t>
      </w:r>
      <w:r w:rsidR="00644E50" w:rsidRPr="00514A57">
        <w:t xml:space="preserve">by the Australian Government under the MBS/PIPQII/PNIP </w:t>
      </w:r>
      <w:r w:rsidR="002B5101">
        <w:t>and</w:t>
      </w:r>
      <w:r w:rsidR="00644E50" w:rsidRPr="00514A57">
        <w:t xml:space="preserve"> Health Care Homes programs. </w:t>
      </w:r>
      <w:r w:rsidR="004F2875">
        <w:t>They could also broker (and potentially co</w:t>
      </w:r>
      <w:r w:rsidR="009C49CA">
        <w:noBreakHyphen/>
      </w:r>
      <w:r w:rsidR="004F2875">
        <w:t>fund) cooperative health initiatives with third parties that also want better health outcomes, including local government, various allied health pr</w:t>
      </w:r>
      <w:r>
        <w:t xml:space="preserve">ofessionals, schools, employers, </w:t>
      </w:r>
      <w:r w:rsidR="004F2875">
        <w:t xml:space="preserve">private </w:t>
      </w:r>
      <w:r w:rsidR="00A63CBE">
        <w:t xml:space="preserve">health </w:t>
      </w:r>
      <w:r w:rsidR="004F2875">
        <w:t>insurers</w:t>
      </w:r>
      <w:r>
        <w:t xml:space="preserve"> and social entrepreneurs</w:t>
      </w:r>
      <w:r w:rsidR="004F2875">
        <w:t xml:space="preserve">. </w:t>
      </w:r>
      <w:r>
        <w:t xml:space="preserve">In the latter instance, PHNs and LHNs could be equity partners in social bonds. </w:t>
      </w:r>
      <w:r w:rsidR="004F2875">
        <w:t xml:space="preserve">Subject to changes in ABF (as discussed </w:t>
      </w:r>
      <w:r w:rsidR="00A021CF">
        <w:t>earlier</w:t>
      </w:r>
      <w:r w:rsidR="004F2875">
        <w:t>), LH</w:t>
      </w:r>
      <w:r>
        <w:t>N</w:t>
      </w:r>
      <w:r w:rsidR="004F2875">
        <w:t xml:space="preserve">s would have incentives to identify and fund initiatives that would reduce </w:t>
      </w:r>
      <w:r w:rsidR="00387217">
        <w:t>hospitalisation</w:t>
      </w:r>
      <w:r w:rsidR="004F2875">
        <w:t xml:space="preserve"> rates (and stay durations). </w:t>
      </w:r>
    </w:p>
    <w:p w14:paraId="1EA38E22" w14:textId="77777777" w:rsidR="00AC3D48" w:rsidRDefault="00AC3D48" w:rsidP="00AC3D48">
      <w:pPr>
        <w:pStyle w:val="BodyText"/>
      </w:pPr>
      <w:r>
        <w:t xml:space="preserve">The PHN funding model could extend beyond that envisaged above to more closely parallel the funding model for LHNs, though this would require more policy analysis before </w:t>
      </w:r>
      <w:r w:rsidR="00AA19BA">
        <w:t>implementation</w:t>
      </w:r>
      <w:r>
        <w:t>. The skeletal features of this model would be:</w:t>
      </w:r>
    </w:p>
    <w:p w14:paraId="1EA38E23" w14:textId="77777777" w:rsidR="00AC3D48" w:rsidRDefault="00AC3D48" w:rsidP="00B82D32">
      <w:pPr>
        <w:pStyle w:val="ListBullet"/>
      </w:pPr>
      <w:r>
        <w:t xml:space="preserve">The Australian Government would develop and publish key performance indicators of PHN’s impacts on hospitalisation rates, and the degree to which they have disseminated best practice in general practice, the use of diagnostics and prescription of pharmaceuticals. This might extend to indicators of key regional health outcomes, after adjusting for changes in socioeconomic and other demographic factors. A complexity here is separating these effects from those initiated by LHNs, though this might be more tractable in alliance models in which both entities are </w:t>
      </w:r>
      <w:r w:rsidR="00AA19BA">
        <w:t>contributing ideas and funding</w:t>
      </w:r>
      <w:r>
        <w:t xml:space="preserve">. </w:t>
      </w:r>
      <w:r w:rsidR="00CF68DE">
        <w:t>Regardless of any linkage to funding, it makes sense to still develop the indicators because these will assist PHNs in targeting their efforts and provide the Australian Government with evidence of their effectiveness.</w:t>
      </w:r>
    </w:p>
    <w:p w14:paraId="1EA38E24" w14:textId="77777777" w:rsidR="00AC3D48" w:rsidRDefault="00AC3D48" w:rsidP="00B82D32">
      <w:pPr>
        <w:pStyle w:val="ListBullet"/>
      </w:pPr>
      <w:r>
        <w:t>Just as in the funding approach described above for LHNs, a PHN that achieved its key performance indicators could be provided with access to additional funds. This would allow it to reinvest a portion of the dividends that its investments have helped generate.</w:t>
      </w:r>
    </w:p>
    <w:p w14:paraId="1EA38E25" w14:textId="77777777" w:rsidR="00E10D81" w:rsidRDefault="00E10D81" w:rsidP="00613E8B">
      <w:pPr>
        <w:pStyle w:val="Heading4"/>
        <w:numPr>
          <w:ilvl w:val="0"/>
          <w:numId w:val="38"/>
        </w:numPr>
        <w:ind w:left="426" w:hanging="426"/>
      </w:pPr>
      <w:r>
        <w:t>Build new health package</w:t>
      </w:r>
      <w:r w:rsidR="00613E8B">
        <w:t>s</w:t>
      </w:r>
      <w:r>
        <w:t xml:space="preserve"> through clever combinations </w:t>
      </w:r>
      <w:r w:rsidR="00AB1511">
        <w:t xml:space="preserve">by cooperating parties </w:t>
      </w:r>
      <w:r>
        <w:t>of existing discrete payments</w:t>
      </w:r>
      <w:r w:rsidR="00E9717C">
        <w:t xml:space="preserve"> </w:t>
      </w:r>
    </w:p>
    <w:p w14:paraId="1EA38E26" w14:textId="77777777" w:rsidR="00E10D81" w:rsidRDefault="00E10D81" w:rsidP="00E10D81">
      <w:pPr>
        <w:pStyle w:val="BodyText"/>
      </w:pPr>
      <w:r>
        <w:t xml:space="preserve">A second option would </w:t>
      </w:r>
      <w:r w:rsidR="00644E50">
        <w:t xml:space="preserve">leave </w:t>
      </w:r>
      <w:r w:rsidR="00D441F8">
        <w:t xml:space="preserve">the MBS, PIPQII and PNIP </w:t>
      </w:r>
      <w:r w:rsidR="00644E50">
        <w:t xml:space="preserve">as they are, but </w:t>
      </w:r>
      <w:r w:rsidR="002E7FE3">
        <w:t>(somewhat</w:t>
      </w:r>
      <w:r w:rsidR="00960FDF" w:rsidRPr="003D243B">
        <w:rPr>
          <w:rStyle w:val="FootnoteReference"/>
        </w:rPr>
        <w:footnoteReference w:id="31"/>
      </w:r>
      <w:r w:rsidR="002E7FE3">
        <w:t xml:space="preserve">) </w:t>
      </w:r>
      <w:r w:rsidR="00644E50">
        <w:t xml:space="preserve">augment the funding of </w:t>
      </w:r>
      <w:r w:rsidR="009E039C">
        <w:t>PHN</w:t>
      </w:r>
      <w:r w:rsidR="00644E50">
        <w:t>s so that they can more effectively partner with LH</w:t>
      </w:r>
      <w:r w:rsidR="0029274C">
        <w:t>N</w:t>
      </w:r>
      <w:r w:rsidR="00644E50">
        <w:t>s</w:t>
      </w:r>
      <w:r w:rsidR="002E7FE3">
        <w:t xml:space="preserve"> and primary care</w:t>
      </w:r>
      <w:r w:rsidR="00644E50">
        <w:t>.</w:t>
      </w:r>
    </w:p>
    <w:p w14:paraId="1EA38E27" w14:textId="77777777" w:rsidR="003E0231" w:rsidRDefault="00644E50" w:rsidP="00E10D81">
      <w:pPr>
        <w:pStyle w:val="BodyText"/>
      </w:pPr>
      <w:r>
        <w:t xml:space="preserve">Under this approach, </w:t>
      </w:r>
      <w:r w:rsidR="004B6F7D">
        <w:t xml:space="preserve">by carefully assembling the discrete </w:t>
      </w:r>
      <w:r w:rsidR="00AB1511">
        <w:t>elements</w:t>
      </w:r>
      <w:r w:rsidR="004B6F7D">
        <w:t xml:space="preserve"> of all of the payment streams, i</w:t>
      </w:r>
      <w:r>
        <w:t xml:space="preserve">t would still be possible to craft innovative </w:t>
      </w:r>
      <w:r w:rsidR="002E7FE3">
        <w:t>primary care initiatives</w:t>
      </w:r>
      <w:r w:rsidR="00F25F1F">
        <w:t xml:space="preserve"> </w:t>
      </w:r>
      <w:r w:rsidR="00E9717C">
        <w:t>witho</w:t>
      </w:r>
      <w:r w:rsidR="00C715B7">
        <w:t>ut pooling funding through P</w:t>
      </w:r>
      <w:r w:rsidR="009E039C">
        <w:t>HN</w:t>
      </w:r>
      <w:r w:rsidR="00C715B7">
        <w:t>s:</w:t>
      </w:r>
    </w:p>
    <w:p w14:paraId="1EA38E28" w14:textId="77777777" w:rsidR="003E0231" w:rsidRDefault="00AB1511" w:rsidP="00F61D36">
      <w:pPr>
        <w:pStyle w:val="BodyText"/>
        <w:numPr>
          <w:ilvl w:val="0"/>
          <w:numId w:val="36"/>
        </w:numPr>
      </w:pPr>
      <w:r>
        <w:t xml:space="preserve">the MBS sets compensation rates for a </w:t>
      </w:r>
      <w:r w:rsidR="00C92B5A">
        <w:t>wide range</w:t>
      </w:r>
      <w:r>
        <w:t xml:space="preserve"> of MBS items </w:t>
      </w:r>
      <w:r w:rsidR="00C92B5A">
        <w:t xml:space="preserve">relating to the </w:t>
      </w:r>
      <w:r>
        <w:t>prevent</w:t>
      </w:r>
      <w:r w:rsidR="00C92B5A">
        <w:t>ion</w:t>
      </w:r>
      <w:r>
        <w:t xml:space="preserve"> and manag</w:t>
      </w:r>
      <w:r w:rsidR="00C92B5A">
        <w:t xml:space="preserve">ement of </w:t>
      </w:r>
      <w:r>
        <w:t>chronic conditions</w:t>
      </w:r>
      <w:r w:rsidR="00C92B5A">
        <w:t xml:space="preserve"> by GPs. </w:t>
      </w:r>
      <w:r w:rsidR="00BA7C12">
        <w:t>The revenue from any relevant MBS</w:t>
      </w:r>
      <w:r w:rsidR="00BA7C12">
        <w:noBreakHyphen/>
        <w:t>compensable activities would pay for (or at least co</w:t>
      </w:r>
      <w:r w:rsidR="009C49CA">
        <w:noBreakHyphen/>
      </w:r>
      <w:r w:rsidR="00BA7C12">
        <w:t xml:space="preserve">fund) the role of GPs in any initiative </w:t>
      </w:r>
    </w:p>
    <w:p w14:paraId="1EA38E29" w14:textId="77777777" w:rsidR="003E0231" w:rsidRDefault="003E0231" w:rsidP="00F61D36">
      <w:pPr>
        <w:pStyle w:val="BodyText"/>
        <w:numPr>
          <w:ilvl w:val="0"/>
          <w:numId w:val="36"/>
        </w:numPr>
      </w:pPr>
      <w:r>
        <w:t>the PNIP and the new PIPQII would support eligible activities and capabilities in general practices</w:t>
      </w:r>
      <w:r w:rsidR="00E9717C">
        <w:t>. The general practice (not the individual GP) would be the source of these funds</w:t>
      </w:r>
    </w:p>
    <w:p w14:paraId="1EA38E2A" w14:textId="77777777" w:rsidR="003E0231" w:rsidRDefault="003E0231" w:rsidP="00F61D36">
      <w:pPr>
        <w:pStyle w:val="BodyText"/>
        <w:numPr>
          <w:ilvl w:val="0"/>
          <w:numId w:val="36"/>
        </w:numPr>
      </w:pPr>
      <w:r>
        <w:t>LH</w:t>
      </w:r>
      <w:r w:rsidR="007B2D02">
        <w:t>N</w:t>
      </w:r>
      <w:r>
        <w:t>s would fund activities or capabilities that reduced hospitalisation rates and length of stay (</w:t>
      </w:r>
      <w:r w:rsidR="00E10D81">
        <w:t>potentially</w:t>
      </w:r>
      <w:r>
        <w:t xml:space="preserve"> including augmentation of MBS payments where these were insufficient to motivate physicians to undertake effective actions</w:t>
      </w:r>
      <w:r w:rsidR="00E10D81">
        <w:t>)</w:t>
      </w:r>
    </w:p>
    <w:p w14:paraId="1EA38E2B" w14:textId="77777777" w:rsidR="00E10D81" w:rsidRDefault="00E10D81" w:rsidP="00E10D81">
      <w:pPr>
        <w:pStyle w:val="BodyText"/>
        <w:numPr>
          <w:ilvl w:val="0"/>
          <w:numId w:val="36"/>
        </w:numPr>
      </w:pPr>
      <w:r>
        <w:t xml:space="preserve">As in the pooled funding approach above, </w:t>
      </w:r>
      <w:r w:rsidR="00514A57">
        <w:t>LH</w:t>
      </w:r>
      <w:r w:rsidR="007B2D02">
        <w:t>N</w:t>
      </w:r>
      <w:r w:rsidR="00514A57">
        <w:t xml:space="preserve">s and PHNs </w:t>
      </w:r>
      <w:r>
        <w:t>c</w:t>
      </w:r>
      <w:r w:rsidR="00514A57">
        <w:t xml:space="preserve">ould </w:t>
      </w:r>
      <w:r>
        <w:t xml:space="preserve">still </w:t>
      </w:r>
      <w:r w:rsidR="00514A57">
        <w:t>broker (</w:t>
      </w:r>
      <w:r w:rsidR="00BB0251">
        <w:t>albeit with less scope to</w:t>
      </w:r>
      <w:r w:rsidR="00514A57">
        <w:t xml:space="preserve"> co</w:t>
      </w:r>
      <w:r w:rsidR="009C49CA">
        <w:noBreakHyphen/>
      </w:r>
      <w:r w:rsidR="00514A57">
        <w:t>fund) cooperative health initiatives with third parties</w:t>
      </w:r>
      <w:r>
        <w:t>.</w:t>
      </w:r>
    </w:p>
    <w:p w14:paraId="1EA38E2C" w14:textId="77777777" w:rsidR="00CB2BE0" w:rsidRDefault="00960FDF" w:rsidP="00CB2BE0">
      <w:pPr>
        <w:pStyle w:val="BodyText"/>
      </w:pPr>
      <w:r>
        <w:t>There is some evidence that health providers are willing to d</w:t>
      </w:r>
      <w:r w:rsidR="00E9717C">
        <w:t>e</w:t>
      </w:r>
      <w:r>
        <w:t xml:space="preserve">velop projects along this line. For instance, </w:t>
      </w:r>
      <w:r w:rsidR="00E10D81">
        <w:t>the Hunter Diabetes Alliance</w:t>
      </w:r>
      <w:r w:rsidR="00F25F1F">
        <w:t xml:space="preserve"> </w:t>
      </w:r>
      <w:r>
        <w:t xml:space="preserve">took advantage of MBS item 743 (‘organise and coordinate a case conference of at least 40 minutes’) in developing its multidisciplinary approach. The </w:t>
      </w:r>
      <w:r w:rsidR="00C715B7">
        <w:t xml:space="preserve">prospective changes to </w:t>
      </w:r>
      <w:r>
        <w:t xml:space="preserve">the </w:t>
      </w:r>
      <w:r w:rsidR="00C715B7">
        <w:t>PIP</w:t>
      </w:r>
      <w:r>
        <w:t xml:space="preserve"> and </w:t>
      </w:r>
      <w:r w:rsidR="00C715B7">
        <w:t xml:space="preserve">additional </w:t>
      </w:r>
      <w:r>
        <w:t>funding from LH</w:t>
      </w:r>
      <w:r w:rsidR="007B2D02">
        <w:t>N</w:t>
      </w:r>
      <w:r>
        <w:t>s would make more ambitious possibilities feasible.</w:t>
      </w:r>
      <w:r w:rsidR="00E9717C">
        <w:t xml:space="preserve"> Nevertheless, </w:t>
      </w:r>
      <w:r w:rsidR="007B2D02">
        <w:t>as is any approach with hypothecated payments and centrally regulated prices, option B</w:t>
      </w:r>
      <w:r w:rsidR="00E9717C">
        <w:t xml:space="preserve"> is still less flexible than the pooled funding approach </w:t>
      </w:r>
      <w:r w:rsidR="007B2D02">
        <w:t>in option A</w:t>
      </w:r>
      <w:r w:rsidR="00E9717C">
        <w:t xml:space="preserve">. </w:t>
      </w:r>
      <w:r w:rsidR="00DF0CC7">
        <w:t xml:space="preserve">For that reason, the Commission favours the pooled </w:t>
      </w:r>
      <w:r w:rsidR="00CB2BE0">
        <w:t xml:space="preserve">funding model. </w:t>
      </w:r>
    </w:p>
    <w:p w14:paraId="1EA38E2D" w14:textId="77777777" w:rsidR="00613E8B" w:rsidRDefault="00613E8B" w:rsidP="00CB2BE0">
      <w:pPr>
        <w:pStyle w:val="Heading4"/>
      </w:pPr>
      <w:r>
        <w:t>Carving out a role for Health Care Homes in a new funding system</w:t>
      </w:r>
    </w:p>
    <w:p w14:paraId="1EA38E2E" w14:textId="77777777" w:rsidR="0057560B" w:rsidRDefault="00E9717C" w:rsidP="00C76679">
      <w:pPr>
        <w:pStyle w:val="BodyText"/>
      </w:pPr>
      <w:r>
        <w:t xml:space="preserve">The prospective Health Care Homes Program would also need </w:t>
      </w:r>
      <w:r w:rsidR="00C715B7">
        <w:t>adaptation</w:t>
      </w:r>
      <w:r w:rsidR="00115B1F">
        <w:t xml:space="preserve"> </w:t>
      </w:r>
      <w:r w:rsidR="00810B24">
        <w:t>following implementation of</w:t>
      </w:r>
      <w:r w:rsidR="00115B1F">
        <w:t xml:space="preserve"> </w:t>
      </w:r>
      <w:r w:rsidR="00810B24">
        <w:t xml:space="preserve">either </w:t>
      </w:r>
      <w:r w:rsidR="007B2D02">
        <w:t>option A or B</w:t>
      </w:r>
      <w:r w:rsidR="00810B24">
        <w:t xml:space="preserve">. </w:t>
      </w:r>
      <w:r w:rsidR="00115B1F">
        <w:t xml:space="preserve">The payments </w:t>
      </w:r>
      <w:r w:rsidR="00613E8B">
        <w:t>for the HCHs</w:t>
      </w:r>
      <w:r w:rsidR="00115B1F">
        <w:t xml:space="preserve"> are </w:t>
      </w:r>
      <w:r w:rsidR="00A63CBE">
        <w:t>substitutes</w:t>
      </w:r>
      <w:r w:rsidR="00115B1F">
        <w:t xml:space="preserve"> for </w:t>
      </w:r>
      <w:r w:rsidR="00613E8B">
        <w:t xml:space="preserve">those from </w:t>
      </w:r>
      <w:r w:rsidR="00115B1F">
        <w:t xml:space="preserve">MBS and other Medicare </w:t>
      </w:r>
      <w:r w:rsidR="00613E8B">
        <w:t>sources</w:t>
      </w:r>
      <w:r w:rsidR="00115B1F">
        <w:t xml:space="preserve">, so these </w:t>
      </w:r>
      <w:r w:rsidR="00C062C0">
        <w:t>sh</w:t>
      </w:r>
      <w:r w:rsidR="00115B1F">
        <w:t xml:space="preserve">ould not be added as </w:t>
      </w:r>
      <w:r w:rsidR="00A63CBE">
        <w:t>additional funding sources for HCHs</w:t>
      </w:r>
      <w:r w:rsidR="00613E8B">
        <w:t xml:space="preserve">. </w:t>
      </w:r>
    </w:p>
    <w:p w14:paraId="1EA38E2F" w14:textId="77777777" w:rsidR="007A10F7" w:rsidRDefault="007A10F7" w:rsidP="007A10F7">
      <w:pPr>
        <w:pStyle w:val="BodyText"/>
      </w:pPr>
      <w:r>
        <w:t xml:space="preserve">The 2016 COAG agreement on public hospital funding left open — albeit ambiguously — a role for State and Territory Governments in participating in Health Care Homes. </w:t>
      </w:r>
      <w:r w:rsidRPr="00F31E94">
        <w:t xml:space="preserve">State and Territory Governments are partners in Health Care Homes in that they have agreed to form bilateral agreements with the Australian Government about how Health Care Homes will work in the relevant regions in their jurisdictions. However, the content of such agreements </w:t>
      </w:r>
      <w:r>
        <w:t>lack specificity or clear commitments. They</w:t>
      </w:r>
      <w:r w:rsidRPr="00F31E94">
        <w:t xml:space="preserve"> </w:t>
      </w:r>
      <w:r w:rsidRPr="00F31E94">
        <w:rPr>
          <w:i/>
        </w:rPr>
        <w:t>may</w:t>
      </w:r>
      <w:r w:rsidRPr="00F31E94">
        <w:t xml:space="preserve"> include </w:t>
      </w:r>
      <w:r w:rsidRPr="00F31E94">
        <w:rPr>
          <w:i/>
        </w:rPr>
        <w:t>elements</w:t>
      </w:r>
      <w:r w:rsidRPr="00F31E94">
        <w:t xml:space="preserve"> involving coordinated planning, blending funding and collaboration between LHNs and PHNs </w:t>
      </w:r>
      <w:r w:rsidRPr="00F31E94">
        <w:rPr>
          <w:i/>
        </w:rPr>
        <w:t>where feasible</w:t>
      </w:r>
      <w:r w:rsidRPr="00F31E94">
        <w:t xml:space="preserve">, with the possibility that after the trials have been completed that there </w:t>
      </w:r>
      <w:r w:rsidRPr="00F31E94">
        <w:rPr>
          <w:i/>
        </w:rPr>
        <w:t>may</w:t>
      </w:r>
      <w:r w:rsidRPr="00F31E94">
        <w:t xml:space="preserve"> be ‘collaborative, joint or pooled funding arrangements’ </w:t>
      </w:r>
      <w:r w:rsidR="0079520E" w:rsidRPr="0079520E">
        <w:rPr>
          <w:szCs w:val="24"/>
        </w:rPr>
        <w:t>(COAG 2016b, p. 9)</w:t>
      </w:r>
      <w:r w:rsidRPr="00F31E94">
        <w:t>.</w:t>
      </w:r>
    </w:p>
    <w:p w14:paraId="1EA38E30" w14:textId="77777777" w:rsidR="00C20AD2" w:rsidRDefault="007E0FA2" w:rsidP="007A10F7">
      <w:pPr>
        <w:pStyle w:val="BodyText"/>
      </w:pPr>
      <w:r>
        <w:t>I</w:t>
      </w:r>
      <w:r w:rsidR="007A10F7">
        <w:t>n our view</w:t>
      </w:r>
      <w:r w:rsidR="00C76679">
        <w:t xml:space="preserve"> it is critical for </w:t>
      </w:r>
      <w:r w:rsidR="007E1128">
        <w:t xml:space="preserve">the effectiveness of </w:t>
      </w:r>
      <w:r w:rsidR="00C76679">
        <w:t xml:space="preserve">HCHs </w:t>
      </w:r>
      <w:r w:rsidR="007E1128">
        <w:t>that they</w:t>
      </w:r>
      <w:r w:rsidR="00C76679">
        <w:t xml:space="preserve"> collaborate with</w:t>
      </w:r>
      <w:r w:rsidR="007E1128">
        <w:t xml:space="preserve"> </w:t>
      </w:r>
      <w:r w:rsidR="005A4BB9">
        <w:t>P</w:t>
      </w:r>
      <w:r w:rsidR="00C76679">
        <w:t xml:space="preserve">HNs </w:t>
      </w:r>
      <w:r w:rsidR="005A4BB9" w:rsidRPr="005A4BB9">
        <w:rPr>
          <w:i/>
        </w:rPr>
        <w:t>and</w:t>
      </w:r>
      <w:r w:rsidR="007E1128">
        <w:t xml:space="preserve"> </w:t>
      </w:r>
      <w:r w:rsidR="005A4BB9">
        <w:t>L</w:t>
      </w:r>
      <w:r w:rsidR="00C76679">
        <w:t>HNs</w:t>
      </w:r>
      <w:r w:rsidR="005A4BB9">
        <w:t xml:space="preserve"> to improve population health and reduce hospitalisations</w:t>
      </w:r>
      <w:r w:rsidR="00C76679">
        <w:t xml:space="preserve">. </w:t>
      </w:r>
      <w:r w:rsidR="007E1128" w:rsidRPr="007E1128">
        <w:t xml:space="preserve">The present model relies predominantly on PHNs, but </w:t>
      </w:r>
      <w:r w:rsidR="007E1128">
        <w:t xml:space="preserve">given </w:t>
      </w:r>
      <w:r w:rsidR="005A4BB9">
        <w:t xml:space="preserve">the current funding model, </w:t>
      </w:r>
      <w:r w:rsidR="00800B77">
        <w:t>they</w:t>
      </w:r>
      <w:r w:rsidR="005A4BB9" w:rsidRPr="007E1128">
        <w:t xml:space="preserve"> have a weak capacity to improve the health outcomes for people with complex and chronic conditions or to reduce hospitalisation rates. </w:t>
      </w:r>
      <w:r w:rsidR="005A4BB9">
        <w:t>This is notwithstanding that one of the four national headline indicators in the Performance Framework for PHNs relates to reductions in potentially preventable hospitalisations </w:t>
      </w:r>
      <w:r w:rsidR="00F26CC2" w:rsidRPr="00F26CC2">
        <w:rPr>
          <w:szCs w:val="24"/>
        </w:rPr>
        <w:t>(DoH 2016g)</w:t>
      </w:r>
      <w:r w:rsidR="005A4BB9">
        <w:t xml:space="preserve">. </w:t>
      </w:r>
      <w:r w:rsidR="006230E7">
        <w:t xml:space="preserve">The </w:t>
      </w:r>
      <w:r w:rsidR="007E1128" w:rsidRPr="007E1128">
        <w:t>performance framework needs to be coupled with the flexibility and capacity for PHNs to invest in improving outcomes.</w:t>
      </w:r>
      <w:r w:rsidR="005A4BB9">
        <w:t xml:space="preserve"> </w:t>
      </w:r>
      <w:r w:rsidR="00E00C1E">
        <w:t>The augmented funding of PHNs, as described above</w:t>
      </w:r>
      <w:r w:rsidR="00800B77">
        <w:t>,</w:t>
      </w:r>
      <w:r w:rsidR="005A4BB9">
        <w:t xml:space="preserve"> will </w:t>
      </w:r>
      <w:r w:rsidR="009C3EE4">
        <w:t>overcome</w:t>
      </w:r>
      <w:r w:rsidR="00E00C1E">
        <w:t xml:space="preserve"> </w:t>
      </w:r>
      <w:r w:rsidR="005A4BB9">
        <w:t>the funding</w:t>
      </w:r>
      <w:r w:rsidR="00E00C1E">
        <w:t xml:space="preserve"> obstacle</w:t>
      </w:r>
      <w:r w:rsidR="005A4BB9">
        <w:t>s</w:t>
      </w:r>
      <w:r w:rsidR="006B6C4F">
        <w:t xml:space="preserve">. </w:t>
      </w:r>
      <w:r w:rsidR="00E60598">
        <w:t>LHNs</w:t>
      </w:r>
      <w:r w:rsidR="007D1F20">
        <w:t>, which</w:t>
      </w:r>
      <w:r w:rsidR="00E00C1E">
        <w:t xml:space="preserve"> have the highest stake in reducing hospitalisations</w:t>
      </w:r>
      <w:r w:rsidR="007D1F20">
        <w:t xml:space="preserve">, </w:t>
      </w:r>
      <w:r w:rsidR="00E00C1E">
        <w:t>should</w:t>
      </w:r>
      <w:r w:rsidR="005879B2">
        <w:t xml:space="preserve"> also play a role in HCHs</w:t>
      </w:r>
      <w:r w:rsidR="00E00C1E">
        <w:t>. They should do this through alliances with PHNs, including by making additional financial or in</w:t>
      </w:r>
      <w:r w:rsidR="00E00C1E">
        <w:noBreakHyphen/>
        <w:t>kind contributions to HCHs</w:t>
      </w:r>
      <w:r w:rsidR="0057560B">
        <w:t xml:space="preserve">. </w:t>
      </w:r>
      <w:r w:rsidR="007E1128" w:rsidRPr="007E1128">
        <w:t xml:space="preserve">LHNs </w:t>
      </w:r>
      <w:r w:rsidR="007E1128">
        <w:t>should also</w:t>
      </w:r>
      <w:r w:rsidR="007E1128" w:rsidRPr="007E1128">
        <w:t xml:space="preserve"> share </w:t>
      </w:r>
      <w:r w:rsidR="007E1128">
        <w:t xml:space="preserve">the </w:t>
      </w:r>
      <w:r w:rsidR="007E1128" w:rsidRPr="007E1128">
        <w:t>patient data needed to stratify patients according to their need and to otherwise support patient management by health care homes. If necessary, the performance indicators of LHNs should require that such data sharing takes place.</w:t>
      </w:r>
    </w:p>
    <w:p w14:paraId="1EA38E31" w14:textId="77777777" w:rsidR="00C20AD2" w:rsidRDefault="0057560B" w:rsidP="00C76679">
      <w:pPr>
        <w:pStyle w:val="BodyText"/>
      </w:pPr>
      <w:r>
        <w:t>Moreover, given that most HCHs will not be in place for some time, it might be possible to move away from the prescriptive nature of the current pricing regime for HCHs to the pooled funding model above (or to allow a certain share of the proposed HCHs to move in that direction).</w:t>
      </w:r>
      <w:r w:rsidR="00C20AD2">
        <w:t xml:space="preserve"> The 2016 COAG agreement on p</w:t>
      </w:r>
      <w:r w:rsidR="00C20AD2" w:rsidRPr="007028B0">
        <w:t xml:space="preserve">ublic </w:t>
      </w:r>
      <w:r w:rsidR="00C20AD2">
        <w:t>h</w:t>
      </w:r>
      <w:r w:rsidR="00C20AD2" w:rsidRPr="007028B0">
        <w:t xml:space="preserve">ospital </w:t>
      </w:r>
      <w:r w:rsidR="00C20AD2">
        <w:t>f</w:t>
      </w:r>
      <w:r w:rsidR="00C20AD2" w:rsidRPr="007028B0">
        <w:t>unding</w:t>
      </w:r>
      <w:r w:rsidR="00C20AD2">
        <w:t xml:space="preserve"> left open — albeit vaguely — a role for State and Territory Governments in participating in HCHs. </w:t>
      </w:r>
    </w:p>
    <w:p w14:paraId="1EA38E32" w14:textId="77777777" w:rsidR="00C20AD2" w:rsidRDefault="00C20AD2" w:rsidP="00C76679">
      <w:pPr>
        <w:pStyle w:val="BodyText"/>
      </w:pPr>
      <w:r>
        <w:t>Relationships of LHNs with HCHs should extend beyond funding. The goal would be that all the main entities involving regional health care — PHNs, community health centres, LHNs and local governments could collaborate in any activity that had promising outcomes for people.</w:t>
      </w:r>
    </w:p>
    <w:p w14:paraId="1EA38E33" w14:textId="77777777" w:rsidR="00AA44D2" w:rsidRDefault="006D00D8" w:rsidP="00AA44D2">
      <w:pPr>
        <w:pStyle w:val="Heading5"/>
      </w:pPr>
      <w:r>
        <w:t xml:space="preserve">The focus on people with existing chronic and complex conditions in </w:t>
      </w:r>
      <w:r w:rsidR="005F2C2A">
        <w:t>Health Care Homes</w:t>
      </w:r>
      <w:r>
        <w:t xml:space="preserve"> is too narrow</w:t>
      </w:r>
    </w:p>
    <w:p w14:paraId="1EA38E34" w14:textId="77777777" w:rsidR="0021675A" w:rsidRDefault="00D411B5" w:rsidP="00AA44D2">
      <w:pPr>
        <w:pStyle w:val="BodyText"/>
      </w:pPr>
      <w:r>
        <w:t xml:space="preserve">Capitation payments in </w:t>
      </w:r>
      <w:r w:rsidR="00AA44D2">
        <w:t>HCHs</w:t>
      </w:r>
      <w:r w:rsidR="00AA44D2" w:rsidRPr="002837CA">
        <w:t xml:space="preserve"> </w:t>
      </w:r>
      <w:r w:rsidR="00AA44D2">
        <w:t>relate</w:t>
      </w:r>
      <w:r w:rsidR="00AA44D2" w:rsidRPr="002837CA">
        <w:t xml:space="preserve"> only to patients </w:t>
      </w:r>
      <w:r>
        <w:t xml:space="preserve">already </w:t>
      </w:r>
      <w:r w:rsidR="00AA44D2" w:rsidRPr="002837CA">
        <w:t xml:space="preserve">with chronic and complex conditions. </w:t>
      </w:r>
      <w:r w:rsidR="00AA44D2">
        <w:t>The rationale for this is that these are the highest</w:t>
      </w:r>
      <w:r w:rsidR="00AA44D2">
        <w:noBreakHyphen/>
        <w:t xml:space="preserve">cost patients in the health care system, and that better management can improve their lives and potentially reduce costs. </w:t>
      </w:r>
      <w:r>
        <w:t xml:space="preserve">However, </w:t>
      </w:r>
      <w:r w:rsidR="00F1001F">
        <w:t xml:space="preserve">many people </w:t>
      </w:r>
      <w:r w:rsidR="007D1F20">
        <w:t xml:space="preserve">at </w:t>
      </w:r>
      <w:r w:rsidR="007E0FA2">
        <w:t xml:space="preserve">serious </w:t>
      </w:r>
      <w:r w:rsidR="007D1F20">
        <w:t xml:space="preserve">risk </w:t>
      </w:r>
      <w:r w:rsidR="00F1001F">
        <w:t xml:space="preserve">have not yet developed chronic illnesses, </w:t>
      </w:r>
      <w:r w:rsidR="007D1F20">
        <w:t xml:space="preserve">and they would be good targets for </w:t>
      </w:r>
      <w:r w:rsidR="009D44FA">
        <w:t>preventative</w:t>
      </w:r>
      <w:r w:rsidR="00F1001F">
        <w:t xml:space="preserve"> action. People who smoke or are obese are at high risk of developing chronic conditions, and yet the current model of general practice often does not result in even </w:t>
      </w:r>
      <w:r w:rsidR="006D00D8">
        <w:t>conversations</w:t>
      </w:r>
      <w:r w:rsidR="00F1001F">
        <w:t xml:space="preserve"> about these issues with patients (chapter </w:t>
      </w:r>
      <w:r w:rsidR="007D1F20">
        <w:t>3</w:t>
      </w:r>
      <w:r w:rsidR="00F1001F">
        <w:t>).</w:t>
      </w:r>
      <w:r w:rsidR="006D00D8">
        <w:t xml:space="preserve"> </w:t>
      </w:r>
      <w:r w:rsidR="0021675A">
        <w:t>Addressing these issues may not require capitation payments, but it suggests funding and collaborative models that diverge from fee</w:t>
      </w:r>
      <w:r w:rsidR="0021675A">
        <w:noBreakHyphen/>
        <w:t>for</w:t>
      </w:r>
      <w:r w:rsidR="0021675A">
        <w:noBreakHyphen/>
        <w:t>service.</w:t>
      </w:r>
    </w:p>
    <w:p w14:paraId="1EA38E35" w14:textId="77777777" w:rsidR="00AA44D2" w:rsidRDefault="0021675A" w:rsidP="00AA44D2">
      <w:pPr>
        <w:pStyle w:val="BodyText"/>
      </w:pPr>
      <w:r>
        <w:t>One</w:t>
      </w:r>
      <w:r w:rsidR="00AA44D2">
        <w:t xml:space="preserve"> approach would be to allow PHNs</w:t>
      </w:r>
      <w:r w:rsidR="009E039C">
        <w:t xml:space="preserve"> and</w:t>
      </w:r>
      <w:r w:rsidR="00AA44D2">
        <w:t xml:space="preserve"> LHNs to co</w:t>
      </w:r>
      <w:r w:rsidR="00AA44D2">
        <w:noBreakHyphen/>
        <w:t>design the form of the integrated health model for their communities, and leave it to them to decide the scope of patient types enrolled into the health care homes (and the funding arrangements that underpin this). Of course, any such collaboration must involve clinicians — and given their key role as gatekeepers — general practitioners in particular.</w:t>
      </w:r>
    </w:p>
    <w:p w14:paraId="1EA38E36" w14:textId="77777777" w:rsidR="00706BED" w:rsidRPr="00706BED" w:rsidRDefault="00D43585" w:rsidP="00B03BD6">
      <w:pPr>
        <w:pStyle w:val="Heading2"/>
      </w:pPr>
      <w:bookmarkStart w:id="57" w:name="_Toc488929699"/>
      <w:bookmarkStart w:id="58" w:name="_Toc489250077"/>
      <w:r>
        <w:t>6.3</w:t>
      </w:r>
      <w:r w:rsidR="00706BED">
        <w:tab/>
      </w:r>
      <w:r w:rsidR="00450DE5">
        <w:t xml:space="preserve">In essence, reform </w:t>
      </w:r>
      <w:r w:rsidR="00B03BD6">
        <w:t>needs to be underpinned</w:t>
      </w:r>
      <w:r w:rsidR="00450DE5">
        <w:t xml:space="preserve"> </w:t>
      </w:r>
      <w:r w:rsidR="00B03BD6">
        <w:t>by ‘win</w:t>
      </w:r>
      <w:r w:rsidR="00092665">
        <w:noBreakHyphen/>
      </w:r>
      <w:r w:rsidR="00B03BD6">
        <w:t>win’ alliances</w:t>
      </w:r>
      <w:bookmarkEnd w:id="57"/>
      <w:bookmarkEnd w:id="58"/>
      <w:r w:rsidR="001B740B">
        <w:t xml:space="preserve"> </w:t>
      </w:r>
    </w:p>
    <w:p w14:paraId="1EA38E37" w14:textId="77777777" w:rsidR="001B740B" w:rsidRDefault="00213169" w:rsidP="001B740B">
      <w:pPr>
        <w:pStyle w:val="BodyText"/>
      </w:pPr>
      <w:r>
        <w:t>Globally, health care s</w:t>
      </w:r>
      <w:r w:rsidR="001B740B">
        <w:t xml:space="preserve">ystems that have successfully integrated care around patients have resolved </w:t>
      </w:r>
      <w:r w:rsidR="00B03BD6">
        <w:t>the</w:t>
      </w:r>
      <w:r w:rsidR="001B740B">
        <w:t xml:space="preserve"> budget silos discussed in chapter </w:t>
      </w:r>
      <w:r w:rsidR="00636946">
        <w:t>5</w:t>
      </w:r>
      <w:r w:rsidR="001B740B">
        <w:t>. Canterbury in New Zealand relies on an alliance budgeting approach where all providers win or all lose. In the Kinzigtal integrated health system of Germany, stakeholders all share in budget savings across the entire system — or all miss out. Under the system</w:t>
      </w:r>
      <w:r w:rsidR="001B740B" w:rsidDel="008E5B21">
        <w:t xml:space="preserve"> </w:t>
      </w:r>
      <w:r w:rsidR="008E5B21">
        <w:t>preferred</w:t>
      </w:r>
      <w:r w:rsidR="001B740B">
        <w:t xml:space="preserve"> by the Commission, there is the opportunity to deal with the silo budget effect by </w:t>
      </w:r>
      <w:r w:rsidR="00AC2054">
        <w:t>creating</w:t>
      </w:r>
      <w:r w:rsidR="00E25221">
        <w:t xml:space="preserve"> </w:t>
      </w:r>
      <w:r w:rsidR="00AC2054">
        <w:t>incentives</w:t>
      </w:r>
      <w:r w:rsidR="00AC2054" w:rsidDel="00E25221">
        <w:t xml:space="preserve"> </w:t>
      </w:r>
      <w:r w:rsidR="00AC2054">
        <w:t xml:space="preserve">for </w:t>
      </w:r>
      <w:r w:rsidR="00E101ED">
        <w:t>Local Hospital Networks to invest in health care outside of the hospital</w:t>
      </w:r>
      <w:r w:rsidR="00E25221">
        <w:t>,</w:t>
      </w:r>
      <w:r w:rsidR="00E101ED">
        <w:t xml:space="preserve"> and at the same time </w:t>
      </w:r>
      <w:r w:rsidR="00E25221">
        <w:t xml:space="preserve">giving </w:t>
      </w:r>
      <w:r w:rsidR="00E101ED">
        <w:t xml:space="preserve">Primary Health Networks </w:t>
      </w:r>
      <w:r w:rsidR="00E25221">
        <w:t xml:space="preserve">the resources </w:t>
      </w:r>
      <w:r w:rsidR="00E101ED">
        <w:t>to invest in measures that reduce hospitalisation rates</w:t>
      </w:r>
      <w:r w:rsidR="00BC65A3">
        <w:t xml:space="preserve"> and low</w:t>
      </w:r>
      <w:r w:rsidR="00266343">
        <w:noBreakHyphen/>
      </w:r>
      <w:r w:rsidR="00BC65A3">
        <w:t>value care</w:t>
      </w:r>
      <w:r w:rsidR="00E25221">
        <w:t>.</w:t>
      </w:r>
      <w:r w:rsidR="001B740B" w:rsidDel="00E25221">
        <w:t xml:space="preserve"> </w:t>
      </w:r>
      <w:r w:rsidR="00E25221">
        <w:t xml:space="preserve">Any </w:t>
      </w:r>
      <w:r w:rsidR="001B740B">
        <w:t xml:space="preserve">savings from the region’s entire health budget costs </w:t>
      </w:r>
      <w:r w:rsidR="00E25221">
        <w:t xml:space="preserve">would be shared </w:t>
      </w:r>
      <w:r w:rsidR="001B740B">
        <w:t>between the t</w:t>
      </w:r>
      <w:r w:rsidR="00154E2D">
        <w:t>wo key funders (the Australian G</w:t>
      </w:r>
      <w:r w:rsidR="001B740B">
        <w:t>overnment and</w:t>
      </w:r>
      <w:r w:rsidR="00154E2D">
        <w:t xml:space="preserve"> the respective S</w:t>
      </w:r>
      <w:r w:rsidR="001B740B">
        <w:t xml:space="preserve">tate </w:t>
      </w:r>
      <w:r w:rsidR="00154E2D">
        <w:t>or Territory G</w:t>
      </w:r>
      <w:r w:rsidR="001B740B">
        <w:t xml:space="preserve">overnment) and </w:t>
      </w:r>
      <w:r w:rsidR="00AC3D48">
        <w:t>LHNs, with the possibility that</w:t>
      </w:r>
      <w:r w:rsidR="001A4A62">
        <w:t xml:space="preserve">, as outlined above, </w:t>
      </w:r>
      <w:r w:rsidR="00AC3D48">
        <w:t>of extending this to PHNs if this proves feasible</w:t>
      </w:r>
      <w:r w:rsidR="001B740B">
        <w:t>.</w:t>
      </w:r>
    </w:p>
    <w:p w14:paraId="1EA38E38" w14:textId="77777777" w:rsidR="002469DE" w:rsidRPr="004E3B94" w:rsidRDefault="002469DE" w:rsidP="009C6DFB">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129"/>
      </w:tblGrid>
      <w:tr w:rsidR="002469DE" w14:paraId="1EA38E3E" w14:textId="77777777" w:rsidTr="0088242F">
        <w:trPr>
          <w:cantSplit/>
          <w:tblHeader/>
        </w:trPr>
        <w:tc>
          <w:tcPr>
            <w:tcW w:w="5000" w:type="pct"/>
            <w:tcBorders>
              <w:top w:val="single" w:sz="4" w:space="0" w:color="265A9A" w:themeColor="accent2"/>
              <w:left w:val="nil"/>
              <w:bottom w:val="nil"/>
              <w:right w:val="nil"/>
            </w:tcBorders>
            <w:shd w:val="clear" w:color="auto" w:fill="E1EBF5"/>
            <w:tcMar>
              <w:left w:w="170" w:type="dxa"/>
              <w:right w:w="170" w:type="dxa"/>
            </w:tcMar>
          </w:tcPr>
          <w:p w14:paraId="1EA38E39" w14:textId="77777777" w:rsidR="002469DE" w:rsidRPr="0088242F" w:rsidRDefault="002469DE" w:rsidP="009C6DFB">
            <w:pPr>
              <w:pStyle w:val="FindingTitle"/>
              <w:spacing w:before="120"/>
              <w:rPr>
                <w:noProof/>
              </w:rPr>
            </w:pPr>
            <w:r w:rsidRPr="0088242F">
              <w:t xml:space="preserve">conclusion </w:t>
            </w:r>
            <w:r w:rsidR="00DE03D2" w:rsidRPr="0088242F">
              <w:t>6.2</w:t>
            </w:r>
          </w:p>
          <w:p w14:paraId="1EA38E3A" w14:textId="77777777" w:rsidR="002469DE" w:rsidRPr="0088242F" w:rsidRDefault="002469DE" w:rsidP="00944790">
            <w:pPr>
              <w:pStyle w:val="Rec"/>
            </w:pPr>
            <w:r w:rsidRPr="0088242F">
              <w:t>The Australian Government should:</w:t>
            </w:r>
          </w:p>
          <w:p w14:paraId="1EA38E3B" w14:textId="77777777" w:rsidR="002469DE" w:rsidRPr="00593967" w:rsidRDefault="002469DE" w:rsidP="00944790">
            <w:pPr>
              <w:pStyle w:val="RecBullet"/>
            </w:pPr>
            <w:r w:rsidRPr="00593967">
              <w:t xml:space="preserve">allow Local Hospital Networks to commission the services of GPs by amending section 19 of the </w:t>
            </w:r>
            <w:r w:rsidRPr="00593967">
              <w:rPr>
                <w:i/>
              </w:rPr>
              <w:t>Health Insurance Act 1973</w:t>
            </w:r>
            <w:r w:rsidR="001754BF" w:rsidRPr="00593967">
              <w:rPr>
                <w:i/>
              </w:rPr>
              <w:t xml:space="preserve"> </w:t>
            </w:r>
            <w:r w:rsidR="001754BF" w:rsidRPr="00593967">
              <w:t>(Cth)</w:t>
            </w:r>
            <w:r w:rsidRPr="00593967">
              <w:t xml:space="preserve">, with the proviso that the Local Hospital Networks are operating in formal agreement with </w:t>
            </w:r>
            <w:r w:rsidR="00747A52" w:rsidRPr="00593967">
              <w:t>their</w:t>
            </w:r>
            <w:r w:rsidRPr="00593967">
              <w:t xml:space="preserve"> region’s Primary Health Network</w:t>
            </w:r>
          </w:p>
          <w:p w14:paraId="1EA38E3C" w14:textId="77777777" w:rsidR="002469DE" w:rsidRPr="00593967" w:rsidRDefault="002469DE" w:rsidP="00944790">
            <w:pPr>
              <w:pStyle w:val="RecBullet"/>
            </w:pPr>
            <w:r w:rsidRPr="00593967">
              <w:t>remove any administrative constraints on Primary Health Networks allying with Local Hospital Networks to commission GP or other services related to prevention or management of chronic conditions</w:t>
            </w:r>
          </w:p>
          <w:p w14:paraId="1EA38E3D" w14:textId="77777777" w:rsidR="002469DE" w:rsidRPr="0088242F" w:rsidRDefault="000013B1" w:rsidP="00944790">
            <w:pPr>
              <w:pStyle w:val="RecBullet"/>
            </w:pPr>
            <w:r w:rsidRPr="00593967">
              <w:t>allocate expected funding from the Practice Incentives Program and other MBS items to Primary Health Networks in each region w</w:t>
            </w:r>
            <w:r w:rsidR="00EE7427" w:rsidRPr="00593967">
              <w:t xml:space="preserve">here they are </w:t>
            </w:r>
            <w:r w:rsidR="00EE7427" w:rsidRPr="00593967">
              <w:rPr>
                <w:i/>
              </w:rPr>
              <w:t>directly</w:t>
            </w:r>
            <w:r w:rsidR="00EE7427" w:rsidRPr="00593967">
              <w:t xml:space="preserve"> related to prevention and management of chronic conditions</w:t>
            </w:r>
            <w:r w:rsidR="002469DE" w:rsidRPr="00593967">
              <w:t>.</w:t>
            </w:r>
          </w:p>
        </w:tc>
      </w:tr>
      <w:tr w:rsidR="002469DE" w14:paraId="1EA38E40" w14:textId="77777777" w:rsidTr="0088242F">
        <w:trPr>
          <w:cantSplit/>
          <w:tblHeader/>
        </w:trPr>
        <w:tc>
          <w:tcPr>
            <w:tcW w:w="5000" w:type="pct"/>
            <w:tcBorders>
              <w:top w:val="nil"/>
              <w:left w:val="nil"/>
              <w:bottom w:val="single" w:sz="4" w:space="0" w:color="265A9A" w:themeColor="accent2"/>
              <w:right w:val="nil"/>
            </w:tcBorders>
            <w:shd w:val="clear" w:color="auto" w:fill="E1EBF5"/>
            <w:tcMar>
              <w:left w:w="170" w:type="dxa"/>
              <w:right w:w="170" w:type="dxa"/>
            </w:tcMar>
          </w:tcPr>
          <w:p w14:paraId="1EA38E3F" w14:textId="77777777" w:rsidR="002469DE" w:rsidRPr="0088242F" w:rsidRDefault="002469DE" w:rsidP="0088242F">
            <w:pPr>
              <w:pStyle w:val="Space"/>
              <w:keepLines/>
            </w:pPr>
          </w:p>
        </w:tc>
      </w:tr>
      <w:tr w:rsidR="002469DE" w:rsidRPr="000863A5" w14:paraId="1EA38E42" w14:textId="77777777" w:rsidTr="0088242F">
        <w:trPr>
          <w:cantSplit/>
          <w:tblHeader/>
        </w:trPr>
        <w:tc>
          <w:tcPr>
            <w:tcW w:w="5000" w:type="pct"/>
            <w:tcBorders>
              <w:top w:val="single" w:sz="4" w:space="0" w:color="265A9A" w:themeColor="accent2"/>
              <w:left w:val="nil"/>
              <w:bottom w:val="nil"/>
              <w:right w:val="nil"/>
            </w:tcBorders>
            <w:tcMar>
              <w:left w:w="170" w:type="dxa"/>
              <w:right w:w="170" w:type="dxa"/>
            </w:tcMar>
          </w:tcPr>
          <w:p w14:paraId="1EA38E41" w14:textId="77777777" w:rsidR="002469DE" w:rsidRPr="00626D32" w:rsidRDefault="002469DE" w:rsidP="009C6DFB">
            <w:pPr>
              <w:pStyle w:val="BoxSpaceBelow"/>
              <w:keepLines/>
            </w:pPr>
          </w:p>
        </w:tc>
      </w:tr>
    </w:tbl>
    <w:p w14:paraId="1EA38E43" w14:textId="77777777" w:rsidR="00B978C7" w:rsidRDefault="00B978C7" w:rsidP="00B978C7">
      <w:pPr>
        <w:pStyle w:val="Heading2"/>
      </w:pPr>
      <w:bookmarkStart w:id="59" w:name="_Toc489250078"/>
      <w:bookmarkStart w:id="60" w:name="_Toc488929700"/>
      <w:r>
        <w:t>6.4</w:t>
      </w:r>
      <w:r>
        <w:tab/>
        <w:t>Cooperation might be the best option for private health insurers</w:t>
      </w:r>
      <w:bookmarkEnd w:id="59"/>
    </w:p>
    <w:p w14:paraId="1EA38E44" w14:textId="77777777" w:rsidR="00B978C7" w:rsidRDefault="00B978C7" w:rsidP="00B978C7">
      <w:pPr>
        <w:pStyle w:val="BodyText"/>
      </w:pPr>
      <w:r>
        <w:t xml:space="preserve">As noted earlier, like all the other actors in the system, private health insurers face mixed incentives to encourage preventative care. </w:t>
      </w:r>
    </w:p>
    <w:p w14:paraId="1EA38E45" w14:textId="77777777" w:rsidR="00B978C7" w:rsidRDefault="00B978C7" w:rsidP="00B978C7">
      <w:pPr>
        <w:pStyle w:val="BodyText"/>
      </w:pPr>
      <w:r>
        <w:t xml:space="preserve">There are several options for addressing the current deficit in risk equalisation, including a prospective system (as used in the Netherlands) in which transfers between the funds reflect the differences in </w:t>
      </w:r>
      <w:r w:rsidRPr="00E16880">
        <w:rPr>
          <w:i/>
        </w:rPr>
        <w:t>expected</w:t>
      </w:r>
      <w:r>
        <w:t xml:space="preserve"> claim costs, rather than ex post claims. Another option might be the rigorous independent assessment of the net benefits of private insurers’ Chronic Disease Management Programs (box 5.1) with these benefits being largely quarantined from risk equalisation. A further option, which would require a less significant or no overhaul of risk equalisation, is a cooperative approach by insurers to manage chronic illness. This would reduce free riding. But there are other technical approaches that would also reduce unwarranted free riding </w:t>
      </w:r>
      <w:r w:rsidRPr="00C65A42">
        <w:rPr>
          <w:szCs w:val="24"/>
        </w:rPr>
        <w:t>(Reid et al. 2017)</w:t>
      </w:r>
      <w:r>
        <w:t xml:space="preserve">. Risk equalisation arrangements are under review by the Private Health Ministerial Advisory Committee. </w:t>
      </w:r>
    </w:p>
    <w:p w14:paraId="1EA38E46" w14:textId="77777777" w:rsidR="00B978C7" w:rsidRPr="004E3B94" w:rsidRDefault="00B978C7" w:rsidP="00B978C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129"/>
      </w:tblGrid>
      <w:tr w:rsidR="0088242F" w:rsidRPr="0088242F" w14:paraId="1EA38E4F" w14:textId="77777777" w:rsidTr="0088242F">
        <w:trPr>
          <w:tblHeader/>
        </w:trPr>
        <w:tc>
          <w:tcPr>
            <w:tcW w:w="5000" w:type="pct"/>
            <w:tcBorders>
              <w:top w:val="single" w:sz="4" w:space="0" w:color="265A9A" w:themeColor="accent2"/>
              <w:left w:val="nil"/>
              <w:bottom w:val="nil"/>
              <w:right w:val="nil"/>
            </w:tcBorders>
            <w:shd w:val="clear" w:color="auto" w:fill="E1EBF5"/>
            <w:tcMar>
              <w:left w:w="170" w:type="dxa"/>
              <w:right w:w="170" w:type="dxa"/>
            </w:tcMar>
          </w:tcPr>
          <w:p w14:paraId="1EA38E47" w14:textId="77777777" w:rsidR="00B978C7" w:rsidRPr="0088242F" w:rsidRDefault="00B978C7" w:rsidP="00B978C7">
            <w:pPr>
              <w:pStyle w:val="RecTitle"/>
              <w:spacing w:before="120"/>
              <w:rPr>
                <w:noProof/>
              </w:rPr>
            </w:pPr>
            <w:r w:rsidRPr="0088242F">
              <w:t>conclusion 6.3</w:t>
            </w:r>
          </w:p>
          <w:p w14:paraId="1EA38E48" w14:textId="77777777" w:rsidR="00B978C7" w:rsidRPr="00C1530E" w:rsidRDefault="00B978C7" w:rsidP="00944790">
            <w:pPr>
              <w:pStyle w:val="Rec"/>
            </w:pPr>
            <w:r w:rsidRPr="00C1530E">
              <w:t>The pending Health Care Home trial is a significant development in integrated care in Australia, but its design warrants adaptation.</w:t>
            </w:r>
          </w:p>
          <w:p w14:paraId="1EA38E49" w14:textId="77777777" w:rsidR="00B978C7" w:rsidRPr="00593967" w:rsidRDefault="00B978C7" w:rsidP="00944790">
            <w:pPr>
              <w:pStyle w:val="RecBullet"/>
            </w:pPr>
            <w:r w:rsidRPr="00593967">
              <w:t>Funding arrangements should include a mix of capitation and fee</w:t>
            </w:r>
            <w:r w:rsidRPr="00593967">
              <w:noBreakHyphen/>
              <w:t>for</w:t>
            </w:r>
            <w:r w:rsidRPr="00593967">
              <w:noBreakHyphen/>
              <w:t>service, with scope for local hospital networks and primary health networks, in alliance with each other, to provide additional funding or supports to the homes.</w:t>
            </w:r>
          </w:p>
          <w:p w14:paraId="1EA38E4A" w14:textId="77777777" w:rsidR="00B978C7" w:rsidRPr="00593967" w:rsidRDefault="00B978C7" w:rsidP="00944790">
            <w:pPr>
              <w:pStyle w:val="RecBullet"/>
            </w:pPr>
            <w:r w:rsidRPr="00593967">
              <w:t>A key goal should be to avoid hospitalisations, which will require leadership from Local Hospital Networks, and otherwise strong links between hospitals and Health Care Homes.</w:t>
            </w:r>
          </w:p>
          <w:p w14:paraId="1EA38E4B" w14:textId="77777777" w:rsidR="00B978C7" w:rsidRPr="00593967" w:rsidRDefault="00B978C7" w:rsidP="00944790">
            <w:pPr>
              <w:pStyle w:val="RecBullet"/>
            </w:pPr>
            <w:r w:rsidRPr="00593967">
              <w:t xml:space="preserve">Health care homes should also target people with high risks of developing chronic illnesses, such as those who are obese or smoke. </w:t>
            </w:r>
          </w:p>
          <w:p w14:paraId="1EA38E4C" w14:textId="77777777" w:rsidR="00B978C7" w:rsidRPr="00C1530E" w:rsidRDefault="00B978C7" w:rsidP="00944790">
            <w:pPr>
              <w:pStyle w:val="Rec"/>
            </w:pPr>
            <w:r w:rsidRPr="00C1530E">
              <w:t xml:space="preserve">Giving effect to these features and those in Conclusion 6.2 will require different governance arrangements. There should be collaborative arrangements </w:t>
            </w:r>
            <w:r w:rsidRPr="00944790">
              <w:t xml:space="preserve">at the regional level </w:t>
            </w:r>
            <w:r w:rsidRPr="00C1530E">
              <w:t>between service providers funded by State and Territory Governments (local hospital networks and community health care centres), the Australian Government (primary health networks) and local government.</w:t>
            </w:r>
          </w:p>
          <w:p w14:paraId="1EA38E4D" w14:textId="77777777" w:rsidR="00B978C7" w:rsidRPr="00C1530E" w:rsidRDefault="00B978C7" w:rsidP="00944790">
            <w:pPr>
              <w:pStyle w:val="Rec"/>
            </w:pPr>
            <w:r w:rsidRPr="00C1530E">
              <w:t>Different regional collaborations could adopt variants of health care homes that suit their regions.</w:t>
            </w:r>
          </w:p>
          <w:p w14:paraId="1EA38E4E" w14:textId="77777777" w:rsidR="00B978C7" w:rsidRPr="0088242F" w:rsidRDefault="00B978C7" w:rsidP="00944790">
            <w:pPr>
              <w:pStyle w:val="Rec"/>
            </w:pPr>
            <w:r w:rsidRPr="00C1530E">
              <w:t>Any local collaboration would have to engage with general practitioners and other clinicians, as their ‘buy</w:t>
            </w:r>
            <w:r w:rsidR="000D7464" w:rsidRPr="00C1530E">
              <w:noBreakHyphen/>
            </w:r>
            <w:r w:rsidRPr="00C1530E">
              <w:t>in’ will be critical to success.</w:t>
            </w:r>
          </w:p>
        </w:tc>
      </w:tr>
      <w:tr w:rsidR="0088242F" w:rsidRPr="0088242F" w14:paraId="1EA38E51" w14:textId="77777777" w:rsidTr="0088242F">
        <w:tc>
          <w:tcPr>
            <w:tcW w:w="5000" w:type="pct"/>
            <w:tcBorders>
              <w:top w:val="nil"/>
              <w:left w:val="nil"/>
              <w:bottom w:val="single" w:sz="4" w:space="0" w:color="265A9A" w:themeColor="accent2"/>
              <w:right w:val="nil"/>
            </w:tcBorders>
            <w:shd w:val="clear" w:color="auto" w:fill="E1EBF5"/>
            <w:tcMar>
              <w:left w:w="170" w:type="dxa"/>
              <w:right w:w="170" w:type="dxa"/>
            </w:tcMar>
          </w:tcPr>
          <w:p w14:paraId="1EA38E50" w14:textId="77777777" w:rsidR="00B978C7" w:rsidRPr="0088242F" w:rsidRDefault="00B978C7" w:rsidP="0088242F">
            <w:pPr>
              <w:pStyle w:val="Space"/>
              <w:keepLines/>
            </w:pPr>
          </w:p>
        </w:tc>
      </w:tr>
      <w:tr w:rsidR="00B978C7" w:rsidRPr="000863A5" w14:paraId="1EA38E53" w14:textId="77777777" w:rsidTr="0088242F">
        <w:tc>
          <w:tcPr>
            <w:tcW w:w="5000" w:type="pct"/>
            <w:tcBorders>
              <w:top w:val="single" w:sz="4" w:space="0" w:color="265A9A" w:themeColor="accent2"/>
              <w:left w:val="nil"/>
              <w:bottom w:val="nil"/>
              <w:right w:val="nil"/>
            </w:tcBorders>
            <w:tcMar>
              <w:left w:w="170" w:type="dxa"/>
              <w:right w:w="170" w:type="dxa"/>
            </w:tcMar>
          </w:tcPr>
          <w:p w14:paraId="1EA38E52" w14:textId="77777777" w:rsidR="00B978C7" w:rsidRPr="00626D32" w:rsidRDefault="00B978C7" w:rsidP="00B978C7">
            <w:pPr>
              <w:pStyle w:val="BoxSpaceBelow"/>
              <w:keepLines/>
            </w:pPr>
          </w:p>
        </w:tc>
      </w:tr>
      <w:bookmarkEnd w:id="60"/>
    </w:tbl>
    <w:p w14:paraId="1EA38E54" w14:textId="77777777" w:rsidR="00E96339" w:rsidRPr="004E3B94" w:rsidRDefault="00E96339" w:rsidP="00E9633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129"/>
      </w:tblGrid>
      <w:tr w:rsidR="00E96339" w14:paraId="1EA38E59" w14:textId="77777777" w:rsidTr="0088242F">
        <w:trPr>
          <w:cantSplit/>
          <w:tblHeader/>
        </w:trPr>
        <w:tc>
          <w:tcPr>
            <w:tcW w:w="5000" w:type="pct"/>
            <w:tcBorders>
              <w:top w:val="single" w:sz="4" w:space="0" w:color="265A9A" w:themeColor="accent2"/>
              <w:left w:val="nil"/>
              <w:bottom w:val="nil"/>
              <w:right w:val="nil"/>
            </w:tcBorders>
            <w:shd w:val="clear" w:color="auto" w:fill="E1EBF5"/>
            <w:tcMar>
              <w:left w:w="170" w:type="dxa"/>
              <w:right w:w="170" w:type="dxa"/>
            </w:tcMar>
          </w:tcPr>
          <w:p w14:paraId="1EA38E55" w14:textId="77777777" w:rsidR="00E96339" w:rsidRPr="0088242F" w:rsidRDefault="00E96339" w:rsidP="001944BF">
            <w:pPr>
              <w:pStyle w:val="FindingTitle"/>
              <w:spacing w:before="120"/>
              <w:rPr>
                <w:noProof/>
              </w:rPr>
            </w:pPr>
            <w:r w:rsidRPr="0088242F">
              <w:t>conclusion 6.4</w:t>
            </w:r>
          </w:p>
          <w:p w14:paraId="1EA38E56" w14:textId="77777777" w:rsidR="00E96339" w:rsidRPr="00944790" w:rsidRDefault="00E96339" w:rsidP="00944790">
            <w:pPr>
              <w:pStyle w:val="Rec"/>
            </w:pPr>
            <w:r w:rsidRPr="00944790">
              <w:t xml:space="preserve">If risk equalisation arrangements are not changed to provide greater rewards for </w:t>
            </w:r>
            <w:r w:rsidR="009D44FA" w:rsidRPr="00944790">
              <w:t>preventative</w:t>
            </w:r>
            <w:r w:rsidRPr="00944790">
              <w:t xml:space="preserve"> health by private health insurers, then the Australian Government should consider:</w:t>
            </w:r>
          </w:p>
          <w:p w14:paraId="1EA38E57" w14:textId="77777777" w:rsidR="00E96339" w:rsidRPr="00593967" w:rsidRDefault="00E96339" w:rsidP="00944790">
            <w:pPr>
              <w:pStyle w:val="RecBullet"/>
            </w:pPr>
            <w:r w:rsidRPr="00593967">
              <w:t xml:space="preserve">quarantining the net benefits of private insurers’ Chronic Disease Management Programs </w:t>
            </w:r>
            <w:r w:rsidR="0055228B" w:rsidRPr="00593967">
              <w:t>from</w:t>
            </w:r>
            <w:r w:rsidRPr="00593967">
              <w:t xml:space="preserve"> the risk equalisation pool (subject to the capacity to rigorously assess those net benefits)</w:t>
            </w:r>
          </w:p>
          <w:p w14:paraId="1EA38E58" w14:textId="77777777" w:rsidR="00E96339" w:rsidRPr="00E90463" w:rsidRDefault="00E96339" w:rsidP="00944790">
            <w:pPr>
              <w:pStyle w:val="RecBullet"/>
              <w:rPr>
                <w:color w:val="1C4373" w:themeColor="accent2" w:themeShade="BF"/>
              </w:rPr>
            </w:pPr>
            <w:r w:rsidRPr="00593967">
              <w:t xml:space="preserve">encouraging a cooperative arrangement between insures for </w:t>
            </w:r>
            <w:r w:rsidR="009D44FA" w:rsidRPr="00593967">
              <w:t>preventative</w:t>
            </w:r>
            <w:r w:rsidRPr="00593967">
              <w:t xml:space="preserve"> health from which all would benefit.</w:t>
            </w:r>
          </w:p>
        </w:tc>
      </w:tr>
      <w:tr w:rsidR="00E96339" w14:paraId="1EA38E5B" w14:textId="77777777" w:rsidTr="0088242F">
        <w:trPr>
          <w:cantSplit/>
          <w:tblHeader/>
        </w:trPr>
        <w:tc>
          <w:tcPr>
            <w:tcW w:w="5000" w:type="pct"/>
            <w:tcBorders>
              <w:top w:val="nil"/>
              <w:left w:val="nil"/>
              <w:bottom w:val="single" w:sz="4" w:space="0" w:color="265A9A" w:themeColor="accent2"/>
              <w:right w:val="nil"/>
            </w:tcBorders>
            <w:shd w:val="clear" w:color="auto" w:fill="E1EBF5"/>
            <w:tcMar>
              <w:left w:w="170" w:type="dxa"/>
              <w:right w:w="170" w:type="dxa"/>
            </w:tcMar>
          </w:tcPr>
          <w:p w14:paraId="1EA38E5A" w14:textId="77777777" w:rsidR="00E96339" w:rsidRDefault="00E96339" w:rsidP="0088242F">
            <w:pPr>
              <w:pStyle w:val="Space"/>
              <w:keepLines/>
            </w:pPr>
          </w:p>
        </w:tc>
      </w:tr>
      <w:tr w:rsidR="00E96339" w:rsidRPr="000863A5" w14:paraId="1EA38E5D" w14:textId="77777777" w:rsidTr="0088242F">
        <w:trPr>
          <w:cantSplit/>
          <w:tblHeader/>
        </w:trPr>
        <w:tc>
          <w:tcPr>
            <w:tcW w:w="5000" w:type="pct"/>
            <w:tcBorders>
              <w:top w:val="single" w:sz="4" w:space="0" w:color="265A9A" w:themeColor="accent2"/>
              <w:left w:val="nil"/>
              <w:bottom w:val="nil"/>
              <w:right w:val="nil"/>
            </w:tcBorders>
            <w:tcMar>
              <w:left w:w="170" w:type="dxa"/>
              <w:right w:w="170" w:type="dxa"/>
            </w:tcMar>
          </w:tcPr>
          <w:p w14:paraId="1EA38E5C" w14:textId="77777777" w:rsidR="00E96339" w:rsidRPr="00626D32" w:rsidRDefault="00E96339" w:rsidP="001944BF">
            <w:pPr>
              <w:pStyle w:val="BoxSpaceBelow"/>
              <w:keepLines/>
            </w:pPr>
          </w:p>
        </w:tc>
      </w:tr>
    </w:tbl>
    <w:p w14:paraId="1EA38E5E" w14:textId="77777777" w:rsidR="004A19CF" w:rsidRDefault="00A80D77" w:rsidP="004A19CF">
      <w:pPr>
        <w:pStyle w:val="Heading2"/>
      </w:pPr>
      <w:bookmarkStart w:id="61" w:name="_Toc488929701"/>
      <w:bookmarkStart w:id="62" w:name="_Toc489250079"/>
      <w:r>
        <w:t>6.5</w:t>
      </w:r>
      <w:r w:rsidR="004A19CF">
        <w:tab/>
        <w:t xml:space="preserve">Why not </w:t>
      </w:r>
      <w:r w:rsidR="00D678A7">
        <w:t xml:space="preserve">implement </w:t>
      </w:r>
      <w:r w:rsidR="004A19CF">
        <w:t>managed competition?</w:t>
      </w:r>
      <w:bookmarkEnd w:id="61"/>
      <w:bookmarkEnd w:id="62"/>
    </w:p>
    <w:p w14:paraId="1EA38E5F" w14:textId="77777777" w:rsidR="004A19CF" w:rsidRDefault="004A19CF" w:rsidP="004A19CF">
      <w:pPr>
        <w:pStyle w:val="BodyText"/>
      </w:pPr>
      <w:r>
        <w:t>There are alternative funding models that might also encourage integrated care. An oft</w:t>
      </w:r>
      <w:r>
        <w:noBreakHyphen/>
        <w:t>cited option — ‘managed competition’ — involves pooling of the current disparate sources of funds (hospital, primary care, medical and pharmaceutical benefits, and so on) and their allocation to competing budget</w:t>
      </w:r>
      <w:r>
        <w:noBreakHyphen/>
        <w:t xml:space="preserve">holding intermediaries (regardless of their location). These then purchase health services for their clients </w:t>
      </w:r>
      <w:r w:rsidR="00C65A42" w:rsidRPr="00C65A42">
        <w:rPr>
          <w:szCs w:val="24"/>
        </w:rPr>
        <w:t>(PC 2002)</w:t>
      </w:r>
      <w:r>
        <w:t>.</w:t>
      </w:r>
      <w:r w:rsidRPr="00337907">
        <w:t xml:space="preserve"> </w:t>
      </w:r>
      <w:r>
        <w:t>This would mean that the funding arrangements spelt out above for primary and hospital care would not be relevant — the funds would comprise a part of a bigger funding pool.</w:t>
      </w:r>
    </w:p>
    <w:p w14:paraId="1EA38E60" w14:textId="77777777" w:rsidR="004A19CF" w:rsidRDefault="004A19CF" w:rsidP="004A19CF">
      <w:pPr>
        <w:pStyle w:val="BodyText"/>
      </w:pPr>
      <w:r>
        <w:t>Under this approach, government manages competition through a variety of rules and rights to ensure access and stem strategic behaviour by budget</w:t>
      </w:r>
      <w:r>
        <w:noBreakHyphen/>
        <w:t xml:space="preserve">holders and others. </w:t>
      </w:r>
      <w:r w:rsidR="00DE0AF3">
        <w:t>As</w:t>
      </w:r>
      <w:r>
        <w:t xml:space="preserve"> different intermediaries have customers with different health risk profiles, funding is shifted </w:t>
      </w:r>
      <w:r w:rsidR="00AC0D44">
        <w:t>between</w:t>
      </w:r>
      <w:r>
        <w:t xml:space="preserve"> insurers to equalise risks (‘risk equalisation’).</w:t>
      </w:r>
      <w:r w:rsidRPr="003D243B">
        <w:rPr>
          <w:rStyle w:val="FootnoteReference"/>
        </w:rPr>
        <w:footnoteReference w:id="32"/>
      </w:r>
      <w:r>
        <w:t xml:space="preserve"> This approach — similar to that currently used in the Netherlands — has been championed in Australia by several health economists, committees and other groups </w:t>
      </w:r>
      <w:r w:rsidR="00C65A42" w:rsidRPr="00C65A42">
        <w:rPr>
          <w:szCs w:val="24"/>
        </w:rPr>
        <w:t>(CEDA 2013; NHHRC 2009; Scotton 1995; Stoelwinder 2014; Stoelwinder and Paolucci 2009)</w:t>
      </w:r>
      <w:r>
        <w:t>. Achieving it would create better incentives for coordinated care, chronic illness management and disease prevention.</w:t>
      </w:r>
    </w:p>
    <w:p w14:paraId="1EA38E61" w14:textId="592448A0" w:rsidR="004A19CF" w:rsidRDefault="007E0FA2" w:rsidP="004A19CF">
      <w:pPr>
        <w:pStyle w:val="BodyText"/>
      </w:pPr>
      <w:r>
        <w:t>Neve</w:t>
      </w:r>
      <w:r w:rsidR="004407DD">
        <w:t>r</w:t>
      </w:r>
      <w:r>
        <w:t>theless</w:t>
      </w:r>
      <w:r w:rsidR="004A19CF">
        <w:t xml:space="preserve">, it would be a radical step, requiring </w:t>
      </w:r>
      <w:r w:rsidR="004A19CF" w:rsidRPr="00E829FC">
        <w:t>the complete dismantling of current Federal arrangements for health care funding and management</w:t>
      </w:r>
      <w:r w:rsidR="004A19CF">
        <w:t xml:space="preserve">, and the development of a new set of regulatory oversights. The Dutch health system — while widely regarded as good — costs more as a share of </w:t>
      </w:r>
      <w:r w:rsidR="00AC55FD">
        <w:t>gross domestic product</w:t>
      </w:r>
      <w:r w:rsidR="004A19CF">
        <w:t xml:space="preserve"> than Australia’s, does not appear to produce superior health outcomes </w:t>
      </w:r>
      <w:r w:rsidR="00C65A42" w:rsidRPr="00C65A42">
        <w:rPr>
          <w:szCs w:val="24"/>
        </w:rPr>
        <w:t>(Duckett 2014)</w:t>
      </w:r>
      <w:r w:rsidR="004A19CF">
        <w:t xml:space="preserve">, and has encountered a range of other problems </w:t>
      </w:r>
      <w:r w:rsidR="00C65A42" w:rsidRPr="00C65A42">
        <w:rPr>
          <w:szCs w:val="24"/>
        </w:rPr>
        <w:t>(Hall 2010)</w:t>
      </w:r>
      <w:r w:rsidR="004A19CF">
        <w:t>.</w:t>
      </w:r>
      <w:r w:rsidR="004A19CF" w:rsidRPr="003D243B">
        <w:rPr>
          <w:rStyle w:val="FootnoteReference"/>
        </w:rPr>
        <w:footnoteReference w:id="33"/>
      </w:r>
      <w:r w:rsidR="004A19CF">
        <w:t xml:space="preserve"> If nothing else, t</w:t>
      </w:r>
      <w:r w:rsidR="004A19CF" w:rsidRPr="00872A82">
        <w:t xml:space="preserve">he transition </w:t>
      </w:r>
      <w:r w:rsidR="004A19CF">
        <w:t xml:space="preserve">to a Dutch model </w:t>
      </w:r>
      <w:r w:rsidR="004A19CF" w:rsidRPr="00872A82">
        <w:t>would be complex and risky, and those costs might not be worth the gains.</w:t>
      </w:r>
      <w:r w:rsidR="004A19CF" w:rsidRPr="00337907">
        <w:t xml:space="preserve"> </w:t>
      </w:r>
    </w:p>
    <w:p w14:paraId="1EA38E62" w14:textId="77777777" w:rsidR="00E6063C" w:rsidRDefault="007B3122" w:rsidP="00E6063C">
      <w:pPr>
        <w:pStyle w:val="BodyText"/>
        <w:sectPr w:rsidR="00E6063C" w:rsidSect="00D41EC1">
          <w:type w:val="oddPage"/>
          <w:pgSz w:w="11907" w:h="16840" w:code="9"/>
          <w:pgMar w:top="1985" w:right="1304" w:bottom="1418" w:left="1814" w:header="1701" w:footer="397" w:gutter="0"/>
          <w:pgNumType w:chapSep="period"/>
          <w:cols w:space="720"/>
          <w:docGrid w:linePitch="326"/>
        </w:sectPr>
      </w:pPr>
      <w:r>
        <w:t>In that vein, a</w:t>
      </w:r>
      <w:r w:rsidRPr="00872A82">
        <w:t xml:space="preserve"> less radical</w:t>
      </w:r>
      <w:r>
        <w:t xml:space="preserve"> approach based on reconfiguring the relationships and roles of regional care providers — as recommended in this report — has the potential to</w:t>
      </w:r>
      <w:r w:rsidRPr="00872A82">
        <w:t xml:space="preserve"> deliver many of the gains, without these costs and risks.</w:t>
      </w:r>
      <w:r>
        <w:t xml:space="preserve"> (It also draws on some of the insights of the managed competition model.)</w:t>
      </w:r>
      <w:r w:rsidR="00241C04">
        <w:t xml:space="preserve"> </w:t>
      </w:r>
      <w:r>
        <w:t xml:space="preserve">Given the risks to quality of care, access to services and governments’ budgets, incrementalism is generally a judicious approach to policy change in health care, especially as the Australian system produces reasonably good health outcomes by global standards. </w:t>
      </w:r>
      <w:r w:rsidR="00241C04">
        <w:t xml:space="preserve">However, the system changes </w:t>
      </w:r>
      <w:r w:rsidR="00CF0C13">
        <w:t xml:space="preserve">we </w:t>
      </w:r>
      <w:r w:rsidR="00241C04">
        <w:t xml:space="preserve">recommend could be a step along a pathway to managed competition if evidence mounted in favour of this more radical overhaul. </w:t>
      </w:r>
    </w:p>
    <w:p w14:paraId="1EA38E64" w14:textId="77777777" w:rsidR="007506EC" w:rsidRDefault="007506EC" w:rsidP="007506EC">
      <w:pPr>
        <w:pStyle w:val="Heading1"/>
      </w:pPr>
      <w:bookmarkStart w:id="63" w:name="_Toc488929702"/>
      <w:bookmarkStart w:id="64" w:name="_Toc489250080"/>
      <w:r>
        <w:t>7</w:t>
      </w:r>
      <w:r>
        <w:tab/>
        <w:t>Funding of quality care in an integrated system</w:t>
      </w:r>
      <w:bookmarkEnd w:id="63"/>
      <w:bookmarkEnd w:id="64"/>
    </w:p>
    <w:p w14:paraId="1EA38E65" w14:textId="77777777" w:rsidR="004C30D4" w:rsidRDefault="00A21D6F" w:rsidP="004C30D4">
      <w:pPr>
        <w:pStyle w:val="BodyText"/>
      </w:pPr>
      <w:r>
        <w:t>T</w:t>
      </w:r>
      <w:r w:rsidR="004C30D4">
        <w:t>he above policy changes would help to finance initiatives that reduce hospitalisations</w:t>
      </w:r>
      <w:r>
        <w:t xml:space="preserve">. However, </w:t>
      </w:r>
      <w:r w:rsidR="00CE6CBB">
        <w:t>safety and quality in health</w:t>
      </w:r>
      <w:r w:rsidR="00923B4C">
        <w:t xml:space="preserve"> </w:t>
      </w:r>
      <w:r w:rsidR="00CE6CBB">
        <w:t>care are sometimes tenuously linked to funding. Financial incentives are probably not the principal avenue for improving quality or safety, but they should not be overlooked a</w:t>
      </w:r>
      <w:r w:rsidR="002D2B5A">
        <w:t xml:space="preserve">s useful complements for other </w:t>
      </w:r>
      <w:r w:rsidR="00CE6CBB">
        <w:t>policies</w:t>
      </w:r>
      <w:r w:rsidR="002D2B5A">
        <w:t>.</w:t>
      </w:r>
    </w:p>
    <w:p w14:paraId="1EA38E66" w14:textId="77777777" w:rsidR="004C30D4" w:rsidRDefault="007506EC" w:rsidP="007506EC">
      <w:pPr>
        <w:pStyle w:val="Heading2"/>
      </w:pPr>
      <w:bookmarkStart w:id="65" w:name="_Toc488929703"/>
      <w:bookmarkStart w:id="66" w:name="_Toc489250081"/>
      <w:r>
        <w:t>7.</w:t>
      </w:r>
      <w:r w:rsidR="001F5A33">
        <w:t>1</w:t>
      </w:r>
      <w:r>
        <w:tab/>
        <w:t>P</w:t>
      </w:r>
      <w:r w:rsidR="004C30D4">
        <w:t>reventable events</w:t>
      </w:r>
      <w:r>
        <w:t xml:space="preserve"> are now on the policy agenda</w:t>
      </w:r>
      <w:bookmarkEnd w:id="65"/>
      <w:bookmarkEnd w:id="66"/>
    </w:p>
    <w:p w14:paraId="1EA38E67" w14:textId="77777777" w:rsidR="004C30D4" w:rsidRDefault="004C30D4" w:rsidP="004C30D4">
      <w:pPr>
        <w:pStyle w:val="BodyText"/>
      </w:pPr>
      <w:r>
        <w:t>Preventable events that lead to the need to provide additional services in hospitals can still be remunerated. Sentinel events (so</w:t>
      </w:r>
      <w:r>
        <w:noBreakHyphen/>
        <w:t>called ‘never’ events like leaving instruments in a patient after surgery, discharging an infant to the wrong family or operating on the wrong patient) are at the extreme end of the spectrum. Funding arrangements are changing from July</w:t>
      </w:r>
      <w:r w:rsidR="009C49CA">
        <w:t xml:space="preserve"> </w:t>
      </w:r>
      <w:r>
        <w:t xml:space="preserve">2017 so that hospitals will not be funded for episodes of care that involve such events </w:t>
      </w:r>
      <w:r w:rsidR="008D0F00" w:rsidRPr="008D0F00">
        <w:rPr>
          <w:szCs w:val="24"/>
        </w:rPr>
        <w:t>(Hunt 2017a, 2017b)</w:t>
      </w:r>
      <w:r>
        <w:t>. This funding change is justified for most sentinel events. However, it will do little to improve the overall quality of care because sentinel events are very rare (</w:t>
      </w:r>
      <w:r w:rsidR="00616525">
        <w:t>roughly</w:t>
      </w:r>
      <w:r>
        <w:t xml:space="preserve"> 100 a year). Moreover, it is likely that public divulgence and the desire for clinicians and hospitals to be seen as competent and to avoid litigation are themselves powerful motivators of the avoidance of such events, and would encourage them to adhere to advice on how to avoid them. </w:t>
      </w:r>
    </w:p>
    <w:p w14:paraId="1EA38E68" w14:textId="77777777" w:rsidR="00E65F91" w:rsidRDefault="004C30D4" w:rsidP="003F3953">
      <w:pPr>
        <w:pStyle w:val="BodyText"/>
      </w:pPr>
      <w:r>
        <w:t>A bigger issue is the large group of hospital</w:t>
      </w:r>
      <w:r>
        <w:noBreakHyphen/>
        <w:t xml:space="preserve">acquired complications (HACs) and avoidable hospital readmissions where establishing responsibility is more difficult than ‘never’ events. </w:t>
      </w:r>
    </w:p>
    <w:p w14:paraId="1EA38E69" w14:textId="67F113F1" w:rsidR="00744936" w:rsidRDefault="00744936" w:rsidP="003F3953">
      <w:pPr>
        <w:pStyle w:val="BodyText"/>
      </w:pPr>
      <w:r>
        <w:t>Unplanned readmissions have shown little downward trend in recent years, despite increasing awareness of the issue (figure 7.1).</w:t>
      </w:r>
      <w:r w:rsidR="00E65F91" w:rsidRPr="00E65F91">
        <w:t xml:space="preserve"> </w:t>
      </w:r>
      <w:r w:rsidR="00E65F91">
        <w:t xml:space="preserve">In </w:t>
      </w:r>
      <w:r w:rsidR="0083038E">
        <w:t>New South Wales</w:t>
      </w:r>
      <w:r w:rsidR="00E65F91">
        <w:t>, where published aggregate rates across outcomes from all admissions are available, unplanned readmission rates have been rising, and were 7 per cent in 2014</w:t>
      </w:r>
      <w:r w:rsidR="00E65F91">
        <w:noBreakHyphen/>
        <w:t xml:space="preserve">15 </w:t>
      </w:r>
      <w:r w:rsidR="00E65F91" w:rsidRPr="006D2119">
        <w:rPr>
          <w:szCs w:val="24"/>
        </w:rPr>
        <w:t>(Bolevich and Smith 2015)</w:t>
      </w:r>
      <w:r w:rsidR="00E65F91">
        <w:t>.</w:t>
      </w:r>
      <w:r w:rsidR="00E65F91" w:rsidRPr="003D243B">
        <w:rPr>
          <w:rStyle w:val="FootnoteReference"/>
        </w:rPr>
        <w:footnoteReference w:id="34"/>
      </w:r>
      <w:r w:rsidR="00E65F91" w:rsidRPr="00E65F91">
        <w:t xml:space="preserve"> </w:t>
      </w:r>
      <w:r w:rsidR="00E65F91">
        <w:t>There are even greater variations in unplanned readmission rates between hospitals, and these are largely not explained by complexity or other factors that can confuse the interpretation of these rates. For example, in N</w:t>
      </w:r>
      <w:r w:rsidR="00927CAC">
        <w:t xml:space="preserve">ew </w:t>
      </w:r>
      <w:r w:rsidR="00E65F91">
        <w:t>S</w:t>
      </w:r>
      <w:r w:rsidR="00927CAC">
        <w:t xml:space="preserve">outh </w:t>
      </w:r>
      <w:r w:rsidR="00E65F91">
        <w:t>W</w:t>
      </w:r>
      <w:r w:rsidR="00927CAC">
        <w:t>ales</w:t>
      </w:r>
      <w:r w:rsidR="00E65F91">
        <w:t>, even after adjusting for factors outside the control of hospitals, there was a more than nine</w:t>
      </w:r>
      <w:r w:rsidR="004009D3">
        <w:t>-</w:t>
      </w:r>
      <w:r w:rsidR="00E65F91">
        <w:t xml:space="preserve">fold difference in the unplanned readmission rates for treatment of pneumonia between the lowest and the highest performing hospitals </w:t>
      </w:r>
      <w:r w:rsidR="00E65F91" w:rsidRPr="00586151">
        <w:rPr>
          <w:szCs w:val="24"/>
        </w:rPr>
        <w:t>(NSW BHI 2015</w:t>
      </w:r>
      <w:r w:rsidR="00E429B5">
        <w:rPr>
          <w:szCs w:val="24"/>
        </w:rPr>
        <w:t>b</w:t>
      </w:r>
      <w:r w:rsidR="00E65F91" w:rsidRPr="00586151">
        <w:rPr>
          <w:szCs w:val="24"/>
        </w:rPr>
        <w:t>, p. 25)</w:t>
      </w:r>
      <w:r w:rsidR="00E65F91">
        <w:t>.</w:t>
      </w:r>
      <w:r w:rsidR="00E65F91" w:rsidRPr="003D243B">
        <w:rPr>
          <w:rStyle w:val="FootnoteReference"/>
        </w:rPr>
        <w:footnoteReference w:id="35"/>
      </w:r>
      <w:r w:rsidR="00E65F91">
        <w:t xml:space="preserve"> That suggests inadequate diffusion of best practice for addressing unplanned readmissions.</w:t>
      </w:r>
    </w:p>
    <w:p w14:paraId="1EA38E6A" w14:textId="77777777" w:rsidR="003F3953" w:rsidRDefault="00744936" w:rsidP="003F3953">
      <w:pPr>
        <w:pStyle w:val="BodyText"/>
      </w:pPr>
      <w:r>
        <w:t>HACs and avoidable hospital readmissions</w:t>
      </w:r>
      <w:r w:rsidR="004C30D4">
        <w:t xml:space="preserve"> are less amenable to litigation or shaming, though disclosure </w:t>
      </w:r>
      <w:r w:rsidR="003F3953">
        <w:t xml:space="preserve">of outcomes at the surgeon level </w:t>
      </w:r>
      <w:r w:rsidR="004C30D4">
        <w:t xml:space="preserve">would still be a powerful factor in revealing clinicians </w:t>
      </w:r>
      <w:r w:rsidR="000634F9">
        <w:t>that are linked to</w:t>
      </w:r>
      <w:r w:rsidR="004C30D4">
        <w:t xml:space="preserve"> HACs persistently outside the normal range. </w:t>
      </w:r>
      <w:r w:rsidR="009B5838">
        <w:t xml:space="preserve">While not identifying the surgeons, the Royal Australasian College of Surgeons and Medibank Private have recently collated data at the surgeon level on HACs, admissions to </w:t>
      </w:r>
      <w:r w:rsidR="008973A8">
        <w:t xml:space="preserve">intensive care units </w:t>
      </w:r>
      <w:r w:rsidR="009B5838">
        <w:t xml:space="preserve">and readmission rates for a range of common orthopaedic procedures </w:t>
      </w:r>
      <w:r w:rsidR="002B1FEF" w:rsidRPr="002B1FEF">
        <w:rPr>
          <w:szCs w:val="24"/>
        </w:rPr>
        <w:t>(RACS 2016b)</w:t>
      </w:r>
      <w:r w:rsidR="009B5838">
        <w:t xml:space="preserve">. </w:t>
      </w:r>
      <w:r w:rsidR="003F3953">
        <w:t xml:space="preserve">They </w:t>
      </w:r>
      <w:r w:rsidR="00FC2EE7">
        <w:t>comment</w:t>
      </w:r>
      <w:r w:rsidR="003F3953">
        <w:t xml:space="preserve"> that ‘such information would enable surgeons to gain a better understanding of variations, and consider how their practice could be improved for the benefit of </w:t>
      </w:r>
      <w:r w:rsidR="003607C5">
        <w:t>patients</w:t>
      </w:r>
      <w:r w:rsidR="003F3953">
        <w:t>’</w:t>
      </w:r>
      <w:r w:rsidR="003607C5">
        <w:t>.</w:t>
      </w:r>
    </w:p>
    <w:p w14:paraId="1EA38E6B" w14:textId="77777777" w:rsidR="004C30D4" w:rsidRDefault="004C30D4" w:rsidP="0088242F">
      <w:pPr>
        <w:pStyle w:val="BodyText"/>
        <w:spacing w:before="200"/>
      </w:pPr>
      <w:r>
        <w:t xml:space="preserve">From July 2018, the IHPA will only provide partial </w:t>
      </w:r>
      <w:r w:rsidR="003F3953">
        <w:t xml:space="preserve">(public) </w:t>
      </w:r>
      <w:r>
        <w:t xml:space="preserve">funding for episodes of care that lead to an agreed set of HACs, and has developed a framework for doing so </w:t>
      </w:r>
      <w:r w:rsidR="00C65A42" w:rsidRPr="00C65A42">
        <w:rPr>
          <w:szCs w:val="24"/>
        </w:rPr>
        <w:t>(IHPA 2017)</w:t>
      </w:r>
      <w:r>
        <w:t xml:space="preserve">. </w:t>
      </w:r>
    </w:p>
    <w:p w14:paraId="1EA38E6C" w14:textId="77777777" w:rsidR="00CE1565" w:rsidRDefault="00CE1565" w:rsidP="0088242F">
      <w:pPr>
        <w:pStyle w:val="BoxSpaceAbove"/>
        <w:spacing w:before="20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CE1565" w14:paraId="1EA38E6F" w14:textId="77777777" w:rsidTr="008F10EF">
        <w:tc>
          <w:tcPr>
            <w:tcW w:w="5000" w:type="pct"/>
            <w:tcBorders>
              <w:top w:val="single" w:sz="6" w:space="0" w:color="78A22F"/>
              <w:left w:val="nil"/>
              <w:bottom w:val="nil"/>
              <w:right w:val="nil"/>
            </w:tcBorders>
            <w:shd w:val="clear" w:color="auto" w:fill="auto"/>
          </w:tcPr>
          <w:p w14:paraId="1EA38E6D" w14:textId="77777777" w:rsidR="00CE1565" w:rsidRDefault="00CE1565" w:rsidP="0088242F">
            <w:pPr>
              <w:pStyle w:val="FigureTitle"/>
              <w:spacing w:after="0"/>
            </w:pPr>
            <w:r w:rsidRPr="00944790">
              <w:rPr>
                <w:b w:val="0"/>
              </w:rPr>
              <w:t>Figure 7.1</w:t>
            </w:r>
            <w:r>
              <w:tab/>
            </w:r>
            <w:r w:rsidRPr="00CE1565">
              <w:t>Unplanned readmissions for 6 surgical procedures</w:t>
            </w:r>
          </w:p>
          <w:p w14:paraId="1EA38E6E" w14:textId="77777777" w:rsidR="00CE1565" w:rsidRPr="0088242F" w:rsidRDefault="00CE1565" w:rsidP="0088242F">
            <w:pPr>
              <w:pStyle w:val="Subtitle"/>
            </w:pPr>
            <w:r w:rsidRPr="0088242F">
              <w:t>Australia, 2010</w:t>
            </w:r>
            <w:r w:rsidRPr="0088242F">
              <w:noBreakHyphen/>
              <w:t>11 to 2014</w:t>
            </w:r>
            <w:r w:rsidRPr="0088242F">
              <w:noBreakHyphen/>
              <w:t>15</w:t>
            </w:r>
          </w:p>
        </w:tc>
      </w:tr>
      <w:tr w:rsidR="00CE1565" w:rsidRPr="00B1465D" w14:paraId="1EA38E73" w14:textId="77777777" w:rsidTr="008F10EF">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layout."/>
            </w:tblPr>
            <w:tblGrid>
              <w:gridCol w:w="8789"/>
            </w:tblGrid>
            <w:tr w:rsidR="00CE1565" w:rsidRPr="00B1465D" w14:paraId="1EA38E71" w14:textId="77777777" w:rsidTr="008F10EF">
              <w:trPr>
                <w:tblHeader/>
                <w:jc w:val="center"/>
              </w:trPr>
              <w:tc>
                <w:tcPr>
                  <w:tcW w:w="5000" w:type="pct"/>
                  <w:tcBorders>
                    <w:top w:val="nil"/>
                    <w:bottom w:val="nil"/>
                  </w:tcBorders>
                </w:tcPr>
                <w:p w14:paraId="1EA38E70" w14:textId="77777777" w:rsidR="00CE1565" w:rsidRPr="00B1465D" w:rsidRDefault="00C177B0" w:rsidP="0088242F">
                  <w:pPr>
                    <w:pStyle w:val="Figure"/>
                    <w:spacing w:before="0" w:after="0"/>
                    <w:rPr>
                      <w:rFonts w:ascii="Arial" w:hAnsi="Arial" w:cs="Arial"/>
                      <w:sz w:val="18"/>
                      <w:szCs w:val="18"/>
                    </w:rPr>
                  </w:pPr>
                  <w:r>
                    <w:rPr>
                      <w:rFonts w:ascii="Arial" w:hAnsi="Arial" w:cs="Arial"/>
                      <w:noProof/>
                      <w:sz w:val="18"/>
                      <w:szCs w:val="18"/>
                    </w:rPr>
                    <w:drawing>
                      <wp:inline distT="0" distB="0" distL="0" distR="0" wp14:anchorId="1EA39654" wp14:editId="00D41587">
                        <wp:extent cx="5407660" cy="2660073"/>
                        <wp:effectExtent l="0" t="0" r="2540" b="6985"/>
                        <wp:docPr id="7" name="Picture 7" descr="This figure reports the rate of unplanned readmissions in Australia between 2010-11 and 2014-15 for six surgical procedures. The rate rises from just over 25 per cent to over 35 per cent for tonsillectomy and adenoidectomy. For all other procedures, the rate in 2014-15 is comparable to the rate in 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b="2602"/>
                                <a:stretch/>
                              </pic:blipFill>
                              <pic:spPr bwMode="auto">
                                <a:xfrm>
                                  <a:off x="0" y="0"/>
                                  <a:ext cx="5407660" cy="266007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EA38E72" w14:textId="77777777" w:rsidR="00CE1565" w:rsidRPr="00B1465D" w:rsidRDefault="00CE1565" w:rsidP="008F10EF">
            <w:pPr>
              <w:pStyle w:val="Figure"/>
              <w:rPr>
                <w:rFonts w:ascii="Arial" w:hAnsi="Arial" w:cs="Arial"/>
                <w:sz w:val="18"/>
                <w:szCs w:val="18"/>
              </w:rPr>
            </w:pPr>
          </w:p>
        </w:tc>
      </w:tr>
      <w:tr w:rsidR="00CE1565" w:rsidRPr="00176D3F" w14:paraId="1EA38E75" w14:textId="77777777" w:rsidTr="008F10EF">
        <w:tc>
          <w:tcPr>
            <w:tcW w:w="5000" w:type="pct"/>
            <w:tcBorders>
              <w:top w:val="nil"/>
              <w:left w:val="nil"/>
              <w:bottom w:val="nil"/>
              <w:right w:val="nil"/>
            </w:tcBorders>
            <w:shd w:val="clear" w:color="auto" w:fill="auto"/>
          </w:tcPr>
          <w:p w14:paraId="1EA38E74" w14:textId="77777777" w:rsidR="00CE1565" w:rsidRPr="00176D3F" w:rsidRDefault="00CE1565" w:rsidP="0088242F">
            <w:pPr>
              <w:pStyle w:val="Note"/>
              <w:spacing w:before="0"/>
            </w:pPr>
            <w:r>
              <w:rPr>
                <w:rStyle w:val="NoteLabel"/>
              </w:rPr>
              <w:t>a</w:t>
            </w:r>
            <w:r>
              <w:t xml:space="preserve"> </w:t>
            </w:r>
            <w:r w:rsidRPr="00CE1565">
              <w:t xml:space="preserve">An unplanned readmission occurs where a patient is admitted for an unplanned care or service </w:t>
            </w:r>
            <w:r w:rsidR="00954C45">
              <w:t xml:space="preserve">in a hospital </w:t>
            </w:r>
            <w:r w:rsidRPr="00CE1565">
              <w:t xml:space="preserve">within 28 days of an earlier discharge. </w:t>
            </w:r>
            <w:r>
              <w:t xml:space="preserve">Not all unplanned readmissions are necessarily avoidable, but they are recognised as a valid indicator of safety and quality in State and Territory Government Service Performance Agreements with LHNs. </w:t>
            </w:r>
            <w:r w:rsidRPr="00CE1565">
              <w:t>The data are limited to public hospitals. Only the first readmission following surgery was included. A readmission was not included if there was an i</w:t>
            </w:r>
            <w:r w:rsidR="00954C45">
              <w:t>ntervening unrelated separation</w:t>
            </w:r>
            <w:r>
              <w:t>.</w:t>
            </w:r>
          </w:p>
        </w:tc>
      </w:tr>
      <w:tr w:rsidR="00CE1565" w:rsidRPr="00176D3F" w14:paraId="1EA38E77" w14:textId="77777777" w:rsidTr="008F10EF">
        <w:tc>
          <w:tcPr>
            <w:tcW w:w="5000" w:type="pct"/>
            <w:tcBorders>
              <w:top w:val="nil"/>
              <w:left w:val="nil"/>
              <w:bottom w:val="nil"/>
              <w:right w:val="nil"/>
            </w:tcBorders>
            <w:shd w:val="clear" w:color="auto" w:fill="auto"/>
          </w:tcPr>
          <w:p w14:paraId="1EA38E76" w14:textId="4D4EDF25" w:rsidR="00CE1565" w:rsidRPr="00176D3F" w:rsidRDefault="00CE1565" w:rsidP="0088242F">
            <w:pPr>
              <w:pStyle w:val="Source"/>
            </w:pPr>
            <w:r>
              <w:rPr>
                <w:i/>
              </w:rPr>
              <w:t>S</w:t>
            </w:r>
            <w:r w:rsidRPr="00784A05">
              <w:rPr>
                <w:i/>
              </w:rPr>
              <w:t>ource</w:t>
            </w:r>
            <w:r w:rsidRPr="00176D3F">
              <w:t xml:space="preserve">: </w:t>
            </w:r>
            <w:r>
              <w:t xml:space="preserve">SCRGSP </w:t>
            </w:r>
            <w:r w:rsidR="003E01C4">
              <w:rPr>
                <w:rFonts w:cs="Arial"/>
              </w:rPr>
              <w:t>(2017 table </w:t>
            </w:r>
            <w:r w:rsidRPr="009104F8">
              <w:rPr>
                <w:rFonts w:cs="Arial"/>
              </w:rPr>
              <w:t>12A.50)</w:t>
            </w:r>
            <w:r>
              <w:t>.</w:t>
            </w:r>
          </w:p>
        </w:tc>
      </w:tr>
      <w:tr w:rsidR="00CE1565" w14:paraId="1EA38E79" w14:textId="77777777" w:rsidTr="008F10EF">
        <w:tc>
          <w:tcPr>
            <w:tcW w:w="5000" w:type="pct"/>
            <w:tcBorders>
              <w:top w:val="nil"/>
              <w:left w:val="nil"/>
              <w:bottom w:val="single" w:sz="6" w:space="0" w:color="78A22F"/>
              <w:right w:val="nil"/>
            </w:tcBorders>
            <w:shd w:val="clear" w:color="auto" w:fill="auto"/>
          </w:tcPr>
          <w:p w14:paraId="1EA38E78" w14:textId="77777777" w:rsidR="00CE1565" w:rsidRDefault="00CE1565" w:rsidP="008F10EF">
            <w:pPr>
              <w:pStyle w:val="Figurespace"/>
            </w:pPr>
          </w:p>
        </w:tc>
      </w:tr>
      <w:tr w:rsidR="00CE1565" w:rsidRPr="000863A5" w14:paraId="1EA38E7B" w14:textId="77777777" w:rsidTr="008F10EF">
        <w:tc>
          <w:tcPr>
            <w:tcW w:w="5000" w:type="pct"/>
            <w:tcBorders>
              <w:top w:val="single" w:sz="6" w:space="0" w:color="78A22F"/>
              <w:left w:val="nil"/>
              <w:bottom w:val="nil"/>
              <w:right w:val="nil"/>
            </w:tcBorders>
          </w:tcPr>
          <w:p w14:paraId="1EA38E7A" w14:textId="77777777" w:rsidR="00CE1565" w:rsidRPr="00626D32" w:rsidRDefault="00CE1565" w:rsidP="008F10EF">
            <w:pPr>
              <w:pStyle w:val="BoxSpaceBelow"/>
            </w:pPr>
          </w:p>
        </w:tc>
      </w:tr>
    </w:tbl>
    <w:p w14:paraId="1EA38E7C" w14:textId="77777777" w:rsidR="004C30D4" w:rsidRDefault="007506EC" w:rsidP="007506EC">
      <w:pPr>
        <w:pStyle w:val="Heading2"/>
      </w:pPr>
      <w:bookmarkStart w:id="67" w:name="_Toc488929704"/>
      <w:bookmarkStart w:id="68" w:name="_Toc489250082"/>
      <w:r>
        <w:t>7.</w:t>
      </w:r>
      <w:r w:rsidR="001F5A33">
        <w:t>2</w:t>
      </w:r>
      <w:r>
        <w:tab/>
      </w:r>
      <w:r w:rsidR="004C30D4">
        <w:t>Progress to limit low or no</w:t>
      </w:r>
      <w:r w:rsidR="003123E7">
        <w:noBreakHyphen/>
      </w:r>
      <w:r w:rsidR="004C30D4">
        <w:t>value services is less rapid</w:t>
      </w:r>
      <w:bookmarkEnd w:id="67"/>
      <w:bookmarkEnd w:id="68"/>
    </w:p>
    <w:p w14:paraId="1EA38E7D" w14:textId="77777777" w:rsidR="004366A3" w:rsidRDefault="004C30D4" w:rsidP="004C30D4">
      <w:pPr>
        <w:pStyle w:val="BodyText"/>
      </w:pPr>
      <w:r>
        <w:t>Many medical interventions are fully remunerated by taxpayers even if the context in which they are used is not justified.</w:t>
      </w:r>
    </w:p>
    <w:p w14:paraId="1EA38E7E" w14:textId="77777777" w:rsidR="004C30D4" w:rsidRDefault="004C30D4" w:rsidP="004C30D4">
      <w:pPr>
        <w:pStyle w:val="BodyText"/>
      </w:pPr>
      <w:r>
        <w:t xml:space="preserve">It is important to distinguish between two types of questionable treatments. One are treatments that lack clinical evidence in favour of their use </w:t>
      </w:r>
      <w:r w:rsidRPr="004366A3">
        <w:rPr>
          <w:i/>
        </w:rPr>
        <w:t>altogether</w:t>
      </w:r>
      <w:r>
        <w:t xml:space="preserve"> — or for which more cost effective treatments of better or equal efficacy have been discovered. This concern is not isolated to hospital care, but also to primary care, medical appliances and pharmaceuticals. </w:t>
      </w:r>
      <w:r w:rsidR="004366A3">
        <w:t>Where ambiguity is not present, clinical standards and payment systems can be readily adapted to eliminate them.</w:t>
      </w:r>
    </w:p>
    <w:p w14:paraId="1EA38E7F" w14:textId="77777777" w:rsidR="00046402" w:rsidRDefault="004C30D4" w:rsidP="003D07C0">
      <w:pPr>
        <w:pStyle w:val="BodyText"/>
      </w:pPr>
      <w:r>
        <w:t xml:space="preserve">A second, more problematic type of treatments are those that are clinically </w:t>
      </w:r>
      <w:r w:rsidR="00F24EF5">
        <w:t>justified</w:t>
      </w:r>
      <w:r>
        <w:t xml:space="preserve"> in some</w:t>
      </w:r>
      <w:r w:rsidR="004366A3">
        <w:t xml:space="preserve"> instances</w:t>
      </w:r>
      <w:r>
        <w:t xml:space="preserve">, but </w:t>
      </w:r>
      <w:r w:rsidR="00F24EF5">
        <w:t>not</w:t>
      </w:r>
      <w:r w:rsidR="004366A3">
        <w:t xml:space="preserve"> in </w:t>
      </w:r>
      <w:r>
        <w:t>other</w:t>
      </w:r>
      <w:r w:rsidR="004366A3">
        <w:t>s</w:t>
      </w:r>
      <w:r>
        <w:t xml:space="preserve">. </w:t>
      </w:r>
      <w:r w:rsidR="004366A3">
        <w:t>Sometim</w:t>
      </w:r>
      <w:r>
        <w:t xml:space="preserve">es, it is possible to determine authoritatively the </w:t>
      </w:r>
      <w:r w:rsidR="000A26D4">
        <w:t>circumstances</w:t>
      </w:r>
      <w:r>
        <w:t xml:space="preserve"> in which a treatment is not clinically indicated. For example, there is no evidence in favour of chlamydia serology as a </w:t>
      </w:r>
      <w:r w:rsidRPr="000F33FE">
        <w:rPr>
          <w:i/>
        </w:rPr>
        <w:t>screening</w:t>
      </w:r>
      <w:r>
        <w:t xml:space="preserve"> test, though it may be useful in other specific </w:t>
      </w:r>
      <w:r w:rsidR="000A26D4">
        <w:t>cases</w:t>
      </w:r>
      <w:r>
        <w:t xml:space="preserve"> </w:t>
      </w:r>
      <w:r w:rsidR="00C65A42" w:rsidRPr="00C65A42">
        <w:rPr>
          <w:szCs w:val="24"/>
        </w:rPr>
        <w:t>(Choosing Wisely Australia 2017)</w:t>
      </w:r>
      <w:r>
        <w:t xml:space="preserve">. Similarly, </w:t>
      </w:r>
      <w:r w:rsidR="00464D14">
        <w:t>computed tomography (</w:t>
      </w:r>
      <w:r>
        <w:t>CT</w:t>
      </w:r>
      <w:r w:rsidR="00464D14">
        <w:t>)</w:t>
      </w:r>
      <w:r>
        <w:t xml:space="preserve"> scans for head injuries are only warranted for high</w:t>
      </w:r>
      <w:r>
        <w:noBreakHyphen/>
        <w:t xml:space="preserve">risk presentations. Antibiotics are rarely justified for upper respiratory infections (which are overwhelmingly viral in nature). </w:t>
      </w:r>
      <w:r w:rsidR="00F37052">
        <w:t xml:space="preserve">In Australia, </w:t>
      </w:r>
      <w:r w:rsidR="00C43F38">
        <w:t>about</w:t>
      </w:r>
      <w:r w:rsidR="00F37052">
        <w:t xml:space="preserve"> 75 per cent of acute bronchitis is treated with antibiotics</w:t>
      </w:r>
      <w:r w:rsidR="00B07EF3">
        <w:t>. T</w:t>
      </w:r>
      <w:r w:rsidR="00F37052">
        <w:t xml:space="preserve">he evidence suggests that the rate should be </w:t>
      </w:r>
      <w:r w:rsidR="00B07EF3">
        <w:t>close to</w:t>
      </w:r>
      <w:r w:rsidR="00F37052">
        <w:t xml:space="preserve"> zero </w:t>
      </w:r>
      <w:r w:rsidR="00F37052" w:rsidRPr="00443005">
        <w:rPr>
          <w:szCs w:val="24"/>
        </w:rPr>
        <w:t>(Hansen et al. 2015)</w:t>
      </w:r>
      <w:r w:rsidR="00F37052">
        <w:t>.</w:t>
      </w:r>
    </w:p>
    <w:p w14:paraId="1EA38E80" w14:textId="77777777" w:rsidR="00C63C4B" w:rsidRDefault="00A251E5" w:rsidP="003D07C0">
      <w:pPr>
        <w:pStyle w:val="BodyText"/>
      </w:pPr>
      <w:r>
        <w:t xml:space="preserve">Arthroscopic knee surgery for degenerative knee disease </w:t>
      </w:r>
      <w:r w:rsidR="00046402">
        <w:t xml:space="preserve">provides a good case study of the </w:t>
      </w:r>
      <w:r w:rsidR="004366A3">
        <w:t xml:space="preserve">complex </w:t>
      </w:r>
      <w:r w:rsidR="00046402">
        <w:t>issues</w:t>
      </w:r>
      <w:r w:rsidR="004366A3">
        <w:t xml:space="preserve"> at play</w:t>
      </w:r>
      <w:r w:rsidR="00046402">
        <w:t xml:space="preserve">. It </w:t>
      </w:r>
      <w:r>
        <w:t>is a very common orthopaedic procedure, performed million</w:t>
      </w:r>
      <w:r w:rsidR="00BA1574">
        <w:t xml:space="preserve">s of </w:t>
      </w:r>
      <w:r>
        <w:t>times per year</w:t>
      </w:r>
      <w:r w:rsidR="00BA1574">
        <w:t xml:space="preserve"> internationally</w:t>
      </w:r>
      <w:r>
        <w:t>, despite evidence against it</w:t>
      </w:r>
      <w:r w:rsidR="004366A3">
        <w:t xml:space="preserve"> in many </w:t>
      </w:r>
      <w:r w:rsidR="000A26D4">
        <w:t>instances</w:t>
      </w:r>
      <w:r>
        <w:t xml:space="preserve"> </w:t>
      </w:r>
      <w:r w:rsidR="00C65A42" w:rsidRPr="00C65A42">
        <w:rPr>
          <w:szCs w:val="24"/>
        </w:rPr>
        <w:t>(Bohensky et al. 2012; Siemieniuk et al. 2017; Thorlund et al. 2015)</w:t>
      </w:r>
      <w:r>
        <w:t>.</w:t>
      </w:r>
      <w:r w:rsidR="00B04999">
        <w:t xml:space="preserve"> T</w:t>
      </w:r>
      <w:r w:rsidR="00C63C4B">
        <w:t>he Australian Commission on Safety and Quality in Health Care (ACSQHC) has recently issued some guidelines that make clear that certain procedures have no evidence behind them,</w:t>
      </w:r>
      <w:r>
        <w:t xml:space="preserve"> including</w:t>
      </w:r>
      <w:r w:rsidR="00C63C4B">
        <w:t xml:space="preserve"> </w:t>
      </w:r>
      <w:r w:rsidR="00C63C4B" w:rsidRPr="00826924">
        <w:t>arthroscopy</w:t>
      </w:r>
      <w:r w:rsidR="00C63C4B">
        <w:t xml:space="preserve"> for </w:t>
      </w:r>
      <w:r w:rsidR="00C63C4B" w:rsidRPr="00826924">
        <w:t>knee osteoarthritis</w:t>
      </w:r>
      <w:r w:rsidR="00C63C4B">
        <w:t xml:space="preserve"> </w:t>
      </w:r>
      <w:r w:rsidR="008D0F00" w:rsidRPr="008D0F00">
        <w:rPr>
          <w:szCs w:val="24"/>
        </w:rPr>
        <w:t>(ACSQHC 2017a, 2017b)</w:t>
      </w:r>
      <w:r w:rsidR="00C63C4B">
        <w:t xml:space="preserve">. </w:t>
      </w:r>
      <w:r w:rsidR="003D07C0">
        <w:t>The</w:t>
      </w:r>
      <w:r w:rsidR="003D07C0" w:rsidRPr="003D07C0">
        <w:rPr>
          <w:szCs w:val="24"/>
        </w:rPr>
        <w:t xml:space="preserve"> </w:t>
      </w:r>
      <w:r w:rsidR="003D07C0" w:rsidRPr="009B5838">
        <w:rPr>
          <w:szCs w:val="24"/>
        </w:rPr>
        <w:t>ACSQHC</w:t>
      </w:r>
      <w:r w:rsidR="00AB0288">
        <w:rPr>
          <w:szCs w:val="24"/>
        </w:rPr>
        <w:t xml:space="preserve"> </w:t>
      </w:r>
      <w:r w:rsidR="00C63C4B">
        <w:t xml:space="preserve">is unequivocal about the </w:t>
      </w:r>
      <w:r w:rsidR="00F24EF5">
        <w:t>right</w:t>
      </w:r>
      <w:r w:rsidR="00C63C4B">
        <w:t xml:space="preserve"> standard</w:t>
      </w:r>
      <w:r w:rsidR="00C63C4B" w:rsidRPr="009424C6">
        <w:t xml:space="preserve"> </w:t>
      </w:r>
      <w:r w:rsidR="00C63C4B">
        <w:t>for this invasive procedure:</w:t>
      </w:r>
    </w:p>
    <w:p w14:paraId="1EA38E81" w14:textId="77777777" w:rsidR="00C63C4B" w:rsidRDefault="00C63C4B" w:rsidP="00C63C4B">
      <w:pPr>
        <w:pStyle w:val="Quote"/>
      </w:pPr>
      <w:r w:rsidRPr="00826924">
        <w:t xml:space="preserve">One effect of the new standard is to </w:t>
      </w:r>
      <w:r w:rsidRPr="00826924">
        <w:rPr>
          <w:i/>
        </w:rPr>
        <w:t>discourage</w:t>
      </w:r>
      <w:r w:rsidRPr="00826924">
        <w:t xml:space="preserve"> </w:t>
      </w:r>
      <w:r>
        <w:t xml:space="preserve">[our emphasis] </w:t>
      </w:r>
      <w:r w:rsidRPr="00826924">
        <w:t>the use of arthroscopy for patients with knee osteoarthritis. Knee arthroscopy – a procedure that involves doctors inserting a camera and surgical instruments inside a patient’s knee joint to clear out debris – is costly, may cause harm, and has repeatedly been shown to bring minimal benefit to patients with osteoarthritis, and yet it remains a common form of treatment.</w:t>
      </w:r>
      <w:r>
        <w:t xml:space="preserve"> </w:t>
      </w:r>
      <w:r w:rsidR="009E35A1" w:rsidRPr="009E35A1">
        <w:rPr>
          <w:szCs w:val="24"/>
        </w:rPr>
        <w:t>(ACSQHC 2017a, p. 1)</w:t>
      </w:r>
    </w:p>
    <w:p w14:paraId="1EA38E82" w14:textId="77777777" w:rsidR="00D01E17" w:rsidRDefault="002146AA" w:rsidP="002146AA">
      <w:pPr>
        <w:pStyle w:val="BodyText"/>
      </w:pPr>
      <w:r>
        <w:t xml:space="preserve">The standard is advisory — a surgeon could still elect to undertake the procedure </w:t>
      </w:r>
      <w:r w:rsidR="000A26D4">
        <w:t xml:space="preserve">for knee </w:t>
      </w:r>
      <w:r w:rsidR="000A26D4" w:rsidRPr="00826924">
        <w:t>osteoarthritis</w:t>
      </w:r>
      <w:r>
        <w:t xml:space="preserve">. </w:t>
      </w:r>
    </w:p>
    <w:p w14:paraId="1EA38E83" w14:textId="77777777" w:rsidR="002146AA" w:rsidRDefault="00D01E17" w:rsidP="002146AA">
      <w:pPr>
        <w:pStyle w:val="BodyText"/>
      </w:pPr>
      <w:r>
        <w:t>Given the high prevalence of this procedure in Australia, the estimated annual costs of unjustified knee arthroscopies could readily be of the order of $200 million.</w:t>
      </w:r>
      <w:r w:rsidRPr="003D243B">
        <w:rPr>
          <w:rStyle w:val="FootnoteReference"/>
        </w:rPr>
        <w:footnoteReference w:id="36"/>
      </w:r>
    </w:p>
    <w:p w14:paraId="1EA38E84" w14:textId="77777777" w:rsidR="00AC75B2" w:rsidRDefault="002146AA" w:rsidP="00AC75B2">
      <w:pPr>
        <w:pStyle w:val="BodyText"/>
      </w:pPr>
      <w:r>
        <w:t xml:space="preserve">It is also notable that in the United States, the Centers for Medicare and Medicaid </w:t>
      </w:r>
      <w:r w:rsidR="00C65A42" w:rsidRPr="00C65A42">
        <w:rPr>
          <w:szCs w:val="24"/>
        </w:rPr>
        <w:t>(CMS 2004)</w:t>
      </w:r>
      <w:r>
        <w:t xml:space="preserve"> and the UK’s </w:t>
      </w:r>
      <w:r w:rsidR="00464D14" w:rsidRPr="00464D14">
        <w:t>National Institute for Health and Care Excellence</w:t>
      </w:r>
      <w:r w:rsidR="00464D14">
        <w:t xml:space="preserve"> </w:t>
      </w:r>
      <w:r w:rsidR="007653E5">
        <w:t>(</w:t>
      </w:r>
      <w:r>
        <w:t>NICE</w:t>
      </w:r>
      <w:r w:rsidR="007653E5">
        <w:t>)</w:t>
      </w:r>
      <w:r>
        <w:t xml:space="preserve"> has been recommending against this procedure for many years </w:t>
      </w:r>
      <w:r w:rsidR="007931F4" w:rsidRPr="007931F4">
        <w:rPr>
          <w:szCs w:val="24"/>
        </w:rPr>
        <w:t>(NICE 2008, 2014b)</w:t>
      </w:r>
      <w:r>
        <w:t xml:space="preserve">. These decisions are only made after thorough clinical advice. The clinical awareness of its inefficacy should have been apparent </w:t>
      </w:r>
      <w:r w:rsidR="00AB0288">
        <w:t>to all specialists</w:t>
      </w:r>
      <w:r w:rsidR="009B6B75">
        <w:t xml:space="preserve"> more than a decade ago</w:t>
      </w:r>
      <w:r>
        <w:t xml:space="preserve">. </w:t>
      </w:r>
    </w:p>
    <w:p w14:paraId="1EA38E85" w14:textId="41DE3E6F" w:rsidR="00AC75B2" w:rsidRDefault="00AC75B2" w:rsidP="00AC75B2">
      <w:pPr>
        <w:pStyle w:val="BodyText"/>
      </w:pPr>
      <w:r>
        <w:t>A group of clinicians at Liverpool, St George and Sutherland hospitals in Sydney have stopped performing arthroscopies on patients aged over 50</w:t>
      </w:r>
      <w:r w:rsidR="000E403B">
        <w:t> </w:t>
      </w:r>
      <w:r>
        <w:t xml:space="preserve">years because they do not feel they can clinically justify doing them </w:t>
      </w:r>
      <w:r w:rsidRPr="00CA2B3C">
        <w:rPr>
          <w:szCs w:val="24"/>
        </w:rPr>
        <w:t>(Aubusson 2014)</w:t>
      </w:r>
      <w:r>
        <w:t>.</w:t>
      </w:r>
    </w:p>
    <w:p w14:paraId="1EA38E86" w14:textId="77777777" w:rsidR="00D65F16" w:rsidRDefault="00BB60D9" w:rsidP="00D65F16">
      <w:pPr>
        <w:pStyle w:val="BodyText"/>
      </w:pPr>
      <w:r>
        <w:t xml:space="preserve">While </w:t>
      </w:r>
      <w:r w:rsidR="004366A3">
        <w:t xml:space="preserve">most knee arthroscopies in Australia (and globally) are undertaken for degenerative knees, where they have no more effect than a placebo, </w:t>
      </w:r>
      <w:r>
        <w:t xml:space="preserve">there </w:t>
      </w:r>
      <w:r w:rsidRPr="004366A3">
        <w:rPr>
          <w:i/>
        </w:rPr>
        <w:t>are</w:t>
      </w:r>
      <w:r>
        <w:t xml:space="preserve"> some circumstances where knee arthroscopies are justified</w:t>
      </w:r>
      <w:r w:rsidR="00B9291F">
        <w:t xml:space="preserve"> </w:t>
      </w:r>
      <w:r w:rsidR="00C65A42" w:rsidRPr="00C65A42">
        <w:rPr>
          <w:szCs w:val="24"/>
        </w:rPr>
        <w:t>(Australian Knee Society 2016)</w:t>
      </w:r>
      <w:r>
        <w:t xml:space="preserve">. </w:t>
      </w:r>
      <w:r w:rsidR="004366A3">
        <w:t>This means that a</w:t>
      </w:r>
      <w:r w:rsidR="00D65F16">
        <w:t xml:space="preserve">t the </w:t>
      </w:r>
      <w:r w:rsidR="00D65F16" w:rsidRPr="004366A3">
        <w:rPr>
          <w:i/>
        </w:rPr>
        <w:t>surgeon level</w:t>
      </w:r>
      <w:r w:rsidR="00D65F16">
        <w:t xml:space="preserve">, it is hard without sufficiently granular data </w:t>
      </w:r>
      <w:r w:rsidR="007300AA">
        <w:t xml:space="preserve">describing the exact context in which a procedure is undertaken to know </w:t>
      </w:r>
      <w:r w:rsidR="00B22B1F">
        <w:t>whether</w:t>
      </w:r>
      <w:r w:rsidR="00D65F16">
        <w:t xml:space="preserve"> that surgeon has undertaken a low</w:t>
      </w:r>
      <w:r w:rsidR="00D65F16">
        <w:noBreakHyphen/>
        <w:t xml:space="preserve">value operation. However, </w:t>
      </w:r>
      <w:r w:rsidR="004366A3">
        <w:t xml:space="preserve">there are often large regional variations in the use of particular clinical procedures that cannot be explained by </w:t>
      </w:r>
      <w:r w:rsidR="00D65F16">
        <w:t>differences in the characteristics of the underlying served populations (figure </w:t>
      </w:r>
      <w:r w:rsidR="003F1DA1">
        <w:t>7.</w:t>
      </w:r>
      <w:r w:rsidR="00175473">
        <w:t>2</w:t>
      </w:r>
      <w:r w:rsidR="00D65F16">
        <w:t xml:space="preserve"> </w:t>
      </w:r>
      <w:r w:rsidR="004366A3">
        <w:t xml:space="preserve">shows this for knee arthroscopies </w:t>
      </w:r>
      <w:r w:rsidR="00D65F16">
        <w:t>and table </w:t>
      </w:r>
      <w:r w:rsidR="00326E65">
        <w:t>7</w:t>
      </w:r>
      <w:r w:rsidR="00D65F16">
        <w:t>.1</w:t>
      </w:r>
      <w:r w:rsidR="004366A3">
        <w:t xml:space="preserve"> for some common operations on women</w:t>
      </w:r>
      <w:r w:rsidR="00D65F16">
        <w:t>).</w:t>
      </w:r>
      <w:r w:rsidR="004366A3">
        <w:t xml:space="preserve"> The best explanation for these variations are differences in clinicians’ norms.</w:t>
      </w:r>
    </w:p>
    <w:p w14:paraId="1EA38E87" w14:textId="77777777" w:rsidR="00046C5B" w:rsidRDefault="00046C5B" w:rsidP="00046C5B">
      <w:pPr>
        <w:pStyle w:val="BodyText"/>
      </w:pPr>
      <w:r>
        <w:t xml:space="preserve">Variations across hospitals are greater than those across areas. For instance, one study found that an average of </w:t>
      </w:r>
      <w:r w:rsidRPr="00412B62">
        <w:t>3.3</w:t>
      </w:r>
      <w:r>
        <w:t> per cent</w:t>
      </w:r>
      <w:r w:rsidRPr="00412B62">
        <w:t xml:space="preserve"> of patients with osteoarthritis of the knee received arthroscopic lavage and debridement of the knee (a do</w:t>
      </w:r>
      <w:r>
        <w:noBreakHyphen/>
      </w:r>
      <w:r w:rsidRPr="00412B62">
        <w:t>not</w:t>
      </w:r>
      <w:r>
        <w:noBreakHyphen/>
      </w:r>
      <w:r w:rsidRPr="00412B62">
        <w:t>do treatment), but four hospitals had rates of over 20</w:t>
      </w:r>
      <w:r>
        <w:t xml:space="preserve"> per cent </w:t>
      </w:r>
      <w:r w:rsidRPr="00C65A42">
        <w:rPr>
          <w:szCs w:val="24"/>
        </w:rPr>
        <w:t>(Duckett, Breadon and Romanes 2015)</w:t>
      </w:r>
      <w:r>
        <w:t>.</w:t>
      </w:r>
    </w:p>
    <w:p w14:paraId="1EA38E88" w14:textId="77777777" w:rsidR="00046C5B" w:rsidRDefault="00046C5B" w:rsidP="00046C5B">
      <w:pPr>
        <w:pStyle w:val="BodyText"/>
      </w:pPr>
      <w:r>
        <w:t>The apparent widespread continued use of procedures without strong clinical evidence of benefits suggests problems in patient awareness and the dissemination of evidence</w:t>
      </w:r>
      <w:r>
        <w:noBreakHyphen/>
        <w:t>based medicine across clinicians.</w:t>
      </w:r>
    </w:p>
    <w:p w14:paraId="1EA38E89" w14:textId="77777777" w:rsidR="00A22A7D" w:rsidRDefault="00A22A7D" w:rsidP="004366A3">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A22A7D" w14:paraId="1EA38E8C" w14:textId="77777777" w:rsidTr="004366A3">
        <w:tc>
          <w:tcPr>
            <w:tcW w:w="8771" w:type="dxa"/>
            <w:tcBorders>
              <w:top w:val="single" w:sz="6" w:space="0" w:color="78A22F"/>
              <w:left w:val="nil"/>
              <w:bottom w:val="nil"/>
              <w:right w:val="nil"/>
            </w:tcBorders>
            <w:shd w:val="clear" w:color="auto" w:fill="auto"/>
          </w:tcPr>
          <w:p w14:paraId="1EA38E8A" w14:textId="77777777" w:rsidR="00A22A7D" w:rsidRDefault="00A22A7D" w:rsidP="004366A3">
            <w:pPr>
              <w:pStyle w:val="FigureTitle"/>
            </w:pPr>
            <w:r w:rsidRPr="00944790">
              <w:rPr>
                <w:b w:val="0"/>
              </w:rPr>
              <w:t xml:space="preserve">Figure </w:t>
            </w:r>
            <w:r w:rsidR="007506EC" w:rsidRPr="00944790">
              <w:rPr>
                <w:b w:val="0"/>
              </w:rPr>
              <w:t>7.</w:t>
            </w:r>
            <w:r w:rsidR="00175473" w:rsidRPr="00944790">
              <w:rPr>
                <w:b w:val="0"/>
              </w:rPr>
              <w:t>2</w:t>
            </w:r>
            <w:r>
              <w:tab/>
            </w:r>
            <w:r w:rsidR="00A644E6">
              <w:t>Rate of knee arthroscopy hospital admissions</w:t>
            </w:r>
          </w:p>
          <w:p w14:paraId="1EA38E8B" w14:textId="77777777" w:rsidR="00A22A7D" w:rsidRPr="00176D3F" w:rsidRDefault="00A644E6" w:rsidP="004366A3">
            <w:pPr>
              <w:pStyle w:val="Subtitle"/>
            </w:pPr>
            <w:r>
              <w:t>Per 100 000 people aged 55 years or more, age standardised, local areas, 2012</w:t>
            </w:r>
            <w:r>
              <w:noBreakHyphen/>
              <w:t>13</w:t>
            </w:r>
            <w:r w:rsidR="007E4B98" w:rsidRPr="007E4B98">
              <w:rPr>
                <w:rStyle w:val="NoteLabel"/>
              </w:rPr>
              <w:t>a</w:t>
            </w:r>
          </w:p>
        </w:tc>
      </w:tr>
      <w:tr w:rsidR="00A22A7D" w14:paraId="1EA38E90" w14:textId="77777777" w:rsidTr="004366A3">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504"/>
            </w:tblGrid>
            <w:tr w:rsidR="00A22A7D" w14:paraId="1EA38E8E" w14:textId="77777777" w:rsidTr="004366A3">
              <w:trPr>
                <w:jc w:val="center"/>
              </w:trPr>
              <w:tc>
                <w:tcPr>
                  <w:tcW w:w="5000" w:type="pct"/>
                  <w:tcBorders>
                    <w:top w:val="nil"/>
                    <w:bottom w:val="nil"/>
                  </w:tcBorders>
                </w:tcPr>
                <w:p w14:paraId="1EA38E8D" w14:textId="77777777" w:rsidR="00A22A7D" w:rsidRDefault="00A644E6" w:rsidP="004366A3">
                  <w:pPr>
                    <w:pStyle w:val="Figure"/>
                    <w:spacing w:before="60" w:after="60"/>
                  </w:pPr>
                  <w:r>
                    <w:rPr>
                      <w:noProof/>
                    </w:rPr>
                    <w:drawing>
                      <wp:inline distT="0" distB="0" distL="0" distR="0" wp14:anchorId="1EA39656" wp14:editId="0187B3AF">
                        <wp:extent cx="4340860" cy="2895600"/>
                        <wp:effectExtent l="0" t="0" r="2540" b="0"/>
                        <wp:docPr id="10" name="Picture 10" descr="This figure reports the rate of knee arthroscopy hospital admissions for people aged 55 years or more across local areas in 2012-13. The rate varies from around 250 per 100000 people in the lowest rate areas to around 1250 per 100000 people in the highest rat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40860" cy="2895600"/>
                                </a:xfrm>
                                <a:prstGeom prst="rect">
                                  <a:avLst/>
                                </a:prstGeom>
                                <a:noFill/>
                              </pic:spPr>
                            </pic:pic>
                          </a:graphicData>
                        </a:graphic>
                      </wp:inline>
                    </w:drawing>
                  </w:r>
                </w:p>
              </w:tc>
            </w:tr>
          </w:tbl>
          <w:p w14:paraId="1EA38E8F" w14:textId="77777777" w:rsidR="00A22A7D" w:rsidRDefault="00A22A7D" w:rsidP="004366A3">
            <w:pPr>
              <w:pStyle w:val="Figure"/>
            </w:pPr>
          </w:p>
        </w:tc>
      </w:tr>
      <w:tr w:rsidR="00A22A7D" w:rsidRPr="00176D3F" w14:paraId="1EA38E92" w14:textId="77777777" w:rsidTr="004366A3">
        <w:tc>
          <w:tcPr>
            <w:tcW w:w="8771" w:type="dxa"/>
            <w:tcBorders>
              <w:top w:val="nil"/>
              <w:left w:val="nil"/>
              <w:bottom w:val="nil"/>
              <w:right w:val="nil"/>
            </w:tcBorders>
            <w:shd w:val="clear" w:color="auto" w:fill="auto"/>
          </w:tcPr>
          <w:p w14:paraId="1EA38E91" w14:textId="77777777" w:rsidR="00A22A7D" w:rsidRPr="00176D3F" w:rsidRDefault="00A22A7D" w:rsidP="00435037">
            <w:pPr>
              <w:pStyle w:val="Note"/>
            </w:pPr>
            <w:r>
              <w:rPr>
                <w:rStyle w:val="NoteLabel"/>
              </w:rPr>
              <w:t>a</w:t>
            </w:r>
            <w:r>
              <w:t xml:space="preserve"> </w:t>
            </w:r>
            <w:r w:rsidR="00435037">
              <w:t>The local area refers to the ABS Statistical Area Level 3 classification of geographic regions</w:t>
            </w:r>
            <w:r>
              <w:t>.</w:t>
            </w:r>
          </w:p>
        </w:tc>
      </w:tr>
      <w:tr w:rsidR="00A22A7D" w:rsidRPr="00176D3F" w14:paraId="1EA38E94" w14:textId="77777777" w:rsidTr="004366A3">
        <w:tc>
          <w:tcPr>
            <w:tcW w:w="8771" w:type="dxa"/>
            <w:tcBorders>
              <w:top w:val="nil"/>
              <w:left w:val="nil"/>
              <w:bottom w:val="nil"/>
              <w:right w:val="nil"/>
            </w:tcBorders>
            <w:shd w:val="clear" w:color="auto" w:fill="auto"/>
          </w:tcPr>
          <w:p w14:paraId="1EA38E93" w14:textId="77777777" w:rsidR="00A22A7D" w:rsidRPr="00176D3F" w:rsidRDefault="00A644E6" w:rsidP="004A318B">
            <w:pPr>
              <w:pStyle w:val="Source"/>
            </w:pPr>
            <w:r>
              <w:rPr>
                <w:i/>
              </w:rPr>
              <w:t>S</w:t>
            </w:r>
            <w:r w:rsidR="00A22A7D" w:rsidRPr="00784A05">
              <w:rPr>
                <w:i/>
              </w:rPr>
              <w:t>ource</w:t>
            </w:r>
            <w:r w:rsidR="00A22A7D" w:rsidRPr="00176D3F">
              <w:t xml:space="preserve">: </w:t>
            </w:r>
            <w:r w:rsidR="004A318B">
              <w:t xml:space="preserve">ACSQHC 2015, </w:t>
            </w:r>
            <w:r w:rsidR="004A318B" w:rsidRPr="00685D27">
              <w:rPr>
                <w:i/>
              </w:rPr>
              <w:t>Australian Atlas of Healthcare Variation</w:t>
            </w:r>
            <w:r w:rsidR="004A318B">
              <w:t>, chapter 3.1 (</w:t>
            </w:r>
            <w:r>
              <w:t>p. 107</w:t>
            </w:r>
            <w:r w:rsidR="004A318B">
              <w:t>).</w:t>
            </w:r>
          </w:p>
        </w:tc>
      </w:tr>
      <w:tr w:rsidR="00A22A7D" w14:paraId="1EA38E96" w14:textId="77777777" w:rsidTr="004366A3">
        <w:tc>
          <w:tcPr>
            <w:tcW w:w="8771" w:type="dxa"/>
            <w:tcBorders>
              <w:top w:val="nil"/>
              <w:left w:val="nil"/>
              <w:bottom w:val="single" w:sz="6" w:space="0" w:color="78A22F"/>
              <w:right w:val="nil"/>
            </w:tcBorders>
            <w:shd w:val="clear" w:color="auto" w:fill="auto"/>
          </w:tcPr>
          <w:p w14:paraId="1EA38E95" w14:textId="77777777" w:rsidR="00A22A7D" w:rsidRDefault="00A22A7D" w:rsidP="004366A3">
            <w:pPr>
              <w:pStyle w:val="Figurespace"/>
            </w:pPr>
          </w:p>
        </w:tc>
      </w:tr>
      <w:tr w:rsidR="00A22A7D" w:rsidRPr="000863A5" w14:paraId="1EA38E98" w14:textId="77777777" w:rsidTr="004366A3">
        <w:tc>
          <w:tcPr>
            <w:tcW w:w="8771" w:type="dxa"/>
            <w:tcBorders>
              <w:top w:val="single" w:sz="6" w:space="0" w:color="78A22F"/>
              <w:left w:val="nil"/>
              <w:bottom w:val="nil"/>
              <w:right w:val="nil"/>
            </w:tcBorders>
          </w:tcPr>
          <w:p w14:paraId="1EA38E97" w14:textId="77777777" w:rsidR="00A22A7D" w:rsidRPr="00626D32" w:rsidRDefault="00A22A7D" w:rsidP="004366A3">
            <w:pPr>
              <w:pStyle w:val="BoxSpaceBelow"/>
            </w:pPr>
          </w:p>
        </w:tc>
      </w:tr>
    </w:tbl>
    <w:p w14:paraId="1EA38E99" w14:textId="77777777" w:rsidR="004C30D4" w:rsidRDefault="004C30D4" w:rsidP="004C30D4">
      <w:pPr>
        <w:pStyle w:val="BoxSpaceAbove"/>
      </w:pPr>
    </w:p>
    <w:tbl>
      <w:tblPr>
        <w:tblW w:w="8771" w:type="dxa"/>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53"/>
        <w:gridCol w:w="18"/>
      </w:tblGrid>
      <w:tr w:rsidR="004C30D4" w14:paraId="1EA38E9C" w14:textId="77777777" w:rsidTr="000E668C">
        <w:tc>
          <w:tcPr>
            <w:tcW w:w="8771" w:type="dxa"/>
            <w:gridSpan w:val="2"/>
            <w:tcBorders>
              <w:top w:val="single" w:sz="6" w:space="0" w:color="78A22F"/>
              <w:left w:val="nil"/>
              <w:bottom w:val="nil"/>
              <w:right w:val="nil"/>
            </w:tcBorders>
            <w:shd w:val="clear" w:color="auto" w:fill="auto"/>
          </w:tcPr>
          <w:p w14:paraId="1EA38E9A" w14:textId="77777777" w:rsidR="004C30D4" w:rsidRDefault="004C30D4" w:rsidP="00AF098D">
            <w:pPr>
              <w:pStyle w:val="TableTitle"/>
            </w:pPr>
            <w:r w:rsidRPr="00944790">
              <w:rPr>
                <w:b w:val="0"/>
              </w:rPr>
              <w:t xml:space="preserve">Table </w:t>
            </w:r>
            <w:r w:rsidR="007506EC" w:rsidRPr="00944790">
              <w:rPr>
                <w:b w:val="0"/>
              </w:rPr>
              <w:t>7.1</w:t>
            </w:r>
            <w:r>
              <w:tab/>
            </w:r>
            <w:r w:rsidRPr="00AF098D">
              <w:t>Variations</w:t>
            </w:r>
            <w:r>
              <w:t xml:space="preserve"> in procedures relating to women’s health and maternity</w:t>
            </w:r>
          </w:p>
          <w:p w14:paraId="1EA38E9B" w14:textId="77777777" w:rsidR="000A10BF" w:rsidRPr="000A10BF" w:rsidRDefault="000A10BF" w:rsidP="000A10BF">
            <w:pPr>
              <w:pStyle w:val="Subtitle"/>
            </w:pPr>
            <w:r>
              <w:t>Across 309 areas (Statistical Area Level 3), 2014</w:t>
            </w:r>
            <w:r>
              <w:noBreakHyphen/>
              <w:t xml:space="preserve">15 </w:t>
            </w:r>
          </w:p>
        </w:tc>
      </w:tr>
      <w:tr w:rsidR="004C30D4" w14:paraId="1EA38EC2" w14:textId="77777777" w:rsidTr="000E668C">
        <w:trPr>
          <w:cantSplit/>
        </w:trPr>
        <w:tc>
          <w:tcPr>
            <w:tcW w:w="8771" w:type="dxa"/>
            <w:gridSpan w:val="2"/>
            <w:tcBorders>
              <w:top w:val="nil"/>
              <w:left w:val="nil"/>
              <w:bottom w:val="nil"/>
              <w:right w:val="nil"/>
            </w:tcBorders>
            <w:shd w:val="clear" w:color="auto" w:fill="auto"/>
          </w:tcPr>
          <w:tbl>
            <w:tblPr>
              <w:tblW w:w="8361" w:type="dxa"/>
              <w:tblCellMar>
                <w:top w:w="28" w:type="dxa"/>
                <w:left w:w="0" w:type="dxa"/>
                <w:right w:w="0" w:type="dxa"/>
              </w:tblCellMar>
              <w:tblLook w:val="0000" w:firstRow="0" w:lastRow="0" w:firstColumn="0" w:lastColumn="0" w:noHBand="0" w:noVBand="0"/>
            </w:tblPr>
            <w:tblGrid>
              <w:gridCol w:w="3804"/>
              <w:gridCol w:w="1013"/>
              <w:gridCol w:w="1181"/>
              <w:gridCol w:w="1181"/>
              <w:gridCol w:w="1182"/>
            </w:tblGrid>
            <w:tr w:rsidR="004C30D4" w14:paraId="1EA38EA2" w14:textId="77777777" w:rsidTr="007B3122">
              <w:tc>
                <w:tcPr>
                  <w:tcW w:w="2275" w:type="pct"/>
                  <w:tcBorders>
                    <w:top w:val="single" w:sz="6" w:space="0" w:color="BFBFBF"/>
                    <w:bottom w:val="single" w:sz="6" w:space="0" w:color="BFBFBF"/>
                  </w:tcBorders>
                  <w:shd w:val="clear" w:color="auto" w:fill="auto"/>
                  <w:tcMar>
                    <w:top w:w="28" w:type="dxa"/>
                  </w:tcMar>
                </w:tcPr>
                <w:p w14:paraId="1EA38E9D" w14:textId="77777777" w:rsidR="004C30D4" w:rsidRDefault="004C30D4" w:rsidP="007B3122">
                  <w:pPr>
                    <w:pStyle w:val="TableColumnHeading"/>
                    <w:jc w:val="left"/>
                  </w:pPr>
                  <w:r>
                    <w:t>Procedure</w:t>
                  </w:r>
                </w:p>
              </w:tc>
              <w:tc>
                <w:tcPr>
                  <w:tcW w:w="606" w:type="pct"/>
                  <w:tcBorders>
                    <w:top w:val="single" w:sz="6" w:space="0" w:color="BFBFBF"/>
                    <w:bottom w:val="single" w:sz="6" w:space="0" w:color="BFBFBF"/>
                  </w:tcBorders>
                </w:tcPr>
                <w:p w14:paraId="1EA38E9E" w14:textId="77777777" w:rsidR="004C30D4" w:rsidRDefault="004C30D4" w:rsidP="007B3122">
                  <w:pPr>
                    <w:pStyle w:val="TableColumnHeading"/>
                  </w:pPr>
                  <w:r>
                    <w:t>Range across areas</w:t>
                  </w:r>
                  <w:r w:rsidRPr="00745491">
                    <w:rPr>
                      <w:rStyle w:val="NoteLabel"/>
                    </w:rPr>
                    <w:t>a</w:t>
                  </w:r>
                </w:p>
              </w:tc>
              <w:tc>
                <w:tcPr>
                  <w:tcW w:w="706" w:type="pct"/>
                  <w:tcBorders>
                    <w:top w:val="single" w:sz="6" w:space="0" w:color="BFBFBF"/>
                    <w:bottom w:val="single" w:sz="6" w:space="0" w:color="BFBFBF"/>
                  </w:tcBorders>
                </w:tcPr>
                <w:p w14:paraId="1EA38E9F" w14:textId="77777777" w:rsidR="004C30D4" w:rsidRDefault="004C30D4" w:rsidP="007B3122">
                  <w:pPr>
                    <w:pStyle w:val="TableColumnHeading"/>
                  </w:pPr>
                  <w:r>
                    <w:t>Times difference</w:t>
                  </w:r>
                </w:p>
              </w:tc>
              <w:tc>
                <w:tcPr>
                  <w:tcW w:w="706" w:type="pct"/>
                  <w:tcBorders>
                    <w:top w:val="single" w:sz="6" w:space="0" w:color="BFBFBF"/>
                    <w:bottom w:val="single" w:sz="6" w:space="0" w:color="BFBFBF"/>
                  </w:tcBorders>
                  <w:shd w:val="clear" w:color="auto" w:fill="auto"/>
                  <w:tcMar>
                    <w:top w:w="28" w:type="dxa"/>
                  </w:tcMar>
                </w:tcPr>
                <w:p w14:paraId="1EA38EA0" w14:textId="77777777" w:rsidR="004C30D4" w:rsidRDefault="004C30D4" w:rsidP="007B3122">
                  <w:pPr>
                    <w:pStyle w:val="TableColumnHeading"/>
                  </w:pPr>
                  <w:r>
                    <w:t>Trimmed divergence</w:t>
                  </w:r>
                  <w:r w:rsidRPr="00745491">
                    <w:rPr>
                      <w:rStyle w:val="NoteLabel"/>
                    </w:rPr>
                    <w:t>b</w:t>
                  </w:r>
                </w:p>
              </w:tc>
              <w:tc>
                <w:tcPr>
                  <w:tcW w:w="707" w:type="pct"/>
                  <w:tcBorders>
                    <w:top w:val="single" w:sz="6" w:space="0" w:color="BFBFBF"/>
                    <w:bottom w:val="single" w:sz="6" w:space="0" w:color="BFBFBF"/>
                  </w:tcBorders>
                  <w:shd w:val="clear" w:color="auto" w:fill="auto"/>
                  <w:tcMar>
                    <w:top w:w="28" w:type="dxa"/>
                  </w:tcMar>
                </w:tcPr>
                <w:p w14:paraId="1EA38EA1" w14:textId="77777777" w:rsidR="004C30D4" w:rsidRDefault="004C30D4" w:rsidP="007B3122">
                  <w:pPr>
                    <w:pStyle w:val="TableColumnHeading"/>
                    <w:ind w:right="28"/>
                  </w:pPr>
                  <w:r>
                    <w:t>Number over year</w:t>
                  </w:r>
                </w:p>
              </w:tc>
            </w:tr>
            <w:tr w:rsidR="004C30D4" w14:paraId="1EA38EA8" w14:textId="77777777" w:rsidTr="007B3122">
              <w:tc>
                <w:tcPr>
                  <w:tcW w:w="2275" w:type="pct"/>
                  <w:tcBorders>
                    <w:top w:val="single" w:sz="6" w:space="0" w:color="BFBFBF"/>
                  </w:tcBorders>
                </w:tcPr>
                <w:p w14:paraId="1EA38EA3" w14:textId="77777777" w:rsidR="004C30D4" w:rsidRDefault="004C30D4" w:rsidP="007B3122">
                  <w:pPr>
                    <w:pStyle w:val="TableUnitsRow"/>
                    <w:jc w:val="left"/>
                  </w:pPr>
                  <w:r w:rsidRPr="001303A8">
                    <w:t>Hysterectomy</w:t>
                  </w:r>
                  <w:r w:rsidRPr="00745491">
                    <w:rPr>
                      <w:rStyle w:val="NoteLabel"/>
                    </w:rPr>
                    <w:t>c</w:t>
                  </w:r>
                </w:p>
              </w:tc>
              <w:tc>
                <w:tcPr>
                  <w:tcW w:w="606" w:type="pct"/>
                  <w:tcBorders>
                    <w:top w:val="single" w:sz="6" w:space="0" w:color="BFBFBF"/>
                  </w:tcBorders>
                </w:tcPr>
                <w:p w14:paraId="1EA38EA4" w14:textId="77777777" w:rsidR="004C30D4" w:rsidRDefault="004C30D4" w:rsidP="007B3122">
                  <w:pPr>
                    <w:pStyle w:val="TableUnitsRow"/>
                  </w:pPr>
                  <w:r>
                    <w:t>115</w:t>
                  </w:r>
                  <w:r w:rsidR="009C49CA">
                    <w:noBreakHyphen/>
                  </w:r>
                  <w:r>
                    <w:t>763</w:t>
                  </w:r>
                </w:p>
              </w:tc>
              <w:tc>
                <w:tcPr>
                  <w:tcW w:w="706" w:type="pct"/>
                  <w:tcBorders>
                    <w:top w:val="single" w:sz="6" w:space="0" w:color="BFBFBF"/>
                  </w:tcBorders>
                </w:tcPr>
                <w:p w14:paraId="1EA38EA5" w14:textId="77777777" w:rsidR="004C30D4" w:rsidRDefault="004C30D4" w:rsidP="007B3122">
                  <w:pPr>
                    <w:pStyle w:val="TableUnitsRow"/>
                  </w:pPr>
                  <w:r>
                    <w:t>6.6</w:t>
                  </w:r>
                </w:p>
              </w:tc>
              <w:tc>
                <w:tcPr>
                  <w:tcW w:w="706" w:type="pct"/>
                  <w:tcBorders>
                    <w:top w:val="single" w:sz="6" w:space="0" w:color="BFBFBF"/>
                  </w:tcBorders>
                </w:tcPr>
                <w:p w14:paraId="1EA38EA6" w14:textId="77777777" w:rsidR="004C30D4" w:rsidRDefault="004C30D4" w:rsidP="007B3122">
                  <w:pPr>
                    <w:pStyle w:val="TableUnitsRow"/>
                  </w:pPr>
                  <w:r>
                    <w:t>2.1</w:t>
                  </w:r>
                </w:p>
              </w:tc>
              <w:tc>
                <w:tcPr>
                  <w:tcW w:w="707" w:type="pct"/>
                  <w:tcBorders>
                    <w:top w:val="single" w:sz="6" w:space="0" w:color="BFBFBF"/>
                  </w:tcBorders>
                </w:tcPr>
                <w:p w14:paraId="1EA38EA7" w14:textId="77777777" w:rsidR="004C30D4" w:rsidRDefault="004C30D4" w:rsidP="007B3122">
                  <w:pPr>
                    <w:pStyle w:val="TableUnitsRow"/>
                    <w:ind w:right="28"/>
                  </w:pPr>
                  <w:r>
                    <w:t>27 586</w:t>
                  </w:r>
                </w:p>
              </w:tc>
            </w:tr>
            <w:tr w:rsidR="004C30D4" w14:paraId="1EA38EAE" w14:textId="77777777" w:rsidTr="007B3122">
              <w:tc>
                <w:tcPr>
                  <w:tcW w:w="2275" w:type="pct"/>
                </w:tcPr>
                <w:p w14:paraId="1EA38EA9" w14:textId="77777777" w:rsidR="004C30D4" w:rsidRDefault="004C30D4" w:rsidP="007B3122">
                  <w:pPr>
                    <w:pStyle w:val="TableBodyText"/>
                    <w:jc w:val="left"/>
                  </w:pPr>
                  <w:r w:rsidRPr="001303A8">
                    <w:t>Endometrial ablation</w:t>
                  </w:r>
                  <w:r w:rsidRPr="00745491">
                    <w:rPr>
                      <w:rStyle w:val="NoteLabel"/>
                    </w:rPr>
                    <w:t>c</w:t>
                  </w:r>
                </w:p>
              </w:tc>
              <w:tc>
                <w:tcPr>
                  <w:tcW w:w="606" w:type="pct"/>
                </w:tcPr>
                <w:p w14:paraId="1EA38EAA" w14:textId="77777777" w:rsidR="004C30D4" w:rsidRDefault="004C30D4" w:rsidP="007B3122">
                  <w:pPr>
                    <w:pStyle w:val="TableBodyText"/>
                  </w:pPr>
                  <w:r>
                    <w:t>19</w:t>
                  </w:r>
                  <w:r w:rsidR="009C49CA">
                    <w:noBreakHyphen/>
                  </w:r>
                  <w:r>
                    <w:t>390</w:t>
                  </w:r>
                </w:p>
              </w:tc>
              <w:tc>
                <w:tcPr>
                  <w:tcW w:w="706" w:type="pct"/>
                </w:tcPr>
                <w:p w14:paraId="1EA38EAB" w14:textId="77777777" w:rsidR="004C30D4" w:rsidRDefault="004C30D4" w:rsidP="007B3122">
                  <w:pPr>
                    <w:pStyle w:val="TableBodyText"/>
                  </w:pPr>
                  <w:r>
                    <w:t>20.5</w:t>
                  </w:r>
                </w:p>
              </w:tc>
              <w:tc>
                <w:tcPr>
                  <w:tcW w:w="706" w:type="pct"/>
                </w:tcPr>
                <w:p w14:paraId="1EA38EAC" w14:textId="77777777" w:rsidR="004C30D4" w:rsidRDefault="004C30D4" w:rsidP="007B3122">
                  <w:pPr>
                    <w:pStyle w:val="TableBodyText"/>
                  </w:pPr>
                  <w:r>
                    <w:t>4.2</w:t>
                  </w:r>
                </w:p>
              </w:tc>
              <w:tc>
                <w:tcPr>
                  <w:tcW w:w="707" w:type="pct"/>
                </w:tcPr>
                <w:p w14:paraId="1EA38EAD" w14:textId="77777777" w:rsidR="004C30D4" w:rsidRDefault="004C30D4" w:rsidP="007B3122">
                  <w:pPr>
                    <w:pStyle w:val="TableBodyText"/>
                    <w:ind w:right="28"/>
                  </w:pPr>
                  <w:r>
                    <w:t>28 606</w:t>
                  </w:r>
                </w:p>
              </w:tc>
            </w:tr>
            <w:tr w:rsidR="004C30D4" w14:paraId="1EA38EB4" w14:textId="77777777" w:rsidTr="007B3122">
              <w:tc>
                <w:tcPr>
                  <w:tcW w:w="2275" w:type="pct"/>
                </w:tcPr>
                <w:p w14:paraId="1EA38EAF" w14:textId="77777777" w:rsidR="004C30D4" w:rsidRDefault="004C30D4" w:rsidP="007B3122">
                  <w:pPr>
                    <w:pStyle w:val="TableBodyText"/>
                    <w:jc w:val="left"/>
                  </w:pPr>
                  <w:r>
                    <w:t>Cervical loop excision cervical laser ablation</w:t>
                  </w:r>
                </w:p>
              </w:tc>
              <w:tc>
                <w:tcPr>
                  <w:tcW w:w="606" w:type="pct"/>
                </w:tcPr>
                <w:p w14:paraId="1EA38EB0" w14:textId="77777777" w:rsidR="004C30D4" w:rsidRDefault="004C30D4" w:rsidP="007B3122">
                  <w:pPr>
                    <w:pStyle w:val="TableBodyText"/>
                  </w:pPr>
                  <w:r>
                    <w:t>23</w:t>
                  </w:r>
                  <w:r w:rsidR="009C49CA">
                    <w:noBreakHyphen/>
                  </w:r>
                  <w:r>
                    <w:t>408</w:t>
                  </w:r>
                </w:p>
              </w:tc>
              <w:tc>
                <w:tcPr>
                  <w:tcW w:w="706" w:type="pct"/>
                </w:tcPr>
                <w:p w14:paraId="1EA38EB1" w14:textId="77777777" w:rsidR="004C30D4" w:rsidRDefault="004C30D4" w:rsidP="007B3122">
                  <w:pPr>
                    <w:pStyle w:val="TableBodyText"/>
                  </w:pPr>
                  <w:r>
                    <w:t>17.7</w:t>
                  </w:r>
                </w:p>
              </w:tc>
              <w:tc>
                <w:tcPr>
                  <w:tcW w:w="706" w:type="pct"/>
                </w:tcPr>
                <w:p w14:paraId="1EA38EB2" w14:textId="77777777" w:rsidR="004C30D4" w:rsidRDefault="004C30D4" w:rsidP="007B3122">
                  <w:pPr>
                    <w:pStyle w:val="TableBodyText"/>
                  </w:pPr>
                  <w:r>
                    <w:t>2.1</w:t>
                  </w:r>
                </w:p>
              </w:tc>
              <w:tc>
                <w:tcPr>
                  <w:tcW w:w="707" w:type="pct"/>
                </w:tcPr>
                <w:p w14:paraId="1EA38EB3" w14:textId="77777777" w:rsidR="004C30D4" w:rsidRDefault="004C30D4" w:rsidP="007B3122">
                  <w:pPr>
                    <w:pStyle w:val="TableBodyText"/>
                    <w:ind w:right="28"/>
                  </w:pPr>
                  <w:r>
                    <w:t>43 920</w:t>
                  </w:r>
                </w:p>
              </w:tc>
            </w:tr>
            <w:tr w:rsidR="004C30D4" w14:paraId="1EA38EBA" w14:textId="77777777" w:rsidTr="007B3122">
              <w:tc>
                <w:tcPr>
                  <w:tcW w:w="2275" w:type="pct"/>
                </w:tcPr>
                <w:p w14:paraId="1EA38EB5" w14:textId="77777777" w:rsidR="004C30D4" w:rsidRDefault="004C30D4" w:rsidP="007B3122">
                  <w:pPr>
                    <w:pStyle w:val="TableBodyText"/>
                    <w:jc w:val="left"/>
                  </w:pPr>
                  <w:r w:rsidRPr="001303A8">
                    <w:t>Caesarean section</w:t>
                  </w:r>
                  <w:r>
                    <w:rPr>
                      <w:rStyle w:val="NoteLabel"/>
                    </w:rPr>
                    <w:t>d</w:t>
                  </w:r>
                </w:p>
              </w:tc>
              <w:tc>
                <w:tcPr>
                  <w:tcW w:w="606" w:type="pct"/>
                </w:tcPr>
                <w:p w14:paraId="1EA38EB6" w14:textId="77777777" w:rsidR="004C30D4" w:rsidRDefault="004C30D4" w:rsidP="007B3122">
                  <w:pPr>
                    <w:pStyle w:val="TableBodyText"/>
                  </w:pPr>
                  <w:r>
                    <w:t>147</w:t>
                  </w:r>
                  <w:r w:rsidR="009C49CA">
                    <w:noBreakHyphen/>
                  </w:r>
                  <w:r>
                    <w:t>438</w:t>
                  </w:r>
                </w:p>
              </w:tc>
              <w:tc>
                <w:tcPr>
                  <w:tcW w:w="706" w:type="pct"/>
                </w:tcPr>
                <w:p w14:paraId="1EA38EB7" w14:textId="77777777" w:rsidR="004C30D4" w:rsidRDefault="004C30D4" w:rsidP="007B3122">
                  <w:pPr>
                    <w:pStyle w:val="TableBodyText"/>
                  </w:pPr>
                  <w:r>
                    <w:t>3.0</w:t>
                  </w:r>
                </w:p>
              </w:tc>
              <w:tc>
                <w:tcPr>
                  <w:tcW w:w="706" w:type="pct"/>
                </w:tcPr>
                <w:p w14:paraId="1EA38EB8" w14:textId="77777777" w:rsidR="004C30D4" w:rsidRDefault="004C30D4" w:rsidP="007B3122">
                  <w:pPr>
                    <w:pStyle w:val="TableBodyText"/>
                  </w:pPr>
                  <w:r>
                    <w:t>1.5</w:t>
                  </w:r>
                </w:p>
              </w:tc>
              <w:tc>
                <w:tcPr>
                  <w:tcW w:w="707" w:type="pct"/>
                </w:tcPr>
                <w:p w14:paraId="1EA38EB9" w14:textId="77777777" w:rsidR="004C30D4" w:rsidRDefault="004C30D4" w:rsidP="007B3122">
                  <w:pPr>
                    <w:pStyle w:val="TableBodyText"/>
                    <w:ind w:right="28"/>
                  </w:pPr>
                  <w:r>
                    <w:t>75 018</w:t>
                  </w:r>
                </w:p>
              </w:tc>
            </w:tr>
            <w:tr w:rsidR="004C30D4" w14:paraId="1EA38EC0" w14:textId="77777777" w:rsidTr="007B3122">
              <w:tc>
                <w:tcPr>
                  <w:tcW w:w="2275" w:type="pct"/>
                  <w:tcBorders>
                    <w:bottom w:val="single" w:sz="6" w:space="0" w:color="BFBFBF"/>
                  </w:tcBorders>
                  <w:shd w:val="clear" w:color="auto" w:fill="auto"/>
                </w:tcPr>
                <w:p w14:paraId="1EA38EBB" w14:textId="77777777" w:rsidR="004C30D4" w:rsidRDefault="004C30D4" w:rsidP="007B3122">
                  <w:pPr>
                    <w:pStyle w:val="TableBodyText"/>
                    <w:jc w:val="left"/>
                  </w:pPr>
                  <w:r>
                    <w:t>Third</w:t>
                  </w:r>
                  <w:r w:rsidR="009C49CA">
                    <w:noBreakHyphen/>
                  </w:r>
                  <w:r>
                    <w:t xml:space="preserve"> and fourth</w:t>
                  </w:r>
                  <w:r w:rsidR="009C49CA">
                    <w:noBreakHyphen/>
                  </w:r>
                  <w:r>
                    <w:t>degree perineal tears</w:t>
                  </w:r>
                  <w:r>
                    <w:rPr>
                      <w:rStyle w:val="NoteLabel"/>
                    </w:rPr>
                    <w:t>e</w:t>
                  </w:r>
                </w:p>
              </w:tc>
              <w:tc>
                <w:tcPr>
                  <w:tcW w:w="606" w:type="pct"/>
                  <w:tcBorders>
                    <w:bottom w:val="single" w:sz="6" w:space="0" w:color="BFBFBF"/>
                  </w:tcBorders>
                </w:tcPr>
                <w:p w14:paraId="1EA38EBC" w14:textId="77777777" w:rsidR="004C30D4" w:rsidRDefault="004C30D4" w:rsidP="007B3122">
                  <w:pPr>
                    <w:pStyle w:val="TableBodyText"/>
                  </w:pPr>
                  <w:r>
                    <w:t>6</w:t>
                  </w:r>
                  <w:r w:rsidR="009C49CA">
                    <w:noBreakHyphen/>
                  </w:r>
                  <w:r>
                    <w:t>71</w:t>
                  </w:r>
                </w:p>
              </w:tc>
              <w:tc>
                <w:tcPr>
                  <w:tcW w:w="706" w:type="pct"/>
                  <w:tcBorders>
                    <w:bottom w:val="single" w:sz="6" w:space="0" w:color="BFBFBF"/>
                  </w:tcBorders>
                </w:tcPr>
                <w:p w14:paraId="1EA38EBD" w14:textId="77777777" w:rsidR="004C30D4" w:rsidRDefault="004C30D4" w:rsidP="007B3122">
                  <w:pPr>
                    <w:pStyle w:val="TableBodyText"/>
                  </w:pPr>
                  <w:r>
                    <w:t>11.8</w:t>
                  </w:r>
                </w:p>
              </w:tc>
              <w:tc>
                <w:tcPr>
                  <w:tcW w:w="706" w:type="pct"/>
                  <w:tcBorders>
                    <w:bottom w:val="single" w:sz="6" w:space="0" w:color="BFBFBF"/>
                  </w:tcBorders>
                  <w:shd w:val="clear" w:color="auto" w:fill="auto"/>
                </w:tcPr>
                <w:p w14:paraId="1EA38EBE" w14:textId="77777777" w:rsidR="004C30D4" w:rsidRDefault="004C30D4" w:rsidP="007B3122">
                  <w:pPr>
                    <w:pStyle w:val="TableBodyText"/>
                  </w:pPr>
                  <w:r>
                    <w:t>2.9</w:t>
                  </w:r>
                </w:p>
              </w:tc>
              <w:tc>
                <w:tcPr>
                  <w:tcW w:w="707" w:type="pct"/>
                  <w:tcBorders>
                    <w:bottom w:val="single" w:sz="6" w:space="0" w:color="BFBFBF"/>
                  </w:tcBorders>
                  <w:shd w:val="clear" w:color="auto" w:fill="auto"/>
                </w:tcPr>
                <w:p w14:paraId="1EA38EBF" w14:textId="77777777" w:rsidR="004C30D4" w:rsidRDefault="004C30D4" w:rsidP="007B3122">
                  <w:pPr>
                    <w:pStyle w:val="TableBodyText"/>
                    <w:ind w:right="28"/>
                  </w:pPr>
                  <w:r>
                    <w:t>18 463</w:t>
                  </w:r>
                </w:p>
              </w:tc>
            </w:tr>
          </w:tbl>
          <w:p w14:paraId="1EA38EC1" w14:textId="77777777" w:rsidR="004C30D4" w:rsidRDefault="004C30D4" w:rsidP="007B3122">
            <w:pPr>
              <w:pStyle w:val="Box"/>
            </w:pPr>
          </w:p>
        </w:tc>
      </w:tr>
      <w:tr w:rsidR="004C30D4" w14:paraId="1EA38EC4" w14:textId="77777777" w:rsidTr="000E668C">
        <w:trPr>
          <w:cantSplit/>
        </w:trPr>
        <w:tc>
          <w:tcPr>
            <w:tcW w:w="8771" w:type="dxa"/>
            <w:gridSpan w:val="2"/>
            <w:tcBorders>
              <w:top w:val="nil"/>
              <w:left w:val="nil"/>
              <w:bottom w:val="nil"/>
              <w:right w:val="nil"/>
            </w:tcBorders>
            <w:shd w:val="clear" w:color="auto" w:fill="auto"/>
          </w:tcPr>
          <w:p w14:paraId="1EA38EC3" w14:textId="77777777" w:rsidR="004C30D4" w:rsidRDefault="004C30D4" w:rsidP="007B3122">
            <w:pPr>
              <w:pStyle w:val="Note"/>
              <w:rPr>
                <w:i/>
              </w:rPr>
            </w:pPr>
            <w:r w:rsidRPr="008E77FE">
              <w:rPr>
                <w:rStyle w:val="NoteLabel"/>
              </w:rPr>
              <w:t>a</w:t>
            </w:r>
            <w:r>
              <w:t xml:space="preserve"> Number of procedures per 100 000. </w:t>
            </w:r>
            <w:r>
              <w:rPr>
                <w:rStyle w:val="NoteLabel"/>
              </w:rPr>
              <w:t>b</w:t>
            </w:r>
            <w:r>
              <w:t xml:space="preserve"> Difference between the 90</w:t>
            </w:r>
            <w:r w:rsidRPr="00745491">
              <w:rPr>
                <w:vertAlign w:val="superscript"/>
              </w:rPr>
              <w:t>th</w:t>
            </w:r>
            <w:r>
              <w:t xml:space="preserve"> and 10</w:t>
            </w:r>
            <w:r w:rsidRPr="00745491">
              <w:rPr>
                <w:vertAlign w:val="superscript"/>
              </w:rPr>
              <w:t>th</w:t>
            </w:r>
            <w:r>
              <w:t xml:space="preserve"> percentile rates. </w:t>
            </w:r>
            <w:r>
              <w:rPr>
                <w:rStyle w:val="NoteLabel"/>
              </w:rPr>
              <w:t>c</w:t>
            </w:r>
            <w:r>
              <w:t xml:space="preserve"> Women aged 15 years and over. </w:t>
            </w:r>
            <w:r w:rsidRPr="00745491">
              <w:rPr>
                <w:rStyle w:val="NoteLabel"/>
              </w:rPr>
              <w:t>d</w:t>
            </w:r>
            <w:r>
              <w:t xml:space="preserve"> For women aged 20</w:t>
            </w:r>
            <w:r>
              <w:noBreakHyphen/>
              <w:t xml:space="preserve">34 years. </w:t>
            </w:r>
            <w:r w:rsidRPr="00745491">
              <w:rPr>
                <w:rStyle w:val="NoteLabel"/>
              </w:rPr>
              <w:t>e</w:t>
            </w:r>
            <w:r>
              <w:t xml:space="preserve"> For all vaginal births.</w:t>
            </w:r>
          </w:p>
        </w:tc>
      </w:tr>
      <w:tr w:rsidR="004C30D4" w14:paraId="1EA38EC6" w14:textId="77777777" w:rsidTr="000E668C">
        <w:trPr>
          <w:cantSplit/>
        </w:trPr>
        <w:tc>
          <w:tcPr>
            <w:tcW w:w="8771" w:type="dxa"/>
            <w:gridSpan w:val="2"/>
            <w:tcBorders>
              <w:top w:val="nil"/>
              <w:left w:val="nil"/>
              <w:bottom w:val="nil"/>
              <w:right w:val="nil"/>
            </w:tcBorders>
            <w:shd w:val="clear" w:color="auto" w:fill="auto"/>
          </w:tcPr>
          <w:p w14:paraId="1EA38EC5" w14:textId="77777777" w:rsidR="004C30D4" w:rsidRDefault="004C30D4" w:rsidP="007B3122">
            <w:pPr>
              <w:pStyle w:val="Source"/>
            </w:pPr>
            <w:r>
              <w:rPr>
                <w:i/>
              </w:rPr>
              <w:t>Source</w:t>
            </w:r>
            <w:r w:rsidRPr="00167F06">
              <w:t xml:space="preserve">: </w:t>
            </w:r>
            <w:r>
              <w:t xml:space="preserve">ACSQHC 2017, </w:t>
            </w:r>
            <w:r w:rsidRPr="00B03C15">
              <w:rPr>
                <w:i/>
              </w:rPr>
              <w:t>The Second Australian Atlas of Healthcare Variation</w:t>
            </w:r>
            <w:r>
              <w:t>, June.</w:t>
            </w:r>
          </w:p>
        </w:tc>
      </w:tr>
      <w:tr w:rsidR="00046C5B" w:rsidRPr="000863A5" w14:paraId="1EA38EC8" w14:textId="77777777" w:rsidTr="000E668C">
        <w:tblPrEx>
          <w:tblBorders>
            <w:top w:val="single" w:sz="6" w:space="0" w:color="78A22F"/>
            <w:left w:val="single" w:sz="6" w:space="0" w:color="78A22F"/>
            <w:bottom w:val="single" w:sz="6" w:space="0" w:color="78A22F"/>
            <w:right w:val="single" w:sz="6" w:space="0" w:color="78A22F"/>
          </w:tblBorders>
        </w:tblPrEx>
        <w:trPr>
          <w:gridAfter w:val="1"/>
          <w:wAfter w:w="18" w:type="dxa"/>
        </w:trPr>
        <w:tc>
          <w:tcPr>
            <w:tcW w:w="8753" w:type="dxa"/>
            <w:tcBorders>
              <w:top w:val="single" w:sz="6" w:space="0" w:color="78A22F"/>
              <w:left w:val="nil"/>
              <w:bottom w:val="nil"/>
              <w:right w:val="nil"/>
            </w:tcBorders>
          </w:tcPr>
          <w:p w14:paraId="1EA38EC7" w14:textId="77777777" w:rsidR="00046C5B" w:rsidRPr="00626D32" w:rsidRDefault="00046C5B" w:rsidP="00801FAB">
            <w:pPr>
              <w:pStyle w:val="BoxSpaceBelow"/>
            </w:pPr>
          </w:p>
        </w:tc>
      </w:tr>
    </w:tbl>
    <w:p w14:paraId="1EA38EC9" w14:textId="77777777" w:rsidR="00F70AFD" w:rsidRDefault="00F70AFD">
      <w:r>
        <w:br w:type="page"/>
      </w:r>
    </w:p>
    <w:p w14:paraId="1EA38ECA" w14:textId="77777777" w:rsidR="000E668C" w:rsidRDefault="000E668C" w:rsidP="000E668C">
      <w:pPr>
        <w:pStyle w:val="BodyText"/>
      </w:pPr>
      <w:r>
        <w:t>In some respects, the apparent proliferation of low and no value care is perplexing. As observed by one Australian clinician:</w:t>
      </w:r>
    </w:p>
    <w:p w14:paraId="1EA38ECB" w14:textId="77777777" w:rsidR="000E668C" w:rsidRDefault="000E668C" w:rsidP="000E668C">
      <w:pPr>
        <w:pStyle w:val="Quote"/>
      </w:pPr>
      <w:r w:rsidRPr="003A427B">
        <w:t>To deliver a do</w:t>
      </w:r>
      <w:r>
        <w:noBreakHyphen/>
      </w:r>
      <w:r w:rsidRPr="003A427B">
        <w:t>not</w:t>
      </w:r>
      <w:r>
        <w:noBreakHyphen/>
      </w:r>
      <w:r w:rsidRPr="003A427B">
        <w:t>do procedure a medical practitioner must first be credentialed, have a defined scope of practice and operate within their clinical team alongside support services and the governance structures of an organisation. Start counting how many people are involved. Therefore, the question we should be asking is: how is it possible for inappropriate care to occur? And what systems</w:t>
      </w:r>
      <w:r>
        <w:noBreakHyphen/>
      </w:r>
      <w:r w:rsidRPr="003A427B">
        <w:t>level agreements perpetuate this situation?</w:t>
      </w:r>
      <w:r>
        <w:t xml:space="preserve"> </w:t>
      </w:r>
      <w:r w:rsidRPr="003D243B">
        <w:rPr>
          <w:szCs w:val="24"/>
        </w:rPr>
        <w:t>(Ibrahim 2015, p. 162)</w:t>
      </w:r>
    </w:p>
    <w:p w14:paraId="1EA38ECC" w14:textId="77777777" w:rsidR="00C35522" w:rsidRDefault="00C35522" w:rsidP="00C35522">
      <w:pPr>
        <w:pStyle w:val="BodyText"/>
      </w:pPr>
      <w:r>
        <w:t xml:space="preserve">Several factors are likely to be at work. </w:t>
      </w:r>
    </w:p>
    <w:p w14:paraId="1EA38ECD" w14:textId="77777777" w:rsidR="00E51809" w:rsidRDefault="00E51809" w:rsidP="00E51809">
      <w:pPr>
        <w:pStyle w:val="BodyText"/>
      </w:pPr>
      <w:r>
        <w:t>One is t</w:t>
      </w:r>
      <w:r w:rsidR="007813FE">
        <w:t>hat many practices in any profession</w:t>
      </w:r>
      <w:r>
        <w:t xml:space="preserve"> becomes customary, even as evidence slowly undermines </w:t>
      </w:r>
      <w:r w:rsidR="007813FE">
        <w:t>their</w:t>
      </w:r>
      <w:r>
        <w:t xml:space="preserve"> legitimacy. A leading Australian orthopaedic surgeon is sceptical of a range of commonly performed orthopaedic procedures, including knee arthroscopies. He observed:</w:t>
      </w:r>
    </w:p>
    <w:p w14:paraId="1EA38ECE" w14:textId="77777777" w:rsidR="00E51809" w:rsidRDefault="00E51809" w:rsidP="00E51809">
      <w:pPr>
        <w:pStyle w:val="Quote"/>
      </w:pPr>
      <w:r>
        <w:t xml:space="preserve">I am not suggesting that surgeons are recommending operations </w:t>
      </w:r>
      <w:r w:rsidRPr="009D1BEE">
        <w:rPr>
          <w:i/>
        </w:rPr>
        <w:t>knowing</w:t>
      </w:r>
      <w:r>
        <w:t xml:space="preserve"> that the potential risks outweigh the potential benefits. Largely, surgeons believe that they are doing the right thing, but often they are not aware of the strength (or weakness) of the supporting evidence or, what is more often the case, there is simply no substantial or convincing scientific evidence available. Without good scientific evidence, surgeons perceive the procedures they recommend to be effective – otherwise their colleagues wouldn't be doing them, right? Put simply, a lack of evidence allows surgeons to do procedures that have always been done, those that their mentors taught them to do, to do what they think works, and to simply do what everyone else is doing. </w:t>
      </w:r>
      <w:r w:rsidR="009D1BEE" w:rsidRPr="009D1BEE">
        <w:rPr>
          <w:szCs w:val="24"/>
        </w:rPr>
        <w:t>(Harris 2016b, pp. 1–2)</w:t>
      </w:r>
      <w:r>
        <w:t xml:space="preserve"> </w:t>
      </w:r>
    </w:p>
    <w:p w14:paraId="1EA38ECF" w14:textId="77777777" w:rsidR="00CD4B0C" w:rsidRDefault="00CD4B0C" w:rsidP="00E51809">
      <w:pPr>
        <w:pStyle w:val="BodyText"/>
      </w:pPr>
      <w:r>
        <w:t xml:space="preserve">Cognitive biases appear to reinforce the status quo </w:t>
      </w:r>
      <w:r w:rsidR="00C65A42" w:rsidRPr="00C65A42">
        <w:rPr>
          <w:szCs w:val="24"/>
        </w:rPr>
        <w:t>(Scott et al. 2017)</w:t>
      </w:r>
      <w:r>
        <w:t>.</w:t>
      </w:r>
    </w:p>
    <w:p w14:paraId="1EA38ED0" w14:textId="77777777" w:rsidR="00E51809" w:rsidRDefault="00E51809" w:rsidP="00E51809">
      <w:pPr>
        <w:pStyle w:val="BodyText"/>
      </w:pPr>
      <w:r>
        <w:t xml:space="preserve">Another is patient expectations. Survey data from the United States suggest that more than 50 per cent of physicians acquiesce to patient requests for unnecessary medical practices </w:t>
      </w:r>
      <w:r w:rsidR="00C65A42" w:rsidRPr="00C65A42">
        <w:rPr>
          <w:szCs w:val="24"/>
        </w:rPr>
        <w:t>(Kaul et al. 2015)</w:t>
      </w:r>
      <w:r>
        <w:t>. It would be surprising if thi</w:t>
      </w:r>
      <w:r w:rsidR="006945CA">
        <w:t xml:space="preserve">s were a US peculiarity. </w:t>
      </w:r>
      <w:r w:rsidR="005549BA">
        <w:t>A surgeon</w:t>
      </w:r>
      <w:r>
        <w:t xml:space="preserve"> commented about his own past practices:</w:t>
      </w:r>
    </w:p>
    <w:p w14:paraId="1EA38ED1" w14:textId="77777777" w:rsidR="00E51809" w:rsidRDefault="00E51809" w:rsidP="00E51809">
      <w:pPr>
        <w:pStyle w:val="Quote"/>
      </w:pPr>
      <w:r>
        <w:t>I have operated on people that didn’t have anything wrong with them in the first place. This happens because if a patient complains enough to a surgeon, one of the easiest ways of satisfying them is to operate.</w:t>
      </w:r>
      <w:r w:rsidR="006945CA">
        <w:t xml:space="preserve"> </w:t>
      </w:r>
      <w:r w:rsidR="00B54F86" w:rsidRPr="00B54F86">
        <w:rPr>
          <w:szCs w:val="24"/>
        </w:rPr>
        <w:t>(Harris 2016b)</w:t>
      </w:r>
    </w:p>
    <w:p w14:paraId="1EA38ED2" w14:textId="77777777" w:rsidR="004C30D4" w:rsidRDefault="004C30D4" w:rsidP="004C30D4">
      <w:pPr>
        <w:pStyle w:val="BodyText"/>
      </w:pPr>
      <w:r>
        <w:t>Overall, there appears little national progress to limit the use of low (or no or negative) value interventions. The Australian Commission on Safety and Quality in Health Care pointed out:</w:t>
      </w:r>
    </w:p>
    <w:p w14:paraId="1EA38ED3" w14:textId="77777777" w:rsidR="004C30D4" w:rsidRDefault="004C30D4" w:rsidP="004C30D4">
      <w:pPr>
        <w:pStyle w:val="Quote"/>
      </w:pPr>
      <w:r>
        <w:t>In some high</w:t>
      </w:r>
      <w:r w:rsidR="009C49CA">
        <w:noBreakHyphen/>
      </w:r>
      <w:r>
        <w:t>cost, high</w:t>
      </w:r>
      <w:r w:rsidR="009C49CA">
        <w:noBreakHyphen/>
      </w:r>
      <w:r>
        <w:t xml:space="preserve">burden clinical areas, where notable variation exists, there is little or no nationally agreed guidance. In these areas, there is a need for information on what constitutes best practice and effective care to produce care pathways, indicators for monitoring and resources for clinicians and consumers. </w:t>
      </w:r>
      <w:r w:rsidR="00C65A42" w:rsidRPr="00C65A42">
        <w:rPr>
          <w:szCs w:val="24"/>
        </w:rPr>
        <w:t>(ACSQHC 2017c)</w:t>
      </w:r>
    </w:p>
    <w:p w14:paraId="1EA38ED4" w14:textId="77777777" w:rsidR="00E3093C" w:rsidRDefault="004C30D4" w:rsidP="004C30D4">
      <w:pPr>
        <w:pStyle w:val="BodyText"/>
      </w:pPr>
      <w:r>
        <w:t xml:space="preserve">The </w:t>
      </w:r>
      <w:r w:rsidR="00C35522" w:rsidRPr="00212F5E">
        <w:rPr>
          <w:szCs w:val="24"/>
        </w:rPr>
        <w:t>ACSQHC</w:t>
      </w:r>
      <w:r>
        <w:t xml:space="preserve">, </w:t>
      </w:r>
      <w:r w:rsidR="00543632">
        <w:t>the</w:t>
      </w:r>
      <w:r>
        <w:t xml:space="preserve"> Department of Health and the National Health and Medical Research Counc</w:t>
      </w:r>
      <w:r w:rsidR="00C35522">
        <w:t xml:space="preserve">il are developing a framework </w:t>
      </w:r>
      <w:r>
        <w:t>to promote the efficient production of trustworthy clinical practice guidelines</w:t>
      </w:r>
      <w:r w:rsidR="00C35522">
        <w:t>, but that will take some time.</w:t>
      </w:r>
    </w:p>
    <w:p w14:paraId="1EA38ED5" w14:textId="77777777" w:rsidR="00E3093C" w:rsidRDefault="00E3093C" w:rsidP="00E65DD3">
      <w:pPr>
        <w:pStyle w:val="Heading3"/>
      </w:pPr>
      <w:r>
        <w:t xml:space="preserve">Government-subsidised </w:t>
      </w:r>
      <w:r w:rsidR="00DC2E07">
        <w:t>p</w:t>
      </w:r>
      <w:r>
        <w:t xml:space="preserve">rivate health insurance </w:t>
      </w:r>
      <w:r w:rsidR="00D42822">
        <w:t>also fund</w:t>
      </w:r>
      <w:r>
        <w:t xml:space="preserve"> dubious </w:t>
      </w:r>
      <w:r w:rsidR="00D42822">
        <w:t>treatments</w:t>
      </w:r>
    </w:p>
    <w:p w14:paraId="1EA38ED6" w14:textId="77777777" w:rsidR="00D42822" w:rsidRDefault="00E3093C" w:rsidP="004C30D4">
      <w:pPr>
        <w:pStyle w:val="BodyText"/>
      </w:pPr>
      <w:r>
        <w:t xml:space="preserve">As with the public system, private health insurers also fund some doubtful hospital procedures. Indeed, </w:t>
      </w:r>
      <w:r w:rsidR="00C43F38">
        <w:t>about</w:t>
      </w:r>
      <w:r w:rsidR="009355B4">
        <w:t xml:space="preserve"> 80 per cent of </w:t>
      </w:r>
      <w:r w:rsidR="00D42822">
        <w:t>arthroscopies</w:t>
      </w:r>
      <w:r>
        <w:t xml:space="preserve"> are </w:t>
      </w:r>
      <w:r w:rsidR="009355B4">
        <w:t>undertaken in the private system</w:t>
      </w:r>
      <w:r w:rsidR="00B24D26">
        <w:t xml:space="preserve"> </w:t>
      </w:r>
      <w:r w:rsidR="00C94EDC" w:rsidRPr="00C94EDC">
        <w:rPr>
          <w:szCs w:val="24"/>
        </w:rPr>
        <w:t>(ACSQHC 2015, p. 106)</w:t>
      </w:r>
      <w:r>
        <w:t xml:space="preserve">. </w:t>
      </w:r>
      <w:r w:rsidR="00B24D26" w:rsidRPr="00B24D26">
        <w:t>Given spiralling costs, insurers have incentives to inform consumers about low</w:t>
      </w:r>
      <w:r w:rsidR="00266343">
        <w:noBreakHyphen/>
      </w:r>
      <w:r w:rsidR="00B24D26" w:rsidRPr="00B24D26">
        <w:t>value care and to exclude cover. However, consumers are not well informed and may continue to demand cover for low</w:t>
      </w:r>
      <w:r w:rsidR="00B24D26">
        <w:noBreakHyphen/>
      </w:r>
      <w:r w:rsidR="00B24D26" w:rsidRPr="00B24D26">
        <w:t>value procedures</w:t>
      </w:r>
      <w:r w:rsidR="00B24D26">
        <w:t>. Indeed, i</w:t>
      </w:r>
      <w:r w:rsidR="00D42822">
        <w:t xml:space="preserve">f the Australian Government ceases to fund activities that have little clinical value there may be a risk that patients will seek these procedures through the private system, funded by health insurance. </w:t>
      </w:r>
      <w:r w:rsidR="00B24D26">
        <w:t>The Australian Government bears some of the costs of funding low</w:t>
      </w:r>
      <w:r w:rsidR="00B24D26">
        <w:noBreakHyphen/>
        <w:t>value care through private health insurance because it provides substantial transfers to this part of the health system.</w:t>
      </w:r>
      <w:r w:rsidR="00B24D26" w:rsidRPr="003D243B">
        <w:rPr>
          <w:rStyle w:val="FootnoteReference"/>
        </w:rPr>
        <w:footnoteReference w:id="37"/>
      </w:r>
      <w:r w:rsidR="00B24D26">
        <w:t xml:space="preserve"> The justification for such transfers is weak for services that would (or should) not be supplied by the public system. It may be that this issue will vanish if clinicians adhere more stringently to medical guidelines issued by their professional bodies and the ACSQHC. If not, it suggests that certain surgical services funded by insurers should be ineligible for the tax rebate. </w:t>
      </w:r>
    </w:p>
    <w:p w14:paraId="1EA38ED7" w14:textId="77777777" w:rsidR="00237C4E" w:rsidRDefault="00574DB3" w:rsidP="004C30D4">
      <w:pPr>
        <w:pStyle w:val="BodyText"/>
      </w:pPr>
      <w:r>
        <w:t xml:space="preserve">Subsidies to ancillaries involve similar </w:t>
      </w:r>
      <w:r w:rsidR="00E74E50">
        <w:t>concerns</w:t>
      </w:r>
      <w:r>
        <w:t xml:space="preserve">. Taxpayers </w:t>
      </w:r>
      <w:r w:rsidR="00E3093C" w:rsidRPr="00E3093C">
        <w:t>effectively underwrite private health insurance for ancillaries through the tax rebate</w:t>
      </w:r>
      <w:r w:rsidR="00E74E50">
        <w:t xml:space="preserve">, yet some of these services </w:t>
      </w:r>
      <w:r w:rsidR="000E4088">
        <w:t>have no evidential support</w:t>
      </w:r>
      <w:r w:rsidR="00E74E50">
        <w:t>, such as homeopathy</w:t>
      </w:r>
      <w:r w:rsidR="006267D7">
        <w:t>.</w:t>
      </w:r>
      <w:r w:rsidR="000E4088">
        <w:t xml:space="preserve"> </w:t>
      </w:r>
      <w:r w:rsidR="00E324B5">
        <w:t>An</w:t>
      </w:r>
      <w:r w:rsidR="000E4088">
        <w:t xml:space="preserve"> Australian Government </w:t>
      </w:r>
      <w:r w:rsidR="00E324B5">
        <w:t xml:space="preserve">review into various natural remedies found weak or no evidence about the efficacy of many treatments </w:t>
      </w:r>
      <w:r w:rsidR="00E324B5" w:rsidRPr="00B80129">
        <w:rPr>
          <w:szCs w:val="24"/>
        </w:rPr>
        <w:t>(Baggoley 2015)</w:t>
      </w:r>
      <w:r w:rsidR="00E324B5">
        <w:t>.</w:t>
      </w:r>
    </w:p>
    <w:p w14:paraId="1EA38ED8" w14:textId="77777777" w:rsidR="00052F4E" w:rsidRDefault="00052F4E" w:rsidP="00052F4E">
      <w:pPr>
        <w:pStyle w:val="Heading2"/>
      </w:pPr>
      <w:bookmarkStart w:id="69" w:name="_Toc488929705"/>
      <w:bookmarkStart w:id="70" w:name="_Toc489250083"/>
      <w:r>
        <w:t>7.</w:t>
      </w:r>
      <w:r w:rsidR="001F5A33">
        <w:t>3</w:t>
      </w:r>
      <w:r>
        <w:tab/>
        <w:t>Avoidance and management of chronic disease</w:t>
      </w:r>
      <w:bookmarkEnd w:id="69"/>
      <w:bookmarkEnd w:id="70"/>
    </w:p>
    <w:p w14:paraId="1EA38ED9" w14:textId="77777777" w:rsidR="00052F4E" w:rsidRDefault="00052F4E" w:rsidP="00052F4E">
      <w:pPr>
        <w:pStyle w:val="BodyText"/>
      </w:pPr>
      <w:r w:rsidRPr="00EB2AED">
        <w:t xml:space="preserve">As noted by the Australian Medical Association, ‘general practice is the cornerstone of successful primary health care, which underpins population health outcomes’ </w:t>
      </w:r>
      <w:r w:rsidR="00C65A42" w:rsidRPr="00C65A42">
        <w:rPr>
          <w:szCs w:val="24"/>
        </w:rPr>
        <w:t>(AMA 2017)</w:t>
      </w:r>
      <w:r w:rsidRPr="00EB2AED">
        <w:t xml:space="preserve">. The Australasian College of General Practice has emphasised SNAP — smoking, nutrition, alcohol and physical activity — as key targets for preventative care </w:t>
      </w:r>
      <w:r w:rsidR="00C65A42" w:rsidRPr="00C65A42">
        <w:rPr>
          <w:szCs w:val="24"/>
        </w:rPr>
        <w:t>(RACGP 2016)</w:t>
      </w:r>
      <w:r w:rsidRPr="00EB2AED">
        <w:t xml:space="preserve">. </w:t>
      </w:r>
    </w:p>
    <w:p w14:paraId="1EA38EDA" w14:textId="77777777" w:rsidR="00052F4E" w:rsidRDefault="00052F4E" w:rsidP="00052F4E">
      <w:pPr>
        <w:pStyle w:val="BodyText"/>
      </w:pPr>
      <w:r w:rsidRPr="00EB2AED">
        <w:t xml:space="preserve">Yet most people in the SNAP categories have not had discussions with their GPs about preventative health, including those who are </w:t>
      </w:r>
      <w:r>
        <w:t xml:space="preserve">in </w:t>
      </w:r>
      <w:r w:rsidR="002A7DB5">
        <w:t xml:space="preserve">a </w:t>
      </w:r>
      <w:r w:rsidR="007E4B98">
        <w:t>high</w:t>
      </w:r>
      <w:r w:rsidR="007E4B98">
        <w:noBreakHyphen/>
      </w:r>
      <w:r>
        <w:t xml:space="preserve">risk category, </w:t>
      </w:r>
      <w:r w:rsidR="002A7DB5">
        <w:t xml:space="preserve">such </w:t>
      </w:r>
      <w:r w:rsidRPr="00EB2AED">
        <w:t>as</w:t>
      </w:r>
      <w:r>
        <w:t xml:space="preserve"> obesity</w:t>
      </w:r>
      <w:r w:rsidR="00154E2D">
        <w:t xml:space="preserve"> (table 7.2)</w:t>
      </w:r>
      <w:r w:rsidRPr="00EB2AED">
        <w:t>.</w:t>
      </w:r>
    </w:p>
    <w:p w14:paraId="1EA38EDB" w14:textId="77777777" w:rsidR="000904F9" w:rsidRDefault="000904F9" w:rsidP="000904F9">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9073"/>
      </w:tblGrid>
      <w:tr w:rsidR="000904F9" w14:paraId="1EA38EDE" w14:textId="77777777" w:rsidTr="000904F9">
        <w:tc>
          <w:tcPr>
            <w:tcW w:w="5000" w:type="pct"/>
            <w:tcBorders>
              <w:top w:val="single" w:sz="6" w:space="0" w:color="78A22F"/>
              <w:left w:val="nil"/>
              <w:bottom w:val="nil"/>
              <w:right w:val="nil"/>
            </w:tcBorders>
            <w:shd w:val="clear" w:color="auto" w:fill="auto"/>
          </w:tcPr>
          <w:p w14:paraId="1EA38EDC" w14:textId="77777777" w:rsidR="000904F9" w:rsidRDefault="000904F9" w:rsidP="00AF098D">
            <w:pPr>
              <w:pStyle w:val="FigureTitle"/>
            </w:pPr>
            <w:r w:rsidRPr="00944790">
              <w:rPr>
                <w:b w:val="0"/>
              </w:rPr>
              <w:t xml:space="preserve">Table </w:t>
            </w:r>
            <w:r w:rsidR="00D411B5" w:rsidRPr="00944790">
              <w:rPr>
                <w:b w:val="0"/>
              </w:rPr>
              <w:t>7.</w:t>
            </w:r>
            <w:r w:rsidR="00154E2D" w:rsidRPr="00944790">
              <w:rPr>
                <w:b w:val="0"/>
              </w:rPr>
              <w:t>2</w:t>
            </w:r>
            <w:r>
              <w:tab/>
            </w:r>
            <w:r w:rsidR="00354278" w:rsidRPr="00354278">
              <w:t>GPs often do not discuss health issues with people with high health risks</w:t>
            </w:r>
          </w:p>
          <w:p w14:paraId="1EA38EDD" w14:textId="77777777" w:rsidR="000904F9" w:rsidRPr="00784A05" w:rsidRDefault="00354278" w:rsidP="007E4B98">
            <w:pPr>
              <w:pStyle w:val="Subtitle"/>
            </w:pPr>
            <w:r w:rsidRPr="00354278">
              <w:t>2014</w:t>
            </w:r>
            <w:r w:rsidRPr="0091789B">
              <w:rPr>
                <w:rStyle w:val="NoteLabel"/>
              </w:rPr>
              <w:t>a</w:t>
            </w:r>
          </w:p>
        </w:tc>
      </w:tr>
      <w:tr w:rsidR="000904F9" w14:paraId="1EA38EFE" w14:textId="77777777" w:rsidTr="000904F9">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7910"/>
              <w:gridCol w:w="879"/>
            </w:tblGrid>
            <w:tr w:rsidR="000904F9" w14:paraId="1EA38EE1" w14:textId="77777777" w:rsidTr="000904F9">
              <w:trPr>
                <w:tblHeader/>
              </w:trPr>
              <w:tc>
                <w:tcPr>
                  <w:tcW w:w="4500" w:type="pct"/>
                  <w:tcBorders>
                    <w:top w:val="single" w:sz="6" w:space="0" w:color="BFBFBF"/>
                    <w:bottom w:val="single" w:sz="6" w:space="0" w:color="BFBFBF"/>
                  </w:tcBorders>
                  <w:shd w:val="clear" w:color="auto" w:fill="auto"/>
                  <w:tcMar>
                    <w:top w:w="28" w:type="dxa"/>
                  </w:tcMar>
                </w:tcPr>
                <w:p w14:paraId="1EA38EDF" w14:textId="77777777" w:rsidR="000904F9" w:rsidRDefault="000904F9" w:rsidP="000904F9">
                  <w:pPr>
                    <w:pStyle w:val="TableColumnHeading"/>
                    <w:jc w:val="left"/>
                  </w:pPr>
                  <w:r w:rsidRPr="000904F9">
                    <w:t>Risk groups having discussion with GP about risk</w:t>
                  </w:r>
                </w:p>
              </w:tc>
              <w:tc>
                <w:tcPr>
                  <w:tcW w:w="500" w:type="pct"/>
                  <w:tcBorders>
                    <w:top w:val="single" w:sz="6" w:space="0" w:color="BFBFBF"/>
                    <w:bottom w:val="single" w:sz="6" w:space="0" w:color="BFBFBF"/>
                  </w:tcBorders>
                  <w:shd w:val="clear" w:color="auto" w:fill="auto"/>
                  <w:tcMar>
                    <w:top w:w="28" w:type="dxa"/>
                  </w:tcMar>
                </w:tcPr>
                <w:p w14:paraId="1EA38EE0" w14:textId="77777777" w:rsidR="000904F9" w:rsidRDefault="000904F9" w:rsidP="000904F9">
                  <w:pPr>
                    <w:pStyle w:val="TableColumnHeading"/>
                    <w:ind w:right="28"/>
                  </w:pPr>
                  <w:r w:rsidRPr="000904F9">
                    <w:t>Share of risk group</w:t>
                  </w:r>
                </w:p>
              </w:tc>
            </w:tr>
            <w:tr w:rsidR="000904F9" w14:paraId="1EA38EE4" w14:textId="77777777" w:rsidTr="000904F9">
              <w:tc>
                <w:tcPr>
                  <w:tcW w:w="4500" w:type="pct"/>
                  <w:tcBorders>
                    <w:top w:val="single" w:sz="6" w:space="0" w:color="BFBFBF"/>
                  </w:tcBorders>
                </w:tcPr>
                <w:p w14:paraId="1EA38EE2" w14:textId="77777777" w:rsidR="000904F9" w:rsidRDefault="000904F9" w:rsidP="000904F9">
                  <w:pPr>
                    <w:pStyle w:val="TableUnitsRow"/>
                  </w:pPr>
                </w:p>
              </w:tc>
              <w:tc>
                <w:tcPr>
                  <w:tcW w:w="500" w:type="pct"/>
                  <w:tcBorders>
                    <w:top w:val="single" w:sz="6" w:space="0" w:color="BFBFBF"/>
                  </w:tcBorders>
                </w:tcPr>
                <w:p w14:paraId="1EA38EE3" w14:textId="77777777" w:rsidR="000904F9" w:rsidRDefault="000904F9" w:rsidP="000904F9">
                  <w:pPr>
                    <w:pStyle w:val="TableUnitsRow"/>
                    <w:ind w:right="28"/>
                  </w:pPr>
                  <w:r>
                    <w:t>%</w:t>
                  </w:r>
                </w:p>
              </w:tc>
            </w:tr>
            <w:tr w:rsidR="000904F9" w14:paraId="1EA38EE7" w14:textId="77777777" w:rsidTr="000904F9">
              <w:tc>
                <w:tcPr>
                  <w:tcW w:w="4500" w:type="pct"/>
                </w:tcPr>
                <w:p w14:paraId="1EA38EE5" w14:textId="77777777" w:rsidR="000904F9" w:rsidRDefault="000904F9" w:rsidP="000904F9">
                  <w:pPr>
                    <w:pStyle w:val="TableBodyText"/>
                    <w:jc w:val="left"/>
                  </w:pPr>
                  <w:r w:rsidRPr="002311EE">
                    <w:t>Smoker — reducing or quitting smoking</w:t>
                  </w:r>
                </w:p>
              </w:tc>
              <w:tc>
                <w:tcPr>
                  <w:tcW w:w="500" w:type="pct"/>
                </w:tcPr>
                <w:p w14:paraId="1EA38EE6" w14:textId="77777777" w:rsidR="000904F9" w:rsidRDefault="000904F9" w:rsidP="000904F9">
                  <w:pPr>
                    <w:pStyle w:val="TableBodyText"/>
                    <w:ind w:right="28"/>
                  </w:pPr>
                  <w:r w:rsidRPr="002311EE">
                    <w:t>39.6</w:t>
                  </w:r>
                </w:p>
              </w:tc>
            </w:tr>
            <w:tr w:rsidR="000904F9" w14:paraId="1EA38EEA" w14:textId="77777777" w:rsidTr="000904F9">
              <w:tc>
                <w:tcPr>
                  <w:tcW w:w="4500" w:type="pct"/>
                </w:tcPr>
                <w:p w14:paraId="1EA38EE8" w14:textId="77777777" w:rsidR="000904F9" w:rsidRDefault="000904F9" w:rsidP="000904F9">
                  <w:pPr>
                    <w:pStyle w:val="TableBodyText"/>
                    <w:jc w:val="left"/>
                  </w:pPr>
                  <w:r w:rsidRPr="002311EE">
                    <w:t>Overweight person — a healthy weight</w:t>
                  </w:r>
                </w:p>
              </w:tc>
              <w:tc>
                <w:tcPr>
                  <w:tcW w:w="500" w:type="pct"/>
                </w:tcPr>
                <w:p w14:paraId="1EA38EE9" w14:textId="77777777" w:rsidR="000904F9" w:rsidRDefault="000904F9" w:rsidP="000904F9">
                  <w:pPr>
                    <w:pStyle w:val="TableBodyText"/>
                    <w:ind w:right="28"/>
                  </w:pPr>
                  <w:r w:rsidRPr="002311EE">
                    <w:t>13</w:t>
                  </w:r>
                </w:p>
              </w:tc>
            </w:tr>
            <w:tr w:rsidR="000904F9" w14:paraId="1EA38EED" w14:textId="77777777" w:rsidTr="000904F9">
              <w:tc>
                <w:tcPr>
                  <w:tcW w:w="4500" w:type="pct"/>
                </w:tcPr>
                <w:p w14:paraId="1EA38EEB" w14:textId="77777777" w:rsidR="000904F9" w:rsidRDefault="000904F9" w:rsidP="000904F9">
                  <w:pPr>
                    <w:pStyle w:val="TableBodyText"/>
                    <w:jc w:val="left"/>
                  </w:pPr>
                  <w:r w:rsidRPr="002311EE">
                    <w:t>Obese person — a healthy weight</w:t>
                  </w:r>
                </w:p>
              </w:tc>
              <w:tc>
                <w:tcPr>
                  <w:tcW w:w="500" w:type="pct"/>
                </w:tcPr>
                <w:p w14:paraId="1EA38EEC" w14:textId="77777777" w:rsidR="000904F9" w:rsidRDefault="000904F9" w:rsidP="000904F9">
                  <w:pPr>
                    <w:pStyle w:val="TableBodyText"/>
                    <w:ind w:right="28"/>
                  </w:pPr>
                  <w:r w:rsidRPr="002311EE">
                    <w:t>34.6</w:t>
                  </w:r>
                </w:p>
              </w:tc>
            </w:tr>
            <w:tr w:rsidR="000904F9" w14:paraId="1EA38EF0" w14:textId="77777777" w:rsidTr="000904F9">
              <w:tc>
                <w:tcPr>
                  <w:tcW w:w="4500" w:type="pct"/>
                </w:tcPr>
                <w:p w14:paraId="1EA38EEE" w14:textId="77777777" w:rsidR="000904F9" w:rsidRDefault="000904F9" w:rsidP="000904F9">
                  <w:pPr>
                    <w:pStyle w:val="TableBodyText"/>
                    <w:jc w:val="left"/>
                  </w:pPr>
                  <w:r w:rsidRPr="002311EE">
                    <w:t>Obese person — eating healthy food or improving diet</w:t>
                  </w:r>
                </w:p>
              </w:tc>
              <w:tc>
                <w:tcPr>
                  <w:tcW w:w="500" w:type="pct"/>
                </w:tcPr>
                <w:p w14:paraId="1EA38EEF" w14:textId="77777777" w:rsidR="000904F9" w:rsidRDefault="000904F9" w:rsidP="000904F9">
                  <w:pPr>
                    <w:pStyle w:val="TableBodyText"/>
                    <w:ind w:right="28"/>
                  </w:pPr>
                  <w:r w:rsidRPr="002311EE">
                    <w:t>20.1</w:t>
                  </w:r>
                </w:p>
              </w:tc>
            </w:tr>
            <w:tr w:rsidR="000904F9" w14:paraId="1EA38EF3" w14:textId="77777777" w:rsidTr="000904F9">
              <w:tc>
                <w:tcPr>
                  <w:tcW w:w="4500" w:type="pct"/>
                </w:tcPr>
                <w:p w14:paraId="1EA38EF1" w14:textId="77777777" w:rsidR="000904F9" w:rsidRDefault="000904F9" w:rsidP="000904F9">
                  <w:pPr>
                    <w:pStyle w:val="TableBodyText"/>
                    <w:jc w:val="left"/>
                  </w:pPr>
                  <w:r w:rsidRPr="002311EE">
                    <w:t>Obese person — increasing physical activity</w:t>
                  </w:r>
                </w:p>
              </w:tc>
              <w:tc>
                <w:tcPr>
                  <w:tcW w:w="500" w:type="pct"/>
                </w:tcPr>
                <w:p w14:paraId="1EA38EF2" w14:textId="77777777" w:rsidR="000904F9" w:rsidRDefault="000904F9" w:rsidP="000904F9">
                  <w:pPr>
                    <w:pStyle w:val="TableBodyText"/>
                    <w:ind w:right="28"/>
                  </w:pPr>
                  <w:r w:rsidRPr="002311EE">
                    <w:t>18.2</w:t>
                  </w:r>
                </w:p>
              </w:tc>
            </w:tr>
            <w:tr w:rsidR="000904F9" w14:paraId="1EA38EF6" w14:textId="77777777" w:rsidTr="000904F9">
              <w:tc>
                <w:tcPr>
                  <w:tcW w:w="4500" w:type="pct"/>
                </w:tcPr>
                <w:p w14:paraId="1EA38EF4" w14:textId="77777777" w:rsidR="000904F9" w:rsidRDefault="000904F9" w:rsidP="000904F9">
                  <w:pPr>
                    <w:pStyle w:val="TableBodyText"/>
                    <w:jc w:val="left"/>
                  </w:pPr>
                  <w:r w:rsidRPr="002311EE">
                    <w:t>Person exceeding alcohol consumption guidelines — moderating use</w:t>
                  </w:r>
                </w:p>
              </w:tc>
              <w:tc>
                <w:tcPr>
                  <w:tcW w:w="500" w:type="pct"/>
                </w:tcPr>
                <w:p w14:paraId="1EA38EF5" w14:textId="77777777" w:rsidR="000904F9" w:rsidRDefault="000904F9" w:rsidP="000904F9">
                  <w:pPr>
                    <w:pStyle w:val="TableBodyText"/>
                    <w:ind w:right="28"/>
                  </w:pPr>
                  <w:r w:rsidRPr="002311EE">
                    <w:t>12.4</w:t>
                  </w:r>
                </w:p>
              </w:tc>
            </w:tr>
            <w:tr w:rsidR="000904F9" w14:paraId="1EA38EF9" w14:textId="77777777" w:rsidTr="000904F9">
              <w:tc>
                <w:tcPr>
                  <w:tcW w:w="4500" w:type="pct"/>
                </w:tcPr>
                <w:p w14:paraId="1EA38EF7" w14:textId="77777777" w:rsidR="000904F9" w:rsidRDefault="000904F9" w:rsidP="000904F9">
                  <w:pPr>
                    <w:pStyle w:val="TableBodyText"/>
                    <w:jc w:val="left"/>
                  </w:pPr>
                  <w:r w:rsidRPr="002311EE">
                    <w:t>People with no/low exercise — increasing physical activity</w:t>
                  </w:r>
                </w:p>
              </w:tc>
              <w:tc>
                <w:tcPr>
                  <w:tcW w:w="500" w:type="pct"/>
                </w:tcPr>
                <w:p w14:paraId="1EA38EF8" w14:textId="77777777" w:rsidR="000904F9" w:rsidRDefault="000904F9" w:rsidP="000904F9">
                  <w:pPr>
                    <w:pStyle w:val="TableBodyText"/>
                    <w:ind w:right="28"/>
                  </w:pPr>
                  <w:r w:rsidRPr="002311EE">
                    <w:t>12.5</w:t>
                  </w:r>
                </w:p>
              </w:tc>
            </w:tr>
            <w:tr w:rsidR="000904F9" w14:paraId="1EA38EFC" w14:textId="77777777" w:rsidTr="000904F9">
              <w:tc>
                <w:tcPr>
                  <w:tcW w:w="4500" w:type="pct"/>
                  <w:tcBorders>
                    <w:bottom w:val="single" w:sz="6" w:space="0" w:color="BFBFBF"/>
                  </w:tcBorders>
                  <w:shd w:val="clear" w:color="auto" w:fill="auto"/>
                </w:tcPr>
                <w:p w14:paraId="1EA38EFA" w14:textId="77777777" w:rsidR="000904F9" w:rsidRDefault="000904F9" w:rsidP="000904F9">
                  <w:pPr>
                    <w:pStyle w:val="TableBodyText"/>
                    <w:jc w:val="left"/>
                  </w:pPr>
                  <w:r w:rsidRPr="002311EE">
                    <w:t>People with inadequate fruit or vegetable consumption — eating healthy food or improving diet</w:t>
                  </w:r>
                </w:p>
              </w:tc>
              <w:tc>
                <w:tcPr>
                  <w:tcW w:w="500" w:type="pct"/>
                  <w:tcBorders>
                    <w:bottom w:val="single" w:sz="6" w:space="0" w:color="BFBFBF"/>
                  </w:tcBorders>
                  <w:shd w:val="clear" w:color="auto" w:fill="auto"/>
                </w:tcPr>
                <w:p w14:paraId="1EA38EFB" w14:textId="77777777" w:rsidR="000904F9" w:rsidRDefault="000904F9" w:rsidP="000904F9">
                  <w:pPr>
                    <w:pStyle w:val="TableBodyText"/>
                    <w:ind w:right="28"/>
                  </w:pPr>
                  <w:r w:rsidRPr="002311EE">
                    <w:t>13.3</w:t>
                  </w:r>
                </w:p>
              </w:tc>
            </w:tr>
          </w:tbl>
          <w:p w14:paraId="1EA38EFD" w14:textId="77777777" w:rsidR="000904F9" w:rsidRDefault="000904F9" w:rsidP="000904F9">
            <w:pPr>
              <w:pStyle w:val="Box"/>
            </w:pPr>
          </w:p>
        </w:tc>
      </w:tr>
      <w:tr w:rsidR="000904F9" w14:paraId="1EA38F00" w14:textId="77777777" w:rsidTr="000904F9">
        <w:tc>
          <w:tcPr>
            <w:tcW w:w="5000" w:type="pct"/>
            <w:tcBorders>
              <w:top w:val="nil"/>
              <w:left w:val="nil"/>
              <w:bottom w:val="nil"/>
              <w:right w:val="nil"/>
            </w:tcBorders>
            <w:shd w:val="clear" w:color="auto" w:fill="auto"/>
          </w:tcPr>
          <w:p w14:paraId="1EA38EFF" w14:textId="77777777" w:rsidR="000904F9" w:rsidRDefault="000904F9" w:rsidP="00354278">
            <w:pPr>
              <w:pStyle w:val="Note"/>
              <w:rPr>
                <w:i/>
              </w:rPr>
            </w:pPr>
            <w:r w:rsidRPr="008E77FE">
              <w:rPr>
                <w:rStyle w:val="NoteLabel"/>
              </w:rPr>
              <w:t>a</w:t>
            </w:r>
            <w:r>
              <w:t xml:space="preserve"> </w:t>
            </w:r>
            <w:r w:rsidR="00354278" w:rsidRPr="00354278">
              <w:t>The shares relate to those who had a at least one consultation with a GP in the 12 months preceding the survey.</w:t>
            </w:r>
          </w:p>
        </w:tc>
      </w:tr>
      <w:tr w:rsidR="000904F9" w14:paraId="1EA38F02" w14:textId="77777777" w:rsidTr="000904F9">
        <w:tc>
          <w:tcPr>
            <w:tcW w:w="5000" w:type="pct"/>
            <w:tcBorders>
              <w:top w:val="nil"/>
              <w:left w:val="nil"/>
              <w:bottom w:val="nil"/>
              <w:right w:val="nil"/>
            </w:tcBorders>
            <w:shd w:val="clear" w:color="auto" w:fill="auto"/>
          </w:tcPr>
          <w:p w14:paraId="1EA38F01" w14:textId="39F67BAA" w:rsidR="000904F9" w:rsidRDefault="000904F9" w:rsidP="000904F9">
            <w:pPr>
              <w:pStyle w:val="Source"/>
            </w:pPr>
            <w:r>
              <w:rPr>
                <w:i/>
              </w:rPr>
              <w:t>Source</w:t>
            </w:r>
            <w:r w:rsidRPr="00167F06">
              <w:t xml:space="preserve">: </w:t>
            </w:r>
            <w:r w:rsidR="00354278" w:rsidRPr="00354278">
              <w:t xml:space="preserve">ABS 2017, </w:t>
            </w:r>
            <w:r w:rsidR="00354278" w:rsidRPr="00C9325C">
              <w:rPr>
                <w:i/>
              </w:rPr>
              <w:t>National Health Survey: Health Service Usage and Health R</w:t>
            </w:r>
            <w:r w:rsidR="005D39F4">
              <w:rPr>
                <w:i/>
              </w:rPr>
              <w:t>elated Actions, Australia, 2014</w:t>
            </w:r>
            <w:r w:rsidR="005D39F4">
              <w:rPr>
                <w:i/>
              </w:rPr>
              <w:noBreakHyphen/>
            </w:r>
            <w:r w:rsidR="00354278" w:rsidRPr="00C9325C">
              <w:rPr>
                <w:i/>
              </w:rPr>
              <w:t>15</w:t>
            </w:r>
            <w:r w:rsidR="0082473D">
              <w:t>, Cat. no. 4364.0, table </w:t>
            </w:r>
            <w:r w:rsidR="00354278" w:rsidRPr="00354278">
              <w:t>5.1.</w:t>
            </w:r>
          </w:p>
        </w:tc>
      </w:tr>
      <w:tr w:rsidR="000904F9" w14:paraId="1EA38F04" w14:textId="77777777" w:rsidTr="000904F9">
        <w:tc>
          <w:tcPr>
            <w:tcW w:w="5000" w:type="pct"/>
            <w:tcBorders>
              <w:top w:val="nil"/>
              <w:left w:val="nil"/>
              <w:bottom w:val="single" w:sz="6" w:space="0" w:color="78A22F"/>
              <w:right w:val="nil"/>
            </w:tcBorders>
            <w:shd w:val="clear" w:color="auto" w:fill="auto"/>
          </w:tcPr>
          <w:p w14:paraId="1EA38F03" w14:textId="77777777" w:rsidR="000904F9" w:rsidRDefault="000904F9" w:rsidP="000904F9">
            <w:pPr>
              <w:pStyle w:val="Box"/>
              <w:spacing w:before="0" w:line="120" w:lineRule="exact"/>
            </w:pPr>
          </w:p>
        </w:tc>
      </w:tr>
      <w:tr w:rsidR="000904F9" w:rsidRPr="000863A5" w14:paraId="1EA38F06" w14:textId="77777777" w:rsidTr="000904F9">
        <w:tc>
          <w:tcPr>
            <w:tcW w:w="5000" w:type="pct"/>
            <w:tcBorders>
              <w:top w:val="single" w:sz="6" w:space="0" w:color="78A22F"/>
              <w:left w:val="nil"/>
              <w:bottom w:val="nil"/>
              <w:right w:val="nil"/>
            </w:tcBorders>
          </w:tcPr>
          <w:p w14:paraId="1EA38F05" w14:textId="77777777" w:rsidR="000904F9" w:rsidRPr="00626D32" w:rsidRDefault="000904F9" w:rsidP="000904F9">
            <w:pPr>
              <w:pStyle w:val="BoxSpaceBelow"/>
            </w:pPr>
          </w:p>
        </w:tc>
      </w:tr>
    </w:tbl>
    <w:p w14:paraId="1EA38F07" w14:textId="77777777" w:rsidR="00052F4E" w:rsidRDefault="00052F4E" w:rsidP="00052F4E">
      <w:pPr>
        <w:pStyle w:val="BodyText"/>
      </w:pPr>
      <w:r>
        <w:t>Similar results were found in a South Australian survey of patients. Only about one third of patients with hypertension were advised to reduce their salt intake</w:t>
      </w:r>
      <w:r w:rsidR="002A7DB5">
        <w:t> </w:t>
      </w:r>
      <w:r w:rsidR="00C65A42" w:rsidRPr="00C65A42">
        <w:rPr>
          <w:szCs w:val="24"/>
        </w:rPr>
        <w:t>(Booth and Nowson 2010)</w:t>
      </w:r>
      <w:r>
        <w:t>.</w:t>
      </w:r>
    </w:p>
    <w:p w14:paraId="1EA38F08" w14:textId="77777777" w:rsidR="00314008" w:rsidRDefault="00314008" w:rsidP="00052F4E">
      <w:pPr>
        <w:pStyle w:val="BodyText"/>
      </w:pPr>
      <w:r>
        <w:t xml:space="preserve">Moreover, there are many people with incipient chronic disease. </w:t>
      </w:r>
      <w:r w:rsidRPr="00314008">
        <w:t xml:space="preserve">Notably, for every 100 adults already with </w:t>
      </w:r>
      <w:r w:rsidR="007511F6">
        <w:t>type 2 diabetes</w:t>
      </w:r>
      <w:r w:rsidRPr="00314008">
        <w:t>, there are an additional 20 who have just developed the condition, and another 100 who are at high risk</w:t>
      </w:r>
      <w:r>
        <w:t xml:space="preserve"> </w:t>
      </w:r>
      <w:r w:rsidRPr="00314008">
        <w:rPr>
          <w:szCs w:val="24"/>
        </w:rPr>
        <w:t>(ABS 2015)</w:t>
      </w:r>
      <w:r w:rsidRPr="00314008">
        <w:t>.</w:t>
      </w:r>
    </w:p>
    <w:p w14:paraId="1EA38F09" w14:textId="77777777" w:rsidR="004C30D4" w:rsidRDefault="007506EC" w:rsidP="007506EC">
      <w:pPr>
        <w:pStyle w:val="Heading2"/>
      </w:pPr>
      <w:bookmarkStart w:id="71" w:name="_Toc488929706"/>
      <w:bookmarkStart w:id="72" w:name="_Toc489250084"/>
      <w:r>
        <w:t>7.</w:t>
      </w:r>
      <w:r w:rsidR="00507DE5">
        <w:t>4</w:t>
      </w:r>
      <w:r>
        <w:tab/>
      </w:r>
      <w:r w:rsidR="004C30D4">
        <w:t>What are the solutions?</w:t>
      </w:r>
      <w:bookmarkEnd w:id="71"/>
      <w:bookmarkEnd w:id="72"/>
    </w:p>
    <w:p w14:paraId="1EA38F0A" w14:textId="04441EDD" w:rsidR="004C30D4" w:rsidRDefault="004C30D4" w:rsidP="004C30D4">
      <w:pPr>
        <w:pStyle w:val="BodyText"/>
      </w:pPr>
      <w:r>
        <w:t>The development of standards is already underway, and is the first step in reducing low</w:t>
      </w:r>
      <w:r>
        <w:noBreakHyphen/>
        <w:t>value care. Such standards will need to be adaptable as new clinical evidence arises. These can further disrupt older standards, as better or more cost</w:t>
      </w:r>
      <w:r>
        <w:noBreakHyphen/>
        <w:t xml:space="preserve">effective interventions are apparent. </w:t>
      </w:r>
      <w:r w:rsidR="00625506">
        <w:t>‘Do</w:t>
      </w:r>
      <w:r w:rsidR="00625506">
        <w:noBreakHyphen/>
        <w:t>not</w:t>
      </w:r>
      <w:r w:rsidR="00625506">
        <w:noBreakHyphen/>
        <w:t xml:space="preserve">do’ lists can play a key role, an initiative used in other countries and previously proposed by the Productivity Commission </w:t>
      </w:r>
      <w:r w:rsidR="001842EA" w:rsidRPr="001842EA">
        <w:rPr>
          <w:szCs w:val="24"/>
        </w:rPr>
        <w:t>(PC 2013, 2015)</w:t>
      </w:r>
      <w:r w:rsidR="00625506">
        <w:t xml:space="preserve">. The </w:t>
      </w:r>
      <w:r w:rsidR="00A24C2A">
        <w:t>UK’s</w:t>
      </w:r>
      <w:r w:rsidR="00625506">
        <w:t xml:space="preserve"> NICE has already developed a comprehensive evidence</w:t>
      </w:r>
      <w:r w:rsidR="00625506">
        <w:noBreakHyphen/>
        <w:t>based ‘do</w:t>
      </w:r>
      <w:r w:rsidR="00625506">
        <w:noBreakHyphen/>
        <w:t>not</w:t>
      </w:r>
      <w:r w:rsidR="00625506">
        <w:noBreakHyphen/>
        <w:t>do’ list, while the Netherlands has also developed guidelines that identify low</w:t>
      </w:r>
      <w:r w:rsidR="00625506">
        <w:noBreakHyphen/>
        <w:t xml:space="preserve">value services </w:t>
      </w:r>
      <w:r w:rsidR="00C65A42" w:rsidRPr="00C65A42">
        <w:rPr>
          <w:szCs w:val="24"/>
        </w:rPr>
        <w:t>(Wammes et al. 2016)</w:t>
      </w:r>
      <w:r w:rsidR="00625506">
        <w:t xml:space="preserve">. </w:t>
      </w:r>
      <w:r>
        <w:t>The major deficit in the Australian approach seems to be its slowness. It is understandable that local clinician ‘buy</w:t>
      </w:r>
      <w:r w:rsidR="000D7464">
        <w:noBreakHyphen/>
      </w:r>
      <w:r>
        <w:t>in’ is important, but there is greater scope for faster adoption of evidence</w:t>
      </w:r>
      <w:r>
        <w:noBreakHyphen/>
        <w:t xml:space="preserve">based assessments made in other countries by reputable agencies, like NICE and the </w:t>
      </w:r>
      <w:r w:rsidR="00112A4B" w:rsidRPr="00112A4B">
        <w:t xml:space="preserve">Centers for Medicare </w:t>
      </w:r>
      <w:r w:rsidR="00112A4B">
        <w:t>and</w:t>
      </w:r>
      <w:r w:rsidR="00112A4B" w:rsidRPr="00112A4B">
        <w:t xml:space="preserve"> Medicaid Services</w:t>
      </w:r>
      <w:r>
        <w:t>. Chapter</w:t>
      </w:r>
      <w:r w:rsidR="009873A3">
        <w:t> </w:t>
      </w:r>
      <w:r w:rsidR="00F813E7">
        <w:t>6</w:t>
      </w:r>
      <w:r>
        <w:t xml:space="preserve"> in the main report discusses the importance of faster learning by Australian agencies</w:t>
      </w:r>
      <w:r w:rsidR="004D064E">
        <w:t xml:space="preserve"> across many policy arenas</w:t>
      </w:r>
      <w:r>
        <w:t xml:space="preserve">. </w:t>
      </w:r>
    </w:p>
    <w:p w14:paraId="1EA38F0B" w14:textId="77777777" w:rsidR="004C30D4" w:rsidRDefault="004C30D4" w:rsidP="004C30D4">
      <w:pPr>
        <w:pStyle w:val="BodyText"/>
      </w:pPr>
      <w:r>
        <w:t xml:space="preserve">Education of patients is a second step. There is evidence that consumers are often unaware of the true effectiveness of interventions. For example, in a US study of patients with incurable cancer, nearly 70 per cent of those with lung cancer and </w:t>
      </w:r>
      <w:r w:rsidR="00C43F38">
        <w:t>about</w:t>
      </w:r>
      <w:r>
        <w:t xml:space="preserve"> 80 per cent of those with colorectal cancer did not understand that chemotherapy was not at all likely to cure their cancer </w:t>
      </w:r>
      <w:r w:rsidR="00C65A42" w:rsidRPr="00C65A42">
        <w:rPr>
          <w:szCs w:val="24"/>
        </w:rPr>
        <w:t>(OECD 2017b, p. 63)</w:t>
      </w:r>
      <w:r>
        <w:t xml:space="preserve">. Another study found close to 90 per cent of patients who had committed to have surgery for </w:t>
      </w:r>
      <w:r w:rsidRPr="00390544">
        <w:t>coronary artery stents (for heart disease)</w:t>
      </w:r>
      <w:r>
        <w:t xml:space="preserve"> believed that it would reduce their risk of heart attack, while 63 per cent of cardiologists </w:t>
      </w:r>
      <w:r w:rsidR="001A6A29">
        <w:t>considered that the</w:t>
      </w:r>
      <w:r>
        <w:t xml:space="preserve"> benefits were limited to symptom relief (</w:t>
      </w:r>
      <w:r w:rsidRPr="000B337F">
        <w:rPr>
          <w:i/>
        </w:rPr>
        <w:t>ibid</w:t>
      </w:r>
      <w:r>
        <w:t xml:space="preserve">). Making the advice of the </w:t>
      </w:r>
      <w:r w:rsidR="00E9464B">
        <w:t>ACSQHC</w:t>
      </w:r>
      <w:r>
        <w:t xml:space="preserve"> and Choose Wisely Australia accessible in plain English through My Health Record may assist people to make more informed choices, as would raising health literacy generally (chapter</w:t>
      </w:r>
      <w:r w:rsidR="000224A3">
        <w:t> 3</w:t>
      </w:r>
      <w:r>
        <w:t xml:space="preserve">). </w:t>
      </w:r>
    </w:p>
    <w:p w14:paraId="1EA38F0C" w14:textId="77777777" w:rsidR="00333D75" w:rsidRDefault="004C30D4" w:rsidP="004C30D4">
      <w:pPr>
        <w:pStyle w:val="BodyText"/>
      </w:pPr>
      <w:r>
        <w:t xml:space="preserve">Better dissemination of best practice among clinicians and funders is also a justified response, ideally led by the various medical Colleges and the </w:t>
      </w:r>
      <w:r w:rsidR="00CE74D3">
        <w:t>ACSQHC</w:t>
      </w:r>
      <w:r>
        <w:t>. Clinicians receive periodic professional development. Focusing on the most commonly used low</w:t>
      </w:r>
      <w:r>
        <w:noBreakHyphen/>
        <w:t xml:space="preserve">value interventions would offer the best immediate returns. </w:t>
      </w:r>
      <w:r w:rsidR="00F15690">
        <w:t>There is evidence of this happening autonomously.</w:t>
      </w:r>
      <w:r w:rsidR="00F15690" w:rsidRPr="00F15690">
        <w:t xml:space="preserve"> </w:t>
      </w:r>
      <w:r w:rsidR="00F15690">
        <w:t xml:space="preserve">For example, </w:t>
      </w:r>
      <w:r w:rsidR="00333D75">
        <w:t xml:space="preserve">the </w:t>
      </w:r>
      <w:r w:rsidR="00C164BF" w:rsidRPr="00C164BF">
        <w:t>Royal Australasian College of Physicians</w:t>
      </w:r>
      <w:r w:rsidR="00333D75" w:rsidRPr="00333D75">
        <w:t xml:space="preserve"> and its associated Specialty Societies </w:t>
      </w:r>
      <w:r w:rsidR="00F15690">
        <w:t xml:space="preserve">in Australia </w:t>
      </w:r>
      <w:r w:rsidR="00333D75">
        <w:t xml:space="preserve">formed </w:t>
      </w:r>
      <w:r w:rsidR="00F15690" w:rsidRPr="00F15690">
        <w:t>EVOLVE</w:t>
      </w:r>
      <w:r w:rsidR="00333D75">
        <w:t>, which</w:t>
      </w:r>
      <w:r w:rsidR="00F15690" w:rsidRPr="00F15690">
        <w:t xml:space="preserve"> is a physician</w:t>
      </w:r>
      <w:r w:rsidR="009C49CA">
        <w:noBreakHyphen/>
      </w:r>
      <w:r w:rsidR="00F15690" w:rsidRPr="00F15690">
        <w:t>led initiative to ensure the highest quality patient care through the identification and reduction of low</w:t>
      </w:r>
      <w:r w:rsidR="009C49CA">
        <w:noBreakHyphen/>
      </w:r>
      <w:r w:rsidR="00F15690" w:rsidRPr="00F15690">
        <w:t>value practices and interventions.</w:t>
      </w:r>
    </w:p>
    <w:p w14:paraId="1EA38F0D" w14:textId="77777777" w:rsidR="004C30D4" w:rsidRDefault="004C30D4" w:rsidP="004C30D4">
      <w:pPr>
        <w:pStyle w:val="BodyText"/>
      </w:pPr>
      <w:r>
        <w:t xml:space="preserve">In its consultations for this inquiry, the </w:t>
      </w:r>
      <w:r w:rsidR="00431079">
        <w:t xml:space="preserve">Productivity </w:t>
      </w:r>
      <w:r>
        <w:t>Commission was told that just by making information available to clinicians about the use of low</w:t>
      </w:r>
      <w:r>
        <w:noBreakHyphen/>
        <w:t xml:space="preserve">value treatments (and, where </w:t>
      </w:r>
      <w:r w:rsidR="00F24EF5">
        <w:t>meaningful</w:t>
      </w:r>
      <w:r>
        <w:t>, HACs) by their peers was a useful mechanism for change as most clinicians wanted to be regarded as highly proficient in their discipline. Such information should also be made available to the public.</w:t>
      </w:r>
      <w:r w:rsidR="000B6A85">
        <w:t xml:space="preserve"> How messages are transmitted to </w:t>
      </w:r>
      <w:r w:rsidR="004A04D6">
        <w:t>clinicians</w:t>
      </w:r>
      <w:r w:rsidR="000B6A85">
        <w:t xml:space="preserve"> can make a difference too. P</w:t>
      </w:r>
      <w:r w:rsidR="000B6A85" w:rsidRPr="000B6A85">
        <w:t>rompts for clinicians to enter free</w:t>
      </w:r>
      <w:r w:rsidR="009C49CA">
        <w:noBreakHyphen/>
      </w:r>
      <w:r w:rsidR="000B6A85" w:rsidRPr="000B6A85">
        <w:t xml:space="preserve">text </w:t>
      </w:r>
      <w:r w:rsidR="000B6A85">
        <w:t>reasons</w:t>
      </w:r>
      <w:r w:rsidR="000B6A85" w:rsidRPr="000B6A85">
        <w:t xml:space="preserve"> for prescribing antibiotics into patients’ electronic health records</w:t>
      </w:r>
      <w:r w:rsidR="000B6A85">
        <w:t xml:space="preserve"> reduced </w:t>
      </w:r>
      <w:r w:rsidR="00F24EF5">
        <w:t>unwarranted</w:t>
      </w:r>
      <w:r w:rsidR="000B6A85">
        <w:t xml:space="preserve"> prescribing</w:t>
      </w:r>
      <w:r w:rsidR="004A04D6">
        <w:t xml:space="preserve"> </w:t>
      </w:r>
      <w:r w:rsidR="00C65A42" w:rsidRPr="00C65A42">
        <w:rPr>
          <w:szCs w:val="24"/>
        </w:rPr>
        <w:t>(Scott et al. 2017)</w:t>
      </w:r>
      <w:r w:rsidR="004A04D6">
        <w:t>.</w:t>
      </w:r>
      <w:r w:rsidR="00960E66">
        <w:t xml:space="preserve"> </w:t>
      </w:r>
    </w:p>
    <w:p w14:paraId="1EA38F0E" w14:textId="77777777" w:rsidR="004C30D4" w:rsidRDefault="004C30D4" w:rsidP="004C30D4">
      <w:pPr>
        <w:pStyle w:val="BodyText"/>
      </w:pPr>
      <w:r>
        <w:t xml:space="preserve">Finally, where it is possible to distinguish the </w:t>
      </w:r>
      <w:r w:rsidR="000A26D4">
        <w:t>circumstance</w:t>
      </w:r>
      <w:r>
        <w:t xml:space="preserve"> in which an intervention is a low</w:t>
      </w:r>
      <w:r w:rsidR="00E24F77">
        <w:t>-</w:t>
      </w:r>
      <w:r>
        <w:t xml:space="preserve">value one from one where it is clinically justifiable, governments should remove funding. Notably, </w:t>
      </w:r>
      <w:r w:rsidRPr="00826924">
        <w:t>arthroscopy</w:t>
      </w:r>
      <w:r>
        <w:t xml:space="preserve"> for </w:t>
      </w:r>
      <w:r w:rsidRPr="00826924">
        <w:t>knee osteoarthritis</w:t>
      </w:r>
      <w:r>
        <w:t xml:space="preserve"> has not been covered by public insurance in the United States </w:t>
      </w:r>
      <w:r w:rsidR="00090993">
        <w:t>since</w:t>
      </w:r>
      <w:r>
        <w:t xml:space="preserve"> 2004, in recognition of its lack of clinical and economic justification. The Pharmaceutical Benefits Advisory Committee has long taken this approach in respect of listing of pharmaceuticals for public funding through the PBS — basing its decision to list or de</w:t>
      </w:r>
      <w:r>
        <w:noBreakHyphen/>
        <w:t xml:space="preserve">list a drug on the basis of </w:t>
      </w:r>
      <w:r w:rsidRPr="001A78AB">
        <w:t>clinical effectiveness, safety and cost</w:t>
      </w:r>
      <w:r w:rsidR="009C49CA">
        <w:noBreakHyphen/>
      </w:r>
      <w:r w:rsidRPr="001A78AB">
        <w:t>effectiveness (‘value for money’) compared with other treatments</w:t>
      </w:r>
      <w:r>
        <w:t>. An added advantage of a capacity to de</w:t>
      </w:r>
      <w:r>
        <w:noBreakHyphen/>
        <w:t>list pharmaceuticals on cost</w:t>
      </w:r>
      <w:r>
        <w:noBreakHyphen/>
        <w:t>effectiveness grounds is that it provides pressure on pharmaceutical business to lower prices to maintain listing on the PBS (a prerequisite to successful sales in Australia).</w:t>
      </w:r>
    </w:p>
    <w:p w14:paraId="1EA38F0F" w14:textId="77777777" w:rsidR="006455ED" w:rsidRDefault="00894D84" w:rsidP="0005762D">
      <w:pPr>
        <w:pStyle w:val="BodyText"/>
      </w:pPr>
      <w:r>
        <w:t>Following the 2009</w:t>
      </w:r>
      <w:r>
        <w:noBreakHyphen/>
        <w:t xml:space="preserve">10 budget, the Australian Government developed a new framework for managing the MBS — </w:t>
      </w:r>
      <w:r w:rsidRPr="00894D84">
        <w:t>the MBS Quality Framework</w:t>
      </w:r>
      <w:r w:rsidR="002C2C85">
        <w:t xml:space="preserve"> — </w:t>
      </w:r>
      <w:r>
        <w:t>which has similar goals as those relating to reviews of the PBS (with a focus on using contemporary evidence to assess clinical efficacy and cost</w:t>
      </w:r>
      <w:r w:rsidR="00C74053">
        <w:t>-</w:t>
      </w:r>
      <w:r>
        <w:t>effectiveness of new and existing services).</w:t>
      </w:r>
      <w:r w:rsidR="006455ED">
        <w:t xml:space="preserve"> This developed subsequently into the Comprehensive Management Framework for the MBS</w:t>
      </w:r>
      <w:r w:rsidR="00506D24">
        <w:t>.</w:t>
      </w:r>
    </w:p>
    <w:p w14:paraId="1EA38F10" w14:textId="77777777" w:rsidR="0005762D" w:rsidRDefault="004C30D4" w:rsidP="0005762D">
      <w:pPr>
        <w:pStyle w:val="BodyText"/>
      </w:pPr>
      <w:r>
        <w:t xml:space="preserve">The Medical Services Advisory Committee </w:t>
      </w:r>
      <w:r w:rsidR="00116EDB">
        <w:t>(MSAC)</w:t>
      </w:r>
      <w:r>
        <w:t xml:space="preserve"> </w:t>
      </w:r>
      <w:r w:rsidR="00894D84">
        <w:t xml:space="preserve">is the principal agent for </w:t>
      </w:r>
      <w:r w:rsidR="00C27EB9">
        <w:t>assessing existing and proposed MBS services</w:t>
      </w:r>
      <w:r w:rsidR="00894D84">
        <w:t xml:space="preserve">, with its role being </w:t>
      </w:r>
      <w:r w:rsidR="0005762D">
        <w:t>to:</w:t>
      </w:r>
    </w:p>
    <w:p w14:paraId="1EA38F11" w14:textId="77777777" w:rsidR="0005762D" w:rsidRDefault="0005762D" w:rsidP="00926A15">
      <w:pPr>
        <w:pStyle w:val="Quote"/>
      </w:pPr>
      <w:r>
        <w:t xml:space="preserve">… advise the Australian Minister for Health on evidence relating to the safety, effectiveness and cost-effectiveness of new medical technologies and procedures. This advice informs Australian Government decisions about public funding for new, and in </w:t>
      </w:r>
      <w:r w:rsidRPr="00926A15">
        <w:rPr>
          <w:i/>
        </w:rPr>
        <w:t>some cases</w:t>
      </w:r>
      <w:r>
        <w:t xml:space="preserve"> [</w:t>
      </w:r>
      <w:r w:rsidR="0031139A">
        <w:t xml:space="preserve">our </w:t>
      </w:r>
      <w:r>
        <w:t>emphasis] existing, medical procedures.</w:t>
      </w:r>
      <w:r w:rsidR="00782936">
        <w:t xml:space="preserve"> </w:t>
      </w:r>
      <w:r w:rsidR="00F26CC2" w:rsidRPr="00F26CC2">
        <w:rPr>
          <w:szCs w:val="24"/>
        </w:rPr>
        <w:t>(DoH 2016a)</w:t>
      </w:r>
    </w:p>
    <w:p w14:paraId="1EA38F12" w14:textId="77777777" w:rsidR="004C30D4" w:rsidRDefault="00506D24" w:rsidP="004C30D4">
      <w:pPr>
        <w:pStyle w:val="BodyText"/>
      </w:pPr>
      <w:r>
        <w:t>However, m</w:t>
      </w:r>
      <w:r w:rsidR="00894D84">
        <w:t>ost of MSAC’s efforts have related to</w:t>
      </w:r>
      <w:r w:rsidR="004C30D4">
        <w:t xml:space="preserve"> new services, </w:t>
      </w:r>
      <w:r>
        <w:t xml:space="preserve">with limited </w:t>
      </w:r>
      <w:r w:rsidR="004C30D4">
        <w:t>reapprais</w:t>
      </w:r>
      <w:r>
        <w:t>al of</w:t>
      </w:r>
      <w:r w:rsidR="004C30D4">
        <w:t xml:space="preserve"> </w:t>
      </w:r>
      <w:r w:rsidR="0005762D">
        <w:t xml:space="preserve">existing </w:t>
      </w:r>
      <w:r w:rsidR="000D7E45">
        <w:t>items</w:t>
      </w:r>
      <w:r w:rsidR="004C30D4">
        <w:t xml:space="preserve">. </w:t>
      </w:r>
      <w:r>
        <w:t xml:space="preserve">This led to a backlog of items that needed to be reappraised, prompting </w:t>
      </w:r>
      <w:r w:rsidR="006455ED">
        <w:t>review processes overseen by the Australian Government Department of Health rather than MSAC</w:t>
      </w:r>
      <w:r w:rsidR="00C27EB9">
        <w:t>. Until recently</w:t>
      </w:r>
      <w:r w:rsidR="00894D84">
        <w:t xml:space="preserve">, </w:t>
      </w:r>
      <w:r w:rsidR="00E93598">
        <w:t>very few services covered by the MBS have undergone any formal evidence-based review</w:t>
      </w:r>
      <w:r w:rsidR="00C27EB9">
        <w:t>.</w:t>
      </w:r>
      <w:r w:rsidR="00E93598">
        <w:t xml:space="preserve"> </w:t>
      </w:r>
      <w:r w:rsidR="004C30D4">
        <w:t>In the latter respect, the Australian Government’s</w:t>
      </w:r>
      <w:r w:rsidR="004C30D4" w:rsidRPr="00215206">
        <w:t xml:space="preserve"> Medicare Benefits Schedule Review Taskforce </w:t>
      </w:r>
      <w:r w:rsidR="004C30D4">
        <w:t xml:space="preserve">(the Robinson Review) </w:t>
      </w:r>
      <w:r w:rsidR="004C30D4" w:rsidRPr="00215206">
        <w:t xml:space="preserve">is </w:t>
      </w:r>
      <w:r w:rsidR="004C30D4">
        <w:t xml:space="preserve">currently assessing the alignment of MBS items with contemporary clinical evidence </w:t>
      </w:r>
      <w:r w:rsidR="00C65A42" w:rsidRPr="00C65A42">
        <w:rPr>
          <w:szCs w:val="24"/>
        </w:rPr>
        <w:t>(Robinson 2016)</w:t>
      </w:r>
      <w:r w:rsidR="004C30D4">
        <w:t xml:space="preserve">. The result is that some items will be removed and therefore be no longer compensable by taxpayers. </w:t>
      </w:r>
    </w:p>
    <w:p w14:paraId="1EA38F13" w14:textId="77777777" w:rsidR="00141969" w:rsidRDefault="009A721C" w:rsidP="004C30D4">
      <w:pPr>
        <w:pStyle w:val="BodyText"/>
      </w:pPr>
      <w:r>
        <w:t>In</w:t>
      </w:r>
      <w:r w:rsidR="00506D24">
        <w:t xml:space="preserve"> the future</w:t>
      </w:r>
      <w:r w:rsidR="00C27EB9">
        <w:t>, some new services that are more cost</w:t>
      </w:r>
      <w:r w:rsidR="00C27EB9">
        <w:noBreakHyphen/>
        <w:t>effective than existing ones will emerge, and new evidence will reveal that some MBS items have low value — suggesting de</w:t>
      </w:r>
      <w:r w:rsidR="00C27EB9">
        <w:noBreakHyphen/>
        <w:t xml:space="preserve">listing. Reversion to the appraisal practices that existed prior to the Robinson review </w:t>
      </w:r>
      <w:r w:rsidR="00506D24">
        <w:t>is likely to result in</w:t>
      </w:r>
      <w:r w:rsidR="00C27EB9">
        <w:t xml:space="preserve"> a new backlog of items that </w:t>
      </w:r>
      <w:r w:rsidR="00506D24">
        <w:t xml:space="preserve">will </w:t>
      </w:r>
      <w:r w:rsidR="00C27EB9">
        <w:t>need to be reappraised</w:t>
      </w:r>
      <w:r w:rsidR="00506D24">
        <w:t xml:space="preserve"> – and in the costs associated with the </w:t>
      </w:r>
      <w:r w:rsidR="00926A15">
        <w:t>taxpayer</w:t>
      </w:r>
      <w:r w:rsidR="00506D24">
        <w:t xml:space="preserve"> funding of low value or sub</w:t>
      </w:r>
      <w:r w:rsidR="00506D24">
        <w:noBreakHyphen/>
        <w:t>optimal treatments</w:t>
      </w:r>
      <w:r w:rsidR="00C27EB9">
        <w:t xml:space="preserve">. </w:t>
      </w:r>
      <w:r w:rsidR="00141969">
        <w:t xml:space="preserve">The process for MBS reviews that existed prior to the Robinson taskforce appears on face value to be thorough, but convoluted (with four committees successively making decisions as part of the review process, prior to ultimate consideration by the Australian Government). After the Robinson Review, it would be desirable to reconsider review arrangements so that they are more nimble, and can keep up with the evidence on what works best. </w:t>
      </w:r>
    </w:p>
    <w:p w14:paraId="1EA38F14" w14:textId="77777777" w:rsidR="00141969" w:rsidRDefault="00141969" w:rsidP="00926A15">
      <w:pPr>
        <w:pStyle w:val="BodyText"/>
      </w:pPr>
      <w:r>
        <w:t>There is already a recognition that any review process should examine MBS items that are growing rapidly in significance or already account for a large share of total MBS expenditure</w:t>
      </w:r>
      <w:r w:rsidR="00035346">
        <w:t xml:space="preserve">, which takes account of the finite </w:t>
      </w:r>
      <w:r w:rsidR="009321F8">
        <w:t>resources</w:t>
      </w:r>
      <w:r w:rsidR="00035346">
        <w:t xml:space="preserve"> available for review processes. </w:t>
      </w:r>
      <w:r>
        <w:t>In addition, there should be more rapid assessments of efficacy when NICE or some other comparable entity issues a guideline against the routine use of a treatment. The presumption in that case should be ‘show us why we should not de-list?</w:t>
      </w:r>
      <w:r w:rsidR="00433666">
        <w:t>’</w:t>
      </w:r>
      <w:r w:rsidR="00035346">
        <w:t xml:space="preserve"> </w:t>
      </w:r>
      <w:r w:rsidR="00DE0AF3">
        <w:t>Because</w:t>
      </w:r>
      <w:r w:rsidR="009321F8">
        <w:t xml:space="preserve"> reviews are, in their own right, investments, there should </w:t>
      </w:r>
      <w:r w:rsidR="002C2C85">
        <w:t xml:space="preserve">also </w:t>
      </w:r>
      <w:r w:rsidR="009321F8">
        <w:t xml:space="preserve">be a deliberate process of learning about the rate of return of reviews and how </w:t>
      </w:r>
      <w:r w:rsidR="002C2C85">
        <w:t xml:space="preserve">the processes and targets of reviews should be configured to maximise those returns. </w:t>
      </w:r>
    </w:p>
    <w:p w14:paraId="1EA38F15" w14:textId="77777777" w:rsidR="00CE6362" w:rsidRDefault="004C30D4" w:rsidP="004C30D4">
      <w:pPr>
        <w:pStyle w:val="BodyText"/>
      </w:pPr>
      <w:r>
        <w:t>The above changes should not preclude clinicians from offering interventions on a user</w:t>
      </w:r>
      <w:r>
        <w:noBreakHyphen/>
        <w:t>pays basis so long as they are not harmful and so long as the consumer is not being subject to misleading claims about the efficiency of the intervention.</w:t>
      </w:r>
    </w:p>
    <w:p w14:paraId="1EA38F16" w14:textId="77777777" w:rsidR="00CE6362" w:rsidRDefault="00BF701C" w:rsidP="004C30D4">
      <w:pPr>
        <w:pStyle w:val="BodyText"/>
      </w:pPr>
      <w:r>
        <w:t xml:space="preserve">If many medical interventions have their impacts because of placebo effects, then it suggests analysis of the origin of such placebo effects, rather than the continuation of costly therapies </w:t>
      </w:r>
      <w:r w:rsidR="00C65A42" w:rsidRPr="00C65A42">
        <w:rPr>
          <w:szCs w:val="24"/>
        </w:rPr>
        <w:t>(Bystad, Bystad and Wynn 2015; Kaptchuk and Miller 2015)</w:t>
      </w:r>
      <w:r>
        <w:t xml:space="preserve">. </w:t>
      </w:r>
    </w:p>
    <w:p w14:paraId="1EA38F17" w14:textId="77777777" w:rsidR="002C2C85" w:rsidRDefault="002C2C85" w:rsidP="00926A15">
      <w:pPr>
        <w:pStyle w:val="Heading4"/>
      </w:pPr>
      <w:r>
        <w:t>What about private health insurance?</w:t>
      </w:r>
    </w:p>
    <w:p w14:paraId="1EA38F18" w14:textId="77777777" w:rsidR="006267D7" w:rsidRDefault="00237C4E" w:rsidP="006267D7">
      <w:pPr>
        <w:pStyle w:val="BodyText"/>
      </w:pPr>
      <w:r>
        <w:t xml:space="preserve">The issues confronted by private health insurance </w:t>
      </w:r>
      <w:r w:rsidR="002C2C85">
        <w:t xml:space="preserve">discussed earlier </w:t>
      </w:r>
      <w:r>
        <w:t>suggest similar policy responses.</w:t>
      </w:r>
      <w:r w:rsidR="006267D7">
        <w:t xml:space="preserve"> In the case of surgical procedures, it is possible </w:t>
      </w:r>
      <w:r w:rsidR="008010C6">
        <w:t xml:space="preserve">that </w:t>
      </w:r>
      <w:r w:rsidR="006267D7">
        <w:t xml:space="preserve">better information provision to consumers and </w:t>
      </w:r>
      <w:r w:rsidR="003717B4">
        <w:t>mounting</w:t>
      </w:r>
      <w:r w:rsidR="006267D7">
        <w:t xml:space="preserve"> clinical agreement about ‘do not do</w:t>
      </w:r>
      <w:r w:rsidR="00FC61F7">
        <w:t>’</w:t>
      </w:r>
      <w:r w:rsidR="006267D7">
        <w:t xml:space="preserve"> lists will preclude any significant problem. </w:t>
      </w:r>
      <w:bookmarkStart w:id="73" w:name="_GoBack"/>
      <w:bookmarkEnd w:id="73"/>
      <w:r w:rsidR="006267D7">
        <w:t>If that is not so, the Australian Government may need to recoup</w:t>
      </w:r>
      <w:r w:rsidR="002C2C85">
        <w:t xml:space="preserve"> the</w:t>
      </w:r>
      <w:r w:rsidR="006267D7">
        <w:t xml:space="preserve"> </w:t>
      </w:r>
      <w:r w:rsidR="00BE34FB">
        <w:t>subsidies it contributes to privately insured</w:t>
      </w:r>
      <w:r w:rsidR="002C2C85">
        <w:t xml:space="preserve"> </w:t>
      </w:r>
      <w:r w:rsidR="006267D7">
        <w:t>low</w:t>
      </w:r>
      <w:r w:rsidR="006267D7">
        <w:noBreakHyphen/>
        <w:t>value surgery</w:t>
      </w:r>
      <w:r w:rsidR="00BE34FB">
        <w:t>.</w:t>
      </w:r>
    </w:p>
    <w:p w14:paraId="1EA38F19" w14:textId="0ED7920C" w:rsidR="006267D7" w:rsidRDefault="006267D7" w:rsidP="006267D7">
      <w:pPr>
        <w:pStyle w:val="BodyText"/>
      </w:pPr>
      <w:r w:rsidRPr="00E3093C">
        <w:t xml:space="preserve">The logic underpinning reform of the MBS and encouragement of evidence-based interventions should </w:t>
      </w:r>
      <w:r w:rsidR="00785AF7">
        <w:t xml:space="preserve">also </w:t>
      </w:r>
      <w:r w:rsidRPr="00E3093C">
        <w:t>apply to ancillaries. It is questionable whether items that have no proven efficacy</w:t>
      </w:r>
      <w:r w:rsidR="008D00F1">
        <w:t xml:space="preserve"> </w:t>
      </w:r>
      <w:r w:rsidRPr="00E3093C">
        <w:t>should receive any effective support by taxpayers. Removing the taxpayer subsidy for ancillaries would resolve the problem — and is justified for other reasons anyway</w:t>
      </w:r>
      <w:r>
        <w:t xml:space="preserve"> (Ancillaries are not insurance products in any genuine sense because there is very little risk pooling across population groups. They more resemble savings plans.) The Australian Government has reviewed private health insurance arrangements, but the outcomes of that review were unknown at the time of this report’s completion.</w:t>
      </w:r>
    </w:p>
    <w:p w14:paraId="16B3B2F0" w14:textId="77777777" w:rsidR="000E403B" w:rsidRDefault="000E403B" w:rsidP="000E403B">
      <w:pPr>
        <w:pStyle w:val="Heading4"/>
      </w:pPr>
      <w:r>
        <w:t>Increasing the capacity for preventative care</w:t>
      </w:r>
    </w:p>
    <w:p w14:paraId="06E46EBE" w14:textId="77777777" w:rsidR="000E403B" w:rsidRDefault="000E403B" w:rsidP="000E403B">
      <w:pPr>
        <w:pStyle w:val="BodyText"/>
      </w:pPr>
      <w:r>
        <w:t>Evidence suggests that general practitioners are often overburdened — they must deal with the acute care needs of the patient that motivated the consultation in the first place, and do not always have the time, funding or sometimes the skills to succeed in altering hard</w:t>
      </w:r>
      <w:r>
        <w:noBreakHyphen/>
        <w:t>to</w:t>
      </w:r>
      <w:r>
        <w:noBreakHyphen/>
        <w:t>change lifestyle behaviours </w:t>
      </w:r>
      <w:r w:rsidRPr="00C65A42">
        <w:rPr>
          <w:szCs w:val="24"/>
        </w:rPr>
        <w:t>(Mazza et al. 2011; Volker et al. 2017)</w:t>
      </w:r>
      <w:r>
        <w:t>.</w:t>
      </w:r>
    </w:p>
    <w:p w14:paraId="0479226E" w14:textId="0EA8EF63" w:rsidR="000E403B" w:rsidRDefault="000E403B" w:rsidP="000E403B">
      <w:pPr>
        <w:pStyle w:val="BodyText"/>
      </w:pPr>
      <w:r>
        <w:t xml:space="preserve">The Health Care Home model is better suited to prevention than the standard model </w:t>
      </w:r>
      <w:r w:rsidRPr="00926A15">
        <w:rPr>
          <w:i/>
        </w:rPr>
        <w:t>if</w:t>
      </w:r>
      <w:r>
        <w:t xml:space="preserve"> it is adapted to link better with hospitals and community health, and is adequately funded, and coordinated at the local level. The changes to the MBS, and the roles of PHNs and LHNs, is the prime vehicle for achieving better preventative care in the primary care setting. As emphasised earlier, preventative care should also occur outside primary care. Moreover, in some instances, public health initiatives that address the environmental factors that lead to disease are a key aspect (appendix D). </w:t>
      </w:r>
    </w:p>
    <w:p w14:paraId="4EAAF075" w14:textId="77777777" w:rsidR="000E403B" w:rsidRDefault="000E403B" w:rsidP="006267D7">
      <w:pPr>
        <w:pStyle w:val="BodyText"/>
      </w:pPr>
    </w:p>
    <w:p w14:paraId="1EA38F1A" w14:textId="77777777" w:rsidR="00CE6362" w:rsidRPr="004E3B94" w:rsidRDefault="00CE6362" w:rsidP="00CE636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129"/>
      </w:tblGrid>
      <w:tr w:rsidR="00CE6362" w14:paraId="1EA38F24" w14:textId="77777777" w:rsidTr="0088242F">
        <w:trPr>
          <w:cantSplit/>
          <w:tblHeader/>
        </w:trPr>
        <w:tc>
          <w:tcPr>
            <w:tcW w:w="5000" w:type="pct"/>
            <w:tcBorders>
              <w:top w:val="single" w:sz="4" w:space="0" w:color="265A9A" w:themeColor="accent2"/>
              <w:left w:val="nil"/>
              <w:bottom w:val="nil"/>
              <w:right w:val="nil"/>
            </w:tcBorders>
            <w:shd w:val="clear" w:color="auto" w:fill="E1EBF5"/>
            <w:tcMar>
              <w:left w:w="170" w:type="dxa"/>
              <w:right w:w="170" w:type="dxa"/>
            </w:tcMar>
          </w:tcPr>
          <w:p w14:paraId="1EA38F1B" w14:textId="77777777" w:rsidR="00CE6362" w:rsidRPr="0088242F" w:rsidRDefault="00CE6362" w:rsidP="008774E6">
            <w:pPr>
              <w:pStyle w:val="FindingTitle"/>
              <w:spacing w:before="120"/>
              <w:rPr>
                <w:noProof/>
              </w:rPr>
            </w:pPr>
            <w:r w:rsidRPr="0088242F">
              <w:t xml:space="preserve">conclusion </w:t>
            </w:r>
            <w:r w:rsidR="007506EC" w:rsidRPr="0088242F">
              <w:t>7.1</w:t>
            </w:r>
          </w:p>
          <w:p w14:paraId="1EA38F1C" w14:textId="77777777" w:rsidR="00CE6362" w:rsidRPr="0088242F" w:rsidRDefault="00CE6362" w:rsidP="00944790">
            <w:pPr>
              <w:pStyle w:val="Rec"/>
            </w:pPr>
            <w:r w:rsidRPr="0088242F">
              <w:t>There is compelling evidence that</w:t>
            </w:r>
            <w:r w:rsidR="00AC6D6D" w:rsidRPr="0088242F">
              <w:t>,</w:t>
            </w:r>
            <w:r w:rsidRPr="0088242F">
              <w:t xml:space="preserve"> </w:t>
            </w:r>
            <w:r w:rsidR="00AC6D6D" w:rsidRPr="0088242F">
              <w:t xml:space="preserve">despite their intrusiveness and cost, </w:t>
            </w:r>
            <w:r w:rsidRPr="0088242F">
              <w:t xml:space="preserve">many medical </w:t>
            </w:r>
            <w:r w:rsidR="00BF701C" w:rsidRPr="0088242F">
              <w:t xml:space="preserve">interventions lack convincing </w:t>
            </w:r>
            <w:r w:rsidR="00AC6D6D" w:rsidRPr="0088242F">
              <w:t>evidence</w:t>
            </w:r>
            <w:r w:rsidRPr="0088242F">
              <w:t xml:space="preserve"> for them compared with </w:t>
            </w:r>
            <w:r w:rsidR="00BF701C" w:rsidRPr="0088242F">
              <w:t>placebo</w:t>
            </w:r>
            <w:r w:rsidR="00BA089C" w:rsidRPr="0088242F">
              <w:t>s</w:t>
            </w:r>
            <w:r w:rsidR="00AC6D6D" w:rsidRPr="0088242F">
              <w:t>.</w:t>
            </w:r>
            <w:r w:rsidRPr="0088242F">
              <w:t xml:space="preserve"> Australian</w:t>
            </w:r>
            <w:r w:rsidR="00AC6D6D" w:rsidRPr="0088242F">
              <w:t xml:space="preserve"> g</w:t>
            </w:r>
            <w:r w:rsidRPr="0088242F">
              <w:t>overnment</w:t>
            </w:r>
            <w:r w:rsidR="00AC6D6D" w:rsidRPr="0088242F">
              <w:t>s</w:t>
            </w:r>
            <w:r w:rsidRPr="0088242F">
              <w:t xml:space="preserve"> should:</w:t>
            </w:r>
          </w:p>
          <w:p w14:paraId="1EA38F1D" w14:textId="77777777" w:rsidR="00F51EC9" w:rsidRPr="0088242F" w:rsidRDefault="00AC6D6D" w:rsidP="00944790">
            <w:pPr>
              <w:pStyle w:val="RecBullet"/>
            </w:pPr>
            <w:r w:rsidRPr="0088242F">
              <w:t>more quickly respond to authoritative international assessments identifying low</w:t>
            </w:r>
            <w:r w:rsidRPr="0088242F">
              <w:noBreakHyphen/>
              <w:t>value interventions</w:t>
            </w:r>
          </w:p>
          <w:p w14:paraId="1EA38F1E" w14:textId="77777777" w:rsidR="00800DA3" w:rsidRPr="0088242F" w:rsidRDefault="00800DA3" w:rsidP="00944790">
            <w:pPr>
              <w:pStyle w:val="RecBullet"/>
            </w:pPr>
            <w:r w:rsidRPr="0088242F">
              <w:t>produce more comprehensive guidelines for clinical</w:t>
            </w:r>
            <w:r w:rsidR="0001100B" w:rsidRPr="0088242F">
              <w:t>ly</w:t>
            </w:r>
            <w:r w:rsidR="0001100B" w:rsidRPr="0088242F">
              <w:noBreakHyphen/>
              <w:t>justified</w:t>
            </w:r>
            <w:r w:rsidRPr="0088242F">
              <w:t xml:space="preserve"> interventions, including the creation of advisory ‘do not do’ lists for low</w:t>
            </w:r>
            <w:r w:rsidRPr="0088242F">
              <w:noBreakHyphen/>
              <w:t xml:space="preserve">value treatments as identified by the Australian Commission </w:t>
            </w:r>
            <w:r w:rsidR="00296B44" w:rsidRPr="0088242F">
              <w:t>on</w:t>
            </w:r>
            <w:r w:rsidRPr="0088242F">
              <w:t xml:space="preserve"> Safety and Quality in Health</w:t>
            </w:r>
            <w:r w:rsidR="00923B4C" w:rsidRPr="0088242F">
              <w:t xml:space="preserve"> C</w:t>
            </w:r>
            <w:r w:rsidRPr="0088242F">
              <w:t>are</w:t>
            </w:r>
          </w:p>
          <w:p w14:paraId="1EA38F1F" w14:textId="77777777" w:rsidR="00800DA3" w:rsidRPr="0088242F" w:rsidRDefault="00800DA3" w:rsidP="00944790">
            <w:pPr>
              <w:pStyle w:val="RecBullet"/>
            </w:pPr>
            <w:r w:rsidRPr="0088242F">
              <w:t>disseminate</w:t>
            </w:r>
            <w:r w:rsidR="00F51EC9" w:rsidRPr="0088242F">
              <w:t xml:space="preserve"> best </w:t>
            </w:r>
            <w:r w:rsidR="001963CA" w:rsidRPr="0088242F">
              <w:t>practice</w:t>
            </w:r>
            <w:r w:rsidR="00F51EC9" w:rsidRPr="0088242F">
              <w:t xml:space="preserve"> to health professionals, typically </w:t>
            </w:r>
            <w:r w:rsidRPr="0088242F">
              <w:t xml:space="preserve">through the Australian Commission </w:t>
            </w:r>
            <w:r w:rsidR="00296B44" w:rsidRPr="0088242F">
              <w:t>on</w:t>
            </w:r>
            <w:r w:rsidRPr="0088242F">
              <w:t xml:space="preserve"> Safety and Quality in Health</w:t>
            </w:r>
            <w:r w:rsidR="00923B4C" w:rsidRPr="0088242F">
              <w:t xml:space="preserve"> C</w:t>
            </w:r>
            <w:r w:rsidRPr="0088242F">
              <w:t>are</w:t>
            </w:r>
            <w:r w:rsidR="00975E29" w:rsidRPr="0088242F">
              <w:t xml:space="preserve">, state bodies like the </w:t>
            </w:r>
            <w:r w:rsidR="00A0251B" w:rsidRPr="0088242F">
              <w:t xml:space="preserve">NSW Bureau of Health Information, </w:t>
            </w:r>
            <w:r w:rsidRPr="0088242F">
              <w:t>and the various medical colleges</w:t>
            </w:r>
          </w:p>
          <w:p w14:paraId="1EA38F20" w14:textId="77777777" w:rsidR="008274E0" w:rsidRPr="0088242F" w:rsidRDefault="008274E0" w:rsidP="00944790">
            <w:pPr>
              <w:pStyle w:val="RecBullet"/>
            </w:pPr>
            <w:r w:rsidRPr="0088242F">
              <w:t xml:space="preserve">collect and divulge data at the </w:t>
            </w:r>
            <w:r w:rsidR="00800DA3" w:rsidRPr="0088242F">
              <w:t xml:space="preserve">hospital and </w:t>
            </w:r>
            <w:r w:rsidRPr="0088242F">
              <w:t xml:space="preserve">clinician level for episodes of care that lead to hospital acquired complications and for interventions that have ambiguous clinical impacts (such as knee arthroscopies) </w:t>
            </w:r>
          </w:p>
          <w:p w14:paraId="1EA38F21" w14:textId="77777777" w:rsidR="008274E0" w:rsidRPr="0088242F" w:rsidRDefault="008274E0" w:rsidP="00944790">
            <w:pPr>
              <w:pStyle w:val="RecBullet"/>
            </w:pPr>
            <w:r w:rsidRPr="0088242F">
              <w:t>provide patients with plain English explanations of treatments that often lack efficacy</w:t>
            </w:r>
            <w:r w:rsidR="00800DA3" w:rsidRPr="0088242F">
              <w:t xml:space="preserve"> and improve health literacy using the approaches described in Conclusion 3.1</w:t>
            </w:r>
          </w:p>
          <w:p w14:paraId="1EA38F22" w14:textId="77777777" w:rsidR="00800DA3" w:rsidRPr="0088242F" w:rsidRDefault="00800DA3" w:rsidP="00944790">
            <w:pPr>
              <w:pStyle w:val="RecBullet"/>
            </w:pPr>
            <w:r w:rsidRPr="0088242F">
              <w:t xml:space="preserve">ensure that the ongoing processes for reviewing existing MBS items is more rapid and comprehensive than occurred under the arrangements prior to the Robinson Review </w:t>
            </w:r>
          </w:p>
          <w:p w14:paraId="1EA38F23" w14:textId="77777777" w:rsidR="00AC6D6D" w:rsidRPr="0088242F" w:rsidRDefault="00AC6D6D" w:rsidP="00944790">
            <w:pPr>
              <w:pStyle w:val="RecBullet"/>
            </w:pPr>
            <w:r w:rsidRPr="0088242F">
              <w:t>de</w:t>
            </w:r>
            <w:r w:rsidR="009C49CA" w:rsidRPr="0088242F">
              <w:noBreakHyphen/>
            </w:r>
            <w:r w:rsidRPr="0088242F">
              <w:t>fund interventions that fail cost</w:t>
            </w:r>
            <w:r w:rsidR="009C49CA" w:rsidRPr="0088242F">
              <w:noBreakHyphen/>
            </w:r>
            <w:r w:rsidRPr="0088242F">
              <w:t xml:space="preserve">effectiveness tests, </w:t>
            </w:r>
            <w:r w:rsidR="00A0251B" w:rsidRPr="0088242F">
              <w:t xml:space="preserve">with priority for doing so based on </w:t>
            </w:r>
            <w:r w:rsidRPr="0088242F">
              <w:t>medical interventions with the greatest budgetary effects and where it is easiest to identify the context where they should not be used</w:t>
            </w:r>
            <w:r w:rsidR="008274E0" w:rsidRPr="0088242F">
              <w:t>.</w:t>
            </w:r>
            <w:r w:rsidR="00F51EC9" w:rsidRPr="0088242F">
              <w:t xml:space="preserve"> This should extend beyond sentinel events and procedures associated with hospital</w:t>
            </w:r>
            <w:r w:rsidR="00F51EC9" w:rsidRPr="0088242F">
              <w:noBreakHyphen/>
              <w:t>acquired complications.</w:t>
            </w:r>
          </w:p>
        </w:tc>
      </w:tr>
      <w:tr w:rsidR="00CE6362" w14:paraId="1EA38F26" w14:textId="77777777" w:rsidTr="0088242F">
        <w:trPr>
          <w:cantSplit/>
          <w:tblHeader/>
        </w:trPr>
        <w:tc>
          <w:tcPr>
            <w:tcW w:w="5000" w:type="pct"/>
            <w:tcBorders>
              <w:top w:val="nil"/>
              <w:left w:val="nil"/>
              <w:bottom w:val="single" w:sz="4" w:space="0" w:color="265A9A" w:themeColor="accent2"/>
              <w:right w:val="nil"/>
            </w:tcBorders>
            <w:shd w:val="clear" w:color="auto" w:fill="E1EBF5"/>
            <w:tcMar>
              <w:left w:w="170" w:type="dxa"/>
              <w:right w:w="170" w:type="dxa"/>
            </w:tcMar>
          </w:tcPr>
          <w:p w14:paraId="1EA38F25" w14:textId="77777777" w:rsidR="00CE6362" w:rsidRPr="0088242F" w:rsidRDefault="00CE6362" w:rsidP="0088242F">
            <w:pPr>
              <w:pStyle w:val="Space"/>
              <w:keepLines/>
            </w:pPr>
          </w:p>
        </w:tc>
      </w:tr>
      <w:tr w:rsidR="00CE6362" w:rsidRPr="000863A5" w14:paraId="1EA38F28" w14:textId="77777777" w:rsidTr="0088242F">
        <w:trPr>
          <w:cantSplit/>
          <w:tblHeader/>
        </w:trPr>
        <w:tc>
          <w:tcPr>
            <w:tcW w:w="5000" w:type="pct"/>
            <w:tcBorders>
              <w:top w:val="single" w:sz="4" w:space="0" w:color="265A9A" w:themeColor="accent2"/>
              <w:left w:val="nil"/>
              <w:bottom w:val="nil"/>
              <w:right w:val="nil"/>
            </w:tcBorders>
            <w:tcMar>
              <w:left w:w="170" w:type="dxa"/>
              <w:right w:w="170" w:type="dxa"/>
            </w:tcMar>
          </w:tcPr>
          <w:p w14:paraId="1EA38F27" w14:textId="77777777" w:rsidR="00CE6362" w:rsidRPr="00626D32" w:rsidRDefault="00CE6362" w:rsidP="008774E6">
            <w:pPr>
              <w:pStyle w:val="BoxSpaceBelow"/>
              <w:keepLines/>
            </w:pPr>
          </w:p>
        </w:tc>
      </w:tr>
    </w:tbl>
    <w:p w14:paraId="1EA38F2C" w14:textId="77777777" w:rsidR="00E6063C" w:rsidRDefault="00E6063C"/>
    <w:p w14:paraId="1EA38F2D" w14:textId="77777777" w:rsidR="00E6063C" w:rsidRDefault="00E6063C">
      <w:pPr>
        <w:sectPr w:rsidR="00E6063C" w:rsidSect="00D41EC1">
          <w:type w:val="oddPage"/>
          <w:pgSz w:w="11907" w:h="16840" w:code="9"/>
          <w:pgMar w:top="1985" w:right="1304" w:bottom="1418" w:left="1814" w:header="1701" w:footer="397" w:gutter="0"/>
          <w:pgNumType w:chapSep="period"/>
          <w:cols w:space="720"/>
          <w:docGrid w:linePitch="326"/>
        </w:sectPr>
      </w:pPr>
    </w:p>
    <w:p w14:paraId="1EA38F2E" w14:textId="77777777" w:rsidR="00A34ED9" w:rsidRDefault="007506EC" w:rsidP="00A34ED9">
      <w:pPr>
        <w:pStyle w:val="Heading1"/>
      </w:pPr>
      <w:bookmarkStart w:id="74" w:name="_Toc488929707"/>
      <w:bookmarkStart w:id="75" w:name="_Toc489250085"/>
      <w:r>
        <w:t>8</w:t>
      </w:r>
      <w:r w:rsidR="00A34ED9">
        <w:tab/>
        <w:t xml:space="preserve">The role of </w:t>
      </w:r>
      <w:r w:rsidR="00A34ED9" w:rsidRPr="001D57A4">
        <w:rPr>
          <w:i/>
        </w:rPr>
        <w:t>patient</w:t>
      </w:r>
      <w:r w:rsidR="00A34ED9">
        <w:t xml:space="preserve"> incentives in an integrated system</w:t>
      </w:r>
      <w:bookmarkEnd w:id="74"/>
      <w:bookmarkEnd w:id="75"/>
    </w:p>
    <w:p w14:paraId="1EA38F2F" w14:textId="77777777" w:rsidR="00D60B4F" w:rsidRDefault="007506EC" w:rsidP="00A34ED9">
      <w:pPr>
        <w:pStyle w:val="Heading2"/>
      </w:pPr>
      <w:bookmarkStart w:id="76" w:name="_Toc488929708"/>
      <w:bookmarkStart w:id="77" w:name="_Toc489250086"/>
      <w:r>
        <w:t>8.1</w:t>
      </w:r>
      <w:r w:rsidR="00A34ED9">
        <w:tab/>
      </w:r>
      <w:r w:rsidR="00D60B4F">
        <w:t>Patient charges</w:t>
      </w:r>
      <w:bookmarkEnd w:id="76"/>
      <w:bookmarkEnd w:id="77"/>
    </w:p>
    <w:p w14:paraId="1EA38F30" w14:textId="77777777" w:rsidR="00D60B4F" w:rsidRDefault="00D60B4F" w:rsidP="00D60B4F">
      <w:pPr>
        <w:pStyle w:val="BodyText"/>
      </w:pPr>
      <w:r>
        <w:t>In principle, patient charg</w:t>
      </w:r>
      <w:r w:rsidR="00300203">
        <w:t>es (typically in the form of co</w:t>
      </w:r>
      <w:r>
        <w:t xml:space="preserve">payments) could encourage </w:t>
      </w:r>
      <w:r w:rsidRPr="0024356A">
        <w:t>patients</w:t>
      </w:r>
      <w:r>
        <w:t xml:space="preserve"> to select the lowest</w:t>
      </w:r>
      <w:r>
        <w:noBreakHyphen/>
        <w:t>cost part of an integrated system (for example, primary care rather than hospitalisation) and to avoid low</w:t>
      </w:r>
      <w:r>
        <w:noBreakHyphen/>
        <w:t>value interventions. In theory, they could also increase competition between suppliers if patients have to bear some of the costs of the price differences between competing suppliers/products. Such incentives could reinforce the effects of supply</w:t>
      </w:r>
      <w:r w:rsidR="009C49CA">
        <w:noBreakHyphen/>
      </w:r>
      <w:r>
        <w:t xml:space="preserve">side funding changes in an integrated system that intend to achieve the same outcomes. </w:t>
      </w:r>
    </w:p>
    <w:p w14:paraId="1EA38F31" w14:textId="77777777" w:rsidR="00D60B4F" w:rsidRDefault="007A443C" w:rsidP="00D60B4F">
      <w:pPr>
        <w:pStyle w:val="BodyText"/>
      </w:pPr>
      <w:r>
        <w:t>Nevertheless</w:t>
      </w:r>
      <w:r w:rsidR="00D60B4F">
        <w:t>, it is well</w:t>
      </w:r>
      <w:r w:rsidR="00D60B4F">
        <w:noBreakHyphen/>
        <w:t xml:space="preserve">recognised that patient charges have some potentially undesirable effects — depending on their design, level and incidence across the health care sector </w:t>
      </w:r>
      <w:r w:rsidR="00C65A42" w:rsidRPr="00C65A42">
        <w:rPr>
          <w:szCs w:val="24"/>
        </w:rPr>
        <w:t>(OECD 2017b, p. 99; SCARC 2014)</w:t>
      </w:r>
      <w:r w:rsidR="00D60B4F">
        <w:t xml:space="preserve">. </w:t>
      </w:r>
    </w:p>
    <w:p w14:paraId="1EA38F32" w14:textId="77777777" w:rsidR="00D60B4F" w:rsidRDefault="00D60B4F" w:rsidP="00D60B4F">
      <w:pPr>
        <w:pStyle w:val="BodyText"/>
      </w:pPr>
      <w:r>
        <w:t xml:space="preserve">A major concern is that charges may impose hardship on lower income households or reduce their access to health care. </w:t>
      </w:r>
      <w:r w:rsidR="00D573A8">
        <w:t xml:space="preserve">For example, </w:t>
      </w:r>
      <w:r w:rsidR="00A97A97">
        <w:t xml:space="preserve">the ABS’ Patient Experiences survey found that </w:t>
      </w:r>
      <w:r w:rsidR="00D573A8">
        <w:t xml:space="preserve">8 per cent of Australians do not fill a medical script when needed due to cost, and </w:t>
      </w:r>
      <w:r w:rsidR="00EA181A">
        <w:t>that</w:t>
      </w:r>
      <w:r w:rsidR="00D573A8">
        <w:t xml:space="preserve"> proportion is highest for those in the most disadvantaged socioeconomic quintile (10 per cent) and lowest for those in the most advantaged socioeconomic quintile (5 per cent) </w:t>
      </w:r>
      <w:r w:rsidR="00D573A8" w:rsidRPr="00D573A8">
        <w:rPr>
          <w:szCs w:val="24"/>
        </w:rPr>
        <w:t>(ABS 2016b)</w:t>
      </w:r>
      <w:r w:rsidR="00D573A8">
        <w:t xml:space="preserve">. </w:t>
      </w:r>
      <w:r w:rsidR="007F28E6">
        <w:t>A</w:t>
      </w:r>
      <w:r w:rsidR="00D573A8">
        <w:t xml:space="preserve"> similar </w:t>
      </w:r>
      <w:r w:rsidR="00A97A97">
        <w:t xml:space="preserve">socioeconomic </w:t>
      </w:r>
      <w:r w:rsidR="00D573A8">
        <w:t xml:space="preserve">disparity </w:t>
      </w:r>
      <w:r w:rsidR="007F28E6">
        <w:t xml:space="preserve">is apparent for </w:t>
      </w:r>
      <w:r w:rsidR="00EA181A">
        <w:t xml:space="preserve">services provided by </w:t>
      </w:r>
      <w:r w:rsidR="00A97A97">
        <w:t>medical specialists, dental professionals and GPs.</w:t>
      </w:r>
      <w:r w:rsidR="00EF4CE7" w:rsidRPr="003D243B">
        <w:rPr>
          <w:rStyle w:val="FootnoteReference"/>
        </w:rPr>
        <w:footnoteReference w:id="38"/>
      </w:r>
      <w:r w:rsidR="00A97A97">
        <w:t xml:space="preserve"> </w:t>
      </w:r>
      <w:r>
        <w:t>Means</w:t>
      </w:r>
      <w:r>
        <w:noBreakHyphen/>
        <w:t>testing of subsidies to alleviate these problems can lower incentives to work or encourage people to restructure their financial affairs. For instance, many people attempt to structure their financial affairs to obtain a part age pension because this provides an entitlement to a Pension Concession Card</w:t>
      </w:r>
      <w:r w:rsidR="0055378B">
        <w:t>,</w:t>
      </w:r>
      <w:r>
        <w:t xml:space="preserve"> </w:t>
      </w:r>
      <w:r w:rsidR="009B1819">
        <w:t xml:space="preserve">which entitles the holder </w:t>
      </w:r>
      <w:r w:rsidR="00300203">
        <w:t>to lower co</w:t>
      </w:r>
      <w:r>
        <w:t>payments.</w:t>
      </w:r>
    </w:p>
    <w:p w14:paraId="1EA38F33" w14:textId="77777777" w:rsidR="00D60B4F" w:rsidRDefault="00D60B4F" w:rsidP="00090993">
      <w:pPr>
        <w:pStyle w:val="BodyText"/>
        <w:tabs>
          <w:tab w:val="left" w:pos="5103"/>
        </w:tabs>
      </w:pPr>
      <w:r>
        <w:t xml:space="preserve">Also, charges may perversely </w:t>
      </w:r>
      <w:r w:rsidR="009B1819">
        <w:t>lead to people being shifted</w:t>
      </w:r>
      <w:r>
        <w:t xml:space="preserve"> to higher cost services (such as hospitalisation following failure to comply with full medication use or script</w:t>
      </w:r>
      <w:r w:rsidR="009C49CA">
        <w:noBreakHyphen/>
      </w:r>
      <w:r>
        <w:t xml:space="preserve">filling). </w:t>
      </w:r>
      <w:r w:rsidR="00A97A97">
        <w:t xml:space="preserve">There is evidence that </w:t>
      </w:r>
      <w:r w:rsidR="009567AC">
        <w:t>t</w:t>
      </w:r>
      <w:r w:rsidR="00A97A97">
        <w:t>hose in fair or</w:t>
      </w:r>
      <w:r w:rsidR="00090993">
        <w:t xml:space="preserve"> poor health or those with long</w:t>
      </w:r>
      <w:r w:rsidR="00090993">
        <w:noBreakHyphen/>
      </w:r>
      <w:r w:rsidR="00A97A97">
        <w:t xml:space="preserve">term medical conditions </w:t>
      </w:r>
      <w:r w:rsidR="007F28E6">
        <w:t>are</w:t>
      </w:r>
      <w:r w:rsidR="00A97A97">
        <w:t xml:space="preserve"> more likely to delay or not fill a script, see a doctor</w:t>
      </w:r>
      <w:r w:rsidR="009567AC">
        <w:t xml:space="preserve">, </w:t>
      </w:r>
      <w:r w:rsidR="00A97A97">
        <w:t>or obtain recommended care because of cost than those in good health</w:t>
      </w:r>
      <w:r w:rsidR="009567AC">
        <w:t xml:space="preserve">, which increases the likelihood of higher cost health interventions </w:t>
      </w:r>
      <w:r w:rsidR="00044B0B" w:rsidRPr="00044B0B">
        <w:rPr>
          <w:szCs w:val="24"/>
        </w:rPr>
        <w:t>(ABS 2016b)</w:t>
      </w:r>
      <w:r w:rsidR="00A97A97">
        <w:t>. For example, 14 per cent of people in fair or poor health did not get prescribed medication when needed due to cost, compared with 6 per cent of those in good to excellent health.</w:t>
      </w:r>
    </w:p>
    <w:p w14:paraId="1EA38F34" w14:textId="77777777" w:rsidR="00D60B4F" w:rsidRDefault="00D60B4F" w:rsidP="00D60B4F">
      <w:pPr>
        <w:pStyle w:val="BodyText"/>
      </w:pPr>
      <w:r>
        <w:t>There is relatively little Australian evidence on the effects of patient charges on consumer choices ac</w:t>
      </w:r>
      <w:r w:rsidR="007F28E6">
        <w:t xml:space="preserve">ross different health services </w:t>
      </w:r>
      <w:r>
        <w:t xml:space="preserve">and disease categories, especially in light of the difficulties for consumers in discerning quality of care and efficacy (as </w:t>
      </w:r>
      <w:r w:rsidR="009567AC">
        <w:t xml:space="preserve">evidenced </w:t>
      </w:r>
      <w:r>
        <w:t xml:space="preserve">by the burgeoning sales of unsubsidised products that </w:t>
      </w:r>
      <w:r w:rsidR="00300203">
        <w:t>have few clinical benefits). Co</w:t>
      </w:r>
      <w:r>
        <w:t>payments currently vary in type and level across different parts of the health care system. Some health care services are free and some involve much higher costs. Such variations in charging rates are likely to elicit different demand responses in these segments, and sometimes substitution. For example, a non</w:t>
      </w:r>
      <w:r w:rsidR="009C49CA">
        <w:noBreakHyphen/>
      </w:r>
      <w:r>
        <w:t>concessional patient with chronic health conditions could readily pay more than $1500 annually for PBS drugs.</w:t>
      </w:r>
      <w:r w:rsidRPr="003D243B">
        <w:rPr>
          <w:rStyle w:val="FootnoteReference"/>
        </w:rPr>
        <w:footnoteReference w:id="39"/>
      </w:r>
      <w:r w:rsidR="00300203">
        <w:t xml:space="preserve"> Similarly, people face a co</w:t>
      </w:r>
      <w:r>
        <w:t>payment attending a non</w:t>
      </w:r>
      <w:r>
        <w:noBreakHyphen/>
        <w:t>bulk billing GP, but not when visiting a hospital emergency department</w:t>
      </w:r>
      <w:r w:rsidR="00446808">
        <w:t>, which may increase pressures on hospitals</w:t>
      </w:r>
      <w:r>
        <w:t xml:space="preserve">. </w:t>
      </w:r>
    </w:p>
    <w:p w14:paraId="1EA38F35" w14:textId="77777777" w:rsidR="00D60B4F" w:rsidRDefault="00D60B4F" w:rsidP="00D60B4F">
      <w:pPr>
        <w:pStyle w:val="BodyText"/>
      </w:pPr>
      <w:r>
        <w:t>While a patient</w:t>
      </w:r>
      <w:r>
        <w:noBreakHyphen/>
        <w:t xml:space="preserve">centred system will encourage health literacy, it would be naïve to assume that this would provide sufficient clinical knowledge that patients would be able to always make the right tradeoffs between the prices of services and their impacts on their wellbeing. An open question is the degree to which information disclosure of the kind proposed in this and the Commission’s Human Service inquiry </w:t>
      </w:r>
      <w:r w:rsidR="00966DEC" w:rsidRPr="00966DEC">
        <w:rPr>
          <w:szCs w:val="24"/>
        </w:rPr>
        <w:t>(PC 2017b)</w:t>
      </w:r>
      <w:r w:rsidR="00966DEC">
        <w:t xml:space="preserve"> </w:t>
      </w:r>
      <w:r>
        <w:t>could address some of the difficulties consumers face in making informed decisions.</w:t>
      </w:r>
      <w:r w:rsidRPr="00A157AC">
        <w:t xml:space="preserve"> </w:t>
      </w:r>
      <w:r>
        <w:t xml:space="preserve">There are </w:t>
      </w:r>
      <w:r w:rsidR="00785AF7">
        <w:t>similarly</w:t>
      </w:r>
      <w:r>
        <w:t xml:space="preserve"> important issues concerning the form of pricing. For instance, private insurance products often have b</w:t>
      </w:r>
      <w:r w:rsidR="00300203">
        <w:t>enefit limits, excesses, and co</w:t>
      </w:r>
      <w:r>
        <w:t xml:space="preserve">payments, which have varying </w:t>
      </w:r>
      <w:r w:rsidR="003C575A">
        <w:t>effects</w:t>
      </w:r>
      <w:r>
        <w:t xml:space="preserve"> on the costs of services facing patients. The complexity of the products and the associated uncertainty about the ultimate cost of a service could be expected to affect patterns of consumer demand, but t</w:t>
      </w:r>
      <w:r w:rsidR="009D1BEE">
        <w:t>he evidence about this is scant</w:t>
      </w:r>
      <w:r>
        <w:t xml:space="preserve">. </w:t>
      </w:r>
    </w:p>
    <w:p w14:paraId="1EA38F36" w14:textId="77777777" w:rsidR="00D60B4F" w:rsidRDefault="00300203" w:rsidP="00D60B4F">
      <w:pPr>
        <w:pStyle w:val="BodyText"/>
      </w:pPr>
      <w:r>
        <w:t>This does not mean that co</w:t>
      </w:r>
      <w:r w:rsidR="00D60B4F">
        <w:t>payments should be absent from an integrated care system, merely that their design and scope require very careful assessment. For example, given their ancillary role in an essentially universal health care system, front</w:t>
      </w:r>
      <w:r w:rsidR="00D60B4F">
        <w:noBreakHyphen/>
        <w:t xml:space="preserve">end deductibles in private health insurance may help contain overuse of what are often discretionary services and help to relieve pressures on premiums. </w:t>
      </w:r>
    </w:p>
    <w:p w14:paraId="1EA38F37" w14:textId="77777777" w:rsidR="00830486" w:rsidRDefault="00830486" w:rsidP="00830486">
      <w:pPr>
        <w:pStyle w:val="BodyText"/>
        <w:rPr>
          <w:b/>
        </w:rPr>
      </w:pPr>
      <w:r>
        <w:rPr>
          <w:b/>
        </w:rPr>
        <w:t>Given there must be some limits on the scope of this inquiry, t</w:t>
      </w:r>
      <w:r w:rsidR="00D60B4F" w:rsidRPr="008A4865">
        <w:rPr>
          <w:b/>
        </w:rPr>
        <w:t xml:space="preserve">his paper </w:t>
      </w:r>
      <w:r>
        <w:rPr>
          <w:b/>
        </w:rPr>
        <w:t>has</w:t>
      </w:r>
      <w:r w:rsidR="00D60B4F" w:rsidRPr="008A4865">
        <w:rPr>
          <w:b/>
        </w:rPr>
        <w:t xml:space="preserve"> not examine</w:t>
      </w:r>
      <w:r>
        <w:rPr>
          <w:b/>
        </w:rPr>
        <w:t>d</w:t>
      </w:r>
      <w:r w:rsidR="00D60B4F" w:rsidRPr="008A4865">
        <w:rPr>
          <w:b/>
        </w:rPr>
        <w:t xml:space="preserve"> consumer charges in any detail, but </w:t>
      </w:r>
      <w:r>
        <w:rPr>
          <w:b/>
        </w:rPr>
        <w:t>the issue is still an important one that should not be neglected</w:t>
      </w:r>
      <w:r w:rsidR="00D60B4F" w:rsidRPr="008A4865">
        <w:rPr>
          <w:b/>
        </w:rPr>
        <w:t xml:space="preserve">. </w:t>
      </w:r>
    </w:p>
    <w:p w14:paraId="1EA38F38" w14:textId="77777777" w:rsidR="00830486" w:rsidRPr="004E3B94" w:rsidRDefault="00830486" w:rsidP="0083048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129"/>
      </w:tblGrid>
      <w:tr w:rsidR="00830486" w:rsidRPr="00E31256" w14:paraId="1EA38F3B" w14:textId="77777777" w:rsidTr="0088242F">
        <w:trPr>
          <w:tblHeader/>
        </w:trPr>
        <w:tc>
          <w:tcPr>
            <w:tcW w:w="5000" w:type="pct"/>
            <w:tcBorders>
              <w:top w:val="single" w:sz="4" w:space="0" w:color="265A9A" w:themeColor="accent2"/>
              <w:left w:val="nil"/>
              <w:bottom w:val="nil"/>
              <w:right w:val="nil"/>
            </w:tcBorders>
            <w:shd w:val="clear" w:color="auto" w:fill="E1EBF5"/>
            <w:tcMar>
              <w:left w:w="170" w:type="dxa"/>
              <w:right w:w="170" w:type="dxa"/>
            </w:tcMar>
          </w:tcPr>
          <w:p w14:paraId="1EA38F39" w14:textId="77777777" w:rsidR="00830486" w:rsidRPr="0088242F" w:rsidRDefault="00830486" w:rsidP="002D5631">
            <w:pPr>
              <w:pStyle w:val="RecTitle"/>
              <w:spacing w:before="120"/>
              <w:rPr>
                <w:noProof/>
              </w:rPr>
            </w:pPr>
            <w:r w:rsidRPr="0088242F">
              <w:t xml:space="preserve">conclusion </w:t>
            </w:r>
            <w:r w:rsidR="007506EC" w:rsidRPr="0088242F">
              <w:t>8</w:t>
            </w:r>
            <w:r w:rsidRPr="0088242F">
              <w:t>.1</w:t>
            </w:r>
          </w:p>
          <w:p w14:paraId="1EA38F3A" w14:textId="77777777" w:rsidR="00830486" w:rsidRPr="00C1530E" w:rsidRDefault="00830486" w:rsidP="00944790">
            <w:pPr>
              <w:pStyle w:val="Rec"/>
            </w:pPr>
            <w:r w:rsidRPr="00C1530E">
              <w:t>The present Australian health system employs consumer charges in a</w:t>
            </w:r>
            <w:r w:rsidR="00446808" w:rsidRPr="00C1530E">
              <w:t>n</w:t>
            </w:r>
            <w:r w:rsidRPr="00C1530E">
              <w:t xml:space="preserve"> incoherent fashion</w:t>
            </w:r>
            <w:r w:rsidR="00966DEC" w:rsidRPr="00C1530E">
              <w:t xml:space="preserve">, </w:t>
            </w:r>
            <w:r w:rsidR="00446808" w:rsidRPr="00C1530E">
              <w:t xml:space="preserve">and </w:t>
            </w:r>
            <w:r w:rsidR="00966DEC" w:rsidRPr="00C1530E">
              <w:t>little is known about their impacts</w:t>
            </w:r>
            <w:r w:rsidRPr="00C1530E">
              <w:t xml:space="preserve">. </w:t>
            </w:r>
            <w:r w:rsidR="00044B0B" w:rsidRPr="00C1530E">
              <w:t>Further research is needed to unde</w:t>
            </w:r>
            <w:r w:rsidR="00300203" w:rsidRPr="00C1530E">
              <w:t>rstand the impact of current co</w:t>
            </w:r>
            <w:r w:rsidR="00044B0B" w:rsidRPr="00C1530E">
              <w:t>payment arrangements on health costs and outcomes</w:t>
            </w:r>
            <w:r w:rsidR="00966DEC" w:rsidRPr="00C1530E">
              <w:t xml:space="preserve">, and the implications of this for policy. </w:t>
            </w:r>
          </w:p>
        </w:tc>
      </w:tr>
      <w:tr w:rsidR="00830486" w14:paraId="1EA38F3D" w14:textId="77777777" w:rsidTr="0088242F">
        <w:tc>
          <w:tcPr>
            <w:tcW w:w="5000" w:type="pct"/>
            <w:tcBorders>
              <w:top w:val="nil"/>
              <w:left w:val="nil"/>
              <w:bottom w:val="single" w:sz="4" w:space="0" w:color="265A9A" w:themeColor="accent2"/>
              <w:right w:val="nil"/>
            </w:tcBorders>
            <w:shd w:val="clear" w:color="auto" w:fill="E1EBF5"/>
            <w:tcMar>
              <w:left w:w="170" w:type="dxa"/>
              <w:right w:w="170" w:type="dxa"/>
            </w:tcMar>
          </w:tcPr>
          <w:p w14:paraId="1EA38F3C" w14:textId="77777777" w:rsidR="00830486" w:rsidRPr="0088242F" w:rsidRDefault="00830486" w:rsidP="0088242F">
            <w:pPr>
              <w:pStyle w:val="Space"/>
              <w:keepLines/>
            </w:pPr>
          </w:p>
        </w:tc>
      </w:tr>
      <w:tr w:rsidR="00830486" w:rsidRPr="000863A5" w14:paraId="1EA38F3F" w14:textId="77777777" w:rsidTr="0088242F">
        <w:tc>
          <w:tcPr>
            <w:tcW w:w="5000" w:type="pct"/>
            <w:tcBorders>
              <w:top w:val="single" w:sz="4" w:space="0" w:color="265A9A" w:themeColor="accent2"/>
              <w:left w:val="nil"/>
              <w:bottom w:val="nil"/>
              <w:right w:val="nil"/>
            </w:tcBorders>
            <w:tcMar>
              <w:left w:w="170" w:type="dxa"/>
              <w:right w:w="170" w:type="dxa"/>
            </w:tcMar>
          </w:tcPr>
          <w:p w14:paraId="1EA38F3E" w14:textId="77777777" w:rsidR="00830486" w:rsidRPr="00626D32" w:rsidRDefault="00830486" w:rsidP="002D5631">
            <w:pPr>
              <w:pStyle w:val="BoxSpaceBelow"/>
              <w:keepLines/>
            </w:pPr>
          </w:p>
        </w:tc>
      </w:tr>
    </w:tbl>
    <w:p w14:paraId="1EA38F40" w14:textId="77777777" w:rsidR="00D60B4F" w:rsidRDefault="007506EC" w:rsidP="00A34ED9">
      <w:pPr>
        <w:pStyle w:val="Heading2"/>
      </w:pPr>
      <w:bookmarkStart w:id="78" w:name="_Toc488929709"/>
      <w:bookmarkStart w:id="79" w:name="_Toc489250087"/>
      <w:r>
        <w:t>8.2</w:t>
      </w:r>
      <w:r w:rsidR="00A34ED9">
        <w:tab/>
      </w:r>
      <w:r w:rsidR="00D60B4F">
        <w:t>Rewards for people are an overlooked part of the picture</w:t>
      </w:r>
      <w:bookmarkEnd w:id="78"/>
      <w:bookmarkEnd w:id="79"/>
    </w:p>
    <w:p w14:paraId="1EA38F41" w14:textId="77777777" w:rsidR="00D60B4F" w:rsidRDefault="00D60B4F" w:rsidP="00D60B4F">
      <w:pPr>
        <w:pStyle w:val="BodyText"/>
      </w:pPr>
      <w:r>
        <w:t>Social, monetary or in</w:t>
      </w:r>
      <w:r w:rsidR="009C49CA">
        <w:noBreakHyphen/>
      </w:r>
      <w:r>
        <w:t>kind rewards might also sometimes be used to create incentives for people to use the lowest</w:t>
      </w:r>
      <w:r>
        <w:noBreakHyphen/>
        <w:t xml:space="preserve">cost part of the system, to adopt preventative health measures, and to improve the health system in other ways. </w:t>
      </w:r>
    </w:p>
    <w:p w14:paraId="1EA38F42" w14:textId="77777777" w:rsidR="00D60B4F" w:rsidRDefault="00D60B4F" w:rsidP="00D60B4F">
      <w:pPr>
        <w:pStyle w:val="BodyText"/>
      </w:pPr>
      <w:r>
        <w:t>The need for such rewards sounds counterintuitive when people already have incentives to avoid chronic ill</w:t>
      </w:r>
      <w:r>
        <w:noBreakHyphen/>
        <w:t xml:space="preserve">health. However, the onset of chronic conditions is insidious, their timing and effects are uncertain, and inertia favours any ingrained unhealthy lifestyles. A (if not </w:t>
      </w:r>
      <w:r w:rsidRPr="00794E5A">
        <w:rPr>
          <w:i/>
        </w:rPr>
        <w:t>the</w:t>
      </w:r>
      <w:r>
        <w:t xml:space="preserve">) major challenge for </w:t>
      </w:r>
      <w:r w:rsidR="009D44FA">
        <w:t>preventative</w:t>
      </w:r>
      <w:r>
        <w:t xml:space="preserve"> health is challenging habits that people have acquired as unwanted </w:t>
      </w:r>
      <w:r w:rsidR="00045F7D">
        <w:t xml:space="preserve">parts of </w:t>
      </w:r>
      <w:r>
        <w:t xml:space="preserve">their </w:t>
      </w:r>
      <w:r w:rsidR="00045F7D">
        <w:t>lifestyles</w:t>
      </w:r>
      <w:r>
        <w:t>. (For instance, most people do not want to be obese and do want to control their food intakes, but their efforts to do so usually fail.)</w:t>
      </w:r>
    </w:p>
    <w:p w14:paraId="1EA38F43" w14:textId="77777777" w:rsidR="00D60B4F" w:rsidRDefault="00D60B4F" w:rsidP="00D60B4F">
      <w:pPr>
        <w:pStyle w:val="BodyText"/>
      </w:pPr>
      <w:r>
        <w:t>Rewards have been used, quite often effectively, in preventative health (like smoking cessation).</w:t>
      </w:r>
      <w:r w:rsidRPr="003D243B">
        <w:rPr>
          <w:rStyle w:val="FootnoteReference"/>
        </w:rPr>
        <w:footnoteReference w:id="40"/>
      </w:r>
      <w:r>
        <w:t xml:space="preserve"> Recently, there has been innovative use of ‘gamification’ — the use of game</w:t>
      </w:r>
      <w:r>
        <w:noBreakHyphen/>
        <w:t>design elements in non</w:t>
      </w:r>
      <w:r w:rsidR="009C49CA">
        <w:noBreakHyphen/>
      </w:r>
      <w:r>
        <w:t xml:space="preserve">game </w:t>
      </w:r>
      <w:r w:rsidR="000A26D4">
        <w:t>settings</w:t>
      </w:r>
      <w:r>
        <w:t>, usually using the internet — to provide non</w:t>
      </w:r>
      <w:r w:rsidR="009C49CA">
        <w:noBreakHyphen/>
      </w:r>
      <w:r>
        <w:t xml:space="preserve">pecuniary rewards for positive behaviours </w:t>
      </w:r>
      <w:r w:rsidR="00C65A42" w:rsidRPr="00C65A42">
        <w:rPr>
          <w:szCs w:val="24"/>
        </w:rPr>
        <w:t>(Lewis, Swartz and Lyons 2016)</w:t>
      </w:r>
      <w:r>
        <w:t xml:space="preserve">. Even the existence of a publication called the </w:t>
      </w:r>
      <w:r w:rsidRPr="00724CF0">
        <w:rPr>
          <w:i/>
        </w:rPr>
        <w:t>Games for Health Journal</w:t>
      </w:r>
      <w:r>
        <w:t xml:space="preserve"> is revealing. There is also increasing use of pre</w:t>
      </w:r>
      <w:r w:rsidR="009C49CA">
        <w:noBreakHyphen/>
      </w:r>
      <w:r>
        <w:t>commitment approaches to preventative health (</w:t>
      </w:r>
      <w:r w:rsidR="00837FC2">
        <w:t>as noted</w:t>
      </w:r>
      <w:r>
        <w:t xml:space="preserve"> below). </w:t>
      </w:r>
    </w:p>
    <w:p w14:paraId="1EA38F44" w14:textId="77777777" w:rsidR="00D60B4F" w:rsidRPr="0088242F" w:rsidRDefault="00D60B4F" w:rsidP="00D60B4F">
      <w:pPr>
        <w:pStyle w:val="BodyText"/>
        <w:rPr>
          <w:spacing w:val="-2"/>
        </w:rPr>
      </w:pPr>
      <w:r>
        <w:t>The size and form of rewards appear to matter. In school settings and for low</w:t>
      </w:r>
      <w:r>
        <w:noBreakHyphen/>
        <w:t>income people, the rewards can be lower and still be effective. For example, a school</w:t>
      </w:r>
      <w:r>
        <w:noBreakHyphen/>
        <w:t>based intervention aimed at reducing obesity in socially</w:t>
      </w:r>
      <w:r>
        <w:noBreakHyphen/>
        <w:t>disadvantaged youth used small rewards, amongst other strategies, to motivate reduced body mass (for example, a recognition bulletin board was used as a social reward and T</w:t>
      </w:r>
      <w:r w:rsidR="009C49CA">
        <w:noBreakHyphen/>
      </w:r>
      <w:r>
        <w:t>shirts and wrist bands for in</w:t>
      </w:r>
      <w:r w:rsidR="009C49CA">
        <w:noBreakHyphen/>
      </w:r>
      <w:r>
        <w:t xml:space="preserve">kind rewards). Effects on </w:t>
      </w:r>
      <w:r w:rsidRPr="0088242F">
        <w:rPr>
          <w:spacing w:val="-2"/>
        </w:rPr>
        <w:t>body mass were significant, though the role of rewards compared with other factors was not isolated.</w:t>
      </w:r>
      <w:r w:rsidRPr="0088242F">
        <w:rPr>
          <w:rStyle w:val="FootnoteReference"/>
          <w:spacing w:val="-2"/>
        </w:rPr>
        <w:footnoteReference w:id="41"/>
      </w:r>
      <w:r w:rsidRPr="0088242F">
        <w:rPr>
          <w:spacing w:val="-2"/>
        </w:rPr>
        <w:t xml:space="preserve"> In contrast, financial rewards, among other measures, were used to encourage better diet and more exercise for a small group of Australian truck drivers, but the rewards were too small on their own to be an effective strategy </w:t>
      </w:r>
      <w:r w:rsidR="00C65A42" w:rsidRPr="0088242F">
        <w:rPr>
          <w:spacing w:val="-2"/>
          <w:szCs w:val="24"/>
        </w:rPr>
        <w:t>(Gilson et al. 2017)</w:t>
      </w:r>
      <w:r w:rsidRPr="0088242F">
        <w:rPr>
          <w:spacing w:val="-2"/>
        </w:rPr>
        <w:t>. A recent ‘meta’</w:t>
      </w:r>
      <w:r w:rsidRPr="0088242F">
        <w:rPr>
          <w:spacing w:val="-2"/>
        </w:rPr>
        <w:noBreakHyphen/>
        <w:t>study of the impact of incentives to improve physical activity found short</w:t>
      </w:r>
      <w:r w:rsidRPr="0088242F">
        <w:rPr>
          <w:spacing w:val="-2"/>
        </w:rPr>
        <w:noBreakHyphen/>
        <w:t>run positive impacts that vanished over the longer</w:t>
      </w:r>
      <w:r w:rsidRPr="0088242F">
        <w:rPr>
          <w:spacing w:val="-2"/>
        </w:rPr>
        <w:noBreakHyphen/>
        <w:t xml:space="preserve">run </w:t>
      </w:r>
      <w:r w:rsidR="00C65A42" w:rsidRPr="0088242F">
        <w:rPr>
          <w:spacing w:val="-2"/>
          <w:szCs w:val="24"/>
        </w:rPr>
        <w:t>(Molema et al. 2016)</w:t>
      </w:r>
      <w:r w:rsidRPr="0088242F">
        <w:rPr>
          <w:spacing w:val="-2"/>
        </w:rPr>
        <w:t>. However, this analysis was based on only three interventions, all involving low</w:t>
      </w:r>
      <w:r w:rsidR="00266343" w:rsidRPr="0088242F">
        <w:rPr>
          <w:spacing w:val="-2"/>
        </w:rPr>
        <w:noBreakHyphen/>
      </w:r>
      <w:r w:rsidRPr="0088242F">
        <w:rPr>
          <w:spacing w:val="-2"/>
        </w:rPr>
        <w:t>value in</w:t>
      </w:r>
      <w:r w:rsidRPr="0088242F">
        <w:rPr>
          <w:spacing w:val="-2"/>
        </w:rPr>
        <w:noBreakHyphen/>
        <w:t>kind benefits, which could be expected to have minimal effects.</w:t>
      </w:r>
      <w:r w:rsidRPr="0088242F">
        <w:rPr>
          <w:rStyle w:val="FootnoteReference"/>
          <w:spacing w:val="-2"/>
        </w:rPr>
        <w:footnoteReference w:id="42"/>
      </w:r>
      <w:r w:rsidRPr="0088242F">
        <w:rPr>
          <w:spacing w:val="-2"/>
        </w:rPr>
        <w:t xml:space="preserve"> A large</w:t>
      </w:r>
      <w:r w:rsidRPr="0088242F">
        <w:rPr>
          <w:spacing w:val="-2"/>
        </w:rPr>
        <w:noBreakHyphen/>
        <w:t>scale study of smoking cessation involving a good experimental design</w:t>
      </w:r>
      <w:r w:rsidR="009C49CA" w:rsidRPr="0088242F">
        <w:rPr>
          <w:spacing w:val="-2"/>
        </w:rPr>
        <w:t xml:space="preserve"> </w:t>
      </w:r>
      <w:r w:rsidRPr="0088242F">
        <w:rPr>
          <w:spacing w:val="-2"/>
        </w:rPr>
        <w:t xml:space="preserve">and large financial incentives found material and statistically significant impacts associated with incentives </w:t>
      </w:r>
      <w:r w:rsidR="00C65A42" w:rsidRPr="0088242F">
        <w:rPr>
          <w:spacing w:val="-2"/>
          <w:szCs w:val="24"/>
        </w:rPr>
        <w:t>(Volpp et al. 2009)</w:t>
      </w:r>
      <w:r w:rsidRPr="0088242F">
        <w:rPr>
          <w:spacing w:val="-2"/>
        </w:rPr>
        <w:t xml:space="preserve">. There is a prospective study of the effect of much larger financial incentives for diabetes prevention in a US Medicaid population </w:t>
      </w:r>
      <w:r w:rsidR="00C65A42" w:rsidRPr="0088242F">
        <w:rPr>
          <w:spacing w:val="-2"/>
          <w:szCs w:val="24"/>
        </w:rPr>
        <w:t>(Desai et al. 2017)</w:t>
      </w:r>
      <w:r w:rsidRPr="0088242F">
        <w:rPr>
          <w:spacing w:val="-2"/>
        </w:rPr>
        <w:t xml:space="preserve">. </w:t>
      </w:r>
    </w:p>
    <w:p w14:paraId="1EA38F45" w14:textId="77777777" w:rsidR="00D60B4F" w:rsidRPr="0088242F" w:rsidRDefault="00D60B4F" w:rsidP="00D60B4F">
      <w:pPr>
        <w:pStyle w:val="BodyText"/>
        <w:rPr>
          <w:spacing w:val="-2"/>
        </w:rPr>
      </w:pPr>
      <w:r w:rsidRPr="0088242F">
        <w:rPr>
          <w:spacing w:val="-2"/>
        </w:rPr>
        <w:t>That incentives seem to work better for low</w:t>
      </w:r>
      <w:r w:rsidRPr="0088242F">
        <w:rPr>
          <w:spacing w:val="-2"/>
        </w:rPr>
        <w:noBreakHyphen/>
        <w:t xml:space="preserve">income vulnerable populations may reflect that any given payment represents a higher share of their income. The greater effectiveness for such households is also promising because they score consistently worse on nearly all measures of health outcomes and are overly represented in groups where preventative health appears to offer the greatest payback. For instance, 20 per cent of people in the lowest socioeconomic groups smoke daily compared with 6.7 per cent of those in the highest socioeconomic group. Rates among Indigenous populations are </w:t>
      </w:r>
      <w:r w:rsidR="00C43F38" w:rsidRPr="0088242F">
        <w:rPr>
          <w:spacing w:val="-2"/>
        </w:rPr>
        <w:t>about</w:t>
      </w:r>
      <w:r w:rsidRPr="0088242F">
        <w:rPr>
          <w:spacing w:val="-2"/>
        </w:rPr>
        <w:t xml:space="preserve"> 40 per cent. Smoking is the leading risk factor contributing to death and disease in Australia</w:t>
      </w:r>
      <w:r w:rsidR="009C49CA" w:rsidRPr="0088242F">
        <w:rPr>
          <w:spacing w:val="-2"/>
        </w:rPr>
        <w:t xml:space="preserve"> </w:t>
      </w:r>
      <w:r w:rsidR="00C65A42" w:rsidRPr="0088242F">
        <w:rPr>
          <w:spacing w:val="-2"/>
          <w:szCs w:val="24"/>
        </w:rPr>
        <w:t>(AIHW 2016b, p. 171,176,184)</w:t>
      </w:r>
      <w:r w:rsidRPr="0088242F">
        <w:rPr>
          <w:spacing w:val="-2"/>
        </w:rPr>
        <w:t xml:space="preserve">. </w:t>
      </w:r>
    </w:p>
    <w:p w14:paraId="1EA38F46" w14:textId="77777777" w:rsidR="00D60B4F" w:rsidRPr="0088242F" w:rsidRDefault="00D60B4F" w:rsidP="00D60B4F">
      <w:pPr>
        <w:pStyle w:val="BodyText"/>
        <w:rPr>
          <w:spacing w:val="-2"/>
        </w:rPr>
      </w:pPr>
      <w:r w:rsidRPr="0088242F">
        <w:rPr>
          <w:spacing w:val="-2"/>
        </w:rPr>
        <w:t>One of the fertile areas for further development is the use of ‘nudges’, which can use rewards to motivate behavioural change or apply so</w:t>
      </w:r>
      <w:r w:rsidR="009C49CA" w:rsidRPr="0088242F">
        <w:rPr>
          <w:spacing w:val="-2"/>
        </w:rPr>
        <w:noBreakHyphen/>
      </w:r>
      <w:r w:rsidRPr="0088242F">
        <w:rPr>
          <w:spacing w:val="-2"/>
        </w:rPr>
        <w:t>called pre</w:t>
      </w:r>
      <w:r w:rsidR="009C49CA" w:rsidRPr="0088242F">
        <w:rPr>
          <w:spacing w:val="-2"/>
        </w:rPr>
        <w:noBreakHyphen/>
      </w:r>
      <w:r w:rsidRPr="0088242F">
        <w:rPr>
          <w:spacing w:val="-2"/>
        </w:rPr>
        <w:t>commitment strategies. Also sometimes referred to as Ulysses contracts, the latter recognise that people would like to cease some activity and, anticipating that they will be unable to control their future impulses, want to bind themselves to their initial commitment. The Productivity Commission has examined pre</w:t>
      </w:r>
      <w:r w:rsidR="009C49CA" w:rsidRPr="0088242F">
        <w:rPr>
          <w:spacing w:val="-2"/>
        </w:rPr>
        <w:noBreakHyphen/>
      </w:r>
      <w:r w:rsidRPr="0088242F">
        <w:rPr>
          <w:spacing w:val="-2"/>
        </w:rPr>
        <w:t xml:space="preserve">commitment for harm minimisation in electronic gaming machines </w:t>
      </w:r>
      <w:r w:rsidR="00A205F0" w:rsidRPr="0088242F">
        <w:rPr>
          <w:spacing w:val="-2"/>
          <w:szCs w:val="24"/>
        </w:rPr>
        <w:t>(PC 2010)</w:t>
      </w:r>
      <w:r w:rsidRPr="0088242F">
        <w:rPr>
          <w:spacing w:val="-2"/>
        </w:rPr>
        <w:t xml:space="preserve">. The approach has been used in a variety of other contexts. For instance, smokers who paid a weekly amount into a bank account, which they risked losing after a set period, were more likely to cease smoking than a control group </w:t>
      </w:r>
      <w:r w:rsidR="00C65A42" w:rsidRPr="0088242F">
        <w:rPr>
          <w:spacing w:val="-2"/>
          <w:szCs w:val="24"/>
        </w:rPr>
        <w:t>(Cahill, Hartmann-Boyce and Perera 2015)</w:t>
      </w:r>
      <w:r w:rsidRPr="0088242F">
        <w:rPr>
          <w:spacing w:val="-2"/>
        </w:rPr>
        <w:t>.</w:t>
      </w:r>
    </w:p>
    <w:p w14:paraId="1EA38F47" w14:textId="77777777" w:rsidR="00D60B4F" w:rsidRPr="0088242F" w:rsidRDefault="00D60B4F" w:rsidP="00D60B4F">
      <w:pPr>
        <w:pStyle w:val="BodyText"/>
        <w:rPr>
          <w:spacing w:val="-2"/>
        </w:rPr>
      </w:pPr>
      <w:r w:rsidRPr="0088242F">
        <w:rPr>
          <w:spacing w:val="-2"/>
        </w:rPr>
        <w:t>Various governments in Australia have established behavioural insight groups to develop nudges to promote healthier lifestyles. As illustrations:</w:t>
      </w:r>
    </w:p>
    <w:p w14:paraId="1EA38F48" w14:textId="77777777" w:rsidR="00D60B4F" w:rsidRPr="0088242F" w:rsidRDefault="00D60B4F" w:rsidP="00D60B4F">
      <w:pPr>
        <w:pStyle w:val="ListBullet"/>
        <w:rPr>
          <w:spacing w:val="-2"/>
        </w:rPr>
      </w:pPr>
      <w:r w:rsidRPr="0088242F">
        <w:rPr>
          <w:spacing w:val="-2"/>
        </w:rPr>
        <w:t>the NSW Government’s Behavioural Insights Unit experimented with the best form of content for SMSs reminding people of an outpatient appointment (many thousands of which are missed every year). The most effective message was “You have an appointment with Dr [XXXX] in [clinic XXXX] on [date] at [time]. By attending, the hospital will not lose the $125 that we lose when a patient does not turn up. This money will be used to treat other patients.” During the first trial there was a 19 per cent reduction in the number of the people missing their appointments, saving St Vincent’s Hospital more than $68</w:t>
      </w:r>
      <w:r w:rsidR="000359FA" w:rsidRPr="0088242F">
        <w:rPr>
          <w:spacing w:val="-2"/>
        </w:rPr>
        <w:t> </w:t>
      </w:r>
      <w:r w:rsidRPr="0088242F">
        <w:rPr>
          <w:spacing w:val="-2"/>
        </w:rPr>
        <w:t xml:space="preserve">000 </w:t>
      </w:r>
      <w:r w:rsidR="00F6095D" w:rsidRPr="0088242F">
        <w:rPr>
          <w:spacing w:val="-2"/>
          <w:szCs w:val="24"/>
        </w:rPr>
        <w:t>(NSW BIU 2017)</w:t>
      </w:r>
    </w:p>
    <w:p w14:paraId="1EA38F49" w14:textId="68F4DDD4" w:rsidR="00D60B4F" w:rsidRPr="0088242F" w:rsidRDefault="00D60B4F" w:rsidP="00D60B4F">
      <w:pPr>
        <w:pStyle w:val="ListBullet"/>
        <w:rPr>
          <w:spacing w:val="-2"/>
        </w:rPr>
      </w:pPr>
      <w:r w:rsidRPr="0088242F">
        <w:rPr>
          <w:spacing w:val="-2"/>
        </w:rPr>
        <w:t>the Victorian Government’s behavioural insights unit examined the effect of ‘nudges’ to encourage reduced sales of high</w:t>
      </w:r>
      <w:r w:rsidRPr="0088242F">
        <w:rPr>
          <w:spacing w:val="-2"/>
        </w:rPr>
        <w:noBreakHyphen/>
        <w:t>sugar beverages at the Alfred Hospital. The trial significantly reduced the sales of less healthy drinks, without reducing overall sales of drinks for participating businesses, thus making it a commercially</w:t>
      </w:r>
      <w:r w:rsidRPr="0088242F">
        <w:rPr>
          <w:spacing w:val="-2"/>
        </w:rPr>
        <w:noBreakHyphen/>
        <w:t xml:space="preserve">viable strategy </w:t>
      </w:r>
      <w:r w:rsidR="00F65FF0" w:rsidRPr="0088242F">
        <w:rPr>
          <w:spacing w:val="-2"/>
          <w:szCs w:val="24"/>
        </w:rPr>
        <w:t xml:space="preserve">(Alfred Health Victoria 2017; </w:t>
      </w:r>
      <w:r w:rsidR="006F73D7">
        <w:rPr>
          <w:spacing w:val="-2"/>
          <w:szCs w:val="24"/>
        </w:rPr>
        <w:t>VicHealth</w:t>
      </w:r>
      <w:r w:rsidR="00F65FF0" w:rsidRPr="0088242F">
        <w:rPr>
          <w:spacing w:val="-2"/>
          <w:szCs w:val="24"/>
        </w:rPr>
        <w:t> 2016)</w:t>
      </w:r>
      <w:r w:rsidRPr="0088242F">
        <w:rPr>
          <w:spacing w:val="-2"/>
        </w:rPr>
        <w:t>.</w:t>
      </w:r>
    </w:p>
    <w:p w14:paraId="1EA38F4A" w14:textId="77777777" w:rsidR="00D60B4F" w:rsidRPr="0088242F" w:rsidRDefault="00D60B4F" w:rsidP="0088242F">
      <w:pPr>
        <w:pStyle w:val="BodyText"/>
        <w:spacing w:before="200"/>
        <w:rPr>
          <w:spacing w:val="-2"/>
        </w:rPr>
      </w:pPr>
      <w:r w:rsidRPr="0088242F">
        <w:rPr>
          <w:spacing w:val="-2"/>
        </w:rPr>
        <w:t xml:space="preserve">These measures often involve partnerships with businesses or regional parties. </w:t>
      </w:r>
    </w:p>
    <w:p w14:paraId="1EA38F4B" w14:textId="77777777" w:rsidR="00D60B4F" w:rsidRPr="0088242F" w:rsidRDefault="00D60B4F" w:rsidP="0088242F">
      <w:pPr>
        <w:pStyle w:val="BodyText"/>
        <w:spacing w:before="200"/>
        <w:rPr>
          <w:spacing w:val="-2"/>
        </w:rPr>
      </w:pPr>
      <w:r w:rsidRPr="0088242F">
        <w:rPr>
          <w:spacing w:val="-2"/>
        </w:rPr>
        <w:t>Rewards and ‘nudges’ have some advantages over pricing, especially in their capacity for tailoring to specific regional populations. Pricing cannot usually target low</w:t>
      </w:r>
      <w:r w:rsidRPr="0088242F">
        <w:rPr>
          <w:spacing w:val="-2"/>
        </w:rPr>
        <w:noBreakHyphen/>
        <w:t>income users because of its obvious effects on income distribution, while rewards and nudges have no adverse financial consequences on such groups, nor any adverse effects on employment incentives.</w:t>
      </w:r>
    </w:p>
    <w:p w14:paraId="1EA38F4C" w14:textId="77777777" w:rsidR="00D60B4F" w:rsidRPr="0088242F" w:rsidRDefault="00D60B4F" w:rsidP="0088242F">
      <w:pPr>
        <w:pStyle w:val="BodyText"/>
        <w:spacing w:before="200"/>
        <w:rPr>
          <w:spacing w:val="-2"/>
        </w:rPr>
      </w:pPr>
      <w:r w:rsidRPr="0088242F">
        <w:rPr>
          <w:spacing w:val="-2"/>
        </w:rPr>
        <w:t>Innovation and flexibility is also easier. It would be hard to implemen</w:t>
      </w:r>
      <w:r w:rsidR="00300203" w:rsidRPr="0088242F">
        <w:rPr>
          <w:spacing w:val="-2"/>
        </w:rPr>
        <w:t>t geographically</w:t>
      </w:r>
      <w:r w:rsidR="00300203" w:rsidRPr="0088242F">
        <w:rPr>
          <w:spacing w:val="-2"/>
        </w:rPr>
        <w:noBreakHyphen/>
        <w:t>varying PBS co</w:t>
      </w:r>
      <w:r w:rsidRPr="0088242F">
        <w:rPr>
          <w:spacing w:val="-2"/>
        </w:rPr>
        <w:t>payments or mandated GP copayments (even if it was thought they had some merit). In contrast, PHNs, LHNs, community health centres and others can run reward</w:t>
      </w:r>
      <w:r w:rsidRPr="0088242F">
        <w:rPr>
          <w:spacing w:val="-2"/>
        </w:rPr>
        <w:noBreakHyphen/>
        <w:t>based experiments at the local level that take account of the capabilities of their communities and the specific health issues (and their drivers) that predominate in their area (section </w:t>
      </w:r>
      <w:r w:rsidR="00BF5081" w:rsidRPr="0088242F">
        <w:rPr>
          <w:spacing w:val="-2"/>
        </w:rPr>
        <w:t>4.3</w:t>
      </w:r>
      <w:r w:rsidRPr="0088242F">
        <w:rPr>
          <w:spacing w:val="-2"/>
        </w:rPr>
        <w:t xml:space="preserve">). </w:t>
      </w:r>
    </w:p>
    <w:p w14:paraId="1EA38F4D" w14:textId="77777777" w:rsidR="00F70AFD" w:rsidRPr="0088242F" w:rsidRDefault="00D60B4F" w:rsidP="0088242F">
      <w:pPr>
        <w:pStyle w:val="BodyText"/>
        <w:spacing w:before="200"/>
        <w:rPr>
          <w:spacing w:val="-2"/>
        </w:rPr>
      </w:pPr>
      <w:r w:rsidRPr="0088242F">
        <w:rPr>
          <w:spacing w:val="-2"/>
        </w:rPr>
        <w:t>While there have been many interventions using rewards for preventative health, there appear to be fewer instances where they have been applied to encourage those already with a chronic health condition to use the lowest</w:t>
      </w:r>
      <w:r w:rsidRPr="0088242F">
        <w:rPr>
          <w:spacing w:val="-2"/>
        </w:rPr>
        <w:noBreakHyphen/>
        <w:t>cost part of the health system. However, there are grounds for LHNs and PHNs to also consider these as tools for lowering their costs. For example, rewards might assist compliance with care plans for patients most susceptible to non</w:t>
      </w:r>
      <w:r w:rsidRPr="0088242F">
        <w:rPr>
          <w:spacing w:val="-2"/>
        </w:rPr>
        <w:noBreakHyphen/>
        <w:t xml:space="preserve">compliance. Small incentives have been shown to be effective for compliance with treatments for hypertension </w:t>
      </w:r>
      <w:r w:rsidR="00C65A42" w:rsidRPr="0088242F">
        <w:rPr>
          <w:spacing w:val="-2"/>
          <w:szCs w:val="24"/>
        </w:rPr>
        <w:t>(Giuffrida and Torgerson 1997)</w:t>
      </w:r>
      <w:r w:rsidRPr="0088242F">
        <w:rPr>
          <w:spacing w:val="-2"/>
        </w:rPr>
        <w:t>.</w:t>
      </w:r>
    </w:p>
    <w:p w14:paraId="1EA38F4E" w14:textId="77777777" w:rsidR="00355444" w:rsidRPr="004E3B94" w:rsidRDefault="00355444" w:rsidP="0088242F">
      <w:pPr>
        <w:pStyle w:val="BoxSpaceAboveElement"/>
        <w:keepLines/>
        <w:spacing w:before="100" w:beforeAutospacing="1"/>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129"/>
      </w:tblGrid>
      <w:tr w:rsidR="00355444" w:rsidRPr="00E31256" w14:paraId="1EA38F52" w14:textId="77777777" w:rsidTr="0088242F">
        <w:trPr>
          <w:tblHeader/>
        </w:trPr>
        <w:tc>
          <w:tcPr>
            <w:tcW w:w="5000" w:type="pct"/>
            <w:tcBorders>
              <w:top w:val="single" w:sz="4" w:space="0" w:color="265A9A" w:themeColor="accent2"/>
              <w:left w:val="nil"/>
              <w:bottom w:val="nil"/>
              <w:right w:val="nil"/>
            </w:tcBorders>
            <w:shd w:val="clear" w:color="auto" w:fill="E1EBF5"/>
            <w:tcMar>
              <w:left w:w="170" w:type="dxa"/>
              <w:right w:w="170" w:type="dxa"/>
            </w:tcMar>
          </w:tcPr>
          <w:p w14:paraId="1EA38F4F" w14:textId="77777777" w:rsidR="00355444" w:rsidRPr="0088242F" w:rsidRDefault="00355444" w:rsidP="00BA5867">
            <w:pPr>
              <w:pStyle w:val="RecTitle"/>
              <w:spacing w:before="360"/>
              <w:rPr>
                <w:noProof/>
              </w:rPr>
            </w:pPr>
            <w:r w:rsidRPr="0088242F">
              <w:t>conclusion</w:t>
            </w:r>
            <w:r w:rsidR="007506EC" w:rsidRPr="0088242F">
              <w:t xml:space="preserve"> 8.2</w:t>
            </w:r>
          </w:p>
          <w:p w14:paraId="1EA38F50" w14:textId="77777777" w:rsidR="00355444" w:rsidRPr="0088242F" w:rsidRDefault="007507C3" w:rsidP="00355444">
            <w:pPr>
              <w:pStyle w:val="Rec"/>
              <w:keepNext/>
            </w:pPr>
            <w:r w:rsidRPr="0088242F">
              <w:t>Internationally</w:t>
            </w:r>
            <w:r w:rsidR="00355444" w:rsidRPr="0088242F">
              <w:t>, financial and non</w:t>
            </w:r>
            <w:r w:rsidR="009C49CA" w:rsidRPr="0088242F">
              <w:noBreakHyphen/>
            </w:r>
            <w:r w:rsidR="00355444" w:rsidRPr="0088242F">
              <w:t xml:space="preserve">pecuniary </w:t>
            </w:r>
            <w:r w:rsidRPr="0088242F">
              <w:t>incentives</w:t>
            </w:r>
            <w:r w:rsidR="00355444" w:rsidRPr="0088242F">
              <w:t xml:space="preserve"> have proven successful in preventative health and in </w:t>
            </w:r>
            <w:r w:rsidRPr="0088242F">
              <w:t>encouraging</w:t>
            </w:r>
            <w:r w:rsidR="00355444" w:rsidRPr="0088242F">
              <w:t xml:space="preserve"> efficient use of the health system, but are not used extensively in Australia.</w:t>
            </w:r>
            <w:r w:rsidRPr="0088242F">
              <w:t xml:space="preserve"> </w:t>
            </w:r>
            <w:r w:rsidR="00355444" w:rsidRPr="0088242F">
              <w:t xml:space="preserve">They are </w:t>
            </w:r>
            <w:r w:rsidRPr="0088242F">
              <w:t>particularly</w:t>
            </w:r>
            <w:r w:rsidR="00355444" w:rsidRPr="0088242F">
              <w:t xml:space="preserve"> useful when used for lower</w:t>
            </w:r>
            <w:r w:rsidR="00355444" w:rsidRPr="0088242F">
              <w:noBreakHyphen/>
              <w:t>income groups.</w:t>
            </w:r>
          </w:p>
          <w:p w14:paraId="1EA38F51" w14:textId="77777777" w:rsidR="00355444" w:rsidRPr="0088242F" w:rsidRDefault="00355444" w:rsidP="00355444">
            <w:pPr>
              <w:pStyle w:val="Rec"/>
              <w:keepNext/>
            </w:pPr>
            <w:r w:rsidRPr="0088242F">
              <w:t xml:space="preserve">Regional </w:t>
            </w:r>
            <w:r w:rsidR="007507C3" w:rsidRPr="0088242F">
              <w:t>alliances</w:t>
            </w:r>
            <w:r w:rsidRPr="0088242F">
              <w:t xml:space="preserve">, with advice from </w:t>
            </w:r>
            <w:r w:rsidR="007507C3" w:rsidRPr="0088242F">
              <w:t xml:space="preserve">businesses and </w:t>
            </w:r>
            <w:r w:rsidRPr="0088242F">
              <w:t>central agencies</w:t>
            </w:r>
            <w:r w:rsidR="007507C3" w:rsidRPr="0088242F">
              <w:t xml:space="preserve"> (</w:t>
            </w:r>
            <w:r w:rsidRPr="0088242F">
              <w:t>such as the various government ‘nudge’ units</w:t>
            </w:r>
            <w:r w:rsidR="007507C3" w:rsidRPr="0088242F">
              <w:t>)</w:t>
            </w:r>
            <w:r w:rsidRPr="0088242F">
              <w:t xml:space="preserve"> would be a natural </w:t>
            </w:r>
            <w:r w:rsidR="007507C3" w:rsidRPr="0088242F">
              <w:t>starting point for experiments.</w:t>
            </w:r>
          </w:p>
        </w:tc>
      </w:tr>
      <w:tr w:rsidR="00355444" w14:paraId="1EA38F54" w14:textId="77777777" w:rsidTr="0088242F">
        <w:tc>
          <w:tcPr>
            <w:tcW w:w="5000" w:type="pct"/>
            <w:tcBorders>
              <w:top w:val="nil"/>
              <w:left w:val="nil"/>
              <w:bottom w:val="single" w:sz="4" w:space="0" w:color="265A9A" w:themeColor="accent2"/>
              <w:right w:val="nil"/>
            </w:tcBorders>
            <w:shd w:val="clear" w:color="auto" w:fill="E1EBF5"/>
            <w:tcMar>
              <w:left w:w="170" w:type="dxa"/>
              <w:right w:w="170" w:type="dxa"/>
            </w:tcMar>
          </w:tcPr>
          <w:p w14:paraId="1EA38F53" w14:textId="77777777" w:rsidR="00355444" w:rsidRPr="0088242F" w:rsidRDefault="00355444" w:rsidP="0088242F">
            <w:pPr>
              <w:pStyle w:val="Space"/>
              <w:keepLines/>
            </w:pPr>
          </w:p>
        </w:tc>
      </w:tr>
      <w:tr w:rsidR="00355444" w:rsidRPr="000863A5" w14:paraId="1EA38F56" w14:textId="77777777" w:rsidTr="0088242F">
        <w:tc>
          <w:tcPr>
            <w:tcW w:w="5000" w:type="pct"/>
            <w:tcBorders>
              <w:top w:val="single" w:sz="4" w:space="0" w:color="265A9A" w:themeColor="accent2"/>
              <w:left w:val="nil"/>
              <w:bottom w:val="nil"/>
              <w:right w:val="nil"/>
            </w:tcBorders>
            <w:tcMar>
              <w:left w:w="170" w:type="dxa"/>
              <w:right w:w="170" w:type="dxa"/>
            </w:tcMar>
          </w:tcPr>
          <w:p w14:paraId="1EA38F55" w14:textId="77777777" w:rsidR="00355444" w:rsidRPr="00626D32" w:rsidRDefault="00355444" w:rsidP="002D5631">
            <w:pPr>
              <w:pStyle w:val="BoxSpaceBelow"/>
              <w:keepLines/>
            </w:pPr>
          </w:p>
        </w:tc>
      </w:tr>
    </w:tbl>
    <w:p w14:paraId="1EA38F57" w14:textId="77777777" w:rsidR="00BA5867" w:rsidRDefault="00BA5867" w:rsidP="00BA5867">
      <w:pPr>
        <w:pStyle w:val="Heading1"/>
        <w:spacing w:before="0" w:after="0"/>
        <w:sectPr w:rsidR="00BA5867" w:rsidSect="00D41EC1">
          <w:type w:val="oddPage"/>
          <w:pgSz w:w="11907" w:h="16840" w:code="9"/>
          <w:pgMar w:top="1985" w:right="1304" w:bottom="1418" w:left="1814" w:header="1701" w:footer="397" w:gutter="0"/>
          <w:pgNumType w:chapSep="period"/>
          <w:cols w:space="720"/>
          <w:docGrid w:linePitch="326"/>
        </w:sectPr>
      </w:pPr>
      <w:bookmarkStart w:id="80" w:name="_Toc488929710"/>
      <w:bookmarkStart w:id="81" w:name="_Toc489250088"/>
    </w:p>
    <w:p w14:paraId="1EA38F58" w14:textId="77777777" w:rsidR="00191259" w:rsidRDefault="007506EC" w:rsidP="00191259">
      <w:pPr>
        <w:pStyle w:val="Heading1"/>
      </w:pPr>
      <w:r>
        <w:t>9</w:t>
      </w:r>
      <w:r w:rsidR="00191259">
        <w:tab/>
      </w:r>
      <w:r w:rsidR="00A5227E">
        <w:t>Information</w:t>
      </w:r>
      <w:r w:rsidR="00191259" w:rsidRPr="003008DF">
        <w:t xml:space="preserve"> collection and management — a focus on what works and what people need</w:t>
      </w:r>
      <w:r w:rsidR="00191259">
        <w:t xml:space="preserve"> to know</w:t>
      </w:r>
      <w:bookmarkEnd w:id="80"/>
      <w:bookmarkEnd w:id="81"/>
    </w:p>
    <w:p w14:paraId="1EA38F59" w14:textId="77777777" w:rsidR="00B32A1D" w:rsidRPr="00336DBC" w:rsidRDefault="00B32A1D" w:rsidP="00B32A1D">
      <w:pPr>
        <w:pStyle w:val="BodyText"/>
      </w:pPr>
      <w:r>
        <w:t>The role of data collection in health makes a difference to practice and policy. As early as 1911, the Commonwealth Statistician justified the population census for, among many other things, the insights it provided into causality and good health policy:</w:t>
      </w:r>
    </w:p>
    <w:p w14:paraId="1EA38F5A" w14:textId="048E9276" w:rsidR="00B32A1D" w:rsidRDefault="00B32A1D" w:rsidP="00B32A1D">
      <w:pPr>
        <w:pStyle w:val="Quote"/>
      </w:pPr>
      <w:r>
        <w:t>…excessive mortality or morbidity rates furnish evidence of the need and necessary direction of prophylaxis [preventative measures</w:t>
      </w:r>
      <w:r w:rsidR="005D39F4">
        <w:t xml:space="preserve">]. And it may be here remarked </w:t>
      </w:r>
      <w:r>
        <w:t xml:space="preserve">that </w:t>
      </w:r>
      <w:r w:rsidR="005D39F4">
        <w:t xml:space="preserve">statistical results </w:t>
      </w:r>
      <w:r>
        <w:t xml:space="preserve">of such a nature have disclosed the fact that popular impressions are often wholly erroneous. </w:t>
      </w:r>
      <w:r w:rsidRPr="00BA5CC8">
        <w:rPr>
          <w:szCs w:val="24"/>
        </w:rPr>
        <w:t>(Knibbs 1917, p. 8)</w:t>
      </w:r>
    </w:p>
    <w:p w14:paraId="1EA38F5B" w14:textId="77777777" w:rsidR="00C124DC" w:rsidRDefault="00A5227E" w:rsidP="00C124DC">
      <w:pPr>
        <w:pStyle w:val="BodyText"/>
      </w:pPr>
      <w:r>
        <w:t>Information</w:t>
      </w:r>
      <w:r w:rsidR="00C124DC">
        <w:t xml:space="preserve"> is increasingly playing</w:t>
      </w:r>
      <w:r w:rsidR="00B32A1D">
        <w:t xml:space="preserve"> a pivotal role in Australia’s </w:t>
      </w:r>
      <w:r w:rsidR="00E22A5D">
        <w:t xml:space="preserve">health care system. It has always been important, but when it was in paper </w:t>
      </w:r>
      <w:r w:rsidR="00465686">
        <w:t>form,</w:t>
      </w:r>
      <w:r w:rsidR="00E22A5D">
        <w:t xml:space="preserve"> </w:t>
      </w:r>
      <w:r w:rsidR="002B455D">
        <w:t>it</w:t>
      </w:r>
      <w:r w:rsidR="00E22A5D">
        <w:t xml:space="preserve"> often lacked value. As one party described it:</w:t>
      </w:r>
    </w:p>
    <w:p w14:paraId="1EA38F5C" w14:textId="58E7CB69" w:rsidR="00E22A5D" w:rsidRDefault="00E22A5D" w:rsidP="00E22A5D">
      <w:pPr>
        <w:pStyle w:val="Quote"/>
      </w:pPr>
      <w:r>
        <w:t xml:space="preserve">.. </w:t>
      </w:r>
      <w:r w:rsidRPr="00E22A5D">
        <w:t>the vast majority of this data was trapped in f</w:t>
      </w:r>
      <w:r>
        <w:t>ile folders and banker’s boxes.</w:t>
      </w:r>
      <w:r w:rsidRPr="00E22A5D">
        <w:t xml:space="preserve"> This static data resource</w:t>
      </w:r>
      <w:r w:rsidR="00465686">
        <w:t xml:space="preserve"> </w:t>
      </w:r>
      <w:r w:rsidRPr="00E22A5D">
        <w:t>often obscured by illegible handwriting, missing papers, and mistakenly misplaced records</w:t>
      </w:r>
      <w:r w:rsidR="009C49CA">
        <w:t xml:space="preserve"> </w:t>
      </w:r>
      <w:r w:rsidRPr="00E22A5D">
        <w:t>.</w:t>
      </w:r>
      <w:r w:rsidR="00465686">
        <w:t xml:space="preserve"> </w:t>
      </w:r>
      <w:r w:rsidR="00990738" w:rsidRPr="00990738">
        <w:rPr>
          <w:szCs w:val="24"/>
        </w:rPr>
        <w:t>(Bresnick 2016, p. 2)</w:t>
      </w:r>
    </w:p>
    <w:p w14:paraId="1EA38F5D" w14:textId="77777777" w:rsidR="00465686" w:rsidRDefault="00465686" w:rsidP="00C124DC">
      <w:pPr>
        <w:pStyle w:val="BodyText"/>
      </w:pPr>
      <w:r>
        <w:t xml:space="preserve">Digitalisation of data, information </w:t>
      </w:r>
      <w:r w:rsidRPr="00465686">
        <w:t>systems</w:t>
      </w:r>
      <w:r>
        <w:t>, new ways of transmitting information to clinicians and patients (the rise of the smart phone for example) and more efficient approaches that convert data into knowledge and practice have all developed since the era of paper records.</w:t>
      </w:r>
    </w:p>
    <w:p w14:paraId="1EA38F5E" w14:textId="77777777" w:rsidR="00D61015" w:rsidRDefault="00627FDD" w:rsidP="00C124DC">
      <w:pPr>
        <w:pStyle w:val="BodyText"/>
      </w:pPr>
      <w:r>
        <w:t>However,</w:t>
      </w:r>
      <w:r w:rsidR="00465686">
        <w:t xml:space="preserve"> just as diffusion of technologies for treating patients has often been gradual, the same applies to the processes for collecting an</w:t>
      </w:r>
      <w:r w:rsidR="0098553D">
        <w:t>d</w:t>
      </w:r>
      <w:r w:rsidR="00465686">
        <w:t xml:space="preserve"> using data. </w:t>
      </w:r>
      <w:r>
        <w:t xml:space="preserve">Part of this is the familiar story of </w:t>
      </w:r>
      <w:r w:rsidR="00D61015">
        <w:t>the barriers posed by customary practices</w:t>
      </w:r>
      <w:r w:rsidR="00FC15F3">
        <w:t>, the</w:t>
      </w:r>
      <w:r>
        <w:t xml:space="preserve"> poor capabilities in </w:t>
      </w:r>
      <w:r w:rsidR="00D61015">
        <w:t>administrators, clinicians</w:t>
      </w:r>
      <w:r>
        <w:t xml:space="preserve"> and patients to use this new resource</w:t>
      </w:r>
      <w:r w:rsidR="00FC15F3">
        <w:t>, and legitimate concerns about the investment costs associated with new technologies</w:t>
      </w:r>
      <w:r>
        <w:t>. But part also reflect r</w:t>
      </w:r>
      <w:r w:rsidR="00465686">
        <w:t>egulatory barriers (</w:t>
      </w:r>
      <w:r>
        <w:t>such as</w:t>
      </w:r>
      <w:r w:rsidR="00465686">
        <w:t xml:space="preserve"> ethical clearance</w:t>
      </w:r>
      <w:r>
        <w:t xml:space="preserve">, </w:t>
      </w:r>
      <w:r w:rsidR="00465686">
        <w:t>privacy requirements for data use</w:t>
      </w:r>
      <w:r>
        <w:t>, and rules about sharing</w:t>
      </w:r>
      <w:r w:rsidR="00465686">
        <w:t xml:space="preserve">) </w:t>
      </w:r>
      <w:r>
        <w:t xml:space="preserve">and administrative practices (like incompatible data definitions). These only mattered peripherally when movement of information was predominantly frustrated by its physical </w:t>
      </w:r>
      <w:r w:rsidR="005D7250">
        <w:t>form</w:t>
      </w:r>
      <w:r w:rsidR="0072757A">
        <w:t>. Now</w:t>
      </w:r>
      <w:r w:rsidR="00BA2F32">
        <w:t>adays,</w:t>
      </w:r>
      <w:r>
        <w:t xml:space="preserve"> </w:t>
      </w:r>
      <w:r w:rsidR="0072757A">
        <w:t xml:space="preserve">information systems and digitalised </w:t>
      </w:r>
      <w:r>
        <w:t xml:space="preserve">data </w:t>
      </w:r>
      <w:r w:rsidR="0072757A">
        <w:t xml:space="preserve">have </w:t>
      </w:r>
      <w:r w:rsidR="00BA2F32">
        <w:t>permitted</w:t>
      </w:r>
      <w:r w:rsidR="0072757A">
        <w:t xml:space="preserve"> the</w:t>
      </w:r>
      <w:r>
        <w:t xml:space="preserve"> </w:t>
      </w:r>
      <w:r w:rsidR="0072757A">
        <w:t>speedy and low</w:t>
      </w:r>
      <w:r w:rsidR="0072757A">
        <w:noBreakHyphen/>
        <w:t xml:space="preserve">cost </w:t>
      </w:r>
      <w:r>
        <w:t>transport of data</w:t>
      </w:r>
      <w:r w:rsidR="00BA2F32">
        <w:t xml:space="preserve">, and the costs of failing to exploit that means that </w:t>
      </w:r>
      <w:r w:rsidR="009C390B">
        <w:t xml:space="preserve">many opportunities for better health care </w:t>
      </w:r>
      <w:r w:rsidR="00465686">
        <w:t>have been</w:t>
      </w:r>
      <w:r w:rsidR="009C390B">
        <w:t xml:space="preserve"> for</w:t>
      </w:r>
      <w:r w:rsidR="00465686">
        <w:t>gone</w:t>
      </w:r>
      <w:r w:rsidR="006B7B25">
        <w:t xml:space="preserve">. </w:t>
      </w:r>
      <w:r w:rsidR="00F91C45">
        <w:t>Strong</w:t>
      </w:r>
      <w:r w:rsidR="00FC15F3">
        <w:t xml:space="preserve"> regulation remains important, but its form must be suitable and take into account the consequences of too regimented arrangements.</w:t>
      </w:r>
    </w:p>
    <w:p w14:paraId="1EA38F5F" w14:textId="77777777" w:rsidR="009C390B" w:rsidRDefault="00090D76" w:rsidP="00C124DC">
      <w:pPr>
        <w:pStyle w:val="BodyText"/>
      </w:pPr>
      <w:r>
        <w:t xml:space="preserve">This chapter explores </w:t>
      </w:r>
      <w:r w:rsidR="00FC15F3">
        <w:t xml:space="preserve">some of </w:t>
      </w:r>
      <w:r>
        <w:t>the dimensions of this problem and their solutions</w:t>
      </w:r>
      <w:r w:rsidR="00BC7A00">
        <w:t xml:space="preserve"> in the health care sector</w:t>
      </w:r>
      <w:r w:rsidR="00FC15F3">
        <w:t xml:space="preserve">. </w:t>
      </w:r>
      <w:r w:rsidR="00F04316">
        <w:t>I</w:t>
      </w:r>
      <w:r w:rsidR="00FC15F3">
        <w:t xml:space="preserve">t does not consider all of the solutions in depth as the Commission has recently concluded an inquiry into </w:t>
      </w:r>
      <w:r w:rsidR="00FC15F3" w:rsidRPr="000A5BC0">
        <w:rPr>
          <w:i/>
        </w:rPr>
        <w:t>Data Availability and Use</w:t>
      </w:r>
      <w:r w:rsidR="00FC15F3">
        <w:t xml:space="preserve"> </w:t>
      </w:r>
      <w:r w:rsidR="00C65A42" w:rsidRPr="00C65A42">
        <w:rPr>
          <w:szCs w:val="24"/>
        </w:rPr>
        <w:t>(PC 2017a)</w:t>
      </w:r>
      <w:r w:rsidR="00FC15F3">
        <w:t>, which provides a generic framework for government policy for data in all sectors.</w:t>
      </w:r>
      <w:r w:rsidR="00EA11FD">
        <w:t xml:space="preserve"> </w:t>
      </w:r>
      <w:r w:rsidR="00090650">
        <w:t xml:space="preserve">Further, the Commission is </w:t>
      </w:r>
      <w:r w:rsidR="00242D7A">
        <w:t>also</w:t>
      </w:r>
      <w:r w:rsidR="00090650">
        <w:t xml:space="preserve"> considering how to improve the collection and dissemination of information on hospitals and specialists to better support self</w:t>
      </w:r>
      <w:r w:rsidR="00090650">
        <w:noBreakHyphen/>
        <w:t>improvement by service providers and patient choice in an inquiry into human services </w:t>
      </w:r>
      <w:r w:rsidR="00090650" w:rsidRPr="00090650">
        <w:rPr>
          <w:szCs w:val="24"/>
        </w:rPr>
        <w:t>(PC 2017b)</w:t>
      </w:r>
      <w:r w:rsidR="00242D7A">
        <w:t>.</w:t>
      </w:r>
    </w:p>
    <w:p w14:paraId="1EA38F60" w14:textId="77777777" w:rsidR="0007670C" w:rsidRDefault="007506EC" w:rsidP="0007670C">
      <w:pPr>
        <w:pStyle w:val="Heading2"/>
      </w:pPr>
      <w:bookmarkStart w:id="82" w:name="_Toc488929711"/>
      <w:bookmarkStart w:id="83" w:name="_Toc489250089"/>
      <w:r>
        <w:t>9</w:t>
      </w:r>
      <w:r w:rsidR="0007670C">
        <w:t>.1</w:t>
      </w:r>
      <w:r w:rsidR="0007670C">
        <w:tab/>
        <w:t>Poor information flows and coordination</w:t>
      </w:r>
      <w:r w:rsidR="00C124DC">
        <w:t xml:space="preserve"> for users of the health syst</w:t>
      </w:r>
      <w:r w:rsidR="00090D76">
        <w:t>e</w:t>
      </w:r>
      <w:r w:rsidR="00C124DC">
        <w:t>m</w:t>
      </w:r>
      <w:bookmarkEnd w:id="82"/>
      <w:bookmarkEnd w:id="83"/>
    </w:p>
    <w:p w14:paraId="1EA38F61" w14:textId="77777777" w:rsidR="00570315" w:rsidRDefault="00570315" w:rsidP="006356D8">
      <w:pPr>
        <w:pStyle w:val="BodyText"/>
      </w:pPr>
      <w:r>
        <w:t>Recognition of the importance</w:t>
      </w:r>
      <w:r w:rsidRPr="00F31E94">
        <w:t xml:space="preserve"> of data in health</w:t>
      </w:r>
      <w:r w:rsidR="00923B4C">
        <w:t xml:space="preserve"> </w:t>
      </w:r>
      <w:r w:rsidRPr="00F31E94">
        <w:t>care is not new. The clinical medical record dat</w:t>
      </w:r>
      <w:r w:rsidR="0067472F">
        <w:t>es</w:t>
      </w:r>
      <w:r w:rsidRPr="00F31E94">
        <w:t xml:space="preserve"> back to antiquity, but the systematic use by clinicians of patient health histories (in paper form) commenced only in the early 20</w:t>
      </w:r>
      <w:r w:rsidRPr="00F31E94">
        <w:rPr>
          <w:vertAlign w:val="superscript"/>
        </w:rPr>
        <w:t>th</w:t>
      </w:r>
      <w:r w:rsidRPr="00F31E94">
        <w:t xml:space="preserve"> century — and provided many benefits to patients (Gillum 2013).</w:t>
      </w:r>
      <w:r>
        <w:t xml:space="preserve"> </w:t>
      </w:r>
      <w:r w:rsidR="00F04316">
        <w:t>N</w:t>
      </w:r>
      <w:r>
        <w:t>ew technologies, the sophistication of modern medicine, greater levels of specialisation, and improved tools for using information have markedly increased the value and necessity of using information well.</w:t>
      </w:r>
    </w:p>
    <w:p w14:paraId="1EA38F62" w14:textId="77777777" w:rsidR="00B334FF" w:rsidRDefault="006356D8" w:rsidP="00E36072">
      <w:pPr>
        <w:pStyle w:val="BodyText"/>
      </w:pPr>
      <w:r>
        <w:t xml:space="preserve">The provision of information about patients, quality, clinical guidelines, and costs that moves ‘seamlessly’ between the parts of the system has been a longstanding worthy aspiration of the Australian health system. Any integrated model needs to keep track of where the patient goes and what happens to them. However, seamless information sharing has so far failed to </w:t>
      </w:r>
      <w:r w:rsidR="00F23016">
        <w:t xml:space="preserve">fully </w:t>
      </w:r>
      <w:r>
        <w:t xml:space="preserve">materialise. </w:t>
      </w:r>
      <w:r w:rsidR="00DB00A9">
        <w:t xml:space="preserve">The OECD has </w:t>
      </w:r>
      <w:r w:rsidR="00B334FF">
        <w:t>characterised</w:t>
      </w:r>
      <w:r w:rsidR="00DB00A9">
        <w:t xml:space="preserve"> Australia as </w:t>
      </w:r>
      <w:r w:rsidR="00B334FF">
        <w:t xml:space="preserve">relatively poor in its capacity to collect and link </w:t>
      </w:r>
      <w:r w:rsidR="0067472F">
        <w:t xml:space="preserve">health </w:t>
      </w:r>
      <w:r w:rsidR="00B334FF">
        <w:t>data</w:t>
      </w:r>
      <w:r w:rsidR="00C34E53">
        <w:t xml:space="preserve"> </w:t>
      </w:r>
      <w:r w:rsidR="00D96FF6" w:rsidRPr="00D96FF6">
        <w:rPr>
          <w:szCs w:val="24"/>
        </w:rPr>
        <w:t>(OECD 2015b)</w:t>
      </w:r>
      <w:r w:rsidR="00C34E53">
        <w:t>.</w:t>
      </w:r>
    </w:p>
    <w:p w14:paraId="1EA38F63" w14:textId="77777777" w:rsidR="00E36072" w:rsidRDefault="00E36072" w:rsidP="00E36072">
      <w:pPr>
        <w:pStyle w:val="BodyText"/>
      </w:pPr>
      <w:r>
        <w:t>Poor information flows raise the risks of conflicting treatments, duplication of effort,</w:t>
      </w:r>
      <w:r w:rsidDel="00C92AE6">
        <w:t xml:space="preserve"> </w:t>
      </w:r>
      <w:r>
        <w:t>suboptimal outcomes</w:t>
      </w:r>
      <w:r w:rsidR="008764BD">
        <w:t>,</w:t>
      </w:r>
      <w:r>
        <w:t xml:space="preserve"> inconvenience for patients, and excessive costs. Associated with this, there is no clear system for coordinating the care of a person as they enter </w:t>
      </w:r>
      <w:r w:rsidR="0067472F">
        <w:t xml:space="preserve">the health system’s </w:t>
      </w:r>
      <w:r>
        <w:t xml:space="preserve">various fragmented bits. </w:t>
      </w:r>
    </w:p>
    <w:p w14:paraId="1EA38F64" w14:textId="77777777" w:rsidR="006356D8" w:rsidRDefault="006356D8" w:rsidP="006356D8">
      <w:pPr>
        <w:pStyle w:val="BodyText"/>
      </w:pPr>
      <w:r>
        <w:t>For instance, there is widespread dissatisfaction by GPs about divulgence of key aspects of a patient’s experience in hospitals.</w:t>
      </w:r>
      <w:r w:rsidR="00706B0D">
        <w:t xml:space="preserve"> </w:t>
      </w:r>
      <w:r>
        <w:t xml:space="preserve">More than 40 per cent of GPs were unsatisfied with information about the patient’s functional status on discharge </w:t>
      </w:r>
      <w:r w:rsidR="00C65A42" w:rsidRPr="00C65A42">
        <w:rPr>
          <w:szCs w:val="24"/>
        </w:rPr>
        <w:t>(Mahfouz et al. 2017)</w:t>
      </w:r>
      <w:r>
        <w:t>.</w:t>
      </w:r>
      <w:r w:rsidR="00725639">
        <w:t xml:space="preserve"> Many do not know that a patient has been to hospital at all. </w:t>
      </w:r>
      <w:r>
        <w:t>Similarly, hospital emergency departments do not always receive the right information</w:t>
      </w:r>
      <w:r w:rsidR="005A0531">
        <w:t>.</w:t>
      </w:r>
    </w:p>
    <w:p w14:paraId="1EA38F65" w14:textId="77777777" w:rsidR="006356D8" w:rsidRDefault="006356D8" w:rsidP="006356D8">
      <w:pPr>
        <w:pStyle w:val="BodyText"/>
      </w:pPr>
      <w:r>
        <w:t>One hospital clinician remarked:</w:t>
      </w:r>
    </w:p>
    <w:p w14:paraId="1EA38F66" w14:textId="77777777" w:rsidR="006356D8" w:rsidRDefault="006356D8" w:rsidP="006356D8">
      <w:pPr>
        <w:pStyle w:val="Quote"/>
      </w:pPr>
      <w:r>
        <w:t xml:space="preserve">… </w:t>
      </w:r>
      <w:r w:rsidRPr="00502637">
        <w:t>harm may similarly be imposed on ambulance</w:t>
      </w:r>
      <w:r w:rsidR="009C49CA">
        <w:noBreakHyphen/>
      </w:r>
      <w:r w:rsidRPr="00502637">
        <w:t>transported patients who have a critical illness and face delayed admission to ED, or even diversion from their usual hospital to one that is unfamiliar or ill</w:t>
      </w:r>
      <w:r w:rsidR="009C49CA">
        <w:noBreakHyphen/>
      </w:r>
      <w:r w:rsidRPr="00502637">
        <w:t>equipped to deal with complex, high acuity and specialised care.</w:t>
      </w:r>
      <w:r>
        <w:t xml:space="preserve"> Without electronic records, these patients’ medical notes are frequently hard to access. Ambulance load sharing doesn’t make sense if it leads to the patient being brought to the wrong hospital or some ending up far from their “home hospitals”. For example, a patient who was dying and in palliative care was diverted by ambulance to my hospital after being discharged the same day from his distant home hospital, where he had previously spent several weeks and was close to his family. </w:t>
      </w:r>
      <w:r w:rsidR="00990738" w:rsidRPr="00990738">
        <w:rPr>
          <w:szCs w:val="24"/>
        </w:rPr>
        <w:t>(Ting 2017, p. 2)</w:t>
      </w:r>
    </w:p>
    <w:p w14:paraId="1EA38F67" w14:textId="77777777" w:rsidR="00E36072" w:rsidRDefault="00E36072" w:rsidP="00E36072">
      <w:pPr>
        <w:pStyle w:val="BodyText"/>
      </w:pPr>
      <w:r>
        <w:t xml:space="preserve">Data cannot be readily transferred between different sectors in Australia’s health system or even between providers in the same sector because of a lack of interoperability in existing data systems. For instance, the South Australian Government’s system for providing an integrated health record for every patient admitted to a South Australian public hospital or health service (the </w:t>
      </w:r>
      <w:r w:rsidRPr="000369DC">
        <w:t>Enterprise Patient Administration System</w:t>
      </w:r>
      <w:r w:rsidR="006803B4">
        <w:t xml:space="preserve"> — EPAS</w:t>
      </w:r>
      <w:r>
        <w:t xml:space="preserve">) claims as it goal: ‘1 Patient. 1 Record. Better Care’. However, the system will not be available to the private sector (that is, most GPs and all private hospitals), and the intention is that only some information will be linked to the national My Health Record </w:t>
      </w:r>
      <w:r w:rsidR="00A63220" w:rsidRPr="00A63220">
        <w:rPr>
          <w:szCs w:val="24"/>
        </w:rPr>
        <w:t>(SA DoHA 2017)</w:t>
      </w:r>
      <w:r>
        <w:t>. On the implementation front, EPAS has also been criticised by the South Australian Auditor</w:t>
      </w:r>
      <w:r w:rsidR="009C49CA">
        <w:noBreakHyphen/>
      </w:r>
      <w:r>
        <w:t xml:space="preserve">General as overly ambitious in time frames, costs and efforts needed to implement — another Achilles heel in large IT system developments </w:t>
      </w:r>
      <w:r w:rsidR="00A63220" w:rsidRPr="00A63220">
        <w:rPr>
          <w:szCs w:val="24"/>
        </w:rPr>
        <w:t>(SA AG 2016)</w:t>
      </w:r>
      <w:r>
        <w:t>.</w:t>
      </w:r>
    </w:p>
    <w:p w14:paraId="1EA38F68" w14:textId="77777777" w:rsidR="00780212" w:rsidRDefault="00780212" w:rsidP="00780212">
      <w:pPr>
        <w:pStyle w:val="BodyText"/>
      </w:pPr>
      <w:r w:rsidRPr="000243E8">
        <w:t xml:space="preserve">Electronic </w:t>
      </w:r>
      <w:r>
        <w:t xml:space="preserve">coordination of dispensing of controlled drugs provides a good illustration of incomplete adoption of an already available system. </w:t>
      </w:r>
      <w:r w:rsidRPr="000243E8">
        <w:t xml:space="preserve">Electronic </w:t>
      </w:r>
      <w:r w:rsidR="006E01C1">
        <w:t>r</w:t>
      </w:r>
      <w:r w:rsidR="006E01C1" w:rsidRPr="000243E8">
        <w:t xml:space="preserve">ecording </w:t>
      </w:r>
      <w:r w:rsidRPr="000243E8">
        <w:t xml:space="preserve">and </w:t>
      </w:r>
      <w:r w:rsidR="006E01C1">
        <w:t>r</w:t>
      </w:r>
      <w:r w:rsidR="006E01C1" w:rsidRPr="000243E8">
        <w:t xml:space="preserve">eporting </w:t>
      </w:r>
      <w:r w:rsidRPr="000243E8">
        <w:t xml:space="preserve">of </w:t>
      </w:r>
      <w:r w:rsidR="006E01C1">
        <w:t>c</w:t>
      </w:r>
      <w:r w:rsidR="006E01C1" w:rsidRPr="000243E8">
        <w:t xml:space="preserve">ontrolled </w:t>
      </w:r>
      <w:r w:rsidR="006E01C1">
        <w:t>d</w:t>
      </w:r>
      <w:r w:rsidR="006E01C1" w:rsidRPr="000243E8">
        <w:t>rugs</w:t>
      </w:r>
      <w:r w:rsidR="006E01C1">
        <w:t xml:space="preserve"> </w:t>
      </w:r>
      <w:r>
        <w:t xml:space="preserve">dispensed by pharmacies is used to address </w:t>
      </w:r>
      <w:r w:rsidR="0001100B">
        <w:t xml:space="preserve">problematic </w:t>
      </w:r>
      <w:r>
        <w:t>access</w:t>
      </w:r>
      <w:r w:rsidR="0001100B">
        <w:t>,</w:t>
      </w:r>
      <w:r>
        <w:t xml:space="preserve"> such as drug overdoses, but its implementation is not yet complete across all jurisdictions </w:t>
      </w:r>
      <w:r w:rsidR="00C65A42" w:rsidRPr="00C65A42">
        <w:rPr>
          <w:szCs w:val="24"/>
        </w:rPr>
        <w:t>(PC 2017a, p. 513)</w:t>
      </w:r>
      <w:r>
        <w:t>. More generally, the absence of a system for reconciling prescriptions issued by clinicians with the purchase of drugs from dispensers means that it is difficult to target people who are not filling their scripts, with the dangers that this poses for their health. It also means that the system for issuing PBS Safety Net cards for people whose annual expenditure has exceeded a threshold (which entitles them to lower priced drugs) is unwieldy and incomplete.</w:t>
      </w:r>
    </w:p>
    <w:p w14:paraId="1EA38F69" w14:textId="77777777" w:rsidR="0069558C" w:rsidRDefault="008330E1" w:rsidP="008330E1">
      <w:pPr>
        <w:pStyle w:val="BodyText"/>
      </w:pPr>
      <w:r>
        <w:t xml:space="preserve">Nor </w:t>
      </w:r>
      <w:r w:rsidR="00E36072">
        <w:t>do</w:t>
      </w:r>
      <w:r>
        <w:t xml:space="preserve"> </w:t>
      </w:r>
      <w:r w:rsidR="00E36072">
        <w:t>current information</w:t>
      </w:r>
      <w:r>
        <w:t xml:space="preserve"> system</w:t>
      </w:r>
      <w:r w:rsidR="00E36072">
        <w:t>s</w:t>
      </w:r>
      <w:r>
        <w:t xml:space="preserve"> provide consistent quality assurance</w:t>
      </w:r>
      <w:r w:rsidR="00E36072">
        <w:t xml:space="preserve"> at the site and clinical level</w:t>
      </w:r>
      <w:r>
        <w:t xml:space="preserve">. </w:t>
      </w:r>
      <w:r w:rsidR="0069558C">
        <w:t>In a wide</w:t>
      </w:r>
      <w:r w:rsidR="0069558C">
        <w:noBreakHyphen/>
        <w:t>ranging (largely positive) review of the Victorian health care system, it was noted:</w:t>
      </w:r>
    </w:p>
    <w:p w14:paraId="1EA38F6A" w14:textId="77777777" w:rsidR="0069558C" w:rsidRDefault="0069558C" w:rsidP="00934B40">
      <w:pPr>
        <w:pStyle w:val="Quote"/>
      </w:pPr>
      <w:r>
        <w:t xml:space="preserve">When the work for this study was being undertaken, Victoria had not had – at least to anyone’s knowledge – what might be dubbed a major hospital scandal: the equivalent of the paediatric cardiac deaths in Bristol or a Mid Staffordshire in England’s NHS, or the equivalent of the Bundaberg, or Campbell and Camden events in Queensland and New South Wales. But, as one senior official in the department put it, ‘How would we know?’ </w:t>
      </w:r>
      <w:r w:rsidR="00934B40" w:rsidRPr="00934B40">
        <w:rPr>
          <w:szCs w:val="24"/>
        </w:rPr>
        <w:t>(Ham and Timmins 2015, p. 44)</w:t>
      </w:r>
    </w:p>
    <w:p w14:paraId="1EA38F6B" w14:textId="77777777" w:rsidR="008330E1" w:rsidRDefault="00934B40" w:rsidP="008330E1">
      <w:pPr>
        <w:pStyle w:val="BodyText"/>
      </w:pPr>
      <w:r>
        <w:t xml:space="preserve">Victoria is not alone. </w:t>
      </w:r>
      <w:r w:rsidR="008330E1">
        <w:t>Not only are there large clinical variations</w:t>
      </w:r>
      <w:r>
        <w:t xml:space="preserve"> across Australia</w:t>
      </w:r>
      <w:r w:rsidR="008330E1">
        <w:t xml:space="preserve">, and </w:t>
      </w:r>
      <w:r w:rsidR="0089267C">
        <w:t xml:space="preserve">a </w:t>
      </w:r>
      <w:r w:rsidR="008330E1">
        <w:t xml:space="preserve">significant </w:t>
      </w:r>
      <w:r w:rsidR="0089267C">
        <w:t xml:space="preserve">number of </w:t>
      </w:r>
      <w:r w:rsidR="008330E1">
        <w:t xml:space="preserve">adverse events, but in many cases, the evidential basis for clinical practice is deficient or dated. </w:t>
      </w:r>
      <w:r w:rsidR="00664A63">
        <w:t>There are changes afoot — such as the Australian Atlas of Clinical Var</w:t>
      </w:r>
      <w:r w:rsidR="00034F5F">
        <w:t>i</w:t>
      </w:r>
      <w:r w:rsidR="00664A63">
        <w:t xml:space="preserve">ations </w:t>
      </w:r>
      <w:r w:rsidR="00034F5F">
        <w:t>(chapter </w:t>
      </w:r>
      <w:r w:rsidR="005D3591">
        <w:t>7</w:t>
      </w:r>
      <w:r w:rsidR="00034F5F">
        <w:t xml:space="preserve">) </w:t>
      </w:r>
      <w:r w:rsidR="00664A63">
        <w:t xml:space="preserve">and initiatives like the </w:t>
      </w:r>
      <w:r w:rsidR="00F17527">
        <w:t>ACI’s Stroke Clinical Audit Process</w:t>
      </w:r>
      <w:r w:rsidR="00034F5F">
        <w:t xml:space="preserve"> </w:t>
      </w:r>
      <w:r w:rsidR="000D4B9C">
        <w:t xml:space="preserve">(SCAP) </w:t>
      </w:r>
      <w:r w:rsidR="00034F5F">
        <w:t>(</w:t>
      </w:r>
      <w:r w:rsidR="005D3591">
        <w:t>discussed in chapter 4 and further below in section 9.3</w:t>
      </w:r>
      <w:r w:rsidR="00034F5F">
        <w:t xml:space="preserve">). The latter is an </w:t>
      </w:r>
      <w:r w:rsidR="00103A7C">
        <w:t>exemplar</w:t>
      </w:r>
      <w:r w:rsidR="00034F5F">
        <w:t xml:space="preserve"> of what data </w:t>
      </w:r>
      <w:r w:rsidR="00E37281">
        <w:t xml:space="preserve">collection, analysis and learning </w:t>
      </w:r>
      <w:r w:rsidR="00034F5F">
        <w:t>at the site level can do</w:t>
      </w:r>
      <w:r w:rsidR="00E37281">
        <w:t>. The SCAP</w:t>
      </w:r>
      <w:r w:rsidR="00034F5F">
        <w:t xml:space="preserve"> was able to identify exactly what happened to patients when they were admitted to different hospitals with strokes, thereby isolating practices that should change</w:t>
      </w:r>
      <w:r w:rsidR="00103A7C">
        <w:t xml:space="preserve"> (such as </w:t>
      </w:r>
      <w:r w:rsidR="001739DE">
        <w:t>having a swallow test or providing an antithrombotic on discharge — table </w:t>
      </w:r>
      <w:r w:rsidR="00AC5A0B">
        <w:t>9.1</w:t>
      </w:r>
      <w:r w:rsidR="001739DE">
        <w:t xml:space="preserve">). Ideally, </w:t>
      </w:r>
      <w:r w:rsidR="007C2B29">
        <w:t>patient</w:t>
      </w:r>
      <w:r w:rsidR="007C2B29">
        <w:noBreakHyphen/>
        <w:t xml:space="preserve">level </w:t>
      </w:r>
      <w:r w:rsidR="001739DE">
        <w:t xml:space="preserve">data like this would be routinely collected at the hospital level for </w:t>
      </w:r>
      <w:r w:rsidR="005E1E45">
        <w:t>h</w:t>
      </w:r>
      <w:r w:rsidR="007C2B29">
        <w:t>igh</w:t>
      </w:r>
      <w:r w:rsidR="007C2B29">
        <w:noBreakHyphen/>
      </w:r>
      <w:r w:rsidR="005E1E45">
        <w:t>risk</w:t>
      </w:r>
      <w:r w:rsidR="001739DE">
        <w:t xml:space="preserve"> </w:t>
      </w:r>
      <w:r w:rsidR="007C2B29">
        <w:t>admissions</w:t>
      </w:r>
      <w:r w:rsidR="005E1E45">
        <w:t>,</w:t>
      </w:r>
      <w:r w:rsidR="001739DE">
        <w:t xml:space="preserve"> and </w:t>
      </w:r>
      <w:r w:rsidR="007C2B29">
        <w:t>would provide continuous feedback to hospitals so they can improve practices</w:t>
      </w:r>
      <w:r w:rsidR="000D6896">
        <w:t xml:space="preserve"> (decision</w:t>
      </w:r>
      <w:r w:rsidR="009C49CA">
        <w:noBreakHyphen/>
      </w:r>
      <w:r w:rsidR="000D6896">
        <w:t xml:space="preserve">support systems). </w:t>
      </w:r>
    </w:p>
    <w:p w14:paraId="1EA38F6C" w14:textId="77777777" w:rsidR="00935EB3" w:rsidRDefault="00935EB3" w:rsidP="00725639">
      <w:pPr>
        <w:pStyle w:val="BodyText"/>
      </w:pPr>
      <w:r>
        <w:t xml:space="preserve">Various disease </w:t>
      </w:r>
      <w:r w:rsidR="004772D1">
        <w:t>registries</w:t>
      </w:r>
      <w:r>
        <w:t xml:space="preserve"> are being used to inform best practice. For example, the Australia and New Zealand Hip Fracture </w:t>
      </w:r>
      <w:r w:rsidR="004772D1">
        <w:t>Registry</w:t>
      </w:r>
      <w:r>
        <w:t xml:space="preserve"> </w:t>
      </w:r>
      <w:r w:rsidR="004772D1">
        <w:t xml:space="preserve">was established in 2011 to develop guidelines and quality standards, collect a dataset and monitor </w:t>
      </w:r>
      <w:r w:rsidR="003D31AC">
        <w:t xml:space="preserve">hip fracture treatment </w:t>
      </w:r>
      <w:r w:rsidR="004772D1">
        <w:t xml:space="preserve">outcomes over time, </w:t>
      </w:r>
      <w:r w:rsidR="005C3663">
        <w:t xml:space="preserve">and </w:t>
      </w:r>
      <w:r w:rsidR="004772D1">
        <w:t>create a website to disseminate good practice</w:t>
      </w:r>
      <w:r w:rsidR="005C3663">
        <w:t xml:space="preserve"> </w:t>
      </w:r>
      <w:r w:rsidR="00C65A42" w:rsidRPr="00C65A42">
        <w:rPr>
          <w:szCs w:val="24"/>
        </w:rPr>
        <w:t>(Taylor 2015)</w:t>
      </w:r>
      <w:r w:rsidR="004772D1">
        <w:t xml:space="preserve">. As for stroke, the process included a facility level audit of the processes and outcomes following the presentation of a patient for a hip fracture. One clinician estimated that the use of the audit (and action based on it) had saved </w:t>
      </w:r>
      <w:r w:rsidR="005C3663">
        <w:t xml:space="preserve">1000 lives </w:t>
      </w:r>
      <w:r w:rsidR="00C65A42" w:rsidRPr="00C65A42">
        <w:rPr>
          <w:szCs w:val="24"/>
        </w:rPr>
        <w:t>(Harris 2016a)</w:t>
      </w:r>
      <w:r w:rsidR="003D31AC">
        <w:t>.</w:t>
      </w:r>
    </w:p>
    <w:p w14:paraId="1EA38F6D" w14:textId="77777777" w:rsidR="008C3944" w:rsidRDefault="008C3944" w:rsidP="00725639">
      <w:pPr>
        <w:pStyle w:val="BodyText"/>
      </w:pPr>
      <w:r>
        <w:t xml:space="preserve">Even where data systems are available, that does not necessarily guarantee their use. </w:t>
      </w:r>
      <w:r w:rsidRPr="00F31E94">
        <w:t>Clinicians may have access to systems that guide their clinical judgments or help them interpret a patient’s record, but they do not always use them or have the incentives to do so (Fountaine and Bennett 2016).</w:t>
      </w:r>
    </w:p>
    <w:p w14:paraId="1EA38F6E" w14:textId="77777777" w:rsidR="00725639" w:rsidRDefault="00F23016" w:rsidP="00725639">
      <w:pPr>
        <w:pStyle w:val="BodyText"/>
      </w:pPr>
      <w:r>
        <w:t xml:space="preserve">General practice has engaged far more with information technology than others in the health care system. </w:t>
      </w:r>
      <w:r w:rsidR="009C49CA">
        <w:t xml:space="preserve">In June 2017, </w:t>
      </w:r>
      <w:r w:rsidR="00C43F38">
        <w:t>about</w:t>
      </w:r>
      <w:r w:rsidR="009C49CA">
        <w:t xml:space="preserve"> 6</w:t>
      </w:r>
      <w:r w:rsidR="0009127F">
        <w:t xml:space="preserve">100 general practices were </w:t>
      </w:r>
      <w:r w:rsidR="006E29CE">
        <w:t>registered</w:t>
      </w:r>
      <w:r w:rsidR="0009127F">
        <w:t xml:space="preserve"> for My Health Record</w:t>
      </w:r>
      <w:r w:rsidR="004A4247">
        <w:t>, representing 85 per cent of practices</w:t>
      </w:r>
      <w:r w:rsidR="006E29CE">
        <w:t>.</w:t>
      </w:r>
      <w:r w:rsidR="006E29CE" w:rsidRPr="003D243B">
        <w:rPr>
          <w:rStyle w:val="FootnoteReference"/>
        </w:rPr>
        <w:footnoteReference w:id="43"/>
      </w:r>
      <w:r w:rsidR="004A4247">
        <w:t xml:space="preserve"> </w:t>
      </w:r>
      <w:r w:rsidR="00725639">
        <w:t xml:space="preserve">While 96 per cent of general practitioners used computers for clinical purposes, prevalence rates for specialists (37 per cent) and surgeons (22 per cent) suggest that they cannot efficiently transfer information — a critical feature of integrated health </w:t>
      </w:r>
      <w:r w:rsidR="00C65A42" w:rsidRPr="00C65A42">
        <w:rPr>
          <w:szCs w:val="24"/>
        </w:rPr>
        <w:t>(PC 2017a, p. 517)</w:t>
      </w:r>
      <w:r w:rsidR="00725639">
        <w:t>. As one clinician remarked:</w:t>
      </w:r>
    </w:p>
    <w:p w14:paraId="1EA38F6F" w14:textId="77777777" w:rsidR="00725639" w:rsidRDefault="00725639" w:rsidP="00725639">
      <w:pPr>
        <w:pStyle w:val="Quote"/>
      </w:pPr>
      <w:r>
        <w:t>I use a fax machine almost daily, as well as other arcane technologies, such as the pager that has to be carried around at all times. These rather quaint examples make for fun anecdotes to regale non</w:t>
      </w:r>
      <w:r w:rsidR="009C49CA">
        <w:noBreakHyphen/>
      </w:r>
      <w:r>
        <w:t>medical friends with, but they speak to something more profound: the generally abject quality of the communication tools employed by health care practitioners. This is especially clear in our handling of medical records. It’s ironic, given that our profession takes so much pride in the ability to tell the story in a succinct and a systematic way, that we are so tolerant of platforms that obscure rather than illuminate the important points in a patient’s history. Even within a single hospital network, the archive can be dense, chaotic and generally migraine</w:t>
      </w:r>
      <w:r w:rsidR="009C49CA">
        <w:noBreakHyphen/>
      </w:r>
      <w:r>
        <w:t>inducing. It’s not uncommon to find a crucial operation report hidden among a dozen computer</w:t>
      </w:r>
      <w:r w:rsidR="009C49CA">
        <w:noBreakHyphen/>
      </w:r>
      <w:r>
        <w:t>generated data logs or lost at the end of a digital cul</w:t>
      </w:r>
      <w:r w:rsidR="009C49CA">
        <w:noBreakHyphen/>
      </w:r>
      <w:r>
        <w:t>de</w:t>
      </w:r>
      <w:r w:rsidR="009C49CA">
        <w:noBreakHyphen/>
      </w:r>
      <w:r>
        <w:t xml:space="preserve">sac. </w:t>
      </w:r>
      <w:r w:rsidR="00D36BA7" w:rsidRPr="00D36BA7">
        <w:rPr>
          <w:szCs w:val="24"/>
        </w:rPr>
        <w:t>(Dando 2017, p. 1)</w:t>
      </w:r>
    </w:p>
    <w:p w14:paraId="1EA38F70" w14:textId="77777777" w:rsidR="00AE62F5" w:rsidRDefault="00AE62F5" w:rsidP="0042598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9073"/>
      </w:tblGrid>
      <w:tr w:rsidR="00AE62F5" w14:paraId="1EA38F73" w14:textId="77777777" w:rsidTr="00425987">
        <w:tc>
          <w:tcPr>
            <w:tcW w:w="5000" w:type="pct"/>
            <w:tcBorders>
              <w:top w:val="single" w:sz="6" w:space="0" w:color="78A22F"/>
              <w:left w:val="nil"/>
              <w:bottom w:val="nil"/>
              <w:right w:val="nil"/>
            </w:tcBorders>
            <w:shd w:val="clear" w:color="auto" w:fill="auto"/>
          </w:tcPr>
          <w:p w14:paraId="1EA38F71" w14:textId="77777777" w:rsidR="00AE62F5" w:rsidRDefault="00AE62F5" w:rsidP="00425987">
            <w:pPr>
              <w:pStyle w:val="TableTitle"/>
            </w:pPr>
            <w:r w:rsidRPr="00944790">
              <w:rPr>
                <w:b w:val="0"/>
              </w:rPr>
              <w:t xml:space="preserve">Table </w:t>
            </w:r>
            <w:r w:rsidR="00AC5A0B" w:rsidRPr="00944790">
              <w:rPr>
                <w:b w:val="0"/>
              </w:rPr>
              <w:t>9.1</w:t>
            </w:r>
            <w:r w:rsidR="000A5BC0">
              <w:tab/>
              <w:t>Data identify</w:t>
            </w:r>
            <w:r>
              <w:t xml:space="preserve"> the potential for practice improv</w:t>
            </w:r>
            <w:r w:rsidR="001C2A40">
              <w:t>e</w:t>
            </w:r>
            <w:r>
              <w:t>ments</w:t>
            </w:r>
          </w:p>
          <w:p w14:paraId="1EA38F72" w14:textId="77777777" w:rsidR="00AE62F5" w:rsidRPr="00784A05" w:rsidRDefault="00AE62F5" w:rsidP="00425987">
            <w:pPr>
              <w:pStyle w:val="Subtitle"/>
            </w:pPr>
            <w:r>
              <w:t>What 6 hospitals did for an admitted stroke patient</w:t>
            </w:r>
          </w:p>
        </w:tc>
      </w:tr>
      <w:tr w:rsidR="00AE62F5" w14:paraId="1EA38FCF" w14:textId="77777777" w:rsidTr="00425987">
        <w:tc>
          <w:tcPr>
            <w:tcW w:w="5000" w:type="pct"/>
            <w:tcBorders>
              <w:top w:val="nil"/>
              <w:left w:val="nil"/>
              <w:bottom w:val="nil"/>
              <w:right w:val="nil"/>
            </w:tcBorders>
            <w:shd w:val="clear" w:color="auto" w:fill="auto"/>
          </w:tcPr>
          <w:tbl>
            <w:tblPr>
              <w:tblW w:w="8545" w:type="dxa"/>
              <w:tblCellMar>
                <w:top w:w="28" w:type="dxa"/>
                <w:left w:w="0" w:type="dxa"/>
                <w:right w:w="0" w:type="dxa"/>
              </w:tblCellMar>
              <w:tblLook w:val="0000" w:firstRow="0" w:lastRow="0" w:firstColumn="0" w:lastColumn="0" w:noHBand="0" w:noVBand="0"/>
            </w:tblPr>
            <w:tblGrid>
              <w:gridCol w:w="3521"/>
              <w:gridCol w:w="440"/>
              <w:gridCol w:w="768"/>
              <w:gridCol w:w="768"/>
              <w:gridCol w:w="765"/>
              <w:gridCol w:w="765"/>
              <w:gridCol w:w="765"/>
              <w:gridCol w:w="753"/>
            </w:tblGrid>
            <w:tr w:rsidR="00AE62F5" w14:paraId="1EA38F7C" w14:textId="77777777" w:rsidTr="00AE62F5">
              <w:trPr>
                <w:tblHeader/>
              </w:trPr>
              <w:tc>
                <w:tcPr>
                  <w:tcW w:w="2074" w:type="pct"/>
                  <w:tcBorders>
                    <w:top w:val="single" w:sz="6" w:space="0" w:color="BFBFBF"/>
                    <w:bottom w:val="single" w:sz="6" w:space="0" w:color="BFBFBF"/>
                  </w:tcBorders>
                  <w:shd w:val="clear" w:color="auto" w:fill="auto"/>
                  <w:tcMar>
                    <w:top w:w="28" w:type="dxa"/>
                  </w:tcMar>
                  <w:vAlign w:val="bottom"/>
                </w:tcPr>
                <w:p w14:paraId="1EA38F74" w14:textId="77777777" w:rsidR="00AE62F5" w:rsidRPr="00AE62F5" w:rsidRDefault="00AE62F5" w:rsidP="00AE62F5">
                  <w:pPr>
                    <w:pStyle w:val="TableColumnHeading"/>
                    <w:jc w:val="left"/>
                  </w:pPr>
                  <w:r w:rsidRPr="00AE62F5">
                    <w:t>Clinical measure</w:t>
                  </w:r>
                </w:p>
              </w:tc>
              <w:tc>
                <w:tcPr>
                  <w:tcW w:w="163" w:type="pct"/>
                  <w:tcBorders>
                    <w:top w:val="single" w:sz="6" w:space="0" w:color="BFBFBF"/>
                    <w:bottom w:val="single" w:sz="6" w:space="0" w:color="BFBFBF"/>
                  </w:tcBorders>
                  <w:vAlign w:val="bottom"/>
                </w:tcPr>
                <w:p w14:paraId="1EA38F75" w14:textId="77777777" w:rsidR="00AE62F5" w:rsidRPr="00AE62F5" w:rsidRDefault="00AE62F5" w:rsidP="00AE62F5">
                  <w:pPr>
                    <w:pStyle w:val="TableColumnHeading"/>
                  </w:pPr>
                  <w:r w:rsidRPr="00AE62F5">
                    <w:t>Unit</w:t>
                  </w:r>
                </w:p>
              </w:tc>
              <w:tc>
                <w:tcPr>
                  <w:tcW w:w="463" w:type="pct"/>
                  <w:tcBorders>
                    <w:top w:val="single" w:sz="6" w:space="0" w:color="BFBFBF"/>
                    <w:bottom w:val="single" w:sz="6" w:space="0" w:color="BFBFBF"/>
                  </w:tcBorders>
                  <w:vAlign w:val="bottom"/>
                </w:tcPr>
                <w:p w14:paraId="1EA38F76" w14:textId="77777777" w:rsidR="00AE62F5" w:rsidRPr="00AE62F5" w:rsidRDefault="00AE62F5" w:rsidP="00AE62F5">
                  <w:pPr>
                    <w:pStyle w:val="TableColumnHeading"/>
                  </w:pPr>
                  <w:r>
                    <w:t>H</w:t>
                  </w:r>
                  <w:r w:rsidRPr="00AE62F5">
                    <w:t>1</w:t>
                  </w:r>
                </w:p>
              </w:tc>
              <w:tc>
                <w:tcPr>
                  <w:tcW w:w="463" w:type="pct"/>
                  <w:tcBorders>
                    <w:top w:val="single" w:sz="6" w:space="0" w:color="BFBFBF"/>
                    <w:bottom w:val="single" w:sz="6" w:space="0" w:color="BFBFBF"/>
                  </w:tcBorders>
                  <w:vAlign w:val="bottom"/>
                </w:tcPr>
                <w:p w14:paraId="1EA38F77" w14:textId="77777777" w:rsidR="00AE62F5" w:rsidRPr="00AE62F5" w:rsidRDefault="00AE62F5" w:rsidP="00AE62F5">
                  <w:pPr>
                    <w:pStyle w:val="TableColumnHeading"/>
                  </w:pPr>
                  <w:r>
                    <w:t>H</w:t>
                  </w:r>
                  <w:r w:rsidRPr="00AE62F5">
                    <w:t>2</w:t>
                  </w:r>
                </w:p>
              </w:tc>
              <w:tc>
                <w:tcPr>
                  <w:tcW w:w="461" w:type="pct"/>
                  <w:tcBorders>
                    <w:top w:val="single" w:sz="6" w:space="0" w:color="BFBFBF"/>
                    <w:bottom w:val="single" w:sz="6" w:space="0" w:color="BFBFBF"/>
                  </w:tcBorders>
                  <w:vAlign w:val="bottom"/>
                </w:tcPr>
                <w:p w14:paraId="1EA38F78" w14:textId="77777777" w:rsidR="00AE62F5" w:rsidRPr="00AE62F5" w:rsidRDefault="00AE62F5" w:rsidP="00AE62F5">
                  <w:pPr>
                    <w:pStyle w:val="TableColumnHeading"/>
                  </w:pPr>
                  <w:r>
                    <w:t>H</w:t>
                  </w:r>
                  <w:r w:rsidRPr="00AE62F5">
                    <w:t>3</w:t>
                  </w:r>
                </w:p>
              </w:tc>
              <w:tc>
                <w:tcPr>
                  <w:tcW w:w="461" w:type="pct"/>
                  <w:tcBorders>
                    <w:top w:val="single" w:sz="6" w:space="0" w:color="BFBFBF"/>
                    <w:bottom w:val="single" w:sz="6" w:space="0" w:color="BFBFBF"/>
                  </w:tcBorders>
                  <w:vAlign w:val="bottom"/>
                </w:tcPr>
                <w:p w14:paraId="1EA38F79" w14:textId="77777777" w:rsidR="00AE62F5" w:rsidRPr="00AE62F5" w:rsidRDefault="00AE62F5" w:rsidP="00AE62F5">
                  <w:pPr>
                    <w:pStyle w:val="TableColumnHeading"/>
                  </w:pPr>
                  <w:r>
                    <w:t>H</w:t>
                  </w:r>
                  <w:r w:rsidRPr="00AE62F5">
                    <w:t>4</w:t>
                  </w:r>
                </w:p>
              </w:tc>
              <w:tc>
                <w:tcPr>
                  <w:tcW w:w="461" w:type="pct"/>
                  <w:tcBorders>
                    <w:top w:val="single" w:sz="6" w:space="0" w:color="BFBFBF"/>
                    <w:bottom w:val="single" w:sz="6" w:space="0" w:color="BFBFBF"/>
                  </w:tcBorders>
                  <w:shd w:val="clear" w:color="auto" w:fill="auto"/>
                  <w:tcMar>
                    <w:top w:w="28" w:type="dxa"/>
                  </w:tcMar>
                  <w:vAlign w:val="bottom"/>
                </w:tcPr>
                <w:p w14:paraId="1EA38F7A" w14:textId="77777777" w:rsidR="00AE62F5" w:rsidRPr="00AE62F5" w:rsidRDefault="00AE62F5" w:rsidP="00AE62F5">
                  <w:pPr>
                    <w:pStyle w:val="TableColumnHeading"/>
                  </w:pPr>
                  <w:r>
                    <w:t>H</w:t>
                  </w:r>
                  <w:r w:rsidRPr="00AE62F5">
                    <w:t>5</w:t>
                  </w:r>
                </w:p>
              </w:tc>
              <w:tc>
                <w:tcPr>
                  <w:tcW w:w="454" w:type="pct"/>
                  <w:tcBorders>
                    <w:top w:val="single" w:sz="6" w:space="0" w:color="BFBFBF"/>
                    <w:bottom w:val="single" w:sz="6" w:space="0" w:color="BFBFBF"/>
                  </w:tcBorders>
                  <w:shd w:val="clear" w:color="auto" w:fill="auto"/>
                  <w:tcMar>
                    <w:top w:w="28" w:type="dxa"/>
                  </w:tcMar>
                  <w:vAlign w:val="bottom"/>
                </w:tcPr>
                <w:p w14:paraId="1EA38F7B" w14:textId="77777777" w:rsidR="00AE62F5" w:rsidRPr="00AE62F5" w:rsidRDefault="00AE62F5" w:rsidP="00AE62F5">
                  <w:pPr>
                    <w:pStyle w:val="TableColumnHeading"/>
                  </w:pPr>
                  <w:r>
                    <w:t>H</w:t>
                  </w:r>
                  <w:r w:rsidRPr="00AE62F5">
                    <w:t>6</w:t>
                  </w:r>
                </w:p>
              </w:tc>
            </w:tr>
            <w:tr w:rsidR="00AE62F5" w14:paraId="1EA38F85" w14:textId="77777777" w:rsidTr="00AE62F5">
              <w:tc>
                <w:tcPr>
                  <w:tcW w:w="2074" w:type="pct"/>
                  <w:tcBorders>
                    <w:top w:val="single" w:sz="6" w:space="0" w:color="BFBFBF"/>
                  </w:tcBorders>
                  <w:vAlign w:val="bottom"/>
                </w:tcPr>
                <w:p w14:paraId="1EA38F7D" w14:textId="77777777" w:rsidR="00AE62F5" w:rsidRDefault="00AE62F5" w:rsidP="00AE62F5">
                  <w:pPr>
                    <w:pStyle w:val="TableBodyText"/>
                    <w:jc w:val="left"/>
                  </w:pPr>
                  <w:r>
                    <w:t>30 day mortality rate</w:t>
                  </w:r>
                </w:p>
              </w:tc>
              <w:tc>
                <w:tcPr>
                  <w:tcW w:w="163" w:type="pct"/>
                  <w:tcBorders>
                    <w:top w:val="single" w:sz="6" w:space="0" w:color="BFBFBF"/>
                  </w:tcBorders>
                  <w:vAlign w:val="bottom"/>
                </w:tcPr>
                <w:p w14:paraId="1EA38F7E" w14:textId="77777777" w:rsidR="00AE62F5" w:rsidRDefault="00AE62F5" w:rsidP="00AE62F5">
                  <w:pPr>
                    <w:pStyle w:val="TableBodyText"/>
                  </w:pPr>
                  <w:r>
                    <w:t>%</w:t>
                  </w:r>
                </w:p>
              </w:tc>
              <w:tc>
                <w:tcPr>
                  <w:tcW w:w="463" w:type="pct"/>
                  <w:tcBorders>
                    <w:top w:val="single" w:sz="6" w:space="0" w:color="BFBFBF"/>
                  </w:tcBorders>
                  <w:vAlign w:val="bottom"/>
                </w:tcPr>
                <w:p w14:paraId="1EA38F7F" w14:textId="77777777" w:rsidR="00AE62F5" w:rsidRDefault="00AE62F5" w:rsidP="00AE62F5">
                  <w:pPr>
                    <w:pStyle w:val="TableBodyText"/>
                  </w:pPr>
                  <w:r>
                    <w:t>20.7</w:t>
                  </w:r>
                </w:p>
              </w:tc>
              <w:tc>
                <w:tcPr>
                  <w:tcW w:w="463" w:type="pct"/>
                  <w:tcBorders>
                    <w:top w:val="single" w:sz="6" w:space="0" w:color="BFBFBF"/>
                  </w:tcBorders>
                  <w:vAlign w:val="bottom"/>
                </w:tcPr>
                <w:p w14:paraId="1EA38F80" w14:textId="77777777" w:rsidR="00AE62F5" w:rsidRDefault="00AE62F5" w:rsidP="00AE62F5">
                  <w:pPr>
                    <w:pStyle w:val="TableBodyText"/>
                  </w:pPr>
                  <w:r>
                    <w:t>8.2</w:t>
                  </w:r>
                </w:p>
              </w:tc>
              <w:tc>
                <w:tcPr>
                  <w:tcW w:w="461" w:type="pct"/>
                  <w:tcBorders>
                    <w:top w:val="single" w:sz="6" w:space="0" w:color="BFBFBF"/>
                  </w:tcBorders>
                  <w:vAlign w:val="bottom"/>
                </w:tcPr>
                <w:p w14:paraId="1EA38F81" w14:textId="77777777" w:rsidR="00AE62F5" w:rsidRDefault="00AE62F5" w:rsidP="00AE62F5">
                  <w:pPr>
                    <w:pStyle w:val="TableBodyText"/>
                  </w:pPr>
                  <w:r>
                    <w:t>9.2</w:t>
                  </w:r>
                </w:p>
              </w:tc>
              <w:tc>
                <w:tcPr>
                  <w:tcW w:w="461" w:type="pct"/>
                  <w:tcBorders>
                    <w:top w:val="single" w:sz="6" w:space="0" w:color="BFBFBF"/>
                  </w:tcBorders>
                  <w:vAlign w:val="bottom"/>
                </w:tcPr>
                <w:p w14:paraId="1EA38F82" w14:textId="77777777" w:rsidR="00AE62F5" w:rsidRDefault="00AE62F5" w:rsidP="00AE62F5">
                  <w:pPr>
                    <w:pStyle w:val="TableBodyText"/>
                  </w:pPr>
                  <w:r>
                    <w:t>19.1</w:t>
                  </w:r>
                </w:p>
              </w:tc>
              <w:tc>
                <w:tcPr>
                  <w:tcW w:w="461" w:type="pct"/>
                  <w:tcBorders>
                    <w:top w:val="single" w:sz="6" w:space="0" w:color="BFBFBF"/>
                  </w:tcBorders>
                  <w:vAlign w:val="bottom"/>
                </w:tcPr>
                <w:p w14:paraId="1EA38F83" w14:textId="77777777" w:rsidR="00AE62F5" w:rsidRDefault="00AE62F5" w:rsidP="00AE62F5">
                  <w:pPr>
                    <w:pStyle w:val="TableBodyText"/>
                  </w:pPr>
                  <w:r>
                    <w:t>30.6</w:t>
                  </w:r>
                </w:p>
              </w:tc>
              <w:tc>
                <w:tcPr>
                  <w:tcW w:w="454" w:type="pct"/>
                  <w:tcBorders>
                    <w:top w:val="single" w:sz="6" w:space="0" w:color="BFBFBF"/>
                  </w:tcBorders>
                  <w:vAlign w:val="bottom"/>
                </w:tcPr>
                <w:p w14:paraId="1EA38F84" w14:textId="77777777" w:rsidR="00AE62F5" w:rsidRDefault="00AE62F5" w:rsidP="00AE62F5">
                  <w:pPr>
                    <w:pStyle w:val="TableBodyText"/>
                  </w:pPr>
                  <w:r>
                    <w:t>9.6</w:t>
                  </w:r>
                </w:p>
              </w:tc>
            </w:tr>
            <w:tr w:rsidR="00AE62F5" w14:paraId="1EA38F8E" w14:textId="77777777" w:rsidTr="00AE62F5">
              <w:tc>
                <w:tcPr>
                  <w:tcW w:w="2074" w:type="pct"/>
                  <w:vAlign w:val="bottom"/>
                </w:tcPr>
                <w:p w14:paraId="1EA38F86" w14:textId="77777777" w:rsidR="00AE62F5" w:rsidRDefault="00AE62F5" w:rsidP="00AE62F5">
                  <w:pPr>
                    <w:pStyle w:val="TableBodyText"/>
                    <w:jc w:val="left"/>
                  </w:pPr>
                  <w:r>
                    <w:t>Stroke Unit Bed or High Dependency Unit</w:t>
                  </w:r>
                </w:p>
              </w:tc>
              <w:tc>
                <w:tcPr>
                  <w:tcW w:w="163" w:type="pct"/>
                  <w:vAlign w:val="bottom"/>
                </w:tcPr>
                <w:p w14:paraId="1EA38F87" w14:textId="77777777" w:rsidR="00AE62F5" w:rsidRDefault="00AE62F5" w:rsidP="00AE62F5">
                  <w:pPr>
                    <w:pStyle w:val="TableBodyText"/>
                  </w:pPr>
                  <w:r>
                    <w:t>%</w:t>
                  </w:r>
                </w:p>
              </w:tc>
              <w:tc>
                <w:tcPr>
                  <w:tcW w:w="463" w:type="pct"/>
                  <w:vAlign w:val="bottom"/>
                </w:tcPr>
                <w:p w14:paraId="1EA38F88" w14:textId="77777777" w:rsidR="00AE62F5" w:rsidRDefault="00AE62F5" w:rsidP="00AE62F5">
                  <w:pPr>
                    <w:pStyle w:val="TableBodyText"/>
                  </w:pPr>
                  <w:r>
                    <w:t>100</w:t>
                  </w:r>
                </w:p>
              </w:tc>
              <w:tc>
                <w:tcPr>
                  <w:tcW w:w="463" w:type="pct"/>
                  <w:vAlign w:val="bottom"/>
                </w:tcPr>
                <w:p w14:paraId="1EA38F89" w14:textId="77777777" w:rsidR="00AE62F5" w:rsidRDefault="00AE62F5" w:rsidP="00AE62F5">
                  <w:pPr>
                    <w:pStyle w:val="TableBodyText"/>
                  </w:pPr>
                  <w:r>
                    <w:t>100</w:t>
                  </w:r>
                </w:p>
              </w:tc>
              <w:tc>
                <w:tcPr>
                  <w:tcW w:w="461" w:type="pct"/>
                  <w:vAlign w:val="bottom"/>
                </w:tcPr>
                <w:p w14:paraId="1EA38F8A" w14:textId="77777777" w:rsidR="00AE62F5" w:rsidRDefault="00AE62F5" w:rsidP="00AE62F5">
                  <w:pPr>
                    <w:pStyle w:val="TableBodyText"/>
                  </w:pPr>
                  <w:r>
                    <w:t>63</w:t>
                  </w:r>
                </w:p>
              </w:tc>
              <w:tc>
                <w:tcPr>
                  <w:tcW w:w="461" w:type="pct"/>
                  <w:vAlign w:val="bottom"/>
                </w:tcPr>
                <w:p w14:paraId="1EA38F8B" w14:textId="77777777" w:rsidR="00AE62F5" w:rsidRDefault="00AE62F5" w:rsidP="00AE62F5">
                  <w:pPr>
                    <w:pStyle w:val="TableBodyText"/>
                  </w:pPr>
                  <w:r>
                    <w:t>0</w:t>
                  </w:r>
                </w:p>
              </w:tc>
              <w:tc>
                <w:tcPr>
                  <w:tcW w:w="461" w:type="pct"/>
                  <w:vAlign w:val="bottom"/>
                </w:tcPr>
                <w:p w14:paraId="1EA38F8C" w14:textId="77777777" w:rsidR="00AE62F5" w:rsidRDefault="00AE62F5" w:rsidP="00AE62F5">
                  <w:pPr>
                    <w:pStyle w:val="TableBodyText"/>
                  </w:pPr>
                  <w:r>
                    <w:t>0</w:t>
                  </w:r>
                </w:p>
              </w:tc>
              <w:tc>
                <w:tcPr>
                  <w:tcW w:w="454" w:type="pct"/>
                  <w:vAlign w:val="bottom"/>
                </w:tcPr>
                <w:p w14:paraId="1EA38F8D" w14:textId="77777777" w:rsidR="00AE62F5" w:rsidRDefault="00AE62F5" w:rsidP="00AE62F5">
                  <w:pPr>
                    <w:pStyle w:val="TableBodyText"/>
                  </w:pPr>
                  <w:r>
                    <w:t>100</w:t>
                  </w:r>
                </w:p>
              </w:tc>
            </w:tr>
            <w:tr w:rsidR="00AE62F5" w14:paraId="1EA38F97" w14:textId="77777777" w:rsidTr="00AE62F5">
              <w:tc>
                <w:tcPr>
                  <w:tcW w:w="2074" w:type="pct"/>
                  <w:vAlign w:val="bottom"/>
                </w:tcPr>
                <w:p w14:paraId="1EA38F8F" w14:textId="77777777" w:rsidR="00AE62F5" w:rsidRDefault="00AE62F5" w:rsidP="00AE62F5">
                  <w:pPr>
                    <w:pStyle w:val="TableBodyText"/>
                    <w:jc w:val="left"/>
                  </w:pPr>
                  <w:r>
                    <w:t>24 hour neurological observations</w:t>
                  </w:r>
                </w:p>
              </w:tc>
              <w:tc>
                <w:tcPr>
                  <w:tcW w:w="163" w:type="pct"/>
                  <w:vAlign w:val="bottom"/>
                </w:tcPr>
                <w:p w14:paraId="1EA38F90" w14:textId="77777777" w:rsidR="00AE62F5" w:rsidRDefault="00AE62F5" w:rsidP="00AE62F5">
                  <w:pPr>
                    <w:pStyle w:val="TableBodyText"/>
                  </w:pPr>
                  <w:r>
                    <w:t>%</w:t>
                  </w:r>
                </w:p>
              </w:tc>
              <w:tc>
                <w:tcPr>
                  <w:tcW w:w="463" w:type="pct"/>
                  <w:vAlign w:val="bottom"/>
                </w:tcPr>
                <w:p w14:paraId="1EA38F91" w14:textId="77777777" w:rsidR="00AE62F5" w:rsidRDefault="00AE62F5" w:rsidP="00AE62F5">
                  <w:pPr>
                    <w:pStyle w:val="TableBodyText"/>
                  </w:pPr>
                  <w:r>
                    <w:t>100</w:t>
                  </w:r>
                </w:p>
              </w:tc>
              <w:tc>
                <w:tcPr>
                  <w:tcW w:w="463" w:type="pct"/>
                  <w:vAlign w:val="bottom"/>
                </w:tcPr>
                <w:p w14:paraId="1EA38F92" w14:textId="77777777" w:rsidR="00AE62F5" w:rsidRDefault="00AE62F5" w:rsidP="00AE62F5">
                  <w:pPr>
                    <w:pStyle w:val="TableBodyText"/>
                  </w:pPr>
                  <w:r>
                    <w:t>95</w:t>
                  </w:r>
                </w:p>
              </w:tc>
              <w:tc>
                <w:tcPr>
                  <w:tcW w:w="461" w:type="pct"/>
                  <w:vAlign w:val="bottom"/>
                </w:tcPr>
                <w:p w14:paraId="1EA38F93" w14:textId="77777777" w:rsidR="00AE62F5" w:rsidRDefault="00AE62F5" w:rsidP="00AE62F5">
                  <w:pPr>
                    <w:pStyle w:val="TableBodyText"/>
                  </w:pPr>
                  <w:r>
                    <w:t>63</w:t>
                  </w:r>
                </w:p>
              </w:tc>
              <w:tc>
                <w:tcPr>
                  <w:tcW w:w="461" w:type="pct"/>
                  <w:vAlign w:val="bottom"/>
                </w:tcPr>
                <w:p w14:paraId="1EA38F94" w14:textId="77777777" w:rsidR="00AE62F5" w:rsidRDefault="00AE62F5" w:rsidP="00AE62F5">
                  <w:pPr>
                    <w:pStyle w:val="TableBodyText"/>
                  </w:pPr>
                  <w:r>
                    <w:t>55</w:t>
                  </w:r>
                </w:p>
              </w:tc>
              <w:tc>
                <w:tcPr>
                  <w:tcW w:w="461" w:type="pct"/>
                  <w:vAlign w:val="bottom"/>
                </w:tcPr>
                <w:p w14:paraId="1EA38F95" w14:textId="77777777" w:rsidR="00AE62F5" w:rsidRDefault="00AE62F5" w:rsidP="00AE62F5">
                  <w:pPr>
                    <w:pStyle w:val="TableBodyText"/>
                  </w:pPr>
                  <w:r>
                    <w:t>9</w:t>
                  </w:r>
                </w:p>
              </w:tc>
              <w:tc>
                <w:tcPr>
                  <w:tcW w:w="454" w:type="pct"/>
                  <w:vAlign w:val="bottom"/>
                </w:tcPr>
                <w:p w14:paraId="1EA38F96" w14:textId="77777777" w:rsidR="00AE62F5" w:rsidRDefault="00AE62F5" w:rsidP="00AE62F5">
                  <w:pPr>
                    <w:pStyle w:val="TableBodyText"/>
                  </w:pPr>
                  <w:r>
                    <w:t>100</w:t>
                  </w:r>
                </w:p>
              </w:tc>
            </w:tr>
            <w:tr w:rsidR="00AE62F5" w14:paraId="1EA38FA0" w14:textId="77777777" w:rsidTr="00AE62F5">
              <w:tc>
                <w:tcPr>
                  <w:tcW w:w="2074" w:type="pct"/>
                  <w:vAlign w:val="bottom"/>
                </w:tcPr>
                <w:p w14:paraId="1EA38F98" w14:textId="77777777" w:rsidR="00AE62F5" w:rsidRDefault="00AE62F5" w:rsidP="00AE62F5">
                  <w:pPr>
                    <w:pStyle w:val="TableBodyText"/>
                    <w:jc w:val="left"/>
                  </w:pPr>
                  <w:r>
                    <w:t>Used stroke clinical pathway</w:t>
                  </w:r>
                </w:p>
              </w:tc>
              <w:tc>
                <w:tcPr>
                  <w:tcW w:w="163" w:type="pct"/>
                  <w:vAlign w:val="bottom"/>
                </w:tcPr>
                <w:p w14:paraId="1EA38F99" w14:textId="77777777" w:rsidR="00AE62F5" w:rsidRDefault="00AE62F5" w:rsidP="00AE62F5">
                  <w:pPr>
                    <w:pStyle w:val="TableBodyText"/>
                  </w:pPr>
                  <w:r>
                    <w:t>%</w:t>
                  </w:r>
                </w:p>
              </w:tc>
              <w:tc>
                <w:tcPr>
                  <w:tcW w:w="463" w:type="pct"/>
                  <w:vAlign w:val="bottom"/>
                </w:tcPr>
                <w:p w14:paraId="1EA38F9A" w14:textId="77777777" w:rsidR="00AE62F5" w:rsidRDefault="00AE62F5" w:rsidP="00AE62F5">
                  <w:pPr>
                    <w:pStyle w:val="TableBodyText"/>
                  </w:pPr>
                  <w:r>
                    <w:t>0</w:t>
                  </w:r>
                </w:p>
              </w:tc>
              <w:tc>
                <w:tcPr>
                  <w:tcW w:w="463" w:type="pct"/>
                  <w:vAlign w:val="bottom"/>
                </w:tcPr>
                <w:p w14:paraId="1EA38F9B" w14:textId="77777777" w:rsidR="00AE62F5" w:rsidRDefault="00AE62F5" w:rsidP="00AE62F5">
                  <w:pPr>
                    <w:pStyle w:val="TableBodyText"/>
                  </w:pPr>
                  <w:r>
                    <w:t>45</w:t>
                  </w:r>
                </w:p>
              </w:tc>
              <w:tc>
                <w:tcPr>
                  <w:tcW w:w="461" w:type="pct"/>
                  <w:vAlign w:val="bottom"/>
                </w:tcPr>
                <w:p w14:paraId="1EA38F9C" w14:textId="77777777" w:rsidR="00AE62F5" w:rsidRDefault="00AE62F5" w:rsidP="00AE62F5">
                  <w:pPr>
                    <w:pStyle w:val="TableBodyText"/>
                  </w:pPr>
                  <w:r>
                    <w:t>85</w:t>
                  </w:r>
                </w:p>
              </w:tc>
              <w:tc>
                <w:tcPr>
                  <w:tcW w:w="461" w:type="pct"/>
                  <w:vAlign w:val="bottom"/>
                </w:tcPr>
                <w:p w14:paraId="1EA38F9D" w14:textId="77777777" w:rsidR="00AE62F5" w:rsidRDefault="00AE62F5" w:rsidP="00AE62F5">
                  <w:pPr>
                    <w:pStyle w:val="TableBodyText"/>
                  </w:pPr>
                  <w:r>
                    <w:t>80</w:t>
                  </w:r>
                </w:p>
              </w:tc>
              <w:tc>
                <w:tcPr>
                  <w:tcW w:w="461" w:type="pct"/>
                  <w:vAlign w:val="bottom"/>
                </w:tcPr>
                <w:p w14:paraId="1EA38F9E" w14:textId="77777777" w:rsidR="00AE62F5" w:rsidRDefault="00AE62F5" w:rsidP="00AE62F5">
                  <w:pPr>
                    <w:pStyle w:val="TableBodyText"/>
                  </w:pPr>
                  <w:r>
                    <w:t>0</w:t>
                  </w:r>
                </w:p>
              </w:tc>
              <w:tc>
                <w:tcPr>
                  <w:tcW w:w="454" w:type="pct"/>
                  <w:vAlign w:val="bottom"/>
                </w:tcPr>
                <w:p w14:paraId="1EA38F9F" w14:textId="77777777" w:rsidR="00AE62F5" w:rsidRDefault="00AE62F5" w:rsidP="00AE62F5">
                  <w:pPr>
                    <w:pStyle w:val="TableBodyText"/>
                  </w:pPr>
                  <w:r>
                    <w:t>75</w:t>
                  </w:r>
                </w:p>
              </w:tc>
            </w:tr>
            <w:tr w:rsidR="00AE62F5" w14:paraId="1EA38FA9" w14:textId="77777777" w:rsidTr="00AE62F5">
              <w:tc>
                <w:tcPr>
                  <w:tcW w:w="2074" w:type="pct"/>
                  <w:vAlign w:val="bottom"/>
                </w:tcPr>
                <w:p w14:paraId="1EA38FA1" w14:textId="77777777" w:rsidR="00AE62F5" w:rsidRDefault="00AE62F5" w:rsidP="00AE62F5">
                  <w:pPr>
                    <w:pStyle w:val="TableBodyText"/>
                    <w:jc w:val="left"/>
                  </w:pPr>
                  <w:r>
                    <w:t>Swallow test &lt;4 hours</w:t>
                  </w:r>
                </w:p>
              </w:tc>
              <w:tc>
                <w:tcPr>
                  <w:tcW w:w="163" w:type="pct"/>
                  <w:vAlign w:val="bottom"/>
                </w:tcPr>
                <w:p w14:paraId="1EA38FA2" w14:textId="77777777" w:rsidR="00AE62F5" w:rsidRDefault="00AE62F5" w:rsidP="00AE62F5">
                  <w:pPr>
                    <w:pStyle w:val="TableBodyText"/>
                  </w:pPr>
                  <w:r>
                    <w:t>%</w:t>
                  </w:r>
                </w:p>
              </w:tc>
              <w:tc>
                <w:tcPr>
                  <w:tcW w:w="463" w:type="pct"/>
                  <w:vAlign w:val="bottom"/>
                </w:tcPr>
                <w:p w14:paraId="1EA38FA3" w14:textId="77777777" w:rsidR="00AE62F5" w:rsidRDefault="00AE62F5" w:rsidP="00AE62F5">
                  <w:pPr>
                    <w:pStyle w:val="TableBodyText"/>
                  </w:pPr>
                  <w:r>
                    <w:t>25</w:t>
                  </w:r>
                </w:p>
              </w:tc>
              <w:tc>
                <w:tcPr>
                  <w:tcW w:w="463" w:type="pct"/>
                  <w:vAlign w:val="bottom"/>
                </w:tcPr>
                <w:p w14:paraId="1EA38FA4" w14:textId="77777777" w:rsidR="00AE62F5" w:rsidRDefault="00AE62F5" w:rsidP="00AE62F5">
                  <w:pPr>
                    <w:pStyle w:val="TableBodyText"/>
                  </w:pPr>
                  <w:r>
                    <w:t>70</w:t>
                  </w:r>
                </w:p>
              </w:tc>
              <w:tc>
                <w:tcPr>
                  <w:tcW w:w="461" w:type="pct"/>
                  <w:vAlign w:val="bottom"/>
                </w:tcPr>
                <w:p w14:paraId="1EA38FA5" w14:textId="77777777" w:rsidR="00AE62F5" w:rsidRDefault="00AE62F5" w:rsidP="00AE62F5">
                  <w:pPr>
                    <w:pStyle w:val="TableBodyText"/>
                  </w:pPr>
                  <w:r>
                    <w:t>20</w:t>
                  </w:r>
                </w:p>
              </w:tc>
              <w:tc>
                <w:tcPr>
                  <w:tcW w:w="461" w:type="pct"/>
                  <w:vAlign w:val="bottom"/>
                </w:tcPr>
                <w:p w14:paraId="1EA38FA6" w14:textId="77777777" w:rsidR="00AE62F5" w:rsidRDefault="00AE62F5" w:rsidP="00AE62F5">
                  <w:pPr>
                    <w:pStyle w:val="TableBodyText"/>
                  </w:pPr>
                  <w:r>
                    <w:t>10</w:t>
                  </w:r>
                </w:p>
              </w:tc>
              <w:tc>
                <w:tcPr>
                  <w:tcW w:w="461" w:type="pct"/>
                  <w:vAlign w:val="bottom"/>
                </w:tcPr>
                <w:p w14:paraId="1EA38FA7" w14:textId="77777777" w:rsidR="00AE62F5" w:rsidRDefault="00AE62F5" w:rsidP="00AE62F5">
                  <w:pPr>
                    <w:pStyle w:val="TableBodyText"/>
                  </w:pPr>
                  <w:r>
                    <w:t>0</w:t>
                  </w:r>
                </w:p>
              </w:tc>
              <w:tc>
                <w:tcPr>
                  <w:tcW w:w="454" w:type="pct"/>
                  <w:vAlign w:val="bottom"/>
                </w:tcPr>
                <w:p w14:paraId="1EA38FA8" w14:textId="77777777" w:rsidR="00AE62F5" w:rsidRDefault="00AE62F5" w:rsidP="00AE62F5">
                  <w:pPr>
                    <w:pStyle w:val="TableBodyText"/>
                  </w:pPr>
                  <w:r>
                    <w:t>40</w:t>
                  </w:r>
                </w:p>
              </w:tc>
            </w:tr>
            <w:tr w:rsidR="00AE62F5" w14:paraId="1EA38FB2" w14:textId="77777777" w:rsidTr="00AE62F5">
              <w:trPr>
                <w:trHeight w:val="145"/>
              </w:trPr>
              <w:tc>
                <w:tcPr>
                  <w:tcW w:w="2074" w:type="pct"/>
                  <w:vAlign w:val="bottom"/>
                </w:tcPr>
                <w:p w14:paraId="1EA38FAA" w14:textId="77777777" w:rsidR="00AE62F5" w:rsidRDefault="00AE62F5" w:rsidP="00AE62F5">
                  <w:pPr>
                    <w:pStyle w:val="TableBodyText"/>
                    <w:jc w:val="left"/>
                  </w:pPr>
                  <w:r>
                    <w:t>Discharged on antithrombotic</w:t>
                  </w:r>
                </w:p>
              </w:tc>
              <w:tc>
                <w:tcPr>
                  <w:tcW w:w="163" w:type="pct"/>
                  <w:vAlign w:val="bottom"/>
                </w:tcPr>
                <w:p w14:paraId="1EA38FAB" w14:textId="77777777" w:rsidR="00AE62F5" w:rsidRDefault="00AE62F5" w:rsidP="00AE62F5">
                  <w:pPr>
                    <w:pStyle w:val="TableBodyText"/>
                  </w:pPr>
                  <w:r>
                    <w:t>%</w:t>
                  </w:r>
                </w:p>
              </w:tc>
              <w:tc>
                <w:tcPr>
                  <w:tcW w:w="463" w:type="pct"/>
                  <w:vAlign w:val="bottom"/>
                </w:tcPr>
                <w:p w14:paraId="1EA38FAC" w14:textId="77777777" w:rsidR="00AE62F5" w:rsidRDefault="00AE62F5" w:rsidP="00AE62F5">
                  <w:pPr>
                    <w:pStyle w:val="TableBodyText"/>
                  </w:pPr>
                  <w:r>
                    <w:t>78</w:t>
                  </w:r>
                </w:p>
              </w:tc>
              <w:tc>
                <w:tcPr>
                  <w:tcW w:w="463" w:type="pct"/>
                  <w:vAlign w:val="bottom"/>
                </w:tcPr>
                <w:p w14:paraId="1EA38FAD" w14:textId="77777777" w:rsidR="00AE62F5" w:rsidRDefault="00AE62F5" w:rsidP="00AE62F5">
                  <w:pPr>
                    <w:pStyle w:val="TableBodyText"/>
                  </w:pPr>
                  <w:r>
                    <w:t>84</w:t>
                  </w:r>
                </w:p>
              </w:tc>
              <w:tc>
                <w:tcPr>
                  <w:tcW w:w="461" w:type="pct"/>
                  <w:vAlign w:val="bottom"/>
                </w:tcPr>
                <w:p w14:paraId="1EA38FAE" w14:textId="77777777" w:rsidR="00AE62F5" w:rsidRDefault="00AE62F5" w:rsidP="00AE62F5">
                  <w:pPr>
                    <w:pStyle w:val="TableBodyText"/>
                  </w:pPr>
                  <w:r>
                    <w:t>93</w:t>
                  </w:r>
                </w:p>
              </w:tc>
              <w:tc>
                <w:tcPr>
                  <w:tcW w:w="461" w:type="pct"/>
                  <w:vAlign w:val="bottom"/>
                </w:tcPr>
                <w:p w14:paraId="1EA38FAF" w14:textId="77777777" w:rsidR="00AE62F5" w:rsidRDefault="00AE62F5" w:rsidP="00AE62F5">
                  <w:pPr>
                    <w:pStyle w:val="TableBodyText"/>
                  </w:pPr>
                  <w:r>
                    <w:t>71</w:t>
                  </w:r>
                </w:p>
              </w:tc>
              <w:tc>
                <w:tcPr>
                  <w:tcW w:w="461" w:type="pct"/>
                  <w:vAlign w:val="bottom"/>
                </w:tcPr>
                <w:p w14:paraId="1EA38FB0" w14:textId="77777777" w:rsidR="00AE62F5" w:rsidRDefault="00AE62F5" w:rsidP="00AE62F5">
                  <w:pPr>
                    <w:pStyle w:val="TableBodyText"/>
                  </w:pPr>
                  <w:r>
                    <w:t>80</w:t>
                  </w:r>
                </w:p>
              </w:tc>
              <w:tc>
                <w:tcPr>
                  <w:tcW w:w="454" w:type="pct"/>
                  <w:vAlign w:val="bottom"/>
                </w:tcPr>
                <w:p w14:paraId="1EA38FB1" w14:textId="77777777" w:rsidR="00AE62F5" w:rsidRDefault="00AE62F5" w:rsidP="00AE62F5">
                  <w:pPr>
                    <w:pStyle w:val="TableBodyText"/>
                  </w:pPr>
                  <w:r>
                    <w:t>100</w:t>
                  </w:r>
                </w:p>
              </w:tc>
            </w:tr>
            <w:tr w:rsidR="00AE62F5" w14:paraId="1EA38FBB" w14:textId="77777777" w:rsidTr="00AE62F5">
              <w:tc>
                <w:tcPr>
                  <w:tcW w:w="2074" w:type="pct"/>
                  <w:vAlign w:val="bottom"/>
                </w:tcPr>
                <w:p w14:paraId="1EA38FB3" w14:textId="77777777" w:rsidR="00AE62F5" w:rsidRDefault="00AE62F5" w:rsidP="00AE62F5">
                  <w:pPr>
                    <w:pStyle w:val="TableBodyText"/>
                    <w:jc w:val="left"/>
                  </w:pPr>
                  <w:r>
                    <w:t>Aspirin within 24 hours</w:t>
                  </w:r>
                </w:p>
              </w:tc>
              <w:tc>
                <w:tcPr>
                  <w:tcW w:w="163" w:type="pct"/>
                  <w:vAlign w:val="bottom"/>
                </w:tcPr>
                <w:p w14:paraId="1EA38FB4" w14:textId="77777777" w:rsidR="00AE62F5" w:rsidRDefault="00AE62F5" w:rsidP="00AE62F5">
                  <w:pPr>
                    <w:pStyle w:val="TableBodyText"/>
                  </w:pPr>
                  <w:r>
                    <w:t>%</w:t>
                  </w:r>
                </w:p>
              </w:tc>
              <w:tc>
                <w:tcPr>
                  <w:tcW w:w="463" w:type="pct"/>
                  <w:vAlign w:val="bottom"/>
                </w:tcPr>
                <w:p w14:paraId="1EA38FB5" w14:textId="77777777" w:rsidR="00AE62F5" w:rsidRDefault="00AE62F5" w:rsidP="00AE62F5">
                  <w:pPr>
                    <w:pStyle w:val="TableBodyText"/>
                  </w:pPr>
                  <w:r>
                    <w:t>44</w:t>
                  </w:r>
                </w:p>
              </w:tc>
              <w:tc>
                <w:tcPr>
                  <w:tcW w:w="463" w:type="pct"/>
                  <w:vAlign w:val="bottom"/>
                </w:tcPr>
                <w:p w14:paraId="1EA38FB6" w14:textId="77777777" w:rsidR="00AE62F5" w:rsidRDefault="00AE62F5" w:rsidP="00AE62F5">
                  <w:pPr>
                    <w:pStyle w:val="TableBodyText"/>
                  </w:pPr>
                  <w:r>
                    <w:t>58</w:t>
                  </w:r>
                </w:p>
              </w:tc>
              <w:tc>
                <w:tcPr>
                  <w:tcW w:w="461" w:type="pct"/>
                  <w:vAlign w:val="bottom"/>
                </w:tcPr>
                <w:p w14:paraId="1EA38FB7" w14:textId="77777777" w:rsidR="00AE62F5" w:rsidRDefault="00AE62F5" w:rsidP="00AE62F5">
                  <w:pPr>
                    <w:pStyle w:val="TableBodyText"/>
                  </w:pPr>
                  <w:r>
                    <w:t>60</w:t>
                  </w:r>
                </w:p>
              </w:tc>
              <w:tc>
                <w:tcPr>
                  <w:tcW w:w="461" w:type="pct"/>
                  <w:vAlign w:val="bottom"/>
                </w:tcPr>
                <w:p w14:paraId="1EA38FB8" w14:textId="77777777" w:rsidR="00AE62F5" w:rsidRDefault="00AE62F5" w:rsidP="00AE62F5">
                  <w:pPr>
                    <w:pStyle w:val="TableBodyText"/>
                  </w:pPr>
                  <w:r>
                    <w:t>47</w:t>
                  </w:r>
                </w:p>
              </w:tc>
              <w:tc>
                <w:tcPr>
                  <w:tcW w:w="461" w:type="pct"/>
                  <w:vAlign w:val="bottom"/>
                </w:tcPr>
                <w:p w14:paraId="1EA38FB9" w14:textId="77777777" w:rsidR="00AE62F5" w:rsidRDefault="00AE62F5" w:rsidP="00AE62F5">
                  <w:pPr>
                    <w:pStyle w:val="TableBodyText"/>
                  </w:pPr>
                  <w:r>
                    <w:t>20</w:t>
                  </w:r>
                </w:p>
              </w:tc>
              <w:tc>
                <w:tcPr>
                  <w:tcW w:w="454" w:type="pct"/>
                  <w:vAlign w:val="bottom"/>
                </w:tcPr>
                <w:p w14:paraId="1EA38FBA" w14:textId="77777777" w:rsidR="00AE62F5" w:rsidRDefault="00AE62F5" w:rsidP="00AE62F5">
                  <w:pPr>
                    <w:pStyle w:val="TableBodyText"/>
                  </w:pPr>
                  <w:r>
                    <w:t>72</w:t>
                  </w:r>
                </w:p>
              </w:tc>
            </w:tr>
            <w:tr w:rsidR="00AE62F5" w14:paraId="1EA38FC4" w14:textId="77777777" w:rsidTr="00AE62F5">
              <w:tc>
                <w:tcPr>
                  <w:tcW w:w="2074" w:type="pct"/>
                  <w:vAlign w:val="bottom"/>
                </w:tcPr>
                <w:p w14:paraId="1EA38FBC" w14:textId="77777777" w:rsidR="00AE62F5" w:rsidRDefault="00AE62F5" w:rsidP="00AE62F5">
                  <w:pPr>
                    <w:pStyle w:val="TableBodyText"/>
                    <w:jc w:val="left"/>
                  </w:pPr>
                  <w:r>
                    <w:t>Palliative care</w:t>
                  </w:r>
                </w:p>
              </w:tc>
              <w:tc>
                <w:tcPr>
                  <w:tcW w:w="163" w:type="pct"/>
                  <w:vAlign w:val="bottom"/>
                </w:tcPr>
                <w:p w14:paraId="1EA38FBD" w14:textId="77777777" w:rsidR="00AE62F5" w:rsidRDefault="00AE62F5" w:rsidP="00AE62F5">
                  <w:pPr>
                    <w:pStyle w:val="TableBodyText"/>
                  </w:pPr>
                  <w:r>
                    <w:t>%</w:t>
                  </w:r>
                </w:p>
              </w:tc>
              <w:tc>
                <w:tcPr>
                  <w:tcW w:w="463" w:type="pct"/>
                  <w:vAlign w:val="bottom"/>
                </w:tcPr>
                <w:p w14:paraId="1EA38FBE" w14:textId="77777777" w:rsidR="00AE62F5" w:rsidRDefault="00AE62F5" w:rsidP="00AE62F5">
                  <w:pPr>
                    <w:pStyle w:val="TableBodyText"/>
                  </w:pPr>
                  <w:r>
                    <w:t>0</w:t>
                  </w:r>
                </w:p>
              </w:tc>
              <w:tc>
                <w:tcPr>
                  <w:tcW w:w="463" w:type="pct"/>
                  <w:vAlign w:val="bottom"/>
                </w:tcPr>
                <w:p w14:paraId="1EA38FBF" w14:textId="77777777" w:rsidR="00AE62F5" w:rsidRDefault="00AE62F5" w:rsidP="00AE62F5">
                  <w:pPr>
                    <w:pStyle w:val="TableBodyText"/>
                  </w:pPr>
                  <w:r>
                    <w:t>3</w:t>
                  </w:r>
                </w:p>
              </w:tc>
              <w:tc>
                <w:tcPr>
                  <w:tcW w:w="461" w:type="pct"/>
                  <w:vAlign w:val="bottom"/>
                </w:tcPr>
                <w:p w14:paraId="1EA38FC0" w14:textId="77777777" w:rsidR="00AE62F5" w:rsidRDefault="00AE62F5" w:rsidP="00AE62F5">
                  <w:pPr>
                    <w:pStyle w:val="TableBodyText"/>
                  </w:pPr>
                  <w:r>
                    <w:t>2</w:t>
                  </w:r>
                </w:p>
              </w:tc>
              <w:tc>
                <w:tcPr>
                  <w:tcW w:w="461" w:type="pct"/>
                  <w:vAlign w:val="bottom"/>
                </w:tcPr>
                <w:p w14:paraId="1EA38FC1" w14:textId="77777777" w:rsidR="00AE62F5" w:rsidRDefault="00AE62F5" w:rsidP="00AE62F5">
                  <w:pPr>
                    <w:pStyle w:val="TableBodyText"/>
                  </w:pPr>
                  <w:r>
                    <w:t>0</w:t>
                  </w:r>
                </w:p>
              </w:tc>
              <w:tc>
                <w:tcPr>
                  <w:tcW w:w="461" w:type="pct"/>
                  <w:vAlign w:val="bottom"/>
                </w:tcPr>
                <w:p w14:paraId="1EA38FC2" w14:textId="77777777" w:rsidR="00AE62F5" w:rsidRDefault="00AE62F5" w:rsidP="00AE62F5">
                  <w:pPr>
                    <w:pStyle w:val="TableBodyText"/>
                  </w:pPr>
                  <w:r>
                    <w:t>3</w:t>
                  </w:r>
                </w:p>
              </w:tc>
              <w:tc>
                <w:tcPr>
                  <w:tcW w:w="454" w:type="pct"/>
                  <w:vAlign w:val="bottom"/>
                </w:tcPr>
                <w:p w14:paraId="1EA38FC3" w14:textId="77777777" w:rsidR="00AE62F5" w:rsidRDefault="00AE62F5" w:rsidP="00AE62F5">
                  <w:pPr>
                    <w:pStyle w:val="TableBodyText"/>
                  </w:pPr>
                  <w:r>
                    <w:t>0</w:t>
                  </w:r>
                </w:p>
              </w:tc>
            </w:tr>
            <w:tr w:rsidR="00AE62F5" w14:paraId="1EA38FCD" w14:textId="77777777" w:rsidTr="00AE62F5">
              <w:tc>
                <w:tcPr>
                  <w:tcW w:w="2074" w:type="pct"/>
                  <w:tcBorders>
                    <w:bottom w:val="single" w:sz="6" w:space="0" w:color="BFBFBF"/>
                  </w:tcBorders>
                  <w:shd w:val="clear" w:color="auto" w:fill="auto"/>
                  <w:vAlign w:val="bottom"/>
                </w:tcPr>
                <w:p w14:paraId="1EA38FC5" w14:textId="77777777" w:rsidR="00AE62F5" w:rsidRDefault="00AE62F5" w:rsidP="00AE62F5">
                  <w:pPr>
                    <w:pStyle w:val="TableBodyText"/>
                    <w:jc w:val="left"/>
                  </w:pPr>
                  <w:r>
                    <w:t>Discharged on Statin</w:t>
                  </w:r>
                </w:p>
              </w:tc>
              <w:tc>
                <w:tcPr>
                  <w:tcW w:w="163" w:type="pct"/>
                  <w:tcBorders>
                    <w:bottom w:val="single" w:sz="6" w:space="0" w:color="BFBFBF"/>
                  </w:tcBorders>
                  <w:vAlign w:val="bottom"/>
                </w:tcPr>
                <w:p w14:paraId="1EA38FC6" w14:textId="77777777" w:rsidR="00AE62F5" w:rsidRDefault="00AE62F5" w:rsidP="00AE62F5">
                  <w:pPr>
                    <w:pStyle w:val="TableBodyText"/>
                  </w:pPr>
                  <w:r>
                    <w:t>%</w:t>
                  </w:r>
                </w:p>
              </w:tc>
              <w:tc>
                <w:tcPr>
                  <w:tcW w:w="463" w:type="pct"/>
                  <w:tcBorders>
                    <w:bottom w:val="single" w:sz="6" w:space="0" w:color="BFBFBF"/>
                  </w:tcBorders>
                  <w:vAlign w:val="bottom"/>
                </w:tcPr>
                <w:p w14:paraId="1EA38FC7" w14:textId="77777777" w:rsidR="00AE62F5" w:rsidRDefault="00AE62F5" w:rsidP="00AE62F5">
                  <w:pPr>
                    <w:pStyle w:val="TableBodyText"/>
                  </w:pPr>
                  <w:r>
                    <w:t>28</w:t>
                  </w:r>
                </w:p>
              </w:tc>
              <w:tc>
                <w:tcPr>
                  <w:tcW w:w="463" w:type="pct"/>
                  <w:tcBorders>
                    <w:bottom w:val="single" w:sz="6" w:space="0" w:color="BFBFBF"/>
                  </w:tcBorders>
                  <w:vAlign w:val="bottom"/>
                </w:tcPr>
                <w:p w14:paraId="1EA38FC8" w14:textId="77777777" w:rsidR="00AE62F5" w:rsidRDefault="00AE62F5" w:rsidP="00AE62F5">
                  <w:pPr>
                    <w:pStyle w:val="TableBodyText"/>
                  </w:pPr>
                  <w:r>
                    <w:t>63</w:t>
                  </w:r>
                </w:p>
              </w:tc>
              <w:tc>
                <w:tcPr>
                  <w:tcW w:w="461" w:type="pct"/>
                  <w:tcBorders>
                    <w:bottom w:val="single" w:sz="6" w:space="0" w:color="BFBFBF"/>
                  </w:tcBorders>
                  <w:vAlign w:val="bottom"/>
                </w:tcPr>
                <w:p w14:paraId="1EA38FC9" w14:textId="77777777" w:rsidR="00AE62F5" w:rsidRDefault="00AE62F5" w:rsidP="00AE62F5">
                  <w:pPr>
                    <w:pStyle w:val="TableBodyText"/>
                  </w:pPr>
                  <w:r>
                    <w:t>60</w:t>
                  </w:r>
                </w:p>
              </w:tc>
              <w:tc>
                <w:tcPr>
                  <w:tcW w:w="461" w:type="pct"/>
                  <w:tcBorders>
                    <w:bottom w:val="single" w:sz="6" w:space="0" w:color="BFBFBF"/>
                  </w:tcBorders>
                  <w:vAlign w:val="bottom"/>
                </w:tcPr>
                <w:p w14:paraId="1EA38FCA" w14:textId="77777777" w:rsidR="00AE62F5" w:rsidRDefault="00AE62F5" w:rsidP="00AE62F5">
                  <w:pPr>
                    <w:pStyle w:val="TableBodyText"/>
                  </w:pPr>
                  <w:r>
                    <w:t>43</w:t>
                  </w:r>
                </w:p>
              </w:tc>
              <w:tc>
                <w:tcPr>
                  <w:tcW w:w="461" w:type="pct"/>
                  <w:tcBorders>
                    <w:bottom w:val="single" w:sz="6" w:space="0" w:color="BFBFBF"/>
                  </w:tcBorders>
                  <w:shd w:val="clear" w:color="auto" w:fill="auto"/>
                  <w:vAlign w:val="bottom"/>
                </w:tcPr>
                <w:p w14:paraId="1EA38FCB" w14:textId="77777777" w:rsidR="00AE62F5" w:rsidRDefault="00AE62F5" w:rsidP="00AE62F5">
                  <w:pPr>
                    <w:pStyle w:val="TableBodyText"/>
                  </w:pPr>
                  <w:r>
                    <w:t>20</w:t>
                  </w:r>
                </w:p>
              </w:tc>
              <w:tc>
                <w:tcPr>
                  <w:tcW w:w="454" w:type="pct"/>
                  <w:tcBorders>
                    <w:bottom w:val="single" w:sz="6" w:space="0" w:color="BFBFBF"/>
                  </w:tcBorders>
                  <w:shd w:val="clear" w:color="auto" w:fill="auto"/>
                  <w:vAlign w:val="bottom"/>
                </w:tcPr>
                <w:p w14:paraId="1EA38FCC" w14:textId="77777777" w:rsidR="00AE62F5" w:rsidRDefault="00AE62F5" w:rsidP="00AE62F5">
                  <w:pPr>
                    <w:pStyle w:val="TableBodyText"/>
                  </w:pPr>
                  <w:r>
                    <w:t>67</w:t>
                  </w:r>
                </w:p>
              </w:tc>
            </w:tr>
          </w:tbl>
          <w:p w14:paraId="1EA38FCE" w14:textId="77777777" w:rsidR="00AE62F5" w:rsidRDefault="00AE62F5" w:rsidP="00425987">
            <w:pPr>
              <w:pStyle w:val="Box"/>
            </w:pPr>
          </w:p>
        </w:tc>
      </w:tr>
      <w:tr w:rsidR="00AE62F5" w14:paraId="1EA38FD1" w14:textId="77777777" w:rsidTr="00425987">
        <w:tc>
          <w:tcPr>
            <w:tcW w:w="5000" w:type="pct"/>
            <w:tcBorders>
              <w:top w:val="nil"/>
              <w:left w:val="nil"/>
              <w:bottom w:val="nil"/>
              <w:right w:val="nil"/>
            </w:tcBorders>
            <w:shd w:val="clear" w:color="auto" w:fill="auto"/>
          </w:tcPr>
          <w:p w14:paraId="1EA38FD0" w14:textId="77777777" w:rsidR="00AE62F5" w:rsidRDefault="00AE62F5" w:rsidP="000D4B9C">
            <w:pPr>
              <w:pStyle w:val="Note"/>
              <w:rPr>
                <w:i/>
              </w:rPr>
            </w:pPr>
            <w:r w:rsidRPr="008E77FE">
              <w:rPr>
                <w:rStyle w:val="NoteLabel"/>
              </w:rPr>
              <w:t>a</w:t>
            </w:r>
            <w:r>
              <w:t xml:space="preserve"> </w:t>
            </w:r>
            <w:r w:rsidR="00D73ADA">
              <w:t xml:space="preserve">The higher the share for any </w:t>
            </w:r>
            <w:r w:rsidR="000D4B9C">
              <w:t>measure</w:t>
            </w:r>
            <w:r w:rsidR="00D73ADA">
              <w:t>, the more a hospital is adhering to best practice</w:t>
            </w:r>
            <w:r>
              <w:t>.</w:t>
            </w:r>
          </w:p>
        </w:tc>
      </w:tr>
      <w:tr w:rsidR="00AE62F5" w14:paraId="1EA38FD3" w14:textId="77777777" w:rsidTr="00425987">
        <w:tc>
          <w:tcPr>
            <w:tcW w:w="5000" w:type="pct"/>
            <w:tcBorders>
              <w:top w:val="nil"/>
              <w:left w:val="nil"/>
              <w:bottom w:val="nil"/>
              <w:right w:val="nil"/>
            </w:tcBorders>
            <w:shd w:val="clear" w:color="auto" w:fill="auto"/>
          </w:tcPr>
          <w:p w14:paraId="1EA38FD2" w14:textId="77777777" w:rsidR="00AE62F5" w:rsidRDefault="00AE62F5" w:rsidP="00C65A42">
            <w:pPr>
              <w:pStyle w:val="Source"/>
            </w:pPr>
            <w:r>
              <w:rPr>
                <w:i/>
              </w:rPr>
              <w:t>Source</w:t>
            </w:r>
            <w:r w:rsidRPr="00167F06">
              <w:t xml:space="preserve">: </w:t>
            </w:r>
            <w:r w:rsidR="001739DE">
              <w:t xml:space="preserve">NSW Agency for Clinical Innovation </w:t>
            </w:r>
            <w:r w:rsidR="00C65A42" w:rsidRPr="00C65A42">
              <w:rPr>
                <w:rFonts w:cs="Arial"/>
                <w:szCs w:val="24"/>
              </w:rPr>
              <w:t>(2017, p. 12)</w:t>
            </w:r>
            <w:r>
              <w:t>.</w:t>
            </w:r>
          </w:p>
        </w:tc>
      </w:tr>
      <w:tr w:rsidR="00AE62F5" w14:paraId="1EA38FD5" w14:textId="77777777" w:rsidTr="00425987">
        <w:tc>
          <w:tcPr>
            <w:tcW w:w="5000" w:type="pct"/>
            <w:tcBorders>
              <w:top w:val="nil"/>
              <w:left w:val="nil"/>
              <w:bottom w:val="single" w:sz="6" w:space="0" w:color="78A22F"/>
              <w:right w:val="nil"/>
            </w:tcBorders>
            <w:shd w:val="clear" w:color="auto" w:fill="auto"/>
          </w:tcPr>
          <w:p w14:paraId="1EA38FD4" w14:textId="77777777" w:rsidR="00AE62F5" w:rsidRDefault="00AE62F5" w:rsidP="00425987">
            <w:pPr>
              <w:pStyle w:val="Box"/>
              <w:spacing w:before="0" w:line="120" w:lineRule="exact"/>
            </w:pPr>
          </w:p>
        </w:tc>
      </w:tr>
      <w:tr w:rsidR="00AE62F5" w:rsidRPr="000863A5" w14:paraId="1EA38FD7" w14:textId="77777777" w:rsidTr="00425987">
        <w:tc>
          <w:tcPr>
            <w:tcW w:w="5000" w:type="pct"/>
            <w:tcBorders>
              <w:top w:val="single" w:sz="6" w:space="0" w:color="78A22F"/>
              <w:left w:val="nil"/>
              <w:bottom w:val="nil"/>
              <w:right w:val="nil"/>
            </w:tcBorders>
          </w:tcPr>
          <w:p w14:paraId="1EA38FD6" w14:textId="77777777" w:rsidR="00AE62F5" w:rsidRPr="00626D32" w:rsidRDefault="00AE62F5" w:rsidP="00425987">
            <w:pPr>
              <w:pStyle w:val="BoxSpaceBelow"/>
            </w:pPr>
          </w:p>
        </w:tc>
      </w:tr>
    </w:tbl>
    <w:p w14:paraId="1EA38FD8" w14:textId="77777777" w:rsidR="00C869B4" w:rsidRDefault="00C869B4" w:rsidP="00C869B4">
      <w:pPr>
        <w:pStyle w:val="Heading3"/>
      </w:pPr>
      <w:bookmarkStart w:id="84" w:name="TableTitle"/>
      <w:bookmarkEnd w:id="84"/>
      <w:r>
        <w:t>What can be done?</w:t>
      </w:r>
    </w:p>
    <w:p w14:paraId="1EA38FD9" w14:textId="77777777" w:rsidR="005D7250" w:rsidRDefault="00C869B4" w:rsidP="007C2B29">
      <w:pPr>
        <w:pStyle w:val="BodyText"/>
      </w:pPr>
      <w:r w:rsidRPr="00C869B4">
        <w:t xml:space="preserve">In </w:t>
      </w:r>
      <w:r w:rsidR="009233EB">
        <w:t xml:space="preserve">one of </w:t>
      </w:r>
      <w:r w:rsidRPr="00C869B4">
        <w:t>the world</w:t>
      </w:r>
      <w:r w:rsidR="009233EB">
        <w:t>’s</w:t>
      </w:r>
      <w:r w:rsidRPr="00C869B4">
        <w:t xml:space="preserve"> leading health system</w:t>
      </w:r>
      <w:r w:rsidR="009233EB">
        <w:t>s</w:t>
      </w:r>
      <w:r w:rsidRPr="00C869B4">
        <w:t xml:space="preserve"> </w:t>
      </w:r>
      <w:r w:rsidR="009233EB">
        <w:t>in</w:t>
      </w:r>
      <w:r w:rsidRPr="00C869B4">
        <w:t xml:space="preserve"> Canterbury</w:t>
      </w:r>
      <w:r w:rsidR="009233EB">
        <w:t>,</w:t>
      </w:r>
      <w:r w:rsidRPr="00C869B4">
        <w:t xml:space="preserve"> New Zealand, an electronic system of scripts, referrals and medical records is well utilised by GPs under the Health Pathways system, and is part of the data exchanged with hospitals for the purpose of providing the best care to patients. </w:t>
      </w:r>
    </w:p>
    <w:p w14:paraId="1EA38FDA" w14:textId="77777777" w:rsidR="00C869B4" w:rsidRDefault="00C869B4" w:rsidP="007C2B29">
      <w:pPr>
        <w:pStyle w:val="BodyText"/>
      </w:pPr>
      <w:r w:rsidRPr="00C869B4">
        <w:t xml:space="preserve">Under the funding recommendations of this report, </w:t>
      </w:r>
      <w:r w:rsidR="000D4B9C">
        <w:t>PHNs</w:t>
      </w:r>
      <w:r w:rsidRPr="00C869B4">
        <w:t xml:space="preserve"> would have the capacity and the incentive to coordinate local shifts to an electronic system such as that of Canterbury in New Zealand, and to otherwise coordinate data sharing with Local Hospital Networks. </w:t>
      </w:r>
      <w:r w:rsidR="00F26CC2">
        <w:t>Sufficiently granular data should be remitted to GPs, hospitals and other health providers in a form that assists them to assess their own performance. More aggregated</w:t>
      </w:r>
      <w:r w:rsidR="00F26CC2" w:rsidRPr="00C869B4">
        <w:t xml:space="preserve"> </w:t>
      </w:r>
      <w:r w:rsidRPr="00C869B4">
        <w:t>data could also be remitted to the AIHW for broader dissemination.</w:t>
      </w:r>
    </w:p>
    <w:p w14:paraId="1EA38FDB" w14:textId="77777777" w:rsidR="00C869B4" w:rsidRDefault="00C869B4" w:rsidP="00C869B4">
      <w:pPr>
        <w:pStyle w:val="BodyText"/>
      </w:pPr>
      <w:r>
        <w:t>There are other steps that can assist</w:t>
      </w:r>
      <w:r w:rsidR="00C8752A">
        <w:t>:</w:t>
      </w:r>
      <w:r w:rsidR="00521983" w:rsidRPr="003D243B">
        <w:rPr>
          <w:rStyle w:val="FootnoteReference"/>
        </w:rPr>
        <w:footnoteReference w:id="44"/>
      </w:r>
    </w:p>
    <w:p w14:paraId="1EA38FDC" w14:textId="77777777" w:rsidR="00C869B4" w:rsidRDefault="00C869B4" w:rsidP="00C869B4">
      <w:pPr>
        <w:pStyle w:val="ListBullet"/>
      </w:pPr>
      <w:r>
        <w:t>a coordinated approach to standardise definitions</w:t>
      </w:r>
      <w:r w:rsidR="00AC33BB">
        <w:t xml:space="preserve"> and</w:t>
      </w:r>
      <w:r>
        <w:t xml:space="preserve"> terminology including within the </w:t>
      </w:r>
      <w:r w:rsidR="005D7250">
        <w:t>primary health</w:t>
      </w:r>
      <w:r>
        <w:t xml:space="preserve"> sector. This is a role that the Accrediting Release Authority recommended in the Commission’s data inquiry could play or could at least commission (PC 2017a)</w:t>
      </w:r>
    </w:p>
    <w:p w14:paraId="1EA38FDD" w14:textId="77777777" w:rsidR="00425987" w:rsidRDefault="00F2706C" w:rsidP="00F2706C">
      <w:pPr>
        <w:pStyle w:val="ListBullet"/>
      </w:pPr>
      <w:r>
        <w:t xml:space="preserve">data at the right level of granularity needs to be collected, subject to the costs of digging deeper. </w:t>
      </w:r>
      <w:r w:rsidR="00900647">
        <w:t>Information is already collected on referrals, diagnostics, numbers of consultations and their durations, scripts issued and filled, and hospitalisations. At a minimum, linking these together is feasible and useful</w:t>
      </w:r>
      <w:r w:rsidR="008348FF">
        <w:t xml:space="preserve"> (</w:t>
      </w:r>
      <w:r w:rsidR="008348FF" w:rsidRPr="00F2706C">
        <w:t>but is</w:t>
      </w:r>
      <w:r w:rsidR="008348FF">
        <w:t xml:space="preserve"> currently</w:t>
      </w:r>
      <w:r w:rsidR="008348FF" w:rsidRPr="00F2706C">
        <w:t xml:space="preserve"> prevented by the inefficient implementation of C</w:t>
      </w:r>
      <w:r w:rsidR="008348FF">
        <w:t>ommonwealth privacy legislation)</w:t>
      </w:r>
      <w:r w:rsidR="00900647">
        <w:t>. However, s</w:t>
      </w:r>
      <w:r>
        <w:t xml:space="preserve">everal stakeholders told the Commission that </w:t>
      </w:r>
      <w:r w:rsidR="00425987">
        <w:t>little is known about</w:t>
      </w:r>
      <w:r>
        <w:t xml:space="preserve"> </w:t>
      </w:r>
      <w:r w:rsidR="00425987">
        <w:t xml:space="preserve">what </w:t>
      </w:r>
      <w:r>
        <w:t xml:space="preserve">happens during the </w:t>
      </w:r>
      <w:r w:rsidR="00425987">
        <w:t xml:space="preserve">short and long GP consultations that constitute the dominant </w:t>
      </w:r>
      <w:r>
        <w:t xml:space="preserve">MBS items. </w:t>
      </w:r>
      <w:r w:rsidR="00425987">
        <w:t xml:space="preserve">The practicality and value of discovering the content of that black box will depend on technology, software design, compliance costs and its usefulness in learning. As an illustration, suppose that a patient presented with anxiety about work and has </w:t>
      </w:r>
      <w:r w:rsidR="00D32EE0">
        <w:t>difficulty</w:t>
      </w:r>
      <w:r w:rsidR="00425987">
        <w:t xml:space="preserve"> sleeping. The GP provides advice that this is quite common and often resolves itself, and that simple approaches such as exercise, establishing a routine for </w:t>
      </w:r>
      <w:r w:rsidR="00D32EE0">
        <w:t>sleeping</w:t>
      </w:r>
      <w:r w:rsidR="00425987">
        <w:t xml:space="preserve">, avoiding excessive </w:t>
      </w:r>
      <w:r w:rsidR="00D32EE0">
        <w:t>alcohol</w:t>
      </w:r>
      <w:r w:rsidR="00425987">
        <w:t>, and relax</w:t>
      </w:r>
      <w:r w:rsidR="00D32EE0">
        <w:t>a</w:t>
      </w:r>
      <w:r w:rsidR="00425987">
        <w:t>tion techniques would</w:t>
      </w:r>
      <w:r w:rsidR="00D32EE0">
        <w:t xml:space="preserve"> assist. She also counsels the </w:t>
      </w:r>
      <w:r w:rsidR="00425987">
        <w:t xml:space="preserve">person to </w:t>
      </w:r>
      <w:r w:rsidR="00D32EE0">
        <w:t>discuss</w:t>
      </w:r>
      <w:r w:rsidR="00425987">
        <w:t xml:space="preserve"> workloads with the employer</w:t>
      </w:r>
      <w:r w:rsidR="00D32EE0">
        <w:t>, and to seek more support from friends</w:t>
      </w:r>
      <w:r w:rsidR="00425987">
        <w:t>.</w:t>
      </w:r>
      <w:r w:rsidR="00D32EE0">
        <w:t xml:space="preserve"> </w:t>
      </w:r>
      <w:r w:rsidR="00AC33BB">
        <w:t xml:space="preserve">While some record is needed in case </w:t>
      </w:r>
      <w:r w:rsidR="002E212F">
        <w:t>a</w:t>
      </w:r>
      <w:r w:rsidR="00AC33BB">
        <w:t xml:space="preserve"> condition persists, </w:t>
      </w:r>
      <w:r w:rsidR="002E212F">
        <w:t>it is an open question about the degree of detail required</w:t>
      </w:r>
      <w:r w:rsidR="00D32EE0">
        <w:t xml:space="preserve"> when </w:t>
      </w:r>
      <w:r w:rsidR="002E212F">
        <w:t>a GP must deal with</w:t>
      </w:r>
      <w:r w:rsidR="001C2A40">
        <w:t xml:space="preserve"> a full waiting room.</w:t>
      </w:r>
      <w:r w:rsidR="00D32EE0">
        <w:t xml:space="preserve"> </w:t>
      </w:r>
      <w:r w:rsidR="00AC33BB">
        <w:t xml:space="preserve">For example, is it necessary to record the GP’s assessment of the level of anxiety? </w:t>
      </w:r>
      <w:r w:rsidR="00D32EE0">
        <w:t>And were it recorded, would data inconsistencies across GPs and the difficulty of establishing outcomes (did the anxiety dissipate, by how much and through what mechanism) make it useful? Peering inside the black box for all consultations may not be cost</w:t>
      </w:r>
      <w:r w:rsidR="00D32EE0">
        <w:noBreakHyphen/>
        <w:t xml:space="preserve">effective when these </w:t>
      </w:r>
      <w:r w:rsidR="00B7573B">
        <w:t>involve</w:t>
      </w:r>
      <w:r w:rsidR="00D32EE0">
        <w:t xml:space="preserve"> so many nuanced interventions. </w:t>
      </w:r>
      <w:r w:rsidR="00F04316">
        <w:t>Nevertheless</w:t>
      </w:r>
      <w:r w:rsidR="00D32EE0">
        <w:t xml:space="preserve">, surveys may help to understand more about what happens, while specific trials of interventions for given presentations seems a more promising </w:t>
      </w:r>
      <w:r w:rsidR="00900647">
        <w:t>avenue to clinical improvements</w:t>
      </w:r>
      <w:r w:rsidR="00D32EE0">
        <w:t xml:space="preserve"> </w:t>
      </w:r>
    </w:p>
    <w:p w14:paraId="1EA38FDE" w14:textId="77777777" w:rsidR="009C4C06" w:rsidRDefault="009C4C06" w:rsidP="00F2706C">
      <w:pPr>
        <w:pStyle w:val="ListBullet"/>
      </w:pPr>
      <w:r>
        <w:t xml:space="preserve">changes to the procurement processes in the health sector by all jurisdictions to ensure that future interoperability </w:t>
      </w:r>
      <w:r w:rsidR="00C8752A">
        <w:t>is not</w:t>
      </w:r>
      <w:r>
        <w:t xml:space="preserve"> blocked by contract terms or software design</w:t>
      </w:r>
    </w:p>
    <w:p w14:paraId="1EA38FDF" w14:textId="77777777" w:rsidR="009F5148" w:rsidRDefault="009F5148" w:rsidP="00C869B4">
      <w:pPr>
        <w:pStyle w:val="ListBullet"/>
      </w:pPr>
      <w:r>
        <w:t>co</w:t>
      </w:r>
      <w:r w:rsidR="009C49CA">
        <w:noBreakHyphen/>
      </w:r>
      <w:r>
        <w:t>design of data systems by those who use them</w:t>
      </w:r>
    </w:p>
    <w:p w14:paraId="1EA38FE0" w14:textId="77777777" w:rsidR="00C8752A" w:rsidRDefault="009C4C06" w:rsidP="00C869B4">
      <w:pPr>
        <w:pStyle w:val="ListBullet"/>
      </w:pPr>
      <w:r>
        <w:t xml:space="preserve">training of </w:t>
      </w:r>
      <w:r w:rsidR="007A400D">
        <w:t>the medical workforce</w:t>
      </w:r>
      <w:r>
        <w:t xml:space="preserve"> </w:t>
      </w:r>
      <w:r w:rsidR="001511C5">
        <w:t>(and administrators)</w:t>
      </w:r>
    </w:p>
    <w:p w14:paraId="1EA38FE1" w14:textId="77777777" w:rsidR="009C4C06" w:rsidRDefault="009C4C06" w:rsidP="00C869B4">
      <w:pPr>
        <w:pStyle w:val="ListBullet"/>
      </w:pPr>
      <w:r>
        <w:t xml:space="preserve">demonstration of </w:t>
      </w:r>
      <w:r w:rsidR="00C8752A">
        <w:t xml:space="preserve">the </w:t>
      </w:r>
      <w:r>
        <w:t xml:space="preserve">benefits to </w:t>
      </w:r>
      <w:r w:rsidR="00C8752A">
        <w:t>clinicians</w:t>
      </w:r>
      <w:r>
        <w:t xml:space="preserve"> and patients</w:t>
      </w:r>
      <w:r w:rsidR="007A400D">
        <w:t xml:space="preserve"> — in effect, data ha</w:t>
      </w:r>
      <w:r w:rsidR="00522876">
        <w:t>ve</w:t>
      </w:r>
      <w:r w:rsidR="007A400D">
        <w:t xml:space="preserve"> to be translated into information that can change behaviour or give people control</w:t>
      </w:r>
      <w:r w:rsidR="00C8752A">
        <w:t xml:space="preserve">, with the </w:t>
      </w:r>
      <w:r w:rsidR="000D4B9C">
        <w:t xml:space="preserve">lowest </w:t>
      </w:r>
      <w:r w:rsidR="00C8752A">
        <w:t xml:space="preserve">compliance burdens. While based on data from the United States, an observational study of four specialties found nearly half of the clinicians’ time was spent on compliance with clerical and electronic health records </w:t>
      </w:r>
      <w:r w:rsidR="00C65A42" w:rsidRPr="00C65A42">
        <w:rPr>
          <w:szCs w:val="24"/>
        </w:rPr>
        <w:t>(Sinsky et al. 2016)</w:t>
      </w:r>
      <w:r w:rsidR="00C8752A">
        <w:t xml:space="preserve">. One of the key challenges in implementing information management systems will be to highlight its clinical value to physicians — telehealth, elimination of duplicated data collection, automatic billing, </w:t>
      </w:r>
      <w:r w:rsidR="00C156D3">
        <w:t xml:space="preserve">and </w:t>
      </w:r>
      <w:r w:rsidR="00C8752A">
        <w:t>better clinical advice and better patient outcomes.</w:t>
      </w:r>
    </w:p>
    <w:p w14:paraId="1EA38FE2" w14:textId="77777777" w:rsidR="001511C5" w:rsidRDefault="001511C5" w:rsidP="00C869B4">
      <w:pPr>
        <w:pStyle w:val="ListBullet"/>
      </w:pPr>
      <w:r>
        <w:t>quality control to ensure data are as accurate as possible</w:t>
      </w:r>
    </w:p>
    <w:p w14:paraId="1EA38FE3" w14:textId="77777777" w:rsidR="001511C5" w:rsidRDefault="001511C5" w:rsidP="00C869B4">
      <w:pPr>
        <w:pStyle w:val="ListBullet"/>
      </w:pPr>
      <w:r>
        <w:t>software and hardware design that minimises the cost of accessing and inputting information</w:t>
      </w:r>
    </w:p>
    <w:p w14:paraId="1EA38FE4" w14:textId="77777777" w:rsidR="006C704F" w:rsidRDefault="00C869B4" w:rsidP="00C869B4">
      <w:pPr>
        <w:pStyle w:val="ListBullet"/>
      </w:pPr>
      <w:r>
        <w:t xml:space="preserve">not constraining the sharing of data for analytical purposes unless there are concerns about cybersecurity and privacy. For example, while the data were collected at the patient level for ACI’s stroke audit, the focus was on </w:t>
      </w:r>
      <w:r w:rsidR="00400B1F">
        <w:t xml:space="preserve">improving </w:t>
      </w:r>
      <w:r>
        <w:t xml:space="preserve">clinical practices. Similarly, if clinicians receive information on </w:t>
      </w:r>
      <w:r w:rsidR="00400B1F">
        <w:t>their clinical performance compared with peers</w:t>
      </w:r>
      <w:r>
        <w:t>, the patient</w:t>
      </w:r>
      <w:r>
        <w:noBreakHyphen/>
        <w:t xml:space="preserve">level data are required, but the creation of </w:t>
      </w:r>
      <w:r w:rsidR="00400B1F">
        <w:t>benchmarks</w:t>
      </w:r>
      <w:r>
        <w:t xml:space="preserve"> is the goal. </w:t>
      </w:r>
      <w:r w:rsidR="00400B1F">
        <w:t>Where the interest is ensuring that patient</w:t>
      </w:r>
      <w:r w:rsidR="00400B1F">
        <w:noBreakHyphen/>
        <w:t>specific information is used to provide coordinated patient</w:t>
      </w:r>
      <w:r w:rsidR="00400B1F">
        <w:noBreakHyphen/>
      </w:r>
      <w:r w:rsidR="00166036">
        <w:t xml:space="preserve">centred </w:t>
      </w:r>
      <w:r w:rsidR="00400B1F">
        <w:t xml:space="preserve">care, some other issues can emerge, such as correction of records by </w:t>
      </w:r>
      <w:r w:rsidR="006C704F">
        <w:t>patients</w:t>
      </w:r>
      <w:r w:rsidR="00400B1F">
        <w:t xml:space="preserve"> and a capacity for patients to withhold information in some instances. Patients might not want all the clinicians and allied professionals with whom they may have some future </w:t>
      </w:r>
      <w:r w:rsidR="006C704F">
        <w:t>involvement</w:t>
      </w:r>
      <w:r w:rsidR="00400B1F">
        <w:t xml:space="preserve"> to know about stigmatised conditions — </w:t>
      </w:r>
      <w:r w:rsidR="006C704F">
        <w:t>like</w:t>
      </w:r>
      <w:r w:rsidR="00400B1F">
        <w:t xml:space="preserve"> </w:t>
      </w:r>
      <w:r w:rsidR="006C704F">
        <w:t xml:space="preserve">eating disorders, affective disorders, </w:t>
      </w:r>
      <w:r w:rsidR="00400B1F">
        <w:t>sexual addiction or anger management</w:t>
      </w:r>
      <w:r w:rsidR="006C704F">
        <w:t xml:space="preserve">. A requirement for disclosure can prevent people from seeking help in the first place. </w:t>
      </w:r>
    </w:p>
    <w:p w14:paraId="1EA38FE5" w14:textId="77777777" w:rsidR="00C869B4" w:rsidRDefault="00C869B4" w:rsidP="00C869B4">
      <w:pPr>
        <w:pStyle w:val="Heading3"/>
      </w:pPr>
      <w:r>
        <w:t>The dividends from better coordination of data for people’s care appear to be large</w:t>
      </w:r>
    </w:p>
    <w:p w14:paraId="1EA38FE6" w14:textId="77777777" w:rsidR="00C869B4" w:rsidRDefault="00C869B4" w:rsidP="00C869B4">
      <w:pPr>
        <w:pStyle w:val="BodyText"/>
      </w:pPr>
      <w:r>
        <w:t xml:space="preserve">Overall, the dividends from good data management for patients </w:t>
      </w:r>
      <w:r w:rsidR="008348FF">
        <w:t>appear</w:t>
      </w:r>
      <w:r>
        <w:t xml:space="preserve"> to be high. Electronic </w:t>
      </w:r>
      <w:r w:rsidRPr="005F1571">
        <w:t xml:space="preserve">medical records can reduce the risk to patient health of incomplete or inaccurate patient information — which results in up to </w:t>
      </w:r>
      <w:r w:rsidR="00C43BF5" w:rsidRPr="005F1571">
        <w:t>18</w:t>
      </w:r>
      <w:r w:rsidR="00C43BF5">
        <w:t> </w:t>
      </w:r>
      <w:r w:rsidR="00C43BF5" w:rsidRPr="005F1571">
        <w:t>per</w:t>
      </w:r>
      <w:r w:rsidR="00C43BF5">
        <w:t> </w:t>
      </w:r>
      <w:r w:rsidRPr="005F1571">
        <w:t>cent of medical errors in Australia</w:t>
      </w:r>
      <w:r w:rsidR="007926E9">
        <w:t> </w:t>
      </w:r>
      <w:r w:rsidR="007926E9" w:rsidRPr="007926E9">
        <w:rPr>
          <w:szCs w:val="24"/>
        </w:rPr>
        <w:t>(Jolly 2011)</w:t>
      </w:r>
      <w:r w:rsidRPr="005F1571">
        <w:t xml:space="preserve">. Accurate information also reduces the risk of duplicating tests or of conflicting medical treatments. In the United States, </w:t>
      </w:r>
      <w:r w:rsidR="00D91122">
        <w:t>nine </w:t>
      </w:r>
      <w:r w:rsidR="00C43F38">
        <w:t>per </w:t>
      </w:r>
      <w:r w:rsidRPr="005F1571">
        <w:t>cent of pathology tests are duplicates and therefore add to costs without adding value</w:t>
      </w:r>
      <w:r w:rsidR="00F26CC2">
        <w:t> </w:t>
      </w:r>
      <w:r w:rsidR="00F26CC2" w:rsidRPr="00F26CC2">
        <w:rPr>
          <w:szCs w:val="24"/>
        </w:rPr>
        <w:t>(CBO 2008)</w:t>
      </w:r>
      <w:r w:rsidRPr="005F1571">
        <w:t>.</w:t>
      </w:r>
      <w:r w:rsidR="00F26CC2">
        <w:t xml:space="preserve"> Similarly in Australia, </w:t>
      </w:r>
      <w:r w:rsidR="00522876">
        <w:t>survey data indicate</w:t>
      </w:r>
      <w:r w:rsidR="00F26CC2">
        <w:t xml:space="preserve"> that medical tests are duplicated for over ten per cent of adults</w:t>
      </w:r>
      <w:r w:rsidR="00971039">
        <w:t xml:space="preserve"> with chronic conditions</w:t>
      </w:r>
      <w:r w:rsidR="00F26CC2">
        <w:t> </w:t>
      </w:r>
      <w:r w:rsidR="00F26CC2" w:rsidRPr="00F26CC2">
        <w:rPr>
          <w:szCs w:val="24"/>
        </w:rPr>
        <w:t>(Schoen et al. 2009)</w:t>
      </w:r>
      <w:r w:rsidR="00F26CC2">
        <w:t>.</w:t>
      </w:r>
      <w:r w:rsidRPr="005F1571">
        <w:t xml:space="preserve"> </w:t>
      </w:r>
    </w:p>
    <w:p w14:paraId="1EA38FE7" w14:textId="77777777" w:rsidR="008D14BA" w:rsidRDefault="008D14BA" w:rsidP="003C192C">
      <w:pPr>
        <w:pStyle w:val="Heading3"/>
      </w:pPr>
      <w:r>
        <w:t>Well</w:t>
      </w:r>
      <w:r w:rsidR="009C49CA">
        <w:noBreakHyphen/>
      </w:r>
      <w:r>
        <w:t xml:space="preserve">designed </w:t>
      </w:r>
      <w:r w:rsidR="00BF5105">
        <w:t xml:space="preserve">information </w:t>
      </w:r>
      <w:r>
        <w:t xml:space="preserve">systems </w:t>
      </w:r>
      <w:r w:rsidR="00BF5105">
        <w:t>are not enough</w:t>
      </w:r>
    </w:p>
    <w:p w14:paraId="1EA38FE8" w14:textId="77777777" w:rsidR="00991143" w:rsidRDefault="001A672B" w:rsidP="00012C04">
      <w:pPr>
        <w:pStyle w:val="BodyText"/>
      </w:pPr>
      <w:r>
        <w:t>T</w:t>
      </w:r>
      <w:r w:rsidR="006356D8">
        <w:t>he most exquisite</w:t>
      </w:r>
      <w:r w:rsidR="009A31C7">
        <w:t xml:space="preserve">ly </w:t>
      </w:r>
      <w:r w:rsidR="006356D8">
        <w:t>designed information sharing and management system will not deliver its full benefits if clinicians and other</w:t>
      </w:r>
      <w:r w:rsidR="007F2AB5">
        <w:t>s</w:t>
      </w:r>
      <w:r w:rsidR="006356D8">
        <w:t xml:space="preserve"> do not enter reliable data or use it for managing the treatment of patients. That cannot be assumed. </w:t>
      </w:r>
    </w:p>
    <w:p w14:paraId="1EA38FE9" w14:textId="77777777" w:rsidR="00170F1C" w:rsidRDefault="00B36B62" w:rsidP="0007670C">
      <w:pPr>
        <w:pStyle w:val="BodyText"/>
      </w:pPr>
      <w:r>
        <w:t>The</w:t>
      </w:r>
      <w:r w:rsidR="00170F1C">
        <w:t xml:space="preserve"> evidence </w:t>
      </w:r>
      <w:r>
        <w:t xml:space="preserve">indicates </w:t>
      </w:r>
      <w:r w:rsidR="00170F1C">
        <w:t xml:space="preserve">that the </w:t>
      </w:r>
      <w:r w:rsidR="00090D75">
        <w:t xml:space="preserve">provision of reliable health data leads to improved health outcomes, including by </w:t>
      </w:r>
      <w:r w:rsidR="0072111B">
        <w:t>assisting</w:t>
      </w:r>
      <w:r w:rsidR="00090D75">
        <w:t xml:space="preserve"> </w:t>
      </w:r>
      <w:r w:rsidR="0072111B">
        <w:t>individual</w:t>
      </w:r>
      <w:r w:rsidR="00090D75">
        <w:t xml:space="preserve"> providers to </w:t>
      </w:r>
      <w:r w:rsidR="0072111B">
        <w:t>self</w:t>
      </w:r>
      <w:r w:rsidR="0072111B">
        <w:noBreakHyphen/>
        <w:t xml:space="preserve">evaluate </w:t>
      </w:r>
      <w:r w:rsidR="00090D75">
        <w:t>their performance</w:t>
      </w:r>
      <w:r w:rsidR="0072111B">
        <w:t xml:space="preserve"> against other providers</w:t>
      </w:r>
      <w:r w:rsidR="00170F1C">
        <w:t> </w:t>
      </w:r>
      <w:r w:rsidR="00090D75" w:rsidRPr="00090D75">
        <w:rPr>
          <w:szCs w:val="24"/>
        </w:rPr>
        <w:t>(ACSQHC 2016a; Henderson and Henderson 2015; Shaw, Taylor and Dix 2015)</w:t>
      </w:r>
      <w:r w:rsidR="00170F1C">
        <w:t xml:space="preserve">. </w:t>
      </w:r>
      <w:r w:rsidR="00204483">
        <w:t xml:space="preserve">However, it is critical that </w:t>
      </w:r>
      <w:r w:rsidR="00522876">
        <w:t xml:space="preserve">the </w:t>
      </w:r>
      <w:r w:rsidR="00204483">
        <w:t xml:space="preserve">data </w:t>
      </w:r>
      <w:r w:rsidR="00522876">
        <w:t>are of</w:t>
      </w:r>
      <w:r w:rsidR="00204483">
        <w:t xml:space="preserve"> high quality,</w:t>
      </w:r>
      <w:r w:rsidR="00DF47AA">
        <w:t xml:space="preserve"> </w:t>
      </w:r>
      <w:r w:rsidR="00204483">
        <w:t>the</w:t>
      </w:r>
      <w:r w:rsidR="00DF47AA">
        <w:t xml:space="preserve"> </w:t>
      </w:r>
      <w:r w:rsidR="000A26D4">
        <w:t>setting</w:t>
      </w:r>
      <w:r w:rsidR="00DF47AA">
        <w:t xml:space="preserve"> </w:t>
      </w:r>
      <w:r w:rsidR="00204483">
        <w:t>in which the data ha</w:t>
      </w:r>
      <w:r w:rsidR="00522876">
        <w:t>ve</w:t>
      </w:r>
      <w:r w:rsidR="00204483">
        <w:t xml:space="preserve"> been collected is divulged, the risks of unintended negative outcomes from </w:t>
      </w:r>
      <w:r w:rsidR="00105C92">
        <w:t>misinterpretation</w:t>
      </w:r>
      <w:r w:rsidR="00204483">
        <w:t xml:space="preserve"> or mismeasurement </w:t>
      </w:r>
      <w:r w:rsidR="00105C92">
        <w:t>is</w:t>
      </w:r>
      <w:r w:rsidR="00204483">
        <w:t xml:space="preserve"> assessed and rem</w:t>
      </w:r>
      <w:r w:rsidR="00105C92">
        <w:t>e</w:t>
      </w:r>
      <w:r w:rsidR="00204483">
        <w:t>died, and the measurement of performance is regularly refined</w:t>
      </w:r>
      <w:r w:rsidR="00105C92">
        <w:t>.</w:t>
      </w:r>
    </w:p>
    <w:p w14:paraId="1EA38FEA" w14:textId="77777777" w:rsidR="00B36B62" w:rsidRDefault="00B36B62" w:rsidP="00B36B62">
      <w:pPr>
        <w:pStyle w:val="BodyText"/>
      </w:pPr>
      <w:r>
        <w:t xml:space="preserve">The Australian Government’s Diabetes Care Project showed that provision of a sophisticated information management system for GPs (including </w:t>
      </w:r>
      <w:r w:rsidR="00C46663">
        <w:t xml:space="preserve">the capacity to provide </w:t>
      </w:r>
      <w:r>
        <w:t xml:space="preserve">linked electronic patient records, information on GPs’ performance relative to peers, automatic generation of care plans, and fund management, among other functions) </w:t>
      </w:r>
      <w:r w:rsidR="00C46663">
        <w:t xml:space="preserve">was </w:t>
      </w:r>
      <w:r w:rsidR="00E73DD2">
        <w:t xml:space="preserve">little </w:t>
      </w:r>
      <w:r w:rsidR="00C46663">
        <w:t xml:space="preserve">utilised by GPs and </w:t>
      </w:r>
      <w:r>
        <w:t xml:space="preserve">had no benefit </w:t>
      </w:r>
      <w:r w:rsidR="00E73DD2">
        <w:t xml:space="preserve">for patients </w:t>
      </w:r>
      <w:r>
        <w:t xml:space="preserve">unless accompanied by other aspects of integrated care, such as financial incentives </w:t>
      </w:r>
      <w:r w:rsidRPr="00F6095D">
        <w:rPr>
          <w:szCs w:val="24"/>
        </w:rPr>
        <w:t>(DoH 2015b)</w:t>
      </w:r>
      <w:r>
        <w:t>.</w:t>
      </w:r>
      <w:r w:rsidDel="001960DE">
        <w:t xml:space="preserve"> </w:t>
      </w:r>
      <w:r>
        <w:t xml:space="preserve">There are grounds for linking access to government funding for some services to the uptake of electronic medical records. We envisage that in many of their collaborative ventures for better integrating care, PHN/LHN alliances would require health professionals to participate in a shared information system in order to be eligible for additional funding. </w:t>
      </w:r>
    </w:p>
    <w:p w14:paraId="1EA38FEB" w14:textId="77777777" w:rsidR="003D11ED" w:rsidRDefault="0007670C" w:rsidP="0007670C">
      <w:pPr>
        <w:pStyle w:val="BodyText"/>
      </w:pPr>
      <w:r>
        <w:t>Even rudimentary approaches to help people with chronic conditions navigate the health system can be incomplete or out</w:t>
      </w:r>
      <w:r>
        <w:noBreakHyphen/>
        <w:t>of</w:t>
      </w:r>
      <w:r>
        <w:noBreakHyphen/>
        <w:t>date. For example, the National Diabetes Services Scheme (</w:t>
      </w:r>
      <w:r w:rsidRPr="000963C4">
        <w:rPr>
          <w:i/>
        </w:rPr>
        <w:t>ndss</w:t>
      </w:r>
      <w:r>
        <w:t>) provides a national online services directory that provides</w:t>
      </w:r>
      <w:r w:rsidR="00E73DD2">
        <w:t xml:space="preserve"> </w:t>
      </w:r>
      <w:r>
        <w:t xml:space="preserve">patients with lists of the local professionals that can assist them </w:t>
      </w:r>
      <w:r w:rsidR="003C4029">
        <w:t xml:space="preserve">in </w:t>
      </w:r>
      <w:r>
        <w:t>manag</w:t>
      </w:r>
      <w:r w:rsidR="003C4029">
        <w:t>ing</w:t>
      </w:r>
      <w:r w:rsidDel="003C4029">
        <w:t xml:space="preserve"> </w:t>
      </w:r>
      <w:r>
        <w:t>diabetes (for example, podiatrists, psychologists, dieticians, and e</w:t>
      </w:r>
      <w:r w:rsidRPr="00F94F8E">
        <w:t>ndocrinologist</w:t>
      </w:r>
      <w:r>
        <w:t>s). There are large gaps in coverage, as exemplified by negligible coverage of podiatrists in the database (figure </w:t>
      </w:r>
      <w:r w:rsidR="00142F93">
        <w:t>9</w:t>
      </w:r>
      <w:r w:rsidR="003D11ED">
        <w:t>.1</w:t>
      </w:r>
      <w:r>
        <w:t xml:space="preserve">), a coverage rate that is similarly poor in other specialties. For example, the database lists only seven medical practitioners in all of </w:t>
      </w:r>
      <w:r w:rsidR="0083038E">
        <w:t>New South Wales</w:t>
      </w:r>
      <w:r>
        <w:t xml:space="preserve"> with a role in diabetes management. </w:t>
      </w:r>
    </w:p>
    <w:p w14:paraId="1EA38FEC" w14:textId="77777777" w:rsidR="0007670C" w:rsidRDefault="0007670C" w:rsidP="00EA2B19">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07670C" w14:paraId="1EA38FEF" w14:textId="77777777" w:rsidTr="0014671B">
        <w:trPr>
          <w:tblHeader/>
        </w:trPr>
        <w:tc>
          <w:tcPr>
            <w:tcW w:w="5000" w:type="pct"/>
            <w:tcBorders>
              <w:top w:val="single" w:sz="6" w:space="0" w:color="78A22F"/>
              <w:left w:val="nil"/>
              <w:bottom w:val="nil"/>
              <w:right w:val="nil"/>
            </w:tcBorders>
            <w:shd w:val="clear" w:color="auto" w:fill="auto"/>
          </w:tcPr>
          <w:p w14:paraId="1EA38FED" w14:textId="77777777" w:rsidR="0007670C" w:rsidRDefault="0007670C" w:rsidP="00EA2B19">
            <w:pPr>
              <w:pStyle w:val="FigureTitle"/>
              <w:spacing w:after="0"/>
            </w:pPr>
            <w:r w:rsidRPr="00944790">
              <w:rPr>
                <w:b w:val="0"/>
              </w:rPr>
              <w:t xml:space="preserve">Figure </w:t>
            </w:r>
            <w:r w:rsidR="007506EC" w:rsidRPr="00944790">
              <w:rPr>
                <w:b w:val="0"/>
              </w:rPr>
              <w:t>9</w:t>
            </w:r>
            <w:r w:rsidRPr="00944790">
              <w:rPr>
                <w:b w:val="0"/>
              </w:rPr>
              <w:t>.1</w:t>
            </w:r>
            <w:r w:rsidRPr="00AF098D">
              <w:tab/>
            </w:r>
            <w:r>
              <w:t>Podiatrists lost and found</w:t>
            </w:r>
          </w:p>
          <w:p w14:paraId="1EA38FEE" w14:textId="77777777" w:rsidR="0007670C" w:rsidRPr="00176D3F" w:rsidRDefault="0007670C" w:rsidP="0014671B">
            <w:pPr>
              <w:pStyle w:val="Subtitle"/>
            </w:pPr>
            <w:r>
              <w:t xml:space="preserve">National workforce compared with the </w:t>
            </w:r>
            <w:r w:rsidRPr="002C75EC">
              <w:rPr>
                <w:i/>
              </w:rPr>
              <w:t>ndss</w:t>
            </w:r>
            <w:r>
              <w:t xml:space="preserve"> online database</w:t>
            </w:r>
            <w:r w:rsidRPr="002C75EC">
              <w:rPr>
                <w:rStyle w:val="NoteLabel"/>
              </w:rPr>
              <w:t>a</w:t>
            </w:r>
          </w:p>
        </w:tc>
      </w:tr>
      <w:tr w:rsidR="0007670C" w14:paraId="1EA38FF3" w14:textId="77777777" w:rsidTr="0014671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tblCellMar>
              <w:tblLook w:val="0000" w:firstRow="0" w:lastRow="0" w:firstColumn="0" w:lastColumn="0" w:noHBand="0" w:noVBand="0"/>
              <w:tblDescription w:val="Nested table used for design layout."/>
            </w:tblPr>
            <w:tblGrid>
              <w:gridCol w:w="8742"/>
            </w:tblGrid>
            <w:tr w:rsidR="0007670C" w:rsidRPr="00B1465D" w14:paraId="1EA38FF1" w14:textId="77777777" w:rsidTr="0014671B">
              <w:trPr>
                <w:tblHeader/>
                <w:jc w:val="center"/>
              </w:trPr>
              <w:tc>
                <w:tcPr>
                  <w:tcW w:w="8504" w:type="dxa"/>
                  <w:tcBorders>
                    <w:top w:val="nil"/>
                    <w:bottom w:val="nil"/>
                  </w:tcBorders>
                </w:tcPr>
                <w:p w14:paraId="1EA38FF0" w14:textId="77777777" w:rsidR="0007670C" w:rsidRPr="00B1465D" w:rsidRDefault="002122D0" w:rsidP="00EA2B19">
                  <w:pPr>
                    <w:pStyle w:val="Figure"/>
                    <w:spacing w:before="0" w:after="0"/>
                    <w:rPr>
                      <w:rFonts w:ascii="Arial" w:hAnsi="Arial" w:cs="Arial"/>
                      <w:sz w:val="18"/>
                      <w:szCs w:val="18"/>
                    </w:rPr>
                  </w:pPr>
                  <w:r>
                    <w:rPr>
                      <w:rFonts w:ascii="Arial" w:hAnsi="Arial" w:cs="Arial"/>
                      <w:noProof/>
                      <w:sz w:val="18"/>
                      <w:szCs w:val="18"/>
                    </w:rPr>
                    <w:drawing>
                      <wp:inline distT="0" distB="0" distL="0" distR="0" wp14:anchorId="1EA39658" wp14:editId="344A1E1C">
                        <wp:extent cx="5414010" cy="2908300"/>
                        <wp:effectExtent l="0" t="0" r="0" b="6350"/>
                        <wp:docPr id="24" name="Picture 24" descr="This figure shows that the National Diabetes Services Scheme online database covers only a small proportion of podiatrists in every state. The databases’ coverage by state varies from 3 per cent in New South Wales to zero in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14010" cy="2908300"/>
                                </a:xfrm>
                                <a:prstGeom prst="rect">
                                  <a:avLst/>
                                </a:prstGeom>
                                <a:noFill/>
                              </pic:spPr>
                            </pic:pic>
                          </a:graphicData>
                        </a:graphic>
                      </wp:inline>
                    </w:drawing>
                  </w:r>
                </w:p>
              </w:tc>
            </w:tr>
          </w:tbl>
          <w:p w14:paraId="1EA38FF2" w14:textId="77777777" w:rsidR="0007670C" w:rsidRDefault="0007670C" w:rsidP="0014671B">
            <w:pPr>
              <w:pStyle w:val="Figure"/>
            </w:pPr>
          </w:p>
        </w:tc>
      </w:tr>
      <w:tr w:rsidR="0007670C" w:rsidRPr="00176D3F" w14:paraId="1EA38FF5" w14:textId="77777777" w:rsidTr="0014671B">
        <w:tc>
          <w:tcPr>
            <w:tcW w:w="5000" w:type="pct"/>
            <w:tcBorders>
              <w:top w:val="nil"/>
              <w:left w:val="nil"/>
              <w:bottom w:val="nil"/>
              <w:right w:val="nil"/>
            </w:tcBorders>
            <w:shd w:val="clear" w:color="auto" w:fill="auto"/>
          </w:tcPr>
          <w:p w14:paraId="1EA38FF4" w14:textId="77777777" w:rsidR="0007670C" w:rsidRPr="00176D3F" w:rsidRDefault="0007670C" w:rsidP="00EA2B19">
            <w:pPr>
              <w:pStyle w:val="Note"/>
              <w:spacing w:before="0"/>
            </w:pPr>
            <w:r>
              <w:rPr>
                <w:rStyle w:val="NoteLabel"/>
              </w:rPr>
              <w:t>a</w:t>
            </w:r>
            <w:r>
              <w:t xml:space="preserve"> The </w:t>
            </w:r>
            <w:r w:rsidRPr="00D27CE3">
              <w:t>National Diabetes Services Scheme (</w:t>
            </w:r>
            <w:r w:rsidRPr="002C75EC">
              <w:rPr>
                <w:i/>
              </w:rPr>
              <w:t>ndss</w:t>
            </w:r>
            <w:r w:rsidRPr="00D27CE3">
              <w:t>)</w:t>
            </w:r>
            <w:r w:rsidR="00522876">
              <w:t xml:space="preserve"> online data indicate</w:t>
            </w:r>
            <w:r>
              <w:t xml:space="preserve"> the number of podiatrists by locality. The AIHW undertakes regular surveys to estimate the national medical workforce. The ratio of the former to the latter is the coverage rate. A comprehensive online database would have a 100% coverage rate. P</w:t>
            </w:r>
            <w:r w:rsidRPr="00611299">
              <w:t xml:space="preserve">odiatrists </w:t>
            </w:r>
            <w:r>
              <w:t>are</w:t>
            </w:r>
            <w:r w:rsidRPr="00611299">
              <w:t xml:space="preserve"> </w:t>
            </w:r>
            <w:r>
              <w:t>key</w:t>
            </w:r>
            <w:r w:rsidRPr="00611299">
              <w:t xml:space="preserve"> professional</w:t>
            </w:r>
            <w:r>
              <w:t>s</w:t>
            </w:r>
            <w:r w:rsidRPr="00611299">
              <w:t xml:space="preserve"> for addressing the co</w:t>
            </w:r>
            <w:r>
              <w:t>mmon limb problems experienced b</w:t>
            </w:r>
            <w:r w:rsidRPr="00611299">
              <w:t>y diabetics</w:t>
            </w:r>
            <w:r>
              <w:t xml:space="preserve">. </w:t>
            </w:r>
            <w:r w:rsidRPr="00611299">
              <w:t xml:space="preserve">The </w:t>
            </w:r>
            <w:r w:rsidR="00062C71">
              <w:t>ndss</w:t>
            </w:r>
            <w:r w:rsidRPr="00611299">
              <w:t xml:space="preserve"> is an initiative of the Australian Government that commenced in 1987 and is administered with the assistance of Diabetes Australi</w:t>
            </w:r>
            <w:r>
              <w:t>a.</w:t>
            </w:r>
          </w:p>
        </w:tc>
      </w:tr>
      <w:tr w:rsidR="0007670C" w:rsidRPr="00176D3F" w14:paraId="1EA38FF7" w14:textId="77777777" w:rsidTr="0014671B">
        <w:tc>
          <w:tcPr>
            <w:tcW w:w="5000" w:type="pct"/>
            <w:tcBorders>
              <w:top w:val="nil"/>
              <w:left w:val="nil"/>
              <w:bottom w:val="nil"/>
              <w:right w:val="nil"/>
            </w:tcBorders>
            <w:shd w:val="clear" w:color="auto" w:fill="auto"/>
          </w:tcPr>
          <w:p w14:paraId="1EA38FF6" w14:textId="77777777" w:rsidR="0007670C" w:rsidRPr="00176D3F" w:rsidRDefault="0007670C" w:rsidP="00EA2B19">
            <w:pPr>
              <w:pStyle w:val="Source"/>
            </w:pPr>
            <w:r>
              <w:rPr>
                <w:i/>
              </w:rPr>
              <w:t>S</w:t>
            </w:r>
            <w:r w:rsidRPr="00784A05">
              <w:rPr>
                <w:i/>
              </w:rPr>
              <w:t>ource</w:t>
            </w:r>
            <w:r>
              <w:rPr>
                <w:i/>
              </w:rPr>
              <w:t>s</w:t>
            </w:r>
            <w:r w:rsidRPr="00176D3F">
              <w:t xml:space="preserve">: </w:t>
            </w:r>
            <w:r>
              <w:t>Data extraction from the ndss online database (</w:t>
            </w:r>
            <w:r w:rsidRPr="0027726C">
              <w:t>http://osd.ndss.com.au/search/default.aspx</w:t>
            </w:r>
            <w:r>
              <w:t xml:space="preserve">) </w:t>
            </w:r>
            <w:r w:rsidR="00062C71">
              <w:t xml:space="preserve">on </w:t>
            </w:r>
            <w:r>
              <w:t xml:space="preserve">15 May 2017, and AIHW </w:t>
            </w:r>
            <w:r w:rsidRPr="0027726C">
              <w:rPr>
                <w:i/>
              </w:rPr>
              <w:t>National Health Workforce Data Set</w:t>
            </w:r>
            <w:r w:rsidRPr="002C75EC">
              <w:t xml:space="preserve"> (NHWDS)</w:t>
            </w:r>
            <w:r>
              <w:t xml:space="preserve"> 2014.</w:t>
            </w:r>
          </w:p>
        </w:tc>
      </w:tr>
      <w:tr w:rsidR="0007670C" w14:paraId="1EA38FF9" w14:textId="77777777" w:rsidTr="0014671B">
        <w:tc>
          <w:tcPr>
            <w:tcW w:w="5000" w:type="pct"/>
            <w:tcBorders>
              <w:top w:val="nil"/>
              <w:left w:val="nil"/>
              <w:bottom w:val="single" w:sz="6" w:space="0" w:color="78A22F"/>
              <w:right w:val="nil"/>
            </w:tcBorders>
            <w:shd w:val="clear" w:color="auto" w:fill="auto"/>
          </w:tcPr>
          <w:p w14:paraId="1EA38FF8" w14:textId="77777777" w:rsidR="0007670C" w:rsidRDefault="0007670C" w:rsidP="0014671B">
            <w:pPr>
              <w:pStyle w:val="Figurespace"/>
            </w:pPr>
          </w:p>
        </w:tc>
      </w:tr>
      <w:tr w:rsidR="0007670C" w:rsidRPr="000863A5" w14:paraId="1EA38FFB" w14:textId="77777777" w:rsidTr="0014671B">
        <w:tc>
          <w:tcPr>
            <w:tcW w:w="5000" w:type="pct"/>
            <w:tcBorders>
              <w:top w:val="single" w:sz="6" w:space="0" w:color="78A22F"/>
              <w:left w:val="nil"/>
              <w:bottom w:val="nil"/>
              <w:right w:val="nil"/>
            </w:tcBorders>
          </w:tcPr>
          <w:p w14:paraId="1EA38FFA" w14:textId="77777777" w:rsidR="0007670C" w:rsidRPr="00626D32" w:rsidRDefault="0007670C" w:rsidP="0014671B">
            <w:pPr>
              <w:pStyle w:val="BoxSpaceBelow"/>
            </w:pPr>
          </w:p>
        </w:tc>
      </w:tr>
    </w:tbl>
    <w:p w14:paraId="1EA38FFC" w14:textId="77777777" w:rsidR="00BF5A00" w:rsidRDefault="00BF5A00" w:rsidP="00BF5A00">
      <w:pPr>
        <w:pStyle w:val="BodyText"/>
      </w:pPr>
      <w:bookmarkStart w:id="85" w:name="_Toc488929712"/>
      <w:r>
        <w:t>The deficiencies of databases of this kind reflect that maintenance is costly, other tasks have higher immediate priority and health professionals have little interest in providing details because of time poverty. Further, providers and consumers have little incentive to look at a database that has limited functionality. There are also other competing databases — creating a source of confusion. Arguably, something as simple as providing patients with some guidance on using Internet search engines for accessing services might have a higher payoff if there is a risk that any newly advocated online resource is insufficiently maintained or incomplete. Regardless, the lesson from this small case study is that aspects of an integrated care system (‘access to information’) may seem to be present, but vanish when probed more deeply.</w:t>
      </w:r>
    </w:p>
    <w:p w14:paraId="1EA38FFD" w14:textId="77777777" w:rsidR="00DF1338" w:rsidRDefault="007506EC" w:rsidP="003D11ED">
      <w:pPr>
        <w:pStyle w:val="Heading2"/>
      </w:pPr>
      <w:bookmarkStart w:id="86" w:name="_Toc489250090"/>
      <w:r>
        <w:t>9</w:t>
      </w:r>
      <w:r w:rsidR="003D11ED">
        <w:t>.2</w:t>
      </w:r>
      <w:r w:rsidR="003D11ED">
        <w:tab/>
        <w:t>Using data for evidence</w:t>
      </w:r>
      <w:r w:rsidR="003D11ED">
        <w:noBreakHyphen/>
        <w:t>based policy and practice</w:t>
      </w:r>
      <w:bookmarkEnd w:id="85"/>
      <w:bookmarkEnd w:id="86"/>
    </w:p>
    <w:p w14:paraId="1EA38FFE" w14:textId="77777777" w:rsidR="003D11ED" w:rsidRDefault="003D11ED" w:rsidP="003D11ED">
      <w:pPr>
        <w:pStyle w:val="BodyText"/>
      </w:pPr>
      <w:r>
        <w:t xml:space="preserve">It is now well understood that alcohol and drug abuse are major contributors to illness and mortality in Australia </w:t>
      </w:r>
      <w:r w:rsidR="00C65A42" w:rsidRPr="00C65A42">
        <w:rPr>
          <w:szCs w:val="24"/>
        </w:rPr>
        <w:t>(AIHW 2016a; Manning, Smith and Mazerolle 2013; NHMRC 2009)</w:t>
      </w:r>
      <w:r>
        <w:t xml:space="preserve">. It is less well recalled that this understanding stemmed from the seminal work of researchers in Western Australia who linked 6.5 million records of births, deaths, hospital separation and other health </w:t>
      </w:r>
      <w:r w:rsidR="00522876">
        <w:t xml:space="preserve">data </w:t>
      </w:r>
      <w:r>
        <w:t>to quantify the impact of drug and alcohol abuse on mortality </w:t>
      </w:r>
      <w:r w:rsidR="00C65A42" w:rsidRPr="00C65A42">
        <w:rPr>
          <w:szCs w:val="24"/>
        </w:rPr>
        <w:t>(Holman et al. 1990)</w:t>
      </w:r>
      <w:r>
        <w:t>. This approach set the benchmark for researchers around the world </w:t>
      </w:r>
      <w:r w:rsidR="008B538A" w:rsidRPr="008B538A">
        <w:rPr>
          <w:szCs w:val="24"/>
        </w:rPr>
        <w:t>(for example, Sjögren et al. 2001)</w:t>
      </w:r>
      <w:r>
        <w:t xml:space="preserve"> and helped to precipitate Australia’s campaign to reduce drug and alcohol abuse.</w:t>
      </w:r>
    </w:p>
    <w:p w14:paraId="1EA38FFF" w14:textId="77777777" w:rsidR="003D11ED" w:rsidRDefault="003D11ED" w:rsidP="003D11ED">
      <w:pPr>
        <w:pStyle w:val="BodyText"/>
      </w:pPr>
      <w:r>
        <w:t>Integrated care provides an opportunity for integrated data for evidence</w:t>
      </w:r>
      <w:r>
        <w:noBreakHyphen/>
        <w:t xml:space="preserve">based policymaking and clinical practices. With the </w:t>
      </w:r>
      <w:r w:rsidR="00217196">
        <w:t>right</w:t>
      </w:r>
      <w:r>
        <w:t xml:space="preserve"> </w:t>
      </w:r>
      <w:r w:rsidR="00DC55E7">
        <w:t xml:space="preserve">information technology </w:t>
      </w:r>
      <w:r>
        <w:t>infrastructure and capabilities, it is possible to collect information on the inputs, outputs and outcomes associated with each of the myriad interactions people have with the different parts of the health system. This goes beyond single episodes of care to lifetime datasets that provide a better understanding of the long</w:t>
      </w:r>
      <w:r>
        <w:noBreakHyphen/>
        <w:t>run effects of any intervention.</w:t>
      </w:r>
    </w:p>
    <w:p w14:paraId="1EA39000" w14:textId="77777777" w:rsidR="003D11ED" w:rsidRDefault="003D11ED" w:rsidP="003D11ED">
      <w:pPr>
        <w:pStyle w:val="BodyText"/>
      </w:pPr>
      <w:r>
        <w:t xml:space="preserve">Data collection is one dimension of building an evidence base, but equally important, the data has to be useful, linked and </w:t>
      </w:r>
      <w:r w:rsidR="00C96FFB">
        <w:t xml:space="preserve">made available to </w:t>
      </w:r>
      <w:r w:rsidR="003C4029">
        <w:t xml:space="preserve">providers and </w:t>
      </w:r>
      <w:r w:rsidR="00C96FFB">
        <w:t xml:space="preserve">researchers. </w:t>
      </w:r>
      <w:r>
        <w:t xml:space="preserve">As part of its </w:t>
      </w:r>
      <w:r w:rsidRPr="001A3135">
        <w:rPr>
          <w:i/>
        </w:rPr>
        <w:t>Data Access and Release Policy</w:t>
      </w:r>
      <w:r w:rsidRPr="008D5833">
        <w:t xml:space="preserve">, </w:t>
      </w:r>
      <w:r>
        <w:t xml:space="preserve">the Australian Government </w:t>
      </w:r>
      <w:r w:rsidRPr="001A3135">
        <w:t>has committed to releasing medical information ‘in an appropriately de</w:t>
      </w:r>
      <w:r w:rsidR="005272E2">
        <w:noBreakHyphen/>
      </w:r>
      <w:r w:rsidRPr="001A3135">
        <w:t>identified and confidentialised form’ unles</w:t>
      </w:r>
      <w:r>
        <w:t>s there is a good reason not to</w:t>
      </w:r>
      <w:r w:rsidRPr="001A3135">
        <w:t xml:space="preserve"> </w:t>
      </w:r>
      <w:r w:rsidR="00F6095D" w:rsidRPr="00F6095D">
        <w:rPr>
          <w:szCs w:val="24"/>
        </w:rPr>
        <w:t>(DoH 2015a)</w:t>
      </w:r>
      <w:r>
        <w:t>.</w:t>
      </w:r>
      <w:r w:rsidRPr="001A3135">
        <w:t xml:space="preserve"> Consistent with that policy, the Department agreed to allow the AIHW to store a five year dataset of MBS and PBS claims, </w:t>
      </w:r>
      <w:r w:rsidR="00B81684">
        <w:t>which will facilitate</w:t>
      </w:r>
      <w:r w:rsidRPr="001A3135">
        <w:t xml:space="preserve"> more efficient access to linked data for medical research</w:t>
      </w:r>
      <w:r>
        <w:t> </w:t>
      </w:r>
      <w:r w:rsidR="00C65A42" w:rsidRPr="00C65A42">
        <w:rPr>
          <w:szCs w:val="24"/>
        </w:rPr>
        <w:t>(AIHW 2015)</w:t>
      </w:r>
      <w:r w:rsidRPr="001A3135">
        <w:t>. The Department also released a sample of MBS and PBS de</w:t>
      </w:r>
      <w:r>
        <w:noBreakHyphen/>
      </w:r>
      <w:r w:rsidRPr="001A3135">
        <w:t xml:space="preserve">identified data to the public in August 2016. However, this was subsequently removed when some of the data </w:t>
      </w:r>
      <w:r w:rsidR="009A56B6">
        <w:t>were</w:t>
      </w:r>
      <w:r w:rsidRPr="001A3135">
        <w:t xml:space="preserve"> re</w:t>
      </w:r>
      <w:r>
        <w:noBreakHyphen/>
      </w:r>
      <w:r w:rsidRPr="001A3135">
        <w:t xml:space="preserve">identified. </w:t>
      </w:r>
    </w:p>
    <w:p w14:paraId="1EA39001" w14:textId="77777777" w:rsidR="003D11ED" w:rsidRDefault="003D11ED" w:rsidP="003D11ED">
      <w:pPr>
        <w:pStyle w:val="BodyText"/>
      </w:pPr>
      <w:r>
        <w:t>It is possible to resolve these issues by</w:t>
      </w:r>
      <w:r w:rsidR="009C49CA">
        <w:t>:</w:t>
      </w:r>
    </w:p>
    <w:p w14:paraId="1EA39002" w14:textId="77777777" w:rsidR="003D11ED" w:rsidRDefault="003D11ED" w:rsidP="003D11ED">
      <w:pPr>
        <w:pStyle w:val="ListBullet"/>
      </w:pPr>
      <w:r>
        <w:t>concentrating on access for trusted users who are most likely to add value to the data</w:t>
      </w:r>
    </w:p>
    <w:p w14:paraId="1EA39003" w14:textId="77777777" w:rsidR="003D11ED" w:rsidRDefault="003D11ED" w:rsidP="003D11ED">
      <w:pPr>
        <w:pStyle w:val="ListBullet"/>
      </w:pPr>
      <w:r>
        <w:t xml:space="preserve">using proven </w:t>
      </w:r>
      <w:r w:rsidRPr="001A3135">
        <w:t>mechanisms</w:t>
      </w:r>
      <w:r w:rsidR="00BC415E">
        <w:t xml:space="preserve">. For research purposes, an effective mechanism is </w:t>
      </w:r>
      <w:r w:rsidRPr="001A3135">
        <w:t>the Secure Unified Research Environment</w:t>
      </w:r>
      <w:r>
        <w:t>,</w:t>
      </w:r>
      <w:r w:rsidRPr="00223A23">
        <w:t xml:space="preserve"> </w:t>
      </w:r>
      <w:r w:rsidRPr="001A3135">
        <w:t xml:space="preserve">which was established with Australian Government funding as part of the Population </w:t>
      </w:r>
      <w:r>
        <w:t>Health Research Network (PHRN).</w:t>
      </w:r>
      <w:r w:rsidRPr="003D243B">
        <w:rPr>
          <w:rStyle w:val="FootnoteReference"/>
        </w:rPr>
        <w:footnoteReference w:id="45"/>
      </w:r>
      <w:r w:rsidR="00BC415E">
        <w:t xml:space="preserve"> </w:t>
      </w:r>
      <w:r w:rsidR="00475358">
        <w:t>When adequately resourced and well managed, c</w:t>
      </w:r>
      <w:r w:rsidR="00BC415E">
        <w:t xml:space="preserve">linical quality registries such as Victoria’s trauma registry (VSTR) and the Australian and New Zealand dialysis and transplant registry (ANZDATA) </w:t>
      </w:r>
      <w:r w:rsidR="00475358">
        <w:t>have proven effective for encouraging clinicians to engage in self</w:t>
      </w:r>
      <w:r w:rsidR="00475358">
        <w:noBreakHyphen/>
        <w:t>improvement </w:t>
      </w:r>
      <w:r w:rsidR="00475358" w:rsidRPr="00475358">
        <w:rPr>
          <w:szCs w:val="24"/>
        </w:rPr>
        <w:t>(ACSQHC 2016a)</w:t>
      </w:r>
    </w:p>
    <w:p w14:paraId="1EA39004" w14:textId="77777777" w:rsidR="003C4029" w:rsidDel="00521268" w:rsidRDefault="00111CBB" w:rsidP="003D11ED">
      <w:pPr>
        <w:pStyle w:val="ListBullet"/>
      </w:pPr>
      <w:r>
        <w:t xml:space="preserve">focusing on the </w:t>
      </w:r>
      <w:r w:rsidR="002540C4">
        <w:t xml:space="preserve">release of data that </w:t>
      </w:r>
      <w:r w:rsidR="009A56B6">
        <w:t>are</w:t>
      </w:r>
      <w:r w:rsidR="002540C4">
        <w:t xml:space="preserve"> most likely to benefit the public. For example, t</w:t>
      </w:r>
      <w:r w:rsidR="003C4029">
        <w:t>here is evidence that public reporting of health outcomes for service providers le</w:t>
      </w:r>
      <w:r w:rsidR="002540C4">
        <w:t>a</w:t>
      </w:r>
      <w:r w:rsidR="003C4029">
        <w:t>d</w:t>
      </w:r>
      <w:r w:rsidR="002540C4">
        <w:t>s</w:t>
      </w:r>
      <w:r w:rsidR="003C4029">
        <w:t xml:space="preserve"> to improved outcomes because providers use the data to self</w:t>
      </w:r>
      <w:r w:rsidR="003C4029">
        <w:noBreakHyphen/>
        <w:t>improve</w:t>
      </w:r>
      <w:r w:rsidR="002540C4">
        <w:t xml:space="preserve"> </w:t>
      </w:r>
      <w:r w:rsidR="00521268">
        <w:t>(</w:t>
      </w:r>
      <w:r w:rsidR="002540C4">
        <w:t xml:space="preserve">and not </w:t>
      </w:r>
      <w:r w:rsidR="00F51535">
        <w:t xml:space="preserve">so much </w:t>
      </w:r>
      <w:r w:rsidR="002540C4">
        <w:t>because consumers use the data to choose providers</w:t>
      </w:r>
      <w:r w:rsidR="00521268">
        <w:t>)</w:t>
      </w:r>
      <w:r w:rsidR="003C4029">
        <w:t> </w:t>
      </w:r>
      <w:r w:rsidR="003C4029" w:rsidRPr="000E33B8">
        <w:rPr>
          <w:szCs w:val="24"/>
        </w:rPr>
        <w:t>(Henderson and Henderson 2015; Shaw, Taylor and Dix 2015)</w:t>
      </w:r>
      <w:r w:rsidR="003C4029">
        <w:t xml:space="preserve">. </w:t>
      </w:r>
      <w:r w:rsidR="002540C4">
        <w:t xml:space="preserve">Therefore, </w:t>
      </w:r>
      <w:r w:rsidR="00F51535">
        <w:t xml:space="preserve">health outcome </w:t>
      </w:r>
      <w:r w:rsidR="002540C4">
        <w:t xml:space="preserve">data need </w:t>
      </w:r>
      <w:r w:rsidR="00F51535">
        <w:t>to</w:t>
      </w:r>
      <w:r w:rsidR="002540C4">
        <w:t xml:space="preserve"> be readily understood by service providers in order for its release to be valuable for improving health outcomes. </w:t>
      </w:r>
      <w:r w:rsidR="003C4029">
        <w:t>Examples of how targets, measurement and reporting have led to significant improvements include reductions in patient waiting times in England, lower risk</w:t>
      </w:r>
      <w:r w:rsidR="003C4029">
        <w:noBreakHyphen/>
        <w:t>adjusted mortality rates for cardiac surgery in New York, Great Britain and Ireland, improvements in prostate cancer outcomes in Germany and improvements in hip replacement performance in Sweden</w:t>
      </w:r>
      <w:r w:rsidR="002540C4">
        <w:t> </w:t>
      </w:r>
      <w:r w:rsidR="00521268" w:rsidRPr="00521268">
        <w:rPr>
          <w:szCs w:val="24"/>
        </w:rPr>
        <w:t>(Shaw, Taylor and Dix 2015)</w:t>
      </w:r>
      <w:r w:rsidR="003C4029">
        <w:t>.</w:t>
      </w:r>
    </w:p>
    <w:p w14:paraId="1EA39005" w14:textId="77777777" w:rsidR="00EA11FD" w:rsidRDefault="00EA11FD" w:rsidP="003D11ED">
      <w:pPr>
        <w:pStyle w:val="BodyText"/>
      </w:pPr>
      <w:r>
        <w:t xml:space="preserve">The issues about managing and distributing data in an integrated health system are largely addressed in the Commission’s inquiry report into </w:t>
      </w:r>
      <w:r w:rsidRPr="009A56B6">
        <w:rPr>
          <w:i/>
        </w:rPr>
        <w:t>Data Availability and Use</w:t>
      </w:r>
      <w:r>
        <w:t xml:space="preserve"> </w:t>
      </w:r>
      <w:r w:rsidR="00521268">
        <w:t xml:space="preserve">and are being further explored in the Commission’s inquiry into the reform of human services </w:t>
      </w:r>
      <w:r w:rsidR="00521268" w:rsidRPr="00521268">
        <w:rPr>
          <w:szCs w:val="24"/>
        </w:rPr>
        <w:t>(PC 2017a, 2017b)</w:t>
      </w:r>
      <w:r>
        <w:t xml:space="preserve">. </w:t>
      </w:r>
      <w:r w:rsidR="00521268">
        <w:t>Under the recommendations of this current report, there is also a role for PHNs and LHNs to engage with individual clinicians and other providers usi</w:t>
      </w:r>
      <w:r w:rsidR="009A56B6">
        <w:t>ng performance data that assist</w:t>
      </w:r>
      <w:r w:rsidR="00521268">
        <w:t xml:space="preserve"> the individual providers to assess their contribution to the health of the region’s population.</w:t>
      </w:r>
    </w:p>
    <w:p w14:paraId="1EA39006" w14:textId="77777777" w:rsidR="00904DCA" w:rsidRDefault="00904DCA" w:rsidP="00904DCA">
      <w:pPr>
        <w:pStyle w:val="Heading3"/>
      </w:pPr>
      <w:r>
        <w:t xml:space="preserve">It’s </w:t>
      </w:r>
      <w:r w:rsidR="00746769">
        <w:t>difficult to find data</w:t>
      </w:r>
    </w:p>
    <w:p w14:paraId="1EA39007" w14:textId="77777777" w:rsidR="003D11ED" w:rsidRDefault="003D11ED" w:rsidP="003D11ED">
      <w:pPr>
        <w:pStyle w:val="BodyText"/>
      </w:pPr>
      <w:r w:rsidRPr="00CD37D0">
        <w:t xml:space="preserve">A solicitor of </w:t>
      </w:r>
      <w:r w:rsidR="00904DCA">
        <w:t xml:space="preserve">even reasonably aggregated </w:t>
      </w:r>
      <w:r>
        <w:t xml:space="preserve">health information about population risks (for instance obesity rates or healthy diets) </w:t>
      </w:r>
      <w:r w:rsidRPr="00CD37D0">
        <w:t>find</w:t>
      </w:r>
      <w:r>
        <w:t>s</w:t>
      </w:r>
      <w:r w:rsidRPr="00CD37D0">
        <w:t xml:space="preserve"> life far from easy when seeking to navigate the maze of websites and agencies reporting </w:t>
      </w:r>
      <w:r>
        <w:t xml:space="preserve">health </w:t>
      </w:r>
      <w:r w:rsidRPr="00CD37D0">
        <w:t>information</w:t>
      </w:r>
      <w:r>
        <w:t xml:space="preserve"> across the various jurisdictions</w:t>
      </w:r>
      <w:r w:rsidRPr="00CD37D0">
        <w:t xml:space="preserve">. </w:t>
      </w:r>
      <w:r>
        <w:t>All jurisdictions conduct regular surveys on population health risks and report regional results in their jurisdictions. State Government bodies also undertake patient experience surveys, typically using different instruments and covering different periods.</w:t>
      </w:r>
    </w:p>
    <w:p w14:paraId="1EA39008" w14:textId="77777777" w:rsidR="003D11ED" w:rsidRDefault="003D11ED" w:rsidP="003D11ED">
      <w:pPr>
        <w:pStyle w:val="BodyText"/>
      </w:pPr>
      <w:r>
        <w:t xml:space="preserve">There is no single place where the data </w:t>
      </w:r>
      <w:r w:rsidR="009A56B6">
        <w:t>are</w:t>
      </w:r>
      <w:r>
        <w:t xml:space="preserve"> consolidated, systematically compared or available for trusted researchers using a common protocol. The AIHW’s list of data sources for monitoring health conditions only relates to national surveys </w:t>
      </w:r>
      <w:r w:rsidR="00C65A42" w:rsidRPr="00C65A42">
        <w:rPr>
          <w:szCs w:val="24"/>
        </w:rPr>
        <w:t>(AIHW 2016c)</w:t>
      </w:r>
      <w:r>
        <w:t xml:space="preserve">. The Australian Government’s open data portal (data.gov.au) </w:t>
      </w:r>
      <w:r w:rsidR="00B32C0D">
        <w:t xml:space="preserve">includes </w:t>
      </w:r>
      <w:r>
        <w:t>a hotch</w:t>
      </w:r>
      <w:r>
        <w:noBreakHyphen/>
        <w:t xml:space="preserve">potch of ‘data’ sets relating to health, many of which are lists of facilities by location (to name a few: ice skating centres in Victoria; playgrounds in the City of Greater Geelong, and the location of European </w:t>
      </w:r>
      <w:r w:rsidR="00AC78E1">
        <w:t xml:space="preserve">wasps </w:t>
      </w:r>
      <w:r>
        <w:t>in the ACT). Many key health data collections known to exist were absent and the ones present were jumbled up with ones with very different purposes.</w:t>
      </w:r>
    </w:p>
    <w:p w14:paraId="1EA39009" w14:textId="77777777" w:rsidR="003D11ED" w:rsidRDefault="003D11ED" w:rsidP="003D11ED">
      <w:pPr>
        <w:pStyle w:val="BodyText"/>
      </w:pPr>
      <w:r>
        <w:t xml:space="preserve">The difficulty of accessing </w:t>
      </w:r>
      <w:r w:rsidR="009A56B6">
        <w:t>information</w:t>
      </w:r>
      <w:r>
        <w:t xml:space="preserve"> forgoes opportunities for richer analysis, including of causal analysis of the factors that affect population health, benchmarks for performance at the regional level, and a greater capacity for testing the efficacy of some health promotion initiatives. For instance, if one jurisdiction runs a campaign on smoking cessation, it might be possible to use smoking rates in the regions of other jurisdictions as a control.</w:t>
      </w:r>
    </w:p>
    <w:p w14:paraId="1EA3900A" w14:textId="77777777" w:rsidR="003D11ED" w:rsidRDefault="00FD645C" w:rsidP="003D11ED">
      <w:pPr>
        <w:pStyle w:val="BodyText"/>
      </w:pPr>
      <w:r>
        <w:t>T</w:t>
      </w:r>
      <w:r w:rsidR="003D11ED">
        <w:t>he Productivity Commission</w:t>
      </w:r>
      <w:r>
        <w:t xml:space="preserve">’s inquiry into </w:t>
      </w:r>
      <w:r w:rsidRPr="00FD645C">
        <w:rPr>
          <w:i/>
        </w:rPr>
        <w:t>Data Availability and Use</w:t>
      </w:r>
      <w:r w:rsidR="003D11ED">
        <w:t xml:space="preserve"> made several recommendations that would improve matters, including for all Australian governments to create ‘comprehensive, easy to access registers of data, including metadata and linked data they fund or hold’ with data available or signposted on data.gov.au. We also recommended the accreditation of data release authorities (such as the AIHW) that, subject to risk management protocols, could release Australian Government unit record data, with opt</w:t>
      </w:r>
      <w:r w:rsidR="003D11ED">
        <w:noBreakHyphen/>
        <w:t xml:space="preserve">in arrangements for State and Territory governments </w:t>
      </w:r>
      <w:r w:rsidR="00C65A42" w:rsidRPr="00C65A42">
        <w:rPr>
          <w:szCs w:val="24"/>
        </w:rPr>
        <w:t>(recs. 6.4, 6.6 and 6.7 PC 2017a)</w:t>
      </w:r>
      <w:r w:rsidR="003D11ED">
        <w:t>. These should be progressed.</w:t>
      </w:r>
    </w:p>
    <w:p w14:paraId="1EA3900B" w14:textId="77777777" w:rsidR="003D11ED" w:rsidRPr="004E3B94" w:rsidRDefault="003D11ED" w:rsidP="003D11E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129"/>
      </w:tblGrid>
      <w:tr w:rsidR="00EA2B19" w:rsidRPr="00EA2B19" w14:paraId="1EA3900F" w14:textId="77777777" w:rsidTr="00EA2B19">
        <w:trPr>
          <w:cantSplit/>
          <w:tblHeader/>
        </w:trPr>
        <w:tc>
          <w:tcPr>
            <w:tcW w:w="5000" w:type="pct"/>
            <w:tcBorders>
              <w:top w:val="single" w:sz="4" w:space="0" w:color="265A9A" w:themeColor="accent2"/>
              <w:left w:val="nil"/>
              <w:bottom w:val="nil"/>
              <w:right w:val="nil"/>
            </w:tcBorders>
            <w:shd w:val="clear" w:color="auto" w:fill="E1EBF5"/>
            <w:tcMar>
              <w:left w:w="170" w:type="dxa"/>
              <w:right w:w="170" w:type="dxa"/>
            </w:tcMar>
          </w:tcPr>
          <w:p w14:paraId="1EA3900C" w14:textId="77777777" w:rsidR="003D11ED" w:rsidRPr="00EA2B19" w:rsidRDefault="003D11ED" w:rsidP="008774E6">
            <w:pPr>
              <w:pStyle w:val="FindingTitle"/>
              <w:spacing w:before="120"/>
              <w:rPr>
                <w:noProof/>
              </w:rPr>
            </w:pPr>
            <w:r w:rsidRPr="00EA2B19">
              <w:t xml:space="preserve">conclusion </w:t>
            </w:r>
            <w:r w:rsidR="007506EC" w:rsidRPr="00EA2B19">
              <w:t>9.1</w:t>
            </w:r>
          </w:p>
          <w:p w14:paraId="1EA3900D" w14:textId="77777777" w:rsidR="003D11ED" w:rsidRPr="00C1530E" w:rsidRDefault="003D11ED" w:rsidP="00944790">
            <w:pPr>
              <w:pStyle w:val="Rec"/>
            </w:pPr>
            <w:r w:rsidRPr="00C1530E">
              <w:t>There is a maze of websites and agencies reporting health information across the various jurisdictions, making it difficult to obtain a reliable Australia</w:t>
            </w:r>
            <w:r w:rsidRPr="00C1530E">
              <w:noBreakHyphen/>
              <w:t xml:space="preserve">wide perspective on patient experiences of health care, and the incidence and prevalence of chronic conditions. Neither the </w:t>
            </w:r>
            <w:r w:rsidR="00A25605" w:rsidRPr="00C1530E">
              <w:t xml:space="preserve">Australian Institute for Health and Welfare </w:t>
            </w:r>
            <w:r w:rsidRPr="00C1530E">
              <w:t>nor data.gov.au are currently serving as comprehensive data holders.</w:t>
            </w:r>
          </w:p>
          <w:p w14:paraId="1EA3900E" w14:textId="77777777" w:rsidR="003D11ED" w:rsidRPr="00593967" w:rsidRDefault="003D11ED" w:rsidP="00944790">
            <w:pPr>
              <w:pStyle w:val="Rec"/>
            </w:pPr>
            <w:r w:rsidRPr="00C1530E">
              <w:t xml:space="preserve">The implementation of </w:t>
            </w:r>
            <w:r w:rsidR="00BE5FD5" w:rsidRPr="00C1530E">
              <w:t xml:space="preserve">the </w:t>
            </w:r>
            <w:r w:rsidRPr="00C1530E">
              <w:t xml:space="preserve">Commission’s recommendations in its inquiry into </w:t>
            </w:r>
            <w:r w:rsidR="00FD645C" w:rsidRPr="00944790">
              <w:t>Data Availability and Use</w:t>
            </w:r>
            <w:r w:rsidR="00FD645C" w:rsidRPr="00C1530E">
              <w:t xml:space="preserve"> </w:t>
            </w:r>
            <w:r w:rsidRPr="00C1530E">
              <w:t xml:space="preserve">(specifically, recommendations 6.4, 6.6 and 6.7) </w:t>
            </w:r>
            <w:r w:rsidR="002B1FEF" w:rsidRPr="00C1530E">
              <w:t>and in its inquiry into human services (spec</w:t>
            </w:r>
            <w:r w:rsidR="00CC70AA" w:rsidRPr="00C1530E">
              <w:t>ifically, draft recommendations </w:t>
            </w:r>
            <w:r w:rsidR="002B1FEF" w:rsidRPr="00C1530E">
              <w:t xml:space="preserve">10.1 and 10.2) </w:t>
            </w:r>
            <w:r w:rsidRPr="00C1530E">
              <w:t>would resolve these problems.</w:t>
            </w:r>
          </w:p>
        </w:tc>
      </w:tr>
      <w:tr w:rsidR="00EA2B19" w:rsidRPr="00EA2B19" w14:paraId="1EA39011" w14:textId="77777777" w:rsidTr="00EA2B19">
        <w:trPr>
          <w:cantSplit/>
          <w:tblHeader/>
        </w:trPr>
        <w:tc>
          <w:tcPr>
            <w:tcW w:w="5000" w:type="pct"/>
            <w:tcBorders>
              <w:top w:val="nil"/>
              <w:left w:val="nil"/>
              <w:bottom w:val="single" w:sz="4" w:space="0" w:color="265A9A" w:themeColor="accent2"/>
              <w:right w:val="nil"/>
            </w:tcBorders>
            <w:shd w:val="clear" w:color="auto" w:fill="E1EBF5"/>
            <w:tcMar>
              <w:left w:w="170" w:type="dxa"/>
              <w:right w:w="170" w:type="dxa"/>
            </w:tcMar>
          </w:tcPr>
          <w:p w14:paraId="1EA39010" w14:textId="77777777" w:rsidR="003D11ED" w:rsidRPr="00EA2B19" w:rsidRDefault="003D11ED" w:rsidP="00EA2B19">
            <w:pPr>
              <w:pStyle w:val="Space"/>
              <w:keepLines/>
            </w:pPr>
          </w:p>
        </w:tc>
      </w:tr>
      <w:tr w:rsidR="003D11ED" w:rsidRPr="000863A5" w14:paraId="1EA39013" w14:textId="77777777" w:rsidTr="00EA2B19">
        <w:trPr>
          <w:cantSplit/>
          <w:tblHeader/>
        </w:trPr>
        <w:tc>
          <w:tcPr>
            <w:tcW w:w="5000" w:type="pct"/>
            <w:tcBorders>
              <w:top w:val="single" w:sz="4" w:space="0" w:color="265A9A" w:themeColor="accent2"/>
              <w:left w:val="nil"/>
              <w:bottom w:val="nil"/>
              <w:right w:val="nil"/>
            </w:tcBorders>
            <w:tcMar>
              <w:left w:w="170" w:type="dxa"/>
              <w:right w:w="170" w:type="dxa"/>
            </w:tcMar>
          </w:tcPr>
          <w:p w14:paraId="1EA39012" w14:textId="77777777" w:rsidR="003D11ED" w:rsidRPr="00626D32" w:rsidRDefault="003D11ED" w:rsidP="008774E6">
            <w:pPr>
              <w:pStyle w:val="BoxSpaceBelow"/>
              <w:keepLines/>
            </w:pPr>
          </w:p>
        </w:tc>
      </w:tr>
    </w:tbl>
    <w:p w14:paraId="1EA39014" w14:textId="77777777" w:rsidR="00DF1338" w:rsidRDefault="006F5F25" w:rsidP="00763667">
      <w:pPr>
        <w:pStyle w:val="Heading2"/>
      </w:pPr>
      <w:bookmarkStart w:id="87" w:name="_Toc488929713"/>
      <w:bookmarkStart w:id="88" w:name="_Toc489250091"/>
      <w:r>
        <w:t>9.3</w:t>
      </w:r>
      <w:r w:rsidR="00763667">
        <w:tab/>
        <w:t>Disseminating best</w:t>
      </w:r>
      <w:r w:rsidR="00763667">
        <w:noBreakHyphen/>
        <w:t>practice</w:t>
      </w:r>
      <w:bookmarkEnd w:id="87"/>
      <w:bookmarkEnd w:id="88"/>
    </w:p>
    <w:p w14:paraId="1EA39015" w14:textId="77777777" w:rsidR="005A4FAE" w:rsidRDefault="00985A96" w:rsidP="00763667">
      <w:pPr>
        <w:pStyle w:val="BodyText"/>
      </w:pPr>
      <w:r>
        <w:t>Inertia is a characteristic of many parts of life — in business, government, in ordinary people’s lives (</w:t>
      </w:r>
      <w:r w:rsidR="00F63D23">
        <w:t>including</w:t>
      </w:r>
      <w:r>
        <w:t xml:space="preserve"> their lifestyle choices), health</w:t>
      </w:r>
      <w:r w:rsidR="00923B4C">
        <w:t xml:space="preserve"> </w:t>
      </w:r>
      <w:r>
        <w:t>ca</w:t>
      </w:r>
      <w:r w:rsidR="00F131B4">
        <w:t>re providers and clinicians. On</w:t>
      </w:r>
      <w:r>
        <w:t xml:space="preserve">e of the biggest brakes on productivity in an economy — or any part of it — is that </w:t>
      </w:r>
      <w:r w:rsidR="00F131B4">
        <w:t>learning</w:t>
      </w:r>
      <w:r>
        <w:t xml:space="preserve"> is slow. </w:t>
      </w:r>
      <w:r w:rsidR="00F64CEE">
        <w:t xml:space="preserve">In the early 1980s, beta blockers were shown to reduce mortality rates by up to 25 per cent after a heart attack, yet by the </w:t>
      </w:r>
      <w:r w:rsidR="00D8699E">
        <w:t>early</w:t>
      </w:r>
      <w:r w:rsidR="00F64CEE">
        <w:t xml:space="preserve"> 2000s in the United States</w:t>
      </w:r>
      <w:r w:rsidR="00F131B4">
        <w:t>, median state</w:t>
      </w:r>
      <w:r w:rsidR="00F131B4">
        <w:noBreakHyphen/>
        <w:t>level use was still below 70 per cent</w:t>
      </w:r>
      <w:r w:rsidR="008D64C9">
        <w:t xml:space="preserve"> </w:t>
      </w:r>
      <w:r w:rsidR="00C65A42" w:rsidRPr="00C65A42">
        <w:rPr>
          <w:szCs w:val="24"/>
        </w:rPr>
        <w:t>(Skinner and Staiger 2015)</w:t>
      </w:r>
      <w:r w:rsidR="00F131B4">
        <w:t xml:space="preserve">. </w:t>
      </w:r>
      <w:r w:rsidR="008D64C9">
        <w:t>More recently, a study of nearly three million victims of heart attacks over the period from 1986</w:t>
      </w:r>
      <w:r w:rsidR="00BE5FD5">
        <w:t xml:space="preserve"> to </w:t>
      </w:r>
      <w:r w:rsidR="008D64C9">
        <w:t>2004 found that there was a three percentage point difference in the one year survival rates between hospitals that had rapidly taken up three best practice techniques for clinical responses to heart attacks and those whose take</w:t>
      </w:r>
      <w:r w:rsidR="00006334">
        <w:t xml:space="preserve"> </w:t>
      </w:r>
      <w:r w:rsidR="008D64C9">
        <w:t>up was poorest. This was one third of the total improvement in survival rates for heart attacks over the 18</w:t>
      </w:r>
      <w:r w:rsidR="00ED60EC">
        <w:noBreakHyphen/>
      </w:r>
      <w:r w:rsidR="008D64C9">
        <w:t>year period concerned</w:t>
      </w:r>
      <w:r w:rsidR="00C3771A">
        <w:t xml:space="preserve"> (</w:t>
      </w:r>
      <w:r w:rsidR="00C3771A" w:rsidRPr="00C3771A">
        <w:rPr>
          <w:i/>
        </w:rPr>
        <w:t>ibid</w:t>
      </w:r>
      <w:r w:rsidR="00C3771A">
        <w:t>)</w:t>
      </w:r>
      <w:r w:rsidR="008D64C9">
        <w:t xml:space="preserve">. </w:t>
      </w:r>
    </w:p>
    <w:p w14:paraId="1EA39016" w14:textId="77777777" w:rsidR="005A4FAE" w:rsidRDefault="005A4FAE" w:rsidP="005A4FAE">
      <w:pPr>
        <w:pStyle w:val="BodyText"/>
      </w:pPr>
      <w:r>
        <w:t xml:space="preserve">In Australia, there are major differences in mortality rates following strokes. A minority of NSW hospitals organise stroke care. Yet where stroke units have been implemented, there was a 30 per cent reduction in mortality </w:t>
      </w:r>
      <w:r w:rsidR="00C65A42" w:rsidRPr="00C65A42">
        <w:rPr>
          <w:szCs w:val="24"/>
        </w:rPr>
        <w:t>(Worthington 2016)</w:t>
      </w:r>
      <w:r w:rsidR="00850CC0">
        <w:t>.</w:t>
      </w:r>
    </w:p>
    <w:p w14:paraId="1EA39017" w14:textId="77777777" w:rsidR="008D64C9" w:rsidRDefault="00850CC0" w:rsidP="00763667">
      <w:pPr>
        <w:pStyle w:val="BodyText"/>
      </w:pPr>
      <w:r>
        <w:t xml:space="preserve">Skinner and Staiger </w:t>
      </w:r>
      <w:r w:rsidR="00C3771A">
        <w:t>observed</w:t>
      </w:r>
      <w:r>
        <w:t xml:space="preserve"> the power of patients in getting better outcomes if they are informed about best practice</w:t>
      </w:r>
      <w:r w:rsidR="00C3771A">
        <w:t>:</w:t>
      </w:r>
    </w:p>
    <w:p w14:paraId="1EA39018" w14:textId="77777777" w:rsidR="00C3771A" w:rsidRDefault="00C3771A" w:rsidP="00C3771A">
      <w:pPr>
        <w:pStyle w:val="Quote"/>
      </w:pPr>
      <w:r w:rsidRPr="00C3771A">
        <w:t>If patients both knew about the benefits of aspirin, beta blockers, and reperfusion, and were sensitive to published and reliable information about hospital quality, physicians would be forced to respond rapidly to new innovations or face the loss of patients. But when quality measures are limited, patients are not well informed, and markets are distorted, remarkably large inefficiencies can persist across hospitals and over time</w:t>
      </w:r>
      <w:r>
        <w:t xml:space="preserve"> (</w:t>
      </w:r>
      <w:r w:rsidRPr="000963C4">
        <w:rPr>
          <w:i/>
        </w:rPr>
        <w:t>ibid</w:t>
      </w:r>
      <w:r>
        <w:t>, p. 18)</w:t>
      </w:r>
    </w:p>
    <w:p w14:paraId="1EA39019" w14:textId="77777777" w:rsidR="0045461D" w:rsidRDefault="00AA38F9" w:rsidP="00763667">
      <w:pPr>
        <w:pStyle w:val="BodyText"/>
      </w:pPr>
      <w:r>
        <w:t xml:space="preserve">The fact that new technologies are not always </w:t>
      </w:r>
      <w:r w:rsidR="0045461D">
        <w:t>rapidly</w:t>
      </w:r>
      <w:r>
        <w:t xml:space="preserve"> adopted is not, per se, </w:t>
      </w:r>
      <w:r w:rsidR="0045461D">
        <w:t>undesirable</w:t>
      </w:r>
      <w:r>
        <w:t>. Many new technologies are costly, and the evidence base for their long</w:t>
      </w:r>
      <w:r>
        <w:noBreakHyphen/>
        <w:t xml:space="preserve">term effectiveness is often unknown. The issue only relates to ‘new’ </w:t>
      </w:r>
      <w:r w:rsidR="0045461D">
        <w:t>technologies</w:t>
      </w:r>
      <w:r>
        <w:t xml:space="preserve"> where efficacy has been reasonably established, and where their usage passes a cost</w:t>
      </w:r>
      <w:r>
        <w:noBreakHyphen/>
        <w:t xml:space="preserve">effectiveness standard. In the case above, </w:t>
      </w:r>
      <w:r w:rsidR="0045461D">
        <w:t xml:space="preserve">the innovations </w:t>
      </w:r>
      <w:r w:rsidR="00ED60EC">
        <w:t xml:space="preserve">apparently </w:t>
      </w:r>
      <w:r w:rsidR="0045461D">
        <w:t>passed this test.</w:t>
      </w:r>
    </w:p>
    <w:p w14:paraId="1EA3901A" w14:textId="77777777" w:rsidR="00A547B9" w:rsidRDefault="00F547C9" w:rsidP="00763667">
      <w:pPr>
        <w:pStyle w:val="BodyText"/>
      </w:pPr>
      <w:r>
        <w:t xml:space="preserve">Diffusion does not just relate to new technologies, but to the elimination of interventions that do not have strong evidence in favour of them. </w:t>
      </w:r>
      <w:r w:rsidR="00984408">
        <w:t xml:space="preserve">The large variations in procedures between areas revealed in the Australian Atlas of Healthcare Variations is </w:t>
      </w:r>
      <w:r>
        <w:t xml:space="preserve">as </w:t>
      </w:r>
      <w:r w:rsidR="00984408">
        <w:t xml:space="preserve">likely to reflect the same </w:t>
      </w:r>
      <w:r>
        <w:t>slow</w:t>
      </w:r>
      <w:r w:rsidR="003A2976">
        <w:t xml:space="preserve"> </w:t>
      </w:r>
      <w:r>
        <w:t xml:space="preserve">rejection of </w:t>
      </w:r>
      <w:r w:rsidR="00217196">
        <w:t>unjustified</w:t>
      </w:r>
      <w:r>
        <w:t xml:space="preserve"> practices as much as the slow adoption of new ones</w:t>
      </w:r>
      <w:r w:rsidR="00984408">
        <w:t xml:space="preserve">. </w:t>
      </w:r>
      <w:r>
        <w:t>The story of arthroscopy for k</w:t>
      </w:r>
      <w:r w:rsidR="00ED60EC">
        <w:t>nee</w:t>
      </w:r>
      <w:r>
        <w:t xml:space="preserve"> degeneration (chapter </w:t>
      </w:r>
      <w:r w:rsidR="00532BC7">
        <w:t>7</w:t>
      </w:r>
      <w:r>
        <w:t>) is a good illustration.</w:t>
      </w:r>
    </w:p>
    <w:p w14:paraId="1EA3901B" w14:textId="77777777" w:rsidR="00986CC2" w:rsidRDefault="00AA38F9" w:rsidP="00C801D3">
      <w:pPr>
        <w:pStyle w:val="BodyText"/>
      </w:pPr>
      <w:r>
        <w:t xml:space="preserve">Addressing </w:t>
      </w:r>
      <w:r w:rsidR="00161E2F">
        <w:t>inertia</w:t>
      </w:r>
      <w:r>
        <w:t xml:space="preserve"> in health care is </w:t>
      </w:r>
      <w:r w:rsidR="00161E2F">
        <w:t>demonstrably</w:t>
      </w:r>
      <w:r>
        <w:t xml:space="preserve"> </w:t>
      </w:r>
      <w:r w:rsidR="00ED60EC">
        <w:t>difficult</w:t>
      </w:r>
      <w:r>
        <w:t xml:space="preserve">, </w:t>
      </w:r>
      <w:r w:rsidR="00161E2F">
        <w:t>else</w:t>
      </w:r>
      <w:r>
        <w:t xml:space="preserve"> the persistence of </w:t>
      </w:r>
      <w:r w:rsidR="00863AD9">
        <w:t>low</w:t>
      </w:r>
      <w:r w:rsidR="00863AD9">
        <w:noBreakHyphen/>
        <w:t xml:space="preserve">value clinical practices </w:t>
      </w:r>
      <w:r>
        <w:t>could not be explained. There are many pre</w:t>
      </w:r>
      <w:r w:rsidR="009C49CA">
        <w:noBreakHyphen/>
      </w:r>
      <w:r>
        <w:t>conditions for diffusion of innovations, many well</w:t>
      </w:r>
      <w:r>
        <w:noBreakHyphen/>
        <w:t xml:space="preserve">articulated in the literature </w:t>
      </w:r>
      <w:r w:rsidR="00C65A42" w:rsidRPr="00C65A42">
        <w:rPr>
          <w:szCs w:val="24"/>
        </w:rPr>
        <w:t>(Cain and Mittman 2002)</w:t>
      </w:r>
      <w:r w:rsidR="00470E9A">
        <w:t xml:space="preserve">. In Australia, one such barrier is the ‘Koala’ syndrome, which </w:t>
      </w:r>
      <w:r w:rsidR="00161E2F">
        <w:t>characterises</w:t>
      </w:r>
      <w:r w:rsidR="00470E9A">
        <w:t xml:space="preserve"> Australia as </w:t>
      </w:r>
      <w:r w:rsidR="00161E2F">
        <w:t xml:space="preserve">sufficiently </w:t>
      </w:r>
      <w:r w:rsidR="00470E9A">
        <w:t>special</w:t>
      </w:r>
      <w:r w:rsidR="00161E2F">
        <w:t xml:space="preserve"> </w:t>
      </w:r>
      <w:r w:rsidR="00470E9A">
        <w:t>that innovative devices approved overseas must often be re</w:t>
      </w:r>
      <w:r w:rsidR="009C49CA">
        <w:noBreakHyphen/>
      </w:r>
      <w:r w:rsidR="00470E9A">
        <w:t>investigated</w:t>
      </w:r>
      <w:r w:rsidR="00E2163D">
        <w:t>.</w:t>
      </w:r>
      <w:r w:rsidR="00470E9A">
        <w:t xml:space="preserve"> </w:t>
      </w:r>
      <w:r w:rsidR="00E2163D">
        <w:t xml:space="preserve">CSIRO has voiced frustration about this for a </w:t>
      </w:r>
      <w:r w:rsidR="00161E2F">
        <w:t xml:space="preserve">bowel testing kit </w:t>
      </w:r>
      <w:r w:rsidR="00E2163D">
        <w:t xml:space="preserve">developed in Australia and </w:t>
      </w:r>
      <w:r w:rsidR="00CB5F49">
        <w:t>licensed</w:t>
      </w:r>
      <w:r w:rsidR="00E2163D">
        <w:t xml:space="preserve"> in the United States, but not approved for Australian use</w:t>
      </w:r>
      <w:r w:rsidR="00CB5F49">
        <w:t xml:space="preserve"> </w:t>
      </w:r>
      <w:r w:rsidR="00986CC2">
        <w:t xml:space="preserve">in the same timeframe </w:t>
      </w:r>
      <w:r w:rsidR="00986CC2" w:rsidRPr="00986CC2">
        <w:rPr>
          <w:szCs w:val="24"/>
        </w:rPr>
        <w:t>(Woodley 2017)</w:t>
      </w:r>
      <w:r w:rsidR="00161E2F">
        <w:t>.</w:t>
      </w:r>
      <w:r w:rsidR="00F63D23">
        <w:t xml:space="preserve"> </w:t>
      </w:r>
    </w:p>
    <w:p w14:paraId="1EA3901C" w14:textId="77777777" w:rsidR="00510B3A" w:rsidRDefault="00970011" w:rsidP="00C801D3">
      <w:pPr>
        <w:pStyle w:val="BodyText"/>
      </w:pPr>
      <w:r>
        <w:t>From the perspective of an Australian medical manufacturing firm:</w:t>
      </w:r>
    </w:p>
    <w:p w14:paraId="1EA3901D" w14:textId="77777777" w:rsidR="00970011" w:rsidRDefault="00970011" w:rsidP="00E54C45">
      <w:pPr>
        <w:pStyle w:val="Quote"/>
      </w:pPr>
      <w:r w:rsidRPr="00970011">
        <w:t>Synchronisation with offshore health regulators and administrators would increase the speed to market for Australian manufacturers, allowing patients access to innovative therapies far more rapidly than is currently the case.</w:t>
      </w:r>
      <w:r>
        <w:t xml:space="preserve"> (Anatomics, sub. 3, p.</w:t>
      </w:r>
      <w:r w:rsidR="00777314">
        <w:t> </w:t>
      </w:r>
      <w:r>
        <w:t>3)</w:t>
      </w:r>
    </w:p>
    <w:p w14:paraId="1EA3901E" w14:textId="77777777" w:rsidR="00CA4FC6" w:rsidRDefault="00ED60EC" w:rsidP="00C801D3">
      <w:pPr>
        <w:pStyle w:val="BodyText"/>
      </w:pPr>
      <w:r>
        <w:t xml:space="preserve">This paper has already considered some of the measures that could assist diffusion, such as greater </w:t>
      </w:r>
      <w:r w:rsidR="008A6971">
        <w:t xml:space="preserve">patient </w:t>
      </w:r>
      <w:r>
        <w:t>health literacy, transparency in the performance of health</w:t>
      </w:r>
      <w:r w:rsidR="008A6971">
        <w:t xml:space="preserve"> </w:t>
      </w:r>
      <w:r>
        <w:t>care providers and clinicians, and the use of My Health Record as an ‘intelligent’ advisor</w:t>
      </w:r>
      <w:r w:rsidR="003B69F3">
        <w:t xml:space="preserve"> for patients</w:t>
      </w:r>
      <w:r>
        <w:t xml:space="preserve">. </w:t>
      </w:r>
    </w:p>
    <w:p w14:paraId="1EA3901F" w14:textId="77777777" w:rsidR="007F533F" w:rsidRDefault="00CA4FC6" w:rsidP="00C801D3">
      <w:pPr>
        <w:pStyle w:val="BodyText"/>
      </w:pPr>
      <w:r>
        <w:t>General practice could also receive online reminders. Currently, 56 per cent of Australian GPs say they routinely receive computerised reminders for guideline</w:t>
      </w:r>
      <w:r>
        <w:noBreakHyphen/>
        <w:t>based intervention or screening tests — though how often they act on these is not known</w:t>
      </w:r>
      <w:r w:rsidR="007E4D56">
        <w:t> </w:t>
      </w:r>
      <w:r w:rsidR="007F533F" w:rsidRPr="007F533F">
        <w:rPr>
          <w:szCs w:val="24"/>
        </w:rPr>
        <w:t>(Osborn et al. 2015)</w:t>
      </w:r>
      <w:r w:rsidR="007F533F">
        <w:t>.</w:t>
      </w:r>
    </w:p>
    <w:p w14:paraId="1EA39020" w14:textId="77777777" w:rsidR="00ED60EC" w:rsidRDefault="00ED60EC" w:rsidP="00C801D3">
      <w:pPr>
        <w:pStyle w:val="BodyText"/>
      </w:pPr>
      <w:r>
        <w:t>There</w:t>
      </w:r>
      <w:r w:rsidDel="00077FD7">
        <w:t xml:space="preserve"> </w:t>
      </w:r>
      <w:r w:rsidR="00077FD7">
        <w:t>are</w:t>
      </w:r>
      <w:r>
        <w:t xml:space="preserve"> already institutions well</w:t>
      </w:r>
      <w:r>
        <w:noBreakHyphen/>
        <w:t>equipped to provide advice to clinicians — such as the ACSQHC</w:t>
      </w:r>
      <w:r w:rsidR="008A6971">
        <w:t xml:space="preserve"> and</w:t>
      </w:r>
      <w:r w:rsidR="009C49CA">
        <w:t xml:space="preserve"> </w:t>
      </w:r>
      <w:r>
        <w:t>Choosing Wisely</w:t>
      </w:r>
      <w:r w:rsidR="008A6971">
        <w:t>, and research agencies that develop tools for better health</w:t>
      </w:r>
      <w:r w:rsidR="00923B4C">
        <w:t xml:space="preserve"> </w:t>
      </w:r>
      <w:r w:rsidR="008A6971">
        <w:t xml:space="preserve">care, such as the </w:t>
      </w:r>
      <w:r w:rsidR="008A6971" w:rsidRPr="008A6971">
        <w:t>Centre for Health Informatics</w:t>
      </w:r>
      <w:r w:rsidR="008A6971">
        <w:t>.</w:t>
      </w:r>
      <w:r>
        <w:t xml:space="preserve"> De</w:t>
      </w:r>
      <w:r>
        <w:noBreakHyphen/>
        <w:t xml:space="preserve">funding </w:t>
      </w:r>
      <w:r w:rsidR="008A6971">
        <w:t xml:space="preserve">of interventions lacking efficacy or cost effectiveness </w:t>
      </w:r>
      <w:r>
        <w:t xml:space="preserve">would certainly end </w:t>
      </w:r>
      <w:r w:rsidR="008A6971">
        <w:t>these</w:t>
      </w:r>
      <w:r>
        <w:t xml:space="preserve"> practices </w:t>
      </w:r>
      <w:r w:rsidR="008A6971">
        <w:t xml:space="preserve">in the public system </w:t>
      </w:r>
      <w:r>
        <w:t>because they would no longer be remunerated.</w:t>
      </w:r>
      <w:r w:rsidR="008A6971">
        <w:t xml:space="preserve"> </w:t>
      </w:r>
    </w:p>
    <w:p w14:paraId="1EA39021" w14:textId="77777777" w:rsidR="00B84B51" w:rsidRDefault="00ED60EC" w:rsidP="00C801D3">
      <w:pPr>
        <w:pStyle w:val="BodyText"/>
      </w:pPr>
      <w:r>
        <w:t xml:space="preserve">However, there </w:t>
      </w:r>
      <w:r w:rsidR="008A6971">
        <w:t>is no formal established vehicle for diffusion of innovations in commissioning health</w:t>
      </w:r>
      <w:r w:rsidR="00923B4C">
        <w:t xml:space="preserve"> </w:t>
      </w:r>
      <w:r w:rsidR="008A6971">
        <w:t>care. One of the values of a regional focus is a greater scope for experimentation in achieving better out</w:t>
      </w:r>
      <w:r w:rsidR="000A11F2">
        <w:t>comes. For instance, what multi</w:t>
      </w:r>
      <w:r w:rsidR="00F04EE5">
        <w:t>disciplinary</w:t>
      </w:r>
      <w:r w:rsidR="008A6971">
        <w:t xml:space="preserve"> teams work best together? Do team members need to be co</w:t>
      </w:r>
      <w:r w:rsidR="009C49CA">
        <w:noBreakHyphen/>
      </w:r>
      <w:r w:rsidR="008A6971">
        <w:t>located?</w:t>
      </w:r>
      <w:r w:rsidR="00F04EE5">
        <w:t xml:space="preserve"> </w:t>
      </w:r>
      <w:r w:rsidR="008A6971">
        <w:t xml:space="preserve">What types of </w:t>
      </w:r>
      <w:r w:rsidR="00F04EE5">
        <w:t>blended</w:t>
      </w:r>
      <w:r w:rsidR="008A6971">
        <w:t xml:space="preserve"> </w:t>
      </w:r>
      <w:r w:rsidR="00F04EE5">
        <w:t>payment</w:t>
      </w:r>
      <w:r w:rsidR="008A6971">
        <w:t xml:space="preserve"> models work best? </w:t>
      </w:r>
      <w:r w:rsidR="006D015D">
        <w:t xml:space="preserve">What </w:t>
      </w:r>
      <w:r w:rsidR="005D4765">
        <w:t xml:space="preserve">types of patient rewards are effective? </w:t>
      </w:r>
      <w:r w:rsidR="008A6971">
        <w:t>Where does telehealth pay off?</w:t>
      </w:r>
      <w:r w:rsidR="0071449D">
        <w:t xml:space="preserve"> T</w:t>
      </w:r>
      <w:r w:rsidR="00F04EE5">
        <w:t xml:space="preserve">here are already some informal mechanisms for </w:t>
      </w:r>
      <w:r w:rsidR="0071449D">
        <w:t>disseminating</w:t>
      </w:r>
      <w:r w:rsidR="00F04EE5">
        <w:t xml:space="preserve"> best practi</w:t>
      </w:r>
      <w:r w:rsidR="0071449D">
        <w:t>c</w:t>
      </w:r>
      <w:r w:rsidR="00F04EE5">
        <w:t xml:space="preserve">e in these areas through meetings between various regional PHNs and LHNs, but there are grounds to consider a more systematic </w:t>
      </w:r>
      <w:r w:rsidR="0071449D">
        <w:t>approach.</w:t>
      </w:r>
      <w:r w:rsidR="008C365D">
        <w:t xml:space="preserve"> Yet another new agency in health</w:t>
      </w:r>
      <w:r w:rsidR="00923B4C">
        <w:t xml:space="preserve"> </w:t>
      </w:r>
      <w:r w:rsidR="008C365D">
        <w:t xml:space="preserve">care is not justified. If anything, there are too many already. </w:t>
      </w:r>
      <w:r w:rsidR="007A0E9F">
        <w:t xml:space="preserve">Given </w:t>
      </w:r>
      <w:r w:rsidR="00283C64">
        <w:t>that</w:t>
      </w:r>
      <w:r w:rsidR="00770CF6">
        <w:t>,</w:t>
      </w:r>
      <w:r w:rsidR="00283C64">
        <w:t xml:space="preserve"> </w:t>
      </w:r>
      <w:r w:rsidR="007A0E9F">
        <w:t xml:space="preserve">many of the above questions relate </w:t>
      </w:r>
      <w:r w:rsidR="00283C64">
        <w:t xml:space="preserve">ultimately </w:t>
      </w:r>
      <w:r w:rsidR="007A0E9F">
        <w:t>to improved quality and safety of care, the best available agency would probably be the ACSQHC</w:t>
      </w:r>
      <w:r w:rsidR="006165F0">
        <w:t xml:space="preserve">. </w:t>
      </w:r>
      <w:r w:rsidR="00283C64">
        <w:t>That body need not undertake evaluations, but</w:t>
      </w:r>
      <w:r w:rsidR="00E743BF">
        <w:t xml:space="preserve"> would be a clearinghouse for their dissemination.</w:t>
      </w:r>
      <w:r w:rsidR="00D271DF">
        <w:t xml:space="preserve"> Moreover, just as it assesses deviations in clinical practices by area throughout Australia, it could examine how quickly established good ideas for organising health</w:t>
      </w:r>
      <w:r w:rsidR="00923B4C">
        <w:t xml:space="preserve"> </w:t>
      </w:r>
      <w:r w:rsidR="00D271DF">
        <w:t>care spread among health districts or jurisdictions (an exemplar being management of high</w:t>
      </w:r>
      <w:r w:rsidR="00D271DF">
        <w:noBreakHyphen/>
        <w:t>usage ambulance users — chapter </w:t>
      </w:r>
      <w:r w:rsidR="002365F1">
        <w:t>3</w:t>
      </w:r>
      <w:r w:rsidR="00D271DF">
        <w:t>)</w:t>
      </w:r>
      <w:r w:rsidR="00B84B51">
        <w:t>.</w:t>
      </w:r>
      <w:r w:rsidR="00C36173">
        <w:t xml:space="preserve"> The ACSQHC should work </w:t>
      </w:r>
      <w:r w:rsidR="00DB34BC">
        <w:t>collaboratively</w:t>
      </w:r>
      <w:r w:rsidR="00C36173">
        <w:t xml:space="preserve"> with other agencies with a similar role — most notably the NSW </w:t>
      </w:r>
      <w:r w:rsidR="001509B3">
        <w:t>Agency fo</w:t>
      </w:r>
      <w:r w:rsidR="00DB34BC">
        <w:t>r</w:t>
      </w:r>
      <w:r w:rsidR="001509B3">
        <w:t xml:space="preserve"> </w:t>
      </w:r>
      <w:r w:rsidR="00DB34BC">
        <w:t>C</w:t>
      </w:r>
      <w:r w:rsidR="001509B3">
        <w:t xml:space="preserve">linical </w:t>
      </w:r>
      <w:r w:rsidR="00DB34BC">
        <w:t>Innovation</w:t>
      </w:r>
      <w:r w:rsidR="00BF01E3">
        <w:t xml:space="preserve"> (ACI)</w:t>
      </w:r>
      <w:r w:rsidR="001509B3">
        <w:t xml:space="preserve">. </w:t>
      </w:r>
      <w:r w:rsidR="00BF01E3">
        <w:t xml:space="preserve">The value of the ACI approach is apparent in their successful implementation of improved stroke management </w:t>
      </w:r>
      <w:r w:rsidR="00AE0D73">
        <w:t>across NSW hospitals</w:t>
      </w:r>
      <w:r w:rsidR="00DE7326">
        <w:t xml:space="preserve"> (as described earlier). It i</w:t>
      </w:r>
      <w:r w:rsidR="00AE0D73">
        <w:t>nvol</w:t>
      </w:r>
      <w:r w:rsidR="00DE7326">
        <w:t>ved</w:t>
      </w:r>
      <w:r w:rsidR="00AE0D73">
        <w:t xml:space="preserve"> identification of clinical variations, </w:t>
      </w:r>
      <w:r w:rsidR="00092665">
        <w:t>engagement</w:t>
      </w:r>
      <w:r w:rsidR="00AE0D73">
        <w:t xml:space="preserve"> with the chief executives of LHNs and </w:t>
      </w:r>
      <w:r w:rsidR="00092665">
        <w:t>hospital clinicians</w:t>
      </w:r>
      <w:r w:rsidR="00AE0D73">
        <w:t>, the development of an audit tool, its application in sites, feedback and finally re</w:t>
      </w:r>
      <w:r w:rsidR="009C49CA">
        <w:noBreakHyphen/>
      </w:r>
      <w:r w:rsidR="00AE0D73">
        <w:t xml:space="preserve">auditing and evaluation </w:t>
      </w:r>
      <w:r w:rsidR="00D96FF6" w:rsidRPr="00D96FF6">
        <w:rPr>
          <w:szCs w:val="24"/>
        </w:rPr>
        <w:t>(NSW ACI 2017; Worthington 2014)</w:t>
      </w:r>
      <w:r w:rsidR="00AE0D73">
        <w:t xml:space="preserve">. </w:t>
      </w:r>
      <w:r w:rsidR="001509B3">
        <w:t>A hub and spoke model involving collaboration across jurisdictions may work as well as, or better than, a single agency.</w:t>
      </w:r>
    </w:p>
    <w:p w14:paraId="1EA39022" w14:textId="322D0659" w:rsidR="00DA0A65" w:rsidRDefault="00A97B36" w:rsidP="00C801D3">
      <w:pPr>
        <w:pStyle w:val="BodyText"/>
      </w:pPr>
      <w:r>
        <w:t xml:space="preserve">There is a developing suite of policy approaches to effective dissemination and implementation of health innovations, which will help provide guidance on the best mechanisms </w:t>
      </w:r>
      <w:r w:rsidRPr="00A97B36">
        <w:rPr>
          <w:szCs w:val="24"/>
        </w:rPr>
        <w:t>(Inkelas et al. 2015; Rapport et al. 2017)</w:t>
      </w:r>
      <w:r>
        <w:t xml:space="preserve">. One of the elements of this are </w:t>
      </w:r>
      <w:r w:rsidR="00B84B51">
        <w:t xml:space="preserve">‘champions’ — people who have led innovative ideas and who can transfer them well to others because they have hands on experience and know the practical obstacles and how these can be overcome. </w:t>
      </w:r>
      <w:r w:rsidR="00DA0A65">
        <w:t xml:space="preserve">The concept is well known in business, and increasingly </w:t>
      </w:r>
      <w:r w:rsidR="003B1F21">
        <w:t xml:space="preserve">so </w:t>
      </w:r>
      <w:r w:rsidR="00DA0A65">
        <w:t>in health care</w:t>
      </w:r>
      <w:r w:rsidR="003B1F21">
        <w:t xml:space="preserve"> </w:t>
      </w:r>
      <w:r w:rsidR="00C65A42" w:rsidRPr="00C65A42">
        <w:rPr>
          <w:szCs w:val="24"/>
        </w:rPr>
        <w:t>(McNeil 2014; Shaw et al. 2012)</w:t>
      </w:r>
      <w:r w:rsidR="00C36173">
        <w:t>, but needs to extend beyond clinical champions</w:t>
      </w:r>
      <w:r w:rsidR="003B1F21">
        <w:t>.</w:t>
      </w:r>
      <w:r w:rsidR="008E4D2D">
        <w:t xml:space="preserve"> </w:t>
      </w:r>
    </w:p>
    <w:p w14:paraId="1EA39023" w14:textId="77777777" w:rsidR="00B84B51" w:rsidRDefault="00B84B51" w:rsidP="00C801D3">
      <w:pPr>
        <w:pStyle w:val="BodyText"/>
      </w:pPr>
      <w:r>
        <w:t>That is a role less likely to suit the ACSQHC, which is a more technically</w:t>
      </w:r>
      <w:r>
        <w:noBreakHyphen/>
        <w:t xml:space="preserve">oriented body. One possibility is that PHNs and LHNs (and possibly State and Territory Governments) agree to create a national ‘champion’ program, where champions of an innovative idea assist other PHNs and LHNs to more speedily adopt new ideas. </w:t>
      </w:r>
      <w:r w:rsidR="003B1F21">
        <w:t>Regardless of whether that is the best vehicle, there is a need to recognise that changed practices often require persuasive and trusted advocates.</w:t>
      </w:r>
    </w:p>
    <w:p w14:paraId="1EA39024" w14:textId="77777777" w:rsidR="00E743BF" w:rsidRPr="004E3B94" w:rsidRDefault="00E743BF" w:rsidP="00E743BF">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129"/>
      </w:tblGrid>
      <w:tr w:rsidR="00E743BF" w14:paraId="1EA39028" w14:textId="77777777" w:rsidTr="00EA2B19">
        <w:trPr>
          <w:cantSplit/>
          <w:tblHeader/>
        </w:trPr>
        <w:tc>
          <w:tcPr>
            <w:tcW w:w="5000" w:type="pct"/>
            <w:tcBorders>
              <w:top w:val="single" w:sz="4" w:space="0" w:color="265A9A" w:themeColor="accent2"/>
              <w:left w:val="nil"/>
              <w:bottom w:val="nil"/>
              <w:right w:val="nil"/>
            </w:tcBorders>
            <w:shd w:val="clear" w:color="auto" w:fill="E1EBF5"/>
            <w:tcMar>
              <w:left w:w="170" w:type="dxa"/>
              <w:right w:w="170" w:type="dxa"/>
            </w:tcMar>
          </w:tcPr>
          <w:p w14:paraId="1EA39025" w14:textId="77777777" w:rsidR="00E743BF" w:rsidRPr="00EA2B19" w:rsidRDefault="00E743BF" w:rsidP="00E743BF">
            <w:pPr>
              <w:pStyle w:val="FindingTitle"/>
              <w:spacing w:before="120"/>
              <w:rPr>
                <w:noProof/>
              </w:rPr>
            </w:pPr>
            <w:r w:rsidRPr="00EA2B19">
              <w:t>conclusion 9.</w:t>
            </w:r>
            <w:r w:rsidR="008406EC" w:rsidRPr="00EA2B19">
              <w:t>2</w:t>
            </w:r>
          </w:p>
          <w:p w14:paraId="1EA39026" w14:textId="77777777" w:rsidR="00E743BF" w:rsidRPr="00C1530E" w:rsidRDefault="00E743BF" w:rsidP="00944790">
            <w:pPr>
              <w:pStyle w:val="Rec"/>
            </w:pPr>
            <w:r w:rsidRPr="00C1530E">
              <w:t>A key goal of</w:t>
            </w:r>
            <w:r w:rsidR="007358A1" w:rsidRPr="00C1530E">
              <w:t xml:space="preserve"> a regional approach to health </w:t>
            </w:r>
            <w:r w:rsidRPr="00C1530E">
              <w:t xml:space="preserve">care is that </w:t>
            </w:r>
            <w:r w:rsidR="00D271DF" w:rsidRPr="00C1530E">
              <w:t xml:space="preserve">it </w:t>
            </w:r>
            <w:r w:rsidRPr="00C1530E">
              <w:t xml:space="preserve">is an ideal vehicle for experimentation. The Australian Commission </w:t>
            </w:r>
            <w:r w:rsidR="00296B44" w:rsidRPr="00C1530E">
              <w:t>on</w:t>
            </w:r>
            <w:r w:rsidRPr="00C1530E">
              <w:t xml:space="preserve"> Sa</w:t>
            </w:r>
            <w:r w:rsidR="00DB34BC" w:rsidRPr="00C1530E">
              <w:t xml:space="preserve">fety and Quality in Health Care, potentially in collaboration with other government agencies, </w:t>
            </w:r>
            <w:r w:rsidRPr="00C1530E">
              <w:t>should be a clearinghouse for the results of e</w:t>
            </w:r>
            <w:r w:rsidR="00D271DF" w:rsidRPr="00C1530E">
              <w:t>valuations of these experiments, and report on the diffusion of any well</w:t>
            </w:r>
            <w:r w:rsidR="00D271DF" w:rsidRPr="00C1530E">
              <w:noBreakHyphen/>
              <w:t>established best practices across Australian health districts and jurisdictions.</w:t>
            </w:r>
          </w:p>
          <w:p w14:paraId="1EA39027" w14:textId="77777777" w:rsidR="003B1F21" w:rsidRPr="00EA2B19" w:rsidRDefault="003B1F21" w:rsidP="00944790">
            <w:pPr>
              <w:pStyle w:val="Rec"/>
            </w:pPr>
            <w:r w:rsidRPr="00C1530E">
              <w:t>This initiative needs to be accompanied by the capacity for people with hands</w:t>
            </w:r>
            <w:r w:rsidRPr="00C1530E">
              <w:noBreakHyphen/>
              <w:t xml:space="preserve">on experience with innovations to assist others to copy them. One approach may be a </w:t>
            </w:r>
            <w:r w:rsidR="00C04639" w:rsidRPr="00C1530E">
              <w:t>cooperative ‘Champions Program’</w:t>
            </w:r>
            <w:r w:rsidRPr="00C1530E">
              <w:t xml:space="preserve"> co</w:t>
            </w:r>
            <w:r w:rsidR="009C49CA" w:rsidRPr="00C1530E">
              <w:noBreakHyphen/>
            </w:r>
            <w:r w:rsidRPr="00C1530E">
              <w:t xml:space="preserve">funded by </w:t>
            </w:r>
            <w:r w:rsidR="00A77BAA" w:rsidRPr="00C1530E">
              <w:t>Primary</w:t>
            </w:r>
            <w:r w:rsidR="00DB246C" w:rsidRPr="00C1530E">
              <w:t xml:space="preserve"> Health Networks</w:t>
            </w:r>
            <w:r w:rsidRPr="00C1530E">
              <w:t xml:space="preserve"> and </w:t>
            </w:r>
            <w:r w:rsidR="00DB246C" w:rsidRPr="00C1530E">
              <w:t>Local Hospital Networks</w:t>
            </w:r>
            <w:r w:rsidR="00970285" w:rsidRPr="00C1530E">
              <w:t>. C</w:t>
            </w:r>
            <w:r w:rsidR="00DB246C" w:rsidRPr="00C1530E">
              <w:t>omplementary</w:t>
            </w:r>
            <w:r w:rsidR="00AE0D73" w:rsidRPr="00C1530E">
              <w:t xml:space="preserve"> </w:t>
            </w:r>
            <w:r w:rsidRPr="00C1530E">
              <w:t>models</w:t>
            </w:r>
            <w:r w:rsidR="00AE0D73" w:rsidRPr="00C1530E">
              <w:t>,</w:t>
            </w:r>
            <w:r w:rsidR="00DB246C" w:rsidRPr="00C1530E">
              <w:t xml:space="preserve"> such as the</w:t>
            </w:r>
            <w:r w:rsidR="00AE0D73" w:rsidRPr="00C1530E">
              <w:t xml:space="preserve"> use of the approaches applied by the NSW Agency for Clinical Innovation</w:t>
            </w:r>
            <w:r w:rsidR="00DB246C" w:rsidRPr="00C1530E">
              <w:t>, are also likely to be desirable</w:t>
            </w:r>
            <w:r w:rsidRPr="00C1530E">
              <w:t>.</w:t>
            </w:r>
            <w:r w:rsidRPr="00EA2B19">
              <w:t xml:space="preserve"> </w:t>
            </w:r>
          </w:p>
        </w:tc>
      </w:tr>
      <w:tr w:rsidR="00E743BF" w14:paraId="1EA3902A" w14:textId="77777777" w:rsidTr="00EA2B19">
        <w:trPr>
          <w:cantSplit/>
          <w:tblHeader/>
        </w:trPr>
        <w:tc>
          <w:tcPr>
            <w:tcW w:w="5000" w:type="pct"/>
            <w:tcBorders>
              <w:top w:val="nil"/>
              <w:left w:val="nil"/>
              <w:bottom w:val="single" w:sz="4" w:space="0" w:color="265A9A" w:themeColor="accent2"/>
              <w:right w:val="nil"/>
            </w:tcBorders>
            <w:shd w:val="clear" w:color="auto" w:fill="E1EBF5"/>
            <w:tcMar>
              <w:left w:w="170" w:type="dxa"/>
              <w:right w:w="170" w:type="dxa"/>
            </w:tcMar>
          </w:tcPr>
          <w:p w14:paraId="1EA39029" w14:textId="77777777" w:rsidR="00E743BF" w:rsidRPr="00EA2B19" w:rsidRDefault="00E743BF" w:rsidP="00EA2B19">
            <w:pPr>
              <w:pStyle w:val="Space"/>
              <w:keepLines/>
            </w:pPr>
          </w:p>
        </w:tc>
      </w:tr>
      <w:tr w:rsidR="00E743BF" w:rsidRPr="000863A5" w14:paraId="1EA3902C" w14:textId="77777777" w:rsidTr="00EA2B19">
        <w:trPr>
          <w:cantSplit/>
          <w:tblHeader/>
        </w:trPr>
        <w:tc>
          <w:tcPr>
            <w:tcW w:w="5000" w:type="pct"/>
            <w:tcBorders>
              <w:top w:val="single" w:sz="4" w:space="0" w:color="265A9A" w:themeColor="accent2"/>
              <w:left w:val="nil"/>
              <w:bottom w:val="nil"/>
              <w:right w:val="nil"/>
            </w:tcBorders>
            <w:tcMar>
              <w:left w:w="170" w:type="dxa"/>
              <w:right w:w="170" w:type="dxa"/>
            </w:tcMar>
          </w:tcPr>
          <w:p w14:paraId="1EA3902B" w14:textId="77777777" w:rsidR="00E743BF" w:rsidRPr="00626D32" w:rsidRDefault="00E743BF" w:rsidP="00E743BF">
            <w:pPr>
              <w:pStyle w:val="BoxSpaceBelow"/>
              <w:keepLines/>
            </w:pPr>
          </w:p>
        </w:tc>
      </w:tr>
    </w:tbl>
    <w:p w14:paraId="1EA3902D" w14:textId="77777777" w:rsidR="00293CDE" w:rsidRDefault="00293CDE">
      <w:r>
        <w:br w:type="page"/>
      </w:r>
    </w:p>
    <w:p w14:paraId="1EA3902E" w14:textId="77777777" w:rsidR="00612603" w:rsidRDefault="007506EC" w:rsidP="00612603">
      <w:pPr>
        <w:pStyle w:val="Heading1"/>
        <w:spacing w:before="0"/>
      </w:pPr>
      <w:bookmarkStart w:id="89" w:name="_Toc488929714"/>
      <w:bookmarkStart w:id="90" w:name="_Toc489250092"/>
      <w:r>
        <w:t>10</w:t>
      </w:r>
      <w:r w:rsidR="00612603">
        <w:tab/>
        <w:t>Transitioning to a new system</w:t>
      </w:r>
      <w:bookmarkEnd w:id="89"/>
      <w:bookmarkEnd w:id="90"/>
    </w:p>
    <w:p w14:paraId="1EA3902F" w14:textId="77777777" w:rsidR="00612603" w:rsidRDefault="00612603" w:rsidP="00612603">
      <w:pPr>
        <w:pStyle w:val="BodyText"/>
      </w:pPr>
      <w:r>
        <w:t xml:space="preserve">While the shift to integrated care has been slow and disjointed, Australia’s health system is now much more coordinated than in the past. As discussed above, all Australian governments have implemented — if sometimes only on a trial basis — various forms of integrated care. </w:t>
      </w:r>
      <w:r w:rsidR="003B34E1">
        <w:t xml:space="preserve">Moreover, there is increasing support from clinicians about the desirability of adopting integrated care as </w:t>
      </w:r>
      <w:r w:rsidR="003B34E1" w:rsidRPr="003B34E1">
        <w:rPr>
          <w:i/>
        </w:rPr>
        <w:t>the</w:t>
      </w:r>
      <w:r w:rsidR="003B34E1">
        <w:t xml:space="preserve"> Australian approach. A recent discussion paper issued by the Ro</w:t>
      </w:r>
      <w:r w:rsidR="003316F5">
        <w:t>y</w:t>
      </w:r>
      <w:r w:rsidR="003B34E1">
        <w:t>al College of Australasian Physicians laid out a blueprint for integrated care that captures all of the essential steps needed</w:t>
      </w:r>
      <w:r w:rsidR="004F6B5D">
        <w:t xml:space="preserve"> </w:t>
      </w:r>
      <w:r w:rsidR="00C65A42" w:rsidRPr="00C65A42">
        <w:rPr>
          <w:szCs w:val="24"/>
        </w:rPr>
        <w:t>(RACP 2015)</w:t>
      </w:r>
      <w:r w:rsidR="0017020D">
        <w:t>.</w:t>
      </w:r>
    </w:p>
    <w:p w14:paraId="1EA39030" w14:textId="77777777" w:rsidR="00612603" w:rsidRDefault="00612603" w:rsidP="00612603">
      <w:pPr>
        <w:pStyle w:val="BodyText"/>
      </w:pPr>
      <w:r>
        <w:t>Moreover, while not fully joined up yet, some of the key ingredients essential to an Australia</w:t>
      </w:r>
      <w:r>
        <w:noBreakHyphen/>
        <w:t>wide integrated care system are in place or in train, including:</w:t>
      </w:r>
    </w:p>
    <w:p w14:paraId="1EA39031" w14:textId="77777777" w:rsidR="00612603" w:rsidRDefault="00612603" w:rsidP="009B3580">
      <w:pPr>
        <w:pStyle w:val="ListBullet"/>
      </w:pPr>
      <w:r>
        <w:t>community health care centres throughout Australia</w:t>
      </w:r>
      <w:r w:rsidR="00150E84">
        <w:t xml:space="preserve"> (appendix A)</w:t>
      </w:r>
    </w:p>
    <w:p w14:paraId="1EA39032" w14:textId="77777777" w:rsidR="00612603" w:rsidRDefault="00612603" w:rsidP="009B3580">
      <w:pPr>
        <w:pStyle w:val="ListBullet"/>
      </w:pPr>
      <w:r>
        <w:t>bodies that play a role in coordinating or managing services at the regional level (</w:t>
      </w:r>
      <w:r w:rsidR="00331744">
        <w:t>PHNs</w:t>
      </w:r>
      <w:r>
        <w:t xml:space="preserve"> and </w:t>
      </w:r>
      <w:r w:rsidR="00331744">
        <w:t>LHNs</w:t>
      </w:r>
      <w:r>
        <w:t>)</w:t>
      </w:r>
    </w:p>
    <w:p w14:paraId="1EA39033" w14:textId="77777777" w:rsidR="00612603" w:rsidRDefault="00612603" w:rsidP="009B3580">
      <w:pPr>
        <w:pStyle w:val="ListBullet"/>
      </w:pPr>
      <w:r>
        <w:t>greater use of telehealth, particularly in Western Australia, Queensland and the Northern Territory for servi</w:t>
      </w:r>
      <w:r w:rsidR="00092665">
        <w:t>cing remote locations</w:t>
      </w:r>
      <w:r>
        <w:t xml:space="preserve"> </w:t>
      </w:r>
      <w:r w:rsidR="00C65A42" w:rsidRPr="00C65A42">
        <w:rPr>
          <w:szCs w:val="24"/>
        </w:rPr>
        <w:t>(ATS 2017)</w:t>
      </w:r>
    </w:p>
    <w:p w14:paraId="1EA39034" w14:textId="77777777" w:rsidR="00612603" w:rsidRDefault="00612603" w:rsidP="009B3580">
      <w:pPr>
        <w:pStyle w:val="ListBullet"/>
      </w:pPr>
      <w:r>
        <w:t>more sophisticated national approaches to funding all public hospitals</w:t>
      </w:r>
      <w:r w:rsidR="002C311B">
        <w:t xml:space="preserve"> through activity</w:t>
      </w:r>
      <w:r w:rsidR="002C311B">
        <w:noBreakHyphen/>
        <w:t>based funding</w:t>
      </w:r>
    </w:p>
    <w:p w14:paraId="1EA39035" w14:textId="77777777" w:rsidR="00612603" w:rsidRDefault="00612603" w:rsidP="009B3580">
      <w:pPr>
        <w:pStyle w:val="ListBullet"/>
      </w:pPr>
      <w:r>
        <w:t xml:space="preserve">the </w:t>
      </w:r>
      <w:r w:rsidR="002C311B">
        <w:t xml:space="preserve">emerging (if still very incomplete) </w:t>
      </w:r>
      <w:r>
        <w:t>development of PREMs and PROMs</w:t>
      </w:r>
    </w:p>
    <w:p w14:paraId="1EA39036" w14:textId="77777777" w:rsidR="00612603" w:rsidRDefault="00612603" w:rsidP="009B3580">
      <w:pPr>
        <w:pStyle w:val="ListBullet"/>
      </w:pPr>
      <w:r>
        <w:t>national institutions that aim to ensure safety and quality in health care services (avoiding unjustified variations)</w:t>
      </w:r>
    </w:p>
    <w:p w14:paraId="1EA39037" w14:textId="77777777" w:rsidR="00612603" w:rsidRDefault="00612603" w:rsidP="009B3580">
      <w:pPr>
        <w:pStyle w:val="ListBullet"/>
      </w:pPr>
      <w:r>
        <w:t>an awareness of the power of data, and the growing development of systems that allow its exploitation</w:t>
      </w:r>
    </w:p>
    <w:p w14:paraId="1EA39038" w14:textId="77777777" w:rsidR="00612603" w:rsidRDefault="00612603" w:rsidP="009B3580">
      <w:pPr>
        <w:pStyle w:val="ListBullet"/>
      </w:pPr>
      <w:r>
        <w:t>a nationwide approach to organ donations</w:t>
      </w:r>
    </w:p>
    <w:p w14:paraId="1EA39039" w14:textId="77777777" w:rsidR="00612603" w:rsidRDefault="00612603" w:rsidP="009B3580">
      <w:pPr>
        <w:pStyle w:val="ListBullet"/>
      </w:pPr>
      <w:r>
        <w:t>the rollout of My Health Record (with all Australians on the record by 2018 unless they have opted out)</w:t>
      </w:r>
      <w:r w:rsidR="00E07BA9">
        <w:t>.</w:t>
      </w:r>
    </w:p>
    <w:p w14:paraId="1EA3903A" w14:textId="4EEC832D" w:rsidR="00612603" w:rsidRDefault="00612603" w:rsidP="00612603">
      <w:pPr>
        <w:pStyle w:val="BodyText"/>
      </w:pPr>
      <w:r w:rsidRPr="00A85A3E">
        <w:t xml:space="preserve">In this, Australia is not alone. The </w:t>
      </w:r>
      <w:r w:rsidR="0083038E">
        <w:t>United States</w:t>
      </w:r>
      <w:r w:rsidRPr="00A85A3E">
        <w:t>, the U</w:t>
      </w:r>
      <w:r w:rsidR="0083038E">
        <w:t>nited Kingdom</w:t>
      </w:r>
      <w:r w:rsidRPr="00A85A3E">
        <w:t>, New Zealand, Germany and Sweden all have examples of patient</w:t>
      </w:r>
      <w:r w:rsidRPr="00A85A3E">
        <w:noBreakHyphen/>
        <w:t xml:space="preserve">centred care within their borders, but they have not yet been </w:t>
      </w:r>
      <w:r>
        <w:t>successful</w:t>
      </w:r>
      <w:r w:rsidRPr="00A85A3E">
        <w:t xml:space="preserve"> </w:t>
      </w:r>
      <w:r>
        <w:t>in</w:t>
      </w:r>
      <w:r w:rsidRPr="00A85A3E">
        <w:t xml:space="preserve"> roll</w:t>
      </w:r>
      <w:r>
        <w:t>ing</w:t>
      </w:r>
      <w:r w:rsidRPr="00A85A3E">
        <w:t xml:space="preserve"> out patient</w:t>
      </w:r>
      <w:r w:rsidRPr="00A85A3E">
        <w:noBreakHyphen/>
        <w:t>centred care across the entire nation</w:t>
      </w:r>
      <w:r>
        <w:t xml:space="preserve"> despite demonstrated health dividends</w:t>
      </w:r>
      <w:r w:rsidRPr="006E0F1A">
        <w:t>.</w:t>
      </w:r>
      <w:r w:rsidRPr="00A85A3E">
        <w:t xml:space="preserve"> </w:t>
      </w:r>
      <w:r>
        <w:t>In response to this global dilemma,</w:t>
      </w:r>
      <w:r w:rsidRPr="00D748F7">
        <w:t xml:space="preserve"> </w:t>
      </w:r>
      <w:r>
        <w:t>scholars have investigated how to make a successful transition to an integrated and patient</w:t>
      </w:r>
      <w:r>
        <w:noBreakHyphen/>
        <w:t xml:space="preserve">centred system of health care </w:t>
      </w:r>
      <w:r w:rsidR="00C65A42" w:rsidRPr="00C65A42">
        <w:rPr>
          <w:szCs w:val="24"/>
        </w:rPr>
        <w:t>(Baker et al. 2008; Ham 2010; Nicholson, Jackson and Marley 2013; Suter et al. 2009)</w:t>
      </w:r>
      <w:r>
        <w:t xml:space="preserve">. Two of the most recent systematic reviews of the literature consider the implications for Australia </w:t>
      </w:r>
      <w:r w:rsidR="00C65A42" w:rsidRPr="00C65A42">
        <w:rPr>
          <w:szCs w:val="24"/>
        </w:rPr>
        <w:t>(Janamian et al. 2014; Nicholson, Jackson and Marley 2013)</w:t>
      </w:r>
      <w:r>
        <w:t>. Janamian et al. </w:t>
      </w:r>
      <w:r w:rsidR="00C65A42" w:rsidRPr="00C65A42">
        <w:t>(2014)</w:t>
      </w:r>
      <w:r>
        <w:t xml:space="preserve"> considers how to overcome the obstacles to patient</w:t>
      </w:r>
      <w:r>
        <w:noBreakHyphen/>
        <w:t xml:space="preserve">centred care specifically within Australia’s primary care setting. </w:t>
      </w:r>
      <w:r w:rsidR="00783C9B">
        <w:t>Nicholson et al. </w:t>
      </w:r>
      <w:r w:rsidR="00C65A42" w:rsidRPr="00C65A42">
        <w:t>(2013)</w:t>
      </w:r>
      <w:r w:rsidR="00783C9B">
        <w:t xml:space="preserve"> investigates the elements of a successful transition to an integrated health system. </w:t>
      </w:r>
      <w:r>
        <w:t xml:space="preserve">These are the basis for the suite of desirable changes to Australia’s health system summed up in </w:t>
      </w:r>
      <w:r w:rsidR="007248B8">
        <w:t>table 10.1 below and in chapter </w:t>
      </w:r>
      <w:r w:rsidR="00F813E7">
        <w:t>2</w:t>
      </w:r>
      <w:r>
        <w:t xml:space="preserve"> of the </w:t>
      </w:r>
      <w:r w:rsidR="00D259E0">
        <w:t>main</w:t>
      </w:r>
      <w:r>
        <w:t xml:space="preserve"> report.</w:t>
      </w:r>
    </w:p>
    <w:p w14:paraId="1EA3903B" w14:textId="77777777" w:rsidR="00612603" w:rsidRDefault="00612603" w:rsidP="00612603">
      <w:pPr>
        <w:pStyle w:val="Heading3"/>
      </w:pPr>
      <w:r>
        <w:t>Overcoming barriers to change in the primary care sector</w:t>
      </w:r>
    </w:p>
    <w:p w14:paraId="1EA3903C" w14:textId="77777777" w:rsidR="00612603" w:rsidRDefault="00612603" w:rsidP="00612603">
      <w:pPr>
        <w:pStyle w:val="BodyText"/>
      </w:pPr>
      <w:r>
        <w:t>A patient</w:t>
      </w:r>
      <w:r>
        <w:noBreakHyphen/>
        <w:t>centred system of primary care that is part of a broader effective health system is critical for achieving much better health outcomes </w:t>
      </w:r>
      <w:r w:rsidR="00767039" w:rsidRPr="00767039">
        <w:rPr>
          <w:szCs w:val="24"/>
        </w:rPr>
        <w:t>(for example, Gawande 2017; Macinko, Starfield and Shi 2003; Swerissen and Duckett 2016)</w:t>
      </w:r>
      <w:r>
        <w:t>. Slow progress towards an integrated, patient</w:t>
      </w:r>
      <w:r>
        <w:noBreakHyphen/>
        <w:t>centred approach in primary care therefore undermine</w:t>
      </w:r>
      <w:r w:rsidR="00977B0A">
        <w:t>s the entire health system</w:t>
      </w:r>
      <w:r>
        <w:t xml:space="preserve"> </w:t>
      </w:r>
      <w:r w:rsidR="00977B0A">
        <w:t xml:space="preserve">(and </w:t>
      </w:r>
      <w:r>
        <w:t>is not unique to Australia</w:t>
      </w:r>
      <w:r w:rsidR="00977B0A">
        <w:t>)</w:t>
      </w:r>
      <w:r>
        <w:t xml:space="preserve">. The international evidence identifies various challenges and possible solution </w:t>
      </w:r>
      <w:r w:rsidR="00C65A42" w:rsidRPr="00C65A42">
        <w:rPr>
          <w:szCs w:val="24"/>
        </w:rPr>
        <w:t>(Janamian et al. 2014; Nicholson, Jackson and Marley 2013)</w:t>
      </w:r>
      <w:r>
        <w:t>, with implications for Australia</w:t>
      </w:r>
      <w:r w:rsidR="00D259E0">
        <w:t>.</w:t>
      </w:r>
    </w:p>
    <w:p w14:paraId="1EA3903D" w14:textId="77777777" w:rsidR="00612603" w:rsidRDefault="00D259E0" w:rsidP="00612603">
      <w:pPr>
        <w:pStyle w:val="BodyText"/>
        <w:numPr>
          <w:ilvl w:val="0"/>
          <w:numId w:val="25"/>
        </w:numPr>
      </w:pPr>
      <w:r>
        <w:t>I</w:t>
      </w:r>
      <w:r w:rsidR="00612603">
        <w:t>t is difficult for primary care practices to change their approach to patient care. Bringing about the necessary behavioural change relies not only on the qualities of each GP practice, but also requires external coaching on top of external payment reform that facilitates a patient</w:t>
      </w:r>
      <w:r w:rsidR="00612603">
        <w:noBreakHyphen/>
        <w:t xml:space="preserve">centred approach to care. </w:t>
      </w:r>
      <w:r w:rsidR="0027269E">
        <w:t>PHNs</w:t>
      </w:r>
      <w:r w:rsidR="00612603">
        <w:t xml:space="preserve"> are best placed to coordinate the coaching and incentive payments needed in a locality, but will need to be adequately resourced for that purpose. </w:t>
      </w:r>
    </w:p>
    <w:p w14:paraId="1EA3903E" w14:textId="77777777" w:rsidR="00612603" w:rsidRDefault="00D259E0" w:rsidP="00612603">
      <w:pPr>
        <w:pStyle w:val="BodyText"/>
        <w:numPr>
          <w:ilvl w:val="0"/>
          <w:numId w:val="25"/>
        </w:numPr>
      </w:pPr>
      <w:r>
        <w:t>I</w:t>
      </w:r>
      <w:r w:rsidR="00612603">
        <w:t>t is challenging for primary care practices to put in place a patient</w:t>
      </w:r>
      <w:r w:rsidR="00612603">
        <w:noBreakHyphen/>
        <w:t>centred, user</w:t>
      </w:r>
      <w:r w:rsidR="00612603">
        <w:noBreakHyphen/>
        <w:t xml:space="preserve">friendly, integrated </w:t>
      </w:r>
      <w:r w:rsidR="00977B0A">
        <w:t xml:space="preserve">shared electronic </w:t>
      </w:r>
      <w:r w:rsidR="00612603">
        <w:t xml:space="preserve">medical record system. In the </w:t>
      </w:r>
      <w:r w:rsidR="0083038E">
        <w:t>United States</w:t>
      </w:r>
      <w:r w:rsidR="00612603">
        <w:t xml:space="preserve">, the required investment in IT infrastructure and training for primary care practices often exceeded expectations. Further, there are economies of scale in taking a broader approach. In Australia, the investment in IT infrastructure is best resourced through the </w:t>
      </w:r>
      <w:r w:rsidR="0027269E">
        <w:t>LHN</w:t>
      </w:r>
      <w:r w:rsidR="00612603">
        <w:t xml:space="preserve">. This takes advantage of economies of scale, it will better ensure the necessary interoperability between hospitals and GP practices, and it reflects the general situation that hospitals </w:t>
      </w:r>
      <w:r w:rsidR="00977B0A">
        <w:t>—</w:t>
      </w:r>
      <w:r w:rsidR="00612603">
        <w:t xml:space="preserve"> unlike most GPs </w:t>
      </w:r>
      <w:r w:rsidR="00977B0A">
        <w:t>—</w:t>
      </w:r>
      <w:r w:rsidR="00612603">
        <w:t xml:space="preserve"> are </w:t>
      </w:r>
      <w:r w:rsidR="00977B0A">
        <w:t xml:space="preserve">mostly </w:t>
      </w:r>
      <w:r w:rsidR="00612603">
        <w:t xml:space="preserve">still using archaic data record systems and are in greater need of an upgrade. </w:t>
      </w:r>
    </w:p>
    <w:p w14:paraId="1EA3903F" w14:textId="77777777" w:rsidR="00612603" w:rsidRDefault="00D259E0" w:rsidP="00612603">
      <w:pPr>
        <w:pStyle w:val="BodyText"/>
        <w:numPr>
          <w:ilvl w:val="0"/>
          <w:numId w:val="25"/>
        </w:numPr>
      </w:pPr>
      <w:r>
        <w:t>F</w:t>
      </w:r>
      <w:r w:rsidR="00612603">
        <w:t>unding models based on reimbursement do not support a patient</w:t>
      </w:r>
      <w:r w:rsidR="00612603">
        <w:noBreakHyphen/>
        <w:t>centred approach to care (as noted in section 9.2)</w:t>
      </w:r>
      <w:r w:rsidR="00612603" w:rsidDel="002418FA">
        <w:t xml:space="preserve"> </w:t>
      </w:r>
      <w:r w:rsidR="00C04639">
        <w:t xml:space="preserve">and must be one of the early focuses of reform. The </w:t>
      </w:r>
      <w:r w:rsidR="00523E6E">
        <w:t>Productivity</w:t>
      </w:r>
      <w:r w:rsidR="00C04639">
        <w:t xml:space="preserve"> Commission has set out simple changes that could be incrementally implemented, with </w:t>
      </w:r>
      <w:r w:rsidR="00CF05CF">
        <w:t xml:space="preserve">capacity </w:t>
      </w:r>
      <w:r w:rsidR="00C04639">
        <w:t>to expand their scope after learning</w:t>
      </w:r>
      <w:r w:rsidR="00523E6E">
        <w:t>.</w:t>
      </w:r>
    </w:p>
    <w:p w14:paraId="1EA39040" w14:textId="77777777" w:rsidR="00612603" w:rsidRDefault="00D259E0" w:rsidP="00612603">
      <w:pPr>
        <w:pStyle w:val="BodyText"/>
        <w:numPr>
          <w:ilvl w:val="0"/>
          <w:numId w:val="25"/>
        </w:numPr>
      </w:pPr>
      <w:r>
        <w:t>E</w:t>
      </w:r>
      <w:r w:rsidR="00612603">
        <w:t>conomies of scale matter in the transformation phase. Smaller primary care practices face a greater administrative burden to transition to patient</w:t>
      </w:r>
      <w:r w:rsidR="00612603">
        <w:noBreakHyphen/>
        <w:t xml:space="preserve">centred care than larger institutions. It may also be that smaller practices face a larger administrative burden in keeping up with best practice and in providing multiple specialisations within the practice. While the consolidation of practices both horizontally and vertically will be market driven, government initiatives should facilitate that integration and not hinder it. Consolidation need not involve larger practices but can also occur through a federation of smaller practices that agree to share administrative and other resources and </w:t>
      </w:r>
      <w:r w:rsidR="00006334">
        <w:t>that</w:t>
      </w:r>
      <w:r w:rsidR="00612603">
        <w:t xml:space="preserve"> cooperatively serve patients according to the comparative advantage of GPs. Such a federation model is on the increase in the </w:t>
      </w:r>
      <w:r w:rsidR="0083038E">
        <w:t>United Kingdom</w:t>
      </w:r>
      <w:r w:rsidR="00612603">
        <w:t xml:space="preserve">. In </w:t>
      </w:r>
      <w:r w:rsidR="009251E6">
        <w:t>regional</w:t>
      </w:r>
      <w:r w:rsidR="00612603">
        <w:t xml:space="preserve"> and remote locations, where consolidation is not feasible or may undermine competition, additional support may be justified, for example in the form of temporary in</w:t>
      </w:r>
      <w:r w:rsidR="00612603">
        <w:noBreakHyphen/>
        <w:t>kind administrative support. In urban locations, the GP sector is highly competitive, and so increasing consolidation will not undermine competition, particularly if there is increasing oversight by PHNs and LHNs, together with the publication of GP performance indicators.</w:t>
      </w:r>
    </w:p>
    <w:p w14:paraId="1EA39041" w14:textId="77777777" w:rsidR="00612603" w:rsidRDefault="00D259E0" w:rsidP="00612603">
      <w:pPr>
        <w:pStyle w:val="BodyText"/>
        <w:numPr>
          <w:ilvl w:val="0"/>
          <w:numId w:val="25"/>
        </w:numPr>
      </w:pPr>
      <w:r>
        <w:t>A</w:t>
      </w:r>
      <w:r w:rsidR="00612603">
        <w:t xml:space="preserve"> transition to an integrated, patient</w:t>
      </w:r>
      <w:r w:rsidR="00612603">
        <w:noBreakHyphen/>
        <w:t>centred system of care is constrained by standards, measures, targets for performance</w:t>
      </w:r>
      <w:r w:rsidR="003728DF">
        <w:t>,</w:t>
      </w:r>
      <w:r w:rsidR="00612603">
        <w:t xml:space="preserve"> and accreditation that do not reflect a patient</w:t>
      </w:r>
      <w:r w:rsidR="00612603">
        <w:noBreakHyphen/>
        <w:t>centred approach. There is therefore a need for a review of accreditation frameworks so they align with the key aspects of patient</w:t>
      </w:r>
      <w:r w:rsidR="00612603">
        <w:noBreakHyphen/>
        <w:t>centred care. Such a review was canvassed in 2014 by the Royal Australian College of General Practitioners and the Australian Commission on Quality and Safety in Health Care. Further, there is a need for governments to refrain from prescribing how to transition to an integrated, patient</w:t>
      </w:r>
      <w:r w:rsidR="00612603">
        <w:noBreakHyphen/>
        <w:t>centred system beyond what is supported by the evidence (as summarised in this section</w:t>
      </w:r>
      <w:r w:rsidR="00F32CA1">
        <w:t xml:space="preserve"> — table 10.1</w:t>
      </w:r>
      <w:r w:rsidR="00612603">
        <w:t>). Micro</w:t>
      </w:r>
      <w:r w:rsidR="00612603">
        <w:noBreakHyphen/>
        <w:t>management constrains the innovation and flexibility that is needed to successfully find the best path to an integrated, patient</w:t>
      </w:r>
      <w:r w:rsidR="00612603">
        <w:noBreakHyphen/>
        <w:t xml:space="preserve">centred system of care. </w:t>
      </w:r>
      <w:r w:rsidR="009467E2">
        <w:t>As pithily encapsulated by a recent study of effective health care:</w:t>
      </w:r>
    </w:p>
    <w:p w14:paraId="1EA39042" w14:textId="77777777" w:rsidR="009467E2" w:rsidRDefault="009467E2" w:rsidP="009467E2">
      <w:pPr>
        <w:pStyle w:val="Quote"/>
        <w:ind w:left="1134"/>
      </w:pPr>
      <w:r>
        <w:t xml:space="preserve">Micromanagement carries well-known risks. It all too easily disempowers local leaders, creating a culture of compliance and risk aversion that can lead to gaming and misreporting of performance data, with the net result that it stifles innovation. </w:t>
      </w:r>
      <w:r w:rsidRPr="009467E2">
        <w:rPr>
          <w:szCs w:val="24"/>
        </w:rPr>
        <w:t>(Ham and Timmins 2015, p. 42)</w:t>
      </w:r>
    </w:p>
    <w:p w14:paraId="1EA39043" w14:textId="77777777" w:rsidR="00612603" w:rsidRPr="004E3B94" w:rsidRDefault="00612603" w:rsidP="0061260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2969"/>
        <w:gridCol w:w="6160"/>
      </w:tblGrid>
      <w:tr w:rsidR="00612603" w:rsidRPr="00231749" w14:paraId="1EA39045" w14:textId="77777777" w:rsidTr="00F576FE">
        <w:trPr>
          <w:tblHeader/>
        </w:trPr>
        <w:tc>
          <w:tcPr>
            <w:tcW w:w="5000" w:type="pct"/>
            <w:gridSpan w:val="2"/>
            <w:tcBorders>
              <w:top w:val="single" w:sz="4" w:space="0" w:color="265A9A" w:themeColor="accent2"/>
              <w:left w:val="nil"/>
              <w:bottom w:val="single" w:sz="4" w:space="0" w:color="265A9A" w:themeColor="accent2"/>
              <w:right w:val="nil"/>
            </w:tcBorders>
            <w:shd w:val="clear" w:color="auto" w:fill="E1EBF5"/>
            <w:tcMar>
              <w:left w:w="170" w:type="dxa"/>
              <w:right w:w="170" w:type="dxa"/>
            </w:tcMar>
          </w:tcPr>
          <w:p w14:paraId="1EA39044" w14:textId="77777777" w:rsidR="00612603" w:rsidRPr="00EA2B19" w:rsidRDefault="00612603" w:rsidP="002C68A0">
            <w:pPr>
              <w:pStyle w:val="RecTitle"/>
              <w:spacing w:before="120"/>
              <w:rPr>
                <w:noProof/>
              </w:rPr>
            </w:pPr>
            <w:r w:rsidRPr="00EA2B19">
              <w:t xml:space="preserve">conclusion </w:t>
            </w:r>
            <w:r w:rsidR="002C68A0" w:rsidRPr="00EA2B19">
              <w:t>10</w:t>
            </w:r>
            <w:r w:rsidRPr="00EA2B19">
              <w:t>.1</w:t>
            </w:r>
            <w:r w:rsidR="00C04639" w:rsidRPr="00EA2B19">
              <w:t>: A SUMMARY OF THE CRITICAL Initiatives</w:t>
            </w:r>
          </w:p>
        </w:tc>
      </w:tr>
      <w:tr w:rsidR="00612603" w14:paraId="1EA39048" w14:textId="77777777" w:rsidTr="00F576FE">
        <w:trPr>
          <w:tblHeader/>
        </w:trPr>
        <w:tc>
          <w:tcPr>
            <w:tcW w:w="1626" w:type="pct"/>
            <w:tcBorders>
              <w:top w:val="single" w:sz="4" w:space="0" w:color="265A9A" w:themeColor="accent2"/>
              <w:left w:val="nil"/>
              <w:bottom w:val="single" w:sz="4" w:space="0" w:color="265A9A" w:themeColor="accent2"/>
              <w:right w:val="nil"/>
            </w:tcBorders>
            <w:shd w:val="clear" w:color="auto" w:fill="E1EBF5"/>
            <w:tcMar>
              <w:left w:w="170" w:type="dxa"/>
              <w:right w:w="170" w:type="dxa"/>
            </w:tcMar>
          </w:tcPr>
          <w:p w14:paraId="1EA39046" w14:textId="77777777" w:rsidR="00612603" w:rsidRPr="00EA2B19" w:rsidRDefault="00612603" w:rsidP="00F576FE">
            <w:pPr>
              <w:pStyle w:val="RecTitle"/>
              <w:spacing w:before="60" w:after="60"/>
              <w:rPr>
                <w:b/>
              </w:rPr>
            </w:pPr>
            <w:r w:rsidRPr="00EA2B19">
              <w:rPr>
                <w:b/>
                <w:caps w:val="0"/>
              </w:rPr>
              <w:t>The things that work</w:t>
            </w:r>
          </w:p>
        </w:tc>
        <w:tc>
          <w:tcPr>
            <w:tcW w:w="3374" w:type="pct"/>
            <w:tcBorders>
              <w:top w:val="single" w:sz="4" w:space="0" w:color="265A9A" w:themeColor="accent2"/>
              <w:left w:val="nil"/>
              <w:bottom w:val="single" w:sz="4" w:space="0" w:color="265A9A" w:themeColor="accent2"/>
              <w:right w:val="nil"/>
            </w:tcBorders>
            <w:shd w:val="clear" w:color="auto" w:fill="E1EBF5"/>
          </w:tcPr>
          <w:p w14:paraId="1EA39047" w14:textId="77777777" w:rsidR="00612603" w:rsidRPr="00EA2B19" w:rsidRDefault="00612603" w:rsidP="00F576FE">
            <w:pPr>
              <w:pStyle w:val="RecTitle"/>
              <w:spacing w:before="60" w:after="60"/>
              <w:rPr>
                <w:b/>
              </w:rPr>
            </w:pPr>
            <w:r w:rsidRPr="00EA2B19">
              <w:rPr>
                <w:b/>
                <w:caps w:val="0"/>
              </w:rPr>
              <w:t>What it means for Australia</w:t>
            </w:r>
          </w:p>
        </w:tc>
      </w:tr>
      <w:tr w:rsidR="002C68A0" w14:paraId="1EA39051" w14:textId="77777777" w:rsidTr="00F576FE">
        <w:trPr>
          <w:tblHeader/>
        </w:trPr>
        <w:tc>
          <w:tcPr>
            <w:tcW w:w="1626" w:type="pct"/>
            <w:tcBorders>
              <w:top w:val="single" w:sz="4" w:space="0" w:color="265A9A" w:themeColor="accent2"/>
              <w:left w:val="nil"/>
              <w:bottom w:val="nil"/>
              <w:right w:val="nil"/>
            </w:tcBorders>
            <w:shd w:val="clear" w:color="auto" w:fill="F0F5FA"/>
            <w:tcMar>
              <w:left w:w="170" w:type="dxa"/>
              <w:right w:w="170" w:type="dxa"/>
            </w:tcMar>
          </w:tcPr>
          <w:p w14:paraId="1EA39049" w14:textId="77777777" w:rsidR="002C68A0" w:rsidRPr="00EA2B19" w:rsidRDefault="00621ED2" w:rsidP="00621ED2">
            <w:pPr>
              <w:pStyle w:val="RecTitle"/>
              <w:spacing w:before="40" w:line="240" w:lineRule="atLeast"/>
              <w:jc w:val="left"/>
              <w:rPr>
                <w:caps w:val="0"/>
                <w:szCs w:val="18"/>
              </w:rPr>
            </w:pPr>
            <w:r w:rsidRPr="00EA2B19">
              <w:rPr>
                <w:caps w:val="0"/>
                <w:szCs w:val="18"/>
              </w:rPr>
              <w:t>I</w:t>
            </w:r>
            <w:r w:rsidR="002C68A0" w:rsidRPr="00EA2B19">
              <w:rPr>
                <w:caps w:val="0"/>
                <w:szCs w:val="18"/>
              </w:rPr>
              <w:t xml:space="preserve">nformed </w:t>
            </w:r>
            <w:r w:rsidRPr="00EA2B19">
              <w:rPr>
                <w:caps w:val="0"/>
                <w:szCs w:val="18"/>
              </w:rPr>
              <w:t xml:space="preserve">and engaged </w:t>
            </w:r>
            <w:r w:rsidR="002C68A0" w:rsidRPr="00EA2B19">
              <w:rPr>
                <w:caps w:val="0"/>
                <w:szCs w:val="18"/>
              </w:rPr>
              <w:t>consumers</w:t>
            </w:r>
          </w:p>
        </w:tc>
        <w:tc>
          <w:tcPr>
            <w:tcW w:w="3374" w:type="pct"/>
            <w:tcBorders>
              <w:top w:val="single" w:sz="4" w:space="0" w:color="265A9A" w:themeColor="accent2"/>
              <w:left w:val="nil"/>
              <w:bottom w:val="nil"/>
              <w:right w:val="nil"/>
            </w:tcBorders>
            <w:shd w:val="clear" w:color="auto" w:fill="F0F5FA"/>
          </w:tcPr>
          <w:p w14:paraId="1EA3904A" w14:textId="77777777" w:rsidR="002C68A0" w:rsidRPr="00EA2B19" w:rsidRDefault="002C68A0" w:rsidP="002C68A0">
            <w:pPr>
              <w:pStyle w:val="RecTitle"/>
              <w:numPr>
                <w:ilvl w:val="0"/>
                <w:numId w:val="31"/>
              </w:numPr>
              <w:spacing w:before="40" w:line="240" w:lineRule="atLeast"/>
              <w:ind w:left="142" w:hanging="152"/>
              <w:jc w:val="left"/>
              <w:rPr>
                <w:caps w:val="0"/>
                <w:szCs w:val="18"/>
              </w:rPr>
            </w:pPr>
            <w:r w:rsidRPr="00EA2B19">
              <w:rPr>
                <w:caps w:val="0"/>
                <w:szCs w:val="18"/>
              </w:rPr>
              <w:t>Improve health literacy</w:t>
            </w:r>
          </w:p>
          <w:p w14:paraId="1EA3904B" w14:textId="77777777" w:rsidR="002C68A0" w:rsidRPr="00EA2B19" w:rsidRDefault="002C68A0" w:rsidP="002C68A0">
            <w:pPr>
              <w:pStyle w:val="RecTitle"/>
              <w:numPr>
                <w:ilvl w:val="0"/>
                <w:numId w:val="31"/>
              </w:numPr>
              <w:spacing w:before="40" w:line="240" w:lineRule="atLeast"/>
              <w:ind w:left="142" w:hanging="152"/>
              <w:jc w:val="left"/>
              <w:rPr>
                <w:caps w:val="0"/>
                <w:szCs w:val="18"/>
              </w:rPr>
            </w:pPr>
            <w:r w:rsidRPr="00EA2B19">
              <w:rPr>
                <w:caps w:val="0"/>
                <w:szCs w:val="18"/>
              </w:rPr>
              <w:t>Involve consumers as partners in care</w:t>
            </w:r>
          </w:p>
          <w:p w14:paraId="1EA3904C" w14:textId="77777777" w:rsidR="006A5DBC" w:rsidRPr="00EA2B19" w:rsidRDefault="002C68A0" w:rsidP="006A5DBC">
            <w:pPr>
              <w:pStyle w:val="RecTitle"/>
              <w:numPr>
                <w:ilvl w:val="0"/>
                <w:numId w:val="31"/>
              </w:numPr>
              <w:spacing w:before="40" w:line="240" w:lineRule="atLeast"/>
              <w:ind w:left="142" w:hanging="152"/>
              <w:jc w:val="left"/>
              <w:rPr>
                <w:caps w:val="0"/>
                <w:szCs w:val="18"/>
              </w:rPr>
            </w:pPr>
            <w:r w:rsidRPr="00EA2B19">
              <w:rPr>
                <w:caps w:val="0"/>
                <w:szCs w:val="18"/>
              </w:rPr>
              <w:t>Adopt arrangements that</w:t>
            </w:r>
            <w:r w:rsidR="00F376AA" w:rsidRPr="00EA2B19">
              <w:rPr>
                <w:caps w:val="0"/>
                <w:szCs w:val="18"/>
              </w:rPr>
              <w:t xml:space="preserve"> allow informed consumer choice</w:t>
            </w:r>
          </w:p>
          <w:p w14:paraId="1EA3904D" w14:textId="77777777" w:rsidR="006A5DBC" w:rsidRPr="00EA2B19" w:rsidRDefault="006A5DBC" w:rsidP="001A7E4D">
            <w:pPr>
              <w:pStyle w:val="RecTitle"/>
              <w:numPr>
                <w:ilvl w:val="0"/>
                <w:numId w:val="31"/>
              </w:numPr>
              <w:spacing w:before="40" w:line="240" w:lineRule="atLeast"/>
              <w:ind w:left="142" w:hanging="152"/>
              <w:jc w:val="left"/>
              <w:rPr>
                <w:caps w:val="0"/>
                <w:szCs w:val="18"/>
              </w:rPr>
            </w:pPr>
            <w:r w:rsidRPr="00EA2B19">
              <w:rPr>
                <w:caps w:val="0"/>
                <w:szCs w:val="18"/>
              </w:rPr>
              <w:t>Use My Health Record as a mediator for information provision to consumers</w:t>
            </w:r>
            <w:r w:rsidR="002F7043" w:rsidRPr="00EA2B19">
              <w:rPr>
                <w:caps w:val="0"/>
                <w:szCs w:val="18"/>
              </w:rPr>
              <w:t>, including on medical interventions that have no proven efficacy</w:t>
            </w:r>
          </w:p>
          <w:p w14:paraId="1EA3904E" w14:textId="77777777" w:rsidR="006A5DBC" w:rsidRPr="00EA2B19" w:rsidRDefault="006A5DBC" w:rsidP="002F121D">
            <w:pPr>
              <w:pStyle w:val="RecTitle"/>
              <w:numPr>
                <w:ilvl w:val="0"/>
                <w:numId w:val="31"/>
              </w:numPr>
              <w:spacing w:before="40" w:line="240" w:lineRule="atLeast"/>
              <w:ind w:left="142" w:hanging="152"/>
              <w:jc w:val="left"/>
              <w:rPr>
                <w:caps w:val="0"/>
                <w:szCs w:val="18"/>
              </w:rPr>
            </w:pPr>
            <w:r w:rsidRPr="00EA2B19">
              <w:rPr>
                <w:caps w:val="0"/>
                <w:szCs w:val="18"/>
              </w:rPr>
              <w:t xml:space="preserve">Change </w:t>
            </w:r>
            <w:r w:rsidR="002F121D" w:rsidRPr="00EA2B19">
              <w:rPr>
                <w:caps w:val="0"/>
                <w:szCs w:val="18"/>
              </w:rPr>
              <w:t xml:space="preserve">passive </w:t>
            </w:r>
            <w:r w:rsidRPr="00EA2B19">
              <w:rPr>
                <w:caps w:val="0"/>
                <w:szCs w:val="18"/>
              </w:rPr>
              <w:t>attitudes of consumers</w:t>
            </w:r>
            <w:r w:rsidR="002F121D" w:rsidRPr="00EA2B19">
              <w:rPr>
                <w:caps w:val="0"/>
                <w:szCs w:val="18"/>
              </w:rPr>
              <w:t xml:space="preserve"> </w:t>
            </w:r>
          </w:p>
          <w:p w14:paraId="1EA3904F" w14:textId="77777777" w:rsidR="006A5DBC" w:rsidRPr="00EA2B19" w:rsidRDefault="006A5DBC" w:rsidP="001A7E4D">
            <w:pPr>
              <w:pStyle w:val="RecTitle"/>
              <w:numPr>
                <w:ilvl w:val="0"/>
                <w:numId w:val="31"/>
              </w:numPr>
              <w:spacing w:before="40" w:line="240" w:lineRule="atLeast"/>
              <w:ind w:left="142" w:hanging="152"/>
              <w:jc w:val="left"/>
              <w:rPr>
                <w:caps w:val="0"/>
                <w:szCs w:val="18"/>
              </w:rPr>
            </w:pPr>
            <w:r w:rsidRPr="00EA2B19">
              <w:rPr>
                <w:caps w:val="0"/>
                <w:szCs w:val="18"/>
              </w:rPr>
              <w:t xml:space="preserve">Publish </w:t>
            </w:r>
            <w:r w:rsidR="00C0553B" w:rsidRPr="00EA2B19">
              <w:rPr>
                <w:caps w:val="0"/>
                <w:szCs w:val="18"/>
              </w:rPr>
              <w:t>plain</w:t>
            </w:r>
            <w:r w:rsidR="00C0553B" w:rsidRPr="00EA2B19">
              <w:rPr>
                <w:caps w:val="0"/>
                <w:szCs w:val="18"/>
              </w:rPr>
              <w:noBreakHyphen/>
            </w:r>
            <w:r w:rsidRPr="00EA2B19">
              <w:rPr>
                <w:caps w:val="0"/>
                <w:szCs w:val="18"/>
              </w:rPr>
              <w:t>English indicators of quality, safety and outcomes</w:t>
            </w:r>
          </w:p>
          <w:p w14:paraId="1EA39050" w14:textId="77777777" w:rsidR="000316CD" w:rsidRPr="00EA2B19" w:rsidRDefault="00824F54" w:rsidP="001A7E4D">
            <w:pPr>
              <w:pStyle w:val="RecTitle"/>
              <w:numPr>
                <w:ilvl w:val="0"/>
                <w:numId w:val="31"/>
              </w:numPr>
              <w:spacing w:before="40" w:line="240" w:lineRule="atLeast"/>
              <w:ind w:left="142" w:hanging="152"/>
              <w:jc w:val="left"/>
            </w:pPr>
            <w:r w:rsidRPr="00EA2B19">
              <w:rPr>
                <w:caps w:val="0"/>
                <w:szCs w:val="18"/>
              </w:rPr>
              <w:t>Target high</w:t>
            </w:r>
            <w:r w:rsidRPr="00EA2B19">
              <w:rPr>
                <w:caps w:val="0"/>
                <w:szCs w:val="18"/>
              </w:rPr>
              <w:noBreakHyphen/>
              <w:t>risk groups for particular care and innovation in health care delivery suited to the person</w:t>
            </w:r>
          </w:p>
        </w:tc>
      </w:tr>
      <w:tr w:rsidR="00D94FCA" w14:paraId="1EA39057" w14:textId="77777777" w:rsidTr="00EA2B19">
        <w:trPr>
          <w:tblHeader/>
        </w:trPr>
        <w:tc>
          <w:tcPr>
            <w:tcW w:w="1626" w:type="pct"/>
            <w:tcBorders>
              <w:top w:val="nil"/>
              <w:left w:val="nil"/>
              <w:bottom w:val="nil"/>
              <w:right w:val="nil"/>
            </w:tcBorders>
            <w:shd w:val="clear" w:color="auto" w:fill="F0F5FA"/>
            <w:tcMar>
              <w:left w:w="170" w:type="dxa"/>
              <w:right w:w="170" w:type="dxa"/>
            </w:tcMar>
          </w:tcPr>
          <w:p w14:paraId="1EA39052" w14:textId="77777777" w:rsidR="00D94FCA" w:rsidRPr="00EA2B19" w:rsidRDefault="00D94FCA" w:rsidP="00260623">
            <w:pPr>
              <w:pStyle w:val="RecTitle"/>
              <w:spacing w:before="40" w:line="240" w:lineRule="atLeast"/>
              <w:jc w:val="left"/>
              <w:rPr>
                <w:caps w:val="0"/>
                <w:szCs w:val="18"/>
              </w:rPr>
            </w:pPr>
            <w:r w:rsidRPr="00EA2B19">
              <w:rPr>
                <w:caps w:val="0"/>
                <w:szCs w:val="18"/>
              </w:rPr>
              <w:t>A regional approach to health</w:t>
            </w:r>
            <w:r w:rsidR="00923B4C" w:rsidRPr="00EA2B19">
              <w:rPr>
                <w:caps w:val="0"/>
                <w:szCs w:val="18"/>
              </w:rPr>
              <w:t xml:space="preserve"> </w:t>
            </w:r>
            <w:r w:rsidRPr="00EA2B19">
              <w:rPr>
                <w:caps w:val="0"/>
                <w:szCs w:val="18"/>
              </w:rPr>
              <w:t xml:space="preserve">care </w:t>
            </w:r>
          </w:p>
        </w:tc>
        <w:tc>
          <w:tcPr>
            <w:tcW w:w="3374" w:type="pct"/>
            <w:tcBorders>
              <w:top w:val="nil"/>
              <w:left w:val="nil"/>
              <w:bottom w:val="nil"/>
              <w:right w:val="nil"/>
            </w:tcBorders>
            <w:shd w:val="clear" w:color="auto" w:fill="F0F5FA"/>
          </w:tcPr>
          <w:p w14:paraId="1EA39053" w14:textId="77777777" w:rsidR="00D94FCA" w:rsidRPr="00EA2B19" w:rsidRDefault="00D94FCA" w:rsidP="00260623">
            <w:pPr>
              <w:pStyle w:val="RecTitle"/>
              <w:numPr>
                <w:ilvl w:val="0"/>
                <w:numId w:val="31"/>
              </w:numPr>
              <w:spacing w:before="40" w:line="240" w:lineRule="atLeast"/>
              <w:ind w:left="142" w:hanging="152"/>
              <w:jc w:val="left"/>
              <w:rPr>
                <w:caps w:val="0"/>
                <w:szCs w:val="18"/>
              </w:rPr>
            </w:pPr>
            <w:r w:rsidRPr="00EA2B19">
              <w:rPr>
                <w:caps w:val="0"/>
                <w:szCs w:val="18"/>
              </w:rPr>
              <w:t>Regional approach to the management and provision of health care through collaboration between LHNs, PHNs, CHCs, local governments, health insurers and other regional partners</w:t>
            </w:r>
          </w:p>
          <w:p w14:paraId="1EA39054" w14:textId="77777777" w:rsidR="00D94FCA" w:rsidRPr="00EA2B19" w:rsidRDefault="00D94FCA" w:rsidP="00260623">
            <w:pPr>
              <w:pStyle w:val="RecTitle"/>
              <w:numPr>
                <w:ilvl w:val="0"/>
                <w:numId w:val="31"/>
              </w:numPr>
              <w:spacing w:before="40" w:line="240" w:lineRule="atLeast"/>
              <w:ind w:left="142" w:hanging="152"/>
              <w:jc w:val="left"/>
            </w:pPr>
            <w:r w:rsidRPr="00EA2B19">
              <w:rPr>
                <w:caps w:val="0"/>
                <w:szCs w:val="18"/>
              </w:rPr>
              <w:t xml:space="preserve">Freedom to vary funding and collaboration models region by region (but with accountability) </w:t>
            </w:r>
          </w:p>
          <w:p w14:paraId="1EA39055" w14:textId="77777777" w:rsidR="00D94FCA" w:rsidRPr="00EA2B19" w:rsidRDefault="00D94FCA" w:rsidP="00260623">
            <w:pPr>
              <w:pStyle w:val="RecTitle"/>
              <w:numPr>
                <w:ilvl w:val="0"/>
                <w:numId w:val="31"/>
              </w:numPr>
              <w:spacing w:before="40" w:line="240" w:lineRule="atLeast"/>
              <w:ind w:left="142" w:hanging="152"/>
              <w:jc w:val="left"/>
              <w:rPr>
                <w:caps w:val="0"/>
                <w:szCs w:val="18"/>
              </w:rPr>
            </w:pPr>
            <w:r w:rsidRPr="00EA2B19">
              <w:rPr>
                <w:caps w:val="0"/>
                <w:szCs w:val="18"/>
              </w:rPr>
              <w:t xml:space="preserve">MOUs between LHNs and PHNs to </w:t>
            </w:r>
            <w:r w:rsidR="00F376AA" w:rsidRPr="00EA2B19">
              <w:rPr>
                <w:caps w:val="0"/>
                <w:szCs w:val="18"/>
              </w:rPr>
              <w:t>facilitate joint planning,</w:t>
            </w:r>
            <w:r w:rsidR="00504C31" w:rsidRPr="00EA2B19">
              <w:rPr>
                <w:caps w:val="0"/>
                <w:szCs w:val="18"/>
              </w:rPr>
              <w:t xml:space="preserve"> and</w:t>
            </w:r>
            <w:r w:rsidR="00F376AA" w:rsidRPr="00EA2B19">
              <w:rPr>
                <w:caps w:val="0"/>
                <w:szCs w:val="18"/>
              </w:rPr>
              <w:t xml:space="preserve"> </w:t>
            </w:r>
            <w:r w:rsidRPr="00EA2B19">
              <w:rPr>
                <w:caps w:val="0"/>
                <w:szCs w:val="18"/>
              </w:rPr>
              <w:t>identify shared clinical priority areas based on local need and on national priorities</w:t>
            </w:r>
          </w:p>
          <w:p w14:paraId="1EA39056" w14:textId="77777777" w:rsidR="00D94FCA" w:rsidRPr="00EA2B19" w:rsidRDefault="00D94FCA" w:rsidP="00260623">
            <w:pPr>
              <w:pStyle w:val="RecTitle"/>
              <w:numPr>
                <w:ilvl w:val="0"/>
                <w:numId w:val="31"/>
              </w:numPr>
              <w:spacing w:before="40" w:line="240" w:lineRule="atLeast"/>
              <w:ind w:left="142" w:hanging="152"/>
              <w:jc w:val="left"/>
            </w:pPr>
            <w:r w:rsidRPr="00EA2B19">
              <w:rPr>
                <w:caps w:val="0"/>
                <w:szCs w:val="18"/>
              </w:rPr>
              <w:t>Keep some bodies at the national level, if there are economies of scale and learning</w:t>
            </w:r>
          </w:p>
        </w:tc>
      </w:tr>
      <w:tr w:rsidR="0064393A" w14:paraId="1EA3905D" w14:textId="77777777" w:rsidTr="00F576FE">
        <w:trPr>
          <w:tblHeader/>
        </w:trPr>
        <w:tc>
          <w:tcPr>
            <w:tcW w:w="1626" w:type="pct"/>
            <w:tcBorders>
              <w:top w:val="nil"/>
              <w:left w:val="nil"/>
              <w:bottom w:val="nil"/>
              <w:right w:val="nil"/>
            </w:tcBorders>
            <w:shd w:val="clear" w:color="auto" w:fill="F0F5FA"/>
            <w:tcMar>
              <w:left w:w="170" w:type="dxa"/>
              <w:right w:w="170" w:type="dxa"/>
            </w:tcMar>
          </w:tcPr>
          <w:p w14:paraId="1EA39058" w14:textId="77777777" w:rsidR="0064393A" w:rsidRPr="00EA2B19" w:rsidRDefault="0064393A" w:rsidP="00D94FCA">
            <w:pPr>
              <w:pStyle w:val="RecTitle"/>
              <w:spacing w:before="40" w:line="240" w:lineRule="atLeast"/>
              <w:jc w:val="left"/>
              <w:rPr>
                <w:caps w:val="0"/>
                <w:szCs w:val="18"/>
              </w:rPr>
            </w:pPr>
            <w:r w:rsidRPr="00EA2B19">
              <w:rPr>
                <w:caps w:val="0"/>
                <w:szCs w:val="18"/>
              </w:rPr>
              <w:t>Effective change management: manage change locally, strategies specified, executive and clinical leadership, commitment at all levels</w:t>
            </w:r>
          </w:p>
        </w:tc>
        <w:tc>
          <w:tcPr>
            <w:tcW w:w="3374" w:type="pct"/>
            <w:tcBorders>
              <w:top w:val="nil"/>
              <w:left w:val="nil"/>
              <w:bottom w:val="nil"/>
              <w:right w:val="nil"/>
            </w:tcBorders>
            <w:shd w:val="clear" w:color="auto" w:fill="F0F5FA"/>
          </w:tcPr>
          <w:p w14:paraId="1EA39059" w14:textId="77777777" w:rsidR="008560E8" w:rsidRPr="00EA2B19" w:rsidRDefault="0064393A" w:rsidP="008560E8">
            <w:pPr>
              <w:pStyle w:val="RecTitle"/>
              <w:numPr>
                <w:ilvl w:val="0"/>
                <w:numId w:val="31"/>
              </w:numPr>
              <w:spacing w:before="40" w:line="240" w:lineRule="atLeast"/>
              <w:ind w:left="142" w:hanging="152"/>
              <w:jc w:val="left"/>
              <w:rPr>
                <w:caps w:val="0"/>
                <w:szCs w:val="18"/>
              </w:rPr>
            </w:pPr>
            <w:r w:rsidRPr="00EA2B19">
              <w:rPr>
                <w:caps w:val="0"/>
                <w:szCs w:val="18"/>
              </w:rPr>
              <w:t>Skills needed in leadership of LHN</w:t>
            </w:r>
            <w:r w:rsidR="00F376AA" w:rsidRPr="00EA2B19">
              <w:rPr>
                <w:caps w:val="0"/>
                <w:szCs w:val="18"/>
              </w:rPr>
              <w:t>s</w:t>
            </w:r>
            <w:r w:rsidRPr="00EA2B19">
              <w:rPr>
                <w:caps w:val="0"/>
                <w:szCs w:val="18"/>
              </w:rPr>
              <w:t xml:space="preserve"> and PHN</w:t>
            </w:r>
            <w:r w:rsidR="00F376AA" w:rsidRPr="00EA2B19">
              <w:rPr>
                <w:caps w:val="0"/>
                <w:szCs w:val="18"/>
              </w:rPr>
              <w:t>s</w:t>
            </w:r>
            <w:r w:rsidRPr="00EA2B19">
              <w:rPr>
                <w:caps w:val="0"/>
                <w:szCs w:val="18"/>
              </w:rPr>
              <w:t>. Select leaders for LHNs and PHNs who have proven change management skills and who clinicians trust</w:t>
            </w:r>
          </w:p>
          <w:p w14:paraId="1EA3905A" w14:textId="77777777" w:rsidR="00C04639" w:rsidRPr="00EA2B19" w:rsidRDefault="0064393A" w:rsidP="00D94FCA">
            <w:pPr>
              <w:pStyle w:val="RecTitle"/>
              <w:numPr>
                <w:ilvl w:val="0"/>
                <w:numId w:val="31"/>
              </w:numPr>
              <w:spacing w:before="40" w:line="240" w:lineRule="atLeast"/>
              <w:ind w:left="142" w:hanging="152"/>
              <w:jc w:val="left"/>
              <w:rPr>
                <w:caps w:val="0"/>
                <w:szCs w:val="18"/>
              </w:rPr>
            </w:pPr>
            <w:r w:rsidRPr="00EA2B19">
              <w:rPr>
                <w:caps w:val="0"/>
                <w:szCs w:val="18"/>
              </w:rPr>
              <w:t xml:space="preserve">Early </w:t>
            </w:r>
            <w:r w:rsidR="008560E8" w:rsidRPr="00EA2B19">
              <w:rPr>
                <w:caps w:val="0"/>
                <w:szCs w:val="18"/>
              </w:rPr>
              <w:t>e</w:t>
            </w:r>
            <w:r w:rsidRPr="00EA2B19">
              <w:rPr>
                <w:caps w:val="0"/>
                <w:szCs w:val="18"/>
              </w:rPr>
              <w:t xml:space="preserve">ngagement with </w:t>
            </w:r>
            <w:r w:rsidR="008560E8" w:rsidRPr="00EA2B19">
              <w:rPr>
                <w:caps w:val="0"/>
                <w:szCs w:val="18"/>
              </w:rPr>
              <w:t xml:space="preserve">key </w:t>
            </w:r>
            <w:r w:rsidRPr="00EA2B19">
              <w:rPr>
                <w:caps w:val="0"/>
                <w:szCs w:val="18"/>
              </w:rPr>
              <w:t>clinicians is critical, as is reducing the compliance costs of shifting to new models of care</w:t>
            </w:r>
          </w:p>
          <w:p w14:paraId="1EA3905B" w14:textId="77777777" w:rsidR="00D94FCA" w:rsidRPr="00EA2B19" w:rsidRDefault="00D94FCA" w:rsidP="00C04639">
            <w:pPr>
              <w:pStyle w:val="RecTitle"/>
              <w:numPr>
                <w:ilvl w:val="0"/>
                <w:numId w:val="31"/>
              </w:numPr>
              <w:spacing w:before="40" w:line="240" w:lineRule="atLeast"/>
              <w:ind w:left="142" w:hanging="152"/>
              <w:jc w:val="left"/>
              <w:rPr>
                <w:caps w:val="0"/>
                <w:szCs w:val="18"/>
              </w:rPr>
            </w:pPr>
            <w:r w:rsidRPr="00EA2B19">
              <w:rPr>
                <w:caps w:val="0"/>
                <w:szCs w:val="18"/>
              </w:rPr>
              <w:t>I</w:t>
            </w:r>
            <w:r w:rsidR="00C04639" w:rsidRPr="00EA2B19">
              <w:rPr>
                <w:caps w:val="0"/>
                <w:szCs w:val="18"/>
              </w:rPr>
              <w:t>nformation technology</w:t>
            </w:r>
            <w:r w:rsidRPr="00EA2B19">
              <w:rPr>
                <w:caps w:val="0"/>
                <w:szCs w:val="18"/>
              </w:rPr>
              <w:t xml:space="preserve"> must work</w:t>
            </w:r>
          </w:p>
          <w:p w14:paraId="1EA3905C" w14:textId="77777777" w:rsidR="00C04639" w:rsidRPr="00EA2B19" w:rsidRDefault="00C04639" w:rsidP="00C04639">
            <w:pPr>
              <w:pStyle w:val="RecTitle"/>
              <w:numPr>
                <w:ilvl w:val="0"/>
                <w:numId w:val="31"/>
              </w:numPr>
              <w:spacing w:before="40" w:line="240" w:lineRule="atLeast"/>
              <w:ind w:left="142" w:hanging="152"/>
              <w:jc w:val="left"/>
            </w:pPr>
            <w:r w:rsidRPr="00EA2B19">
              <w:rPr>
                <w:caps w:val="0"/>
                <w:szCs w:val="18"/>
              </w:rPr>
              <w:t>Use champions for change</w:t>
            </w:r>
          </w:p>
        </w:tc>
      </w:tr>
      <w:tr w:rsidR="007606B7" w14:paraId="1EA39066" w14:textId="77777777" w:rsidTr="00EA2B19">
        <w:trPr>
          <w:tblHeader/>
        </w:trPr>
        <w:tc>
          <w:tcPr>
            <w:tcW w:w="1626" w:type="pct"/>
            <w:tcBorders>
              <w:top w:val="nil"/>
              <w:left w:val="nil"/>
              <w:bottom w:val="nil"/>
              <w:right w:val="nil"/>
            </w:tcBorders>
            <w:shd w:val="clear" w:color="auto" w:fill="F0F5FA"/>
            <w:tcMar>
              <w:left w:w="170" w:type="dxa"/>
              <w:right w:w="170" w:type="dxa"/>
            </w:tcMar>
          </w:tcPr>
          <w:p w14:paraId="1EA3905E" w14:textId="77777777" w:rsidR="007606B7" w:rsidRPr="00EA2B19" w:rsidRDefault="007606B7" w:rsidP="007606B7">
            <w:pPr>
              <w:pStyle w:val="RecTitle"/>
              <w:spacing w:before="40" w:line="240" w:lineRule="atLeast"/>
              <w:jc w:val="left"/>
              <w:rPr>
                <w:caps w:val="0"/>
                <w:szCs w:val="18"/>
              </w:rPr>
            </w:pPr>
            <w:r w:rsidRPr="00EA2B19">
              <w:rPr>
                <w:caps w:val="0"/>
                <w:szCs w:val="18"/>
              </w:rPr>
              <w:t xml:space="preserve">Incentives aligned to </w:t>
            </w:r>
            <w:r w:rsidR="00504C31" w:rsidRPr="00EA2B19">
              <w:rPr>
                <w:caps w:val="0"/>
                <w:szCs w:val="18"/>
              </w:rPr>
              <w:t>promote</w:t>
            </w:r>
            <w:r w:rsidR="008C4FE9" w:rsidRPr="00EA2B19">
              <w:rPr>
                <w:caps w:val="0"/>
                <w:szCs w:val="18"/>
              </w:rPr>
              <w:t xml:space="preserve">: </w:t>
            </w:r>
            <w:r w:rsidRPr="00EA2B19">
              <w:rPr>
                <w:caps w:val="0"/>
                <w:szCs w:val="18"/>
              </w:rPr>
              <w:t>integratio</w:t>
            </w:r>
            <w:r w:rsidR="008C4FE9" w:rsidRPr="00EA2B19">
              <w:rPr>
                <w:caps w:val="0"/>
                <w:szCs w:val="18"/>
              </w:rPr>
              <w:t>n, innovation and reducing costs of hospitalisation</w:t>
            </w:r>
          </w:p>
          <w:p w14:paraId="1EA3905F" w14:textId="77777777" w:rsidR="007606B7" w:rsidRPr="00EA2B19" w:rsidRDefault="007606B7" w:rsidP="008C4FE9">
            <w:pPr>
              <w:pStyle w:val="RecTitle"/>
              <w:spacing w:before="40" w:line="240" w:lineRule="atLeast"/>
              <w:jc w:val="left"/>
              <w:rPr>
                <w:caps w:val="0"/>
                <w:szCs w:val="18"/>
              </w:rPr>
            </w:pPr>
          </w:p>
        </w:tc>
        <w:tc>
          <w:tcPr>
            <w:tcW w:w="3374" w:type="pct"/>
            <w:tcBorders>
              <w:top w:val="nil"/>
              <w:left w:val="nil"/>
              <w:bottom w:val="nil"/>
              <w:right w:val="nil"/>
            </w:tcBorders>
            <w:shd w:val="clear" w:color="auto" w:fill="F0F5FA"/>
          </w:tcPr>
          <w:p w14:paraId="1EA39060" w14:textId="77777777" w:rsidR="002F121D" w:rsidRPr="00EA2B19" w:rsidRDefault="007606B7" w:rsidP="002F121D">
            <w:pPr>
              <w:pStyle w:val="RecTitle"/>
              <w:numPr>
                <w:ilvl w:val="0"/>
                <w:numId w:val="31"/>
              </w:numPr>
              <w:spacing w:before="40" w:line="240" w:lineRule="atLeast"/>
              <w:ind w:left="142" w:hanging="152"/>
              <w:jc w:val="left"/>
              <w:rPr>
                <w:caps w:val="0"/>
                <w:szCs w:val="18"/>
              </w:rPr>
            </w:pPr>
            <w:r w:rsidRPr="00EA2B19">
              <w:rPr>
                <w:caps w:val="0"/>
                <w:szCs w:val="18"/>
              </w:rPr>
              <w:t>Create Prevention and Chronic Condit</w:t>
            </w:r>
            <w:r w:rsidR="0064393A" w:rsidRPr="00EA2B19">
              <w:rPr>
                <w:caps w:val="0"/>
                <w:szCs w:val="18"/>
              </w:rPr>
              <w:t>i</w:t>
            </w:r>
            <w:r w:rsidRPr="00EA2B19">
              <w:rPr>
                <w:caps w:val="0"/>
                <w:szCs w:val="18"/>
              </w:rPr>
              <w:t xml:space="preserve">on </w:t>
            </w:r>
            <w:r w:rsidR="0064393A" w:rsidRPr="00EA2B19">
              <w:rPr>
                <w:caps w:val="0"/>
                <w:szCs w:val="18"/>
              </w:rPr>
              <w:t>Management</w:t>
            </w:r>
            <w:r w:rsidR="00ED0942" w:rsidRPr="00EA2B19">
              <w:rPr>
                <w:caps w:val="0"/>
                <w:szCs w:val="18"/>
              </w:rPr>
              <w:t xml:space="preserve"> Funds</w:t>
            </w:r>
            <w:r w:rsidRPr="00EA2B19">
              <w:rPr>
                <w:caps w:val="0"/>
                <w:szCs w:val="18"/>
              </w:rPr>
              <w:t xml:space="preserve"> that LHNs can use to collaborate with local entities to improve population healt</w:t>
            </w:r>
            <w:r w:rsidR="002F121D" w:rsidRPr="00EA2B19">
              <w:rPr>
                <w:caps w:val="0"/>
                <w:szCs w:val="18"/>
              </w:rPr>
              <w:t>h and to reduce hospitalisation</w:t>
            </w:r>
          </w:p>
          <w:p w14:paraId="1EA39061" w14:textId="77777777" w:rsidR="007606B7" w:rsidRPr="00EA2B19" w:rsidRDefault="007606B7" w:rsidP="007606B7">
            <w:pPr>
              <w:pStyle w:val="RecTitle"/>
              <w:numPr>
                <w:ilvl w:val="0"/>
                <w:numId w:val="31"/>
              </w:numPr>
              <w:spacing w:before="40" w:line="240" w:lineRule="atLeast"/>
              <w:ind w:left="142" w:hanging="152"/>
              <w:jc w:val="left"/>
              <w:rPr>
                <w:caps w:val="0"/>
                <w:szCs w:val="18"/>
              </w:rPr>
            </w:pPr>
            <w:r w:rsidRPr="00EA2B19">
              <w:rPr>
                <w:caps w:val="0"/>
                <w:szCs w:val="18"/>
              </w:rPr>
              <w:t>Remove legislative restriction on LHN</w:t>
            </w:r>
            <w:r w:rsidR="00F376AA" w:rsidRPr="00EA2B19">
              <w:rPr>
                <w:caps w:val="0"/>
                <w:szCs w:val="18"/>
              </w:rPr>
              <w:t>s</w:t>
            </w:r>
            <w:r w:rsidRPr="00EA2B19">
              <w:rPr>
                <w:caps w:val="0"/>
                <w:szCs w:val="18"/>
              </w:rPr>
              <w:t xml:space="preserve">, PHNs and </w:t>
            </w:r>
            <w:r w:rsidR="002F121D" w:rsidRPr="00EA2B19">
              <w:rPr>
                <w:caps w:val="0"/>
                <w:szCs w:val="18"/>
              </w:rPr>
              <w:t>jurisdictions</w:t>
            </w:r>
            <w:r w:rsidRPr="00EA2B19">
              <w:rPr>
                <w:caps w:val="0"/>
                <w:szCs w:val="18"/>
              </w:rPr>
              <w:t xml:space="preserve"> providing additional funds for MBS</w:t>
            </w:r>
            <w:r w:rsidRPr="00EA2B19">
              <w:rPr>
                <w:caps w:val="0"/>
                <w:szCs w:val="18"/>
              </w:rPr>
              <w:noBreakHyphen/>
              <w:t>funded activities of GPs</w:t>
            </w:r>
          </w:p>
          <w:p w14:paraId="1EA39062" w14:textId="77777777" w:rsidR="007606B7" w:rsidRPr="00EA2B19" w:rsidRDefault="007606B7" w:rsidP="007606B7">
            <w:pPr>
              <w:pStyle w:val="RecTitle"/>
              <w:numPr>
                <w:ilvl w:val="0"/>
                <w:numId w:val="31"/>
              </w:numPr>
              <w:spacing w:before="40" w:line="240" w:lineRule="atLeast"/>
              <w:ind w:left="142" w:hanging="152"/>
              <w:jc w:val="left"/>
              <w:rPr>
                <w:caps w:val="0"/>
                <w:szCs w:val="18"/>
              </w:rPr>
            </w:pPr>
            <w:r w:rsidRPr="00EA2B19">
              <w:rPr>
                <w:caps w:val="0"/>
                <w:szCs w:val="18"/>
              </w:rPr>
              <w:t xml:space="preserve">Ultimately </w:t>
            </w:r>
            <w:r w:rsidR="0064393A" w:rsidRPr="00EA2B19">
              <w:rPr>
                <w:caps w:val="0"/>
                <w:szCs w:val="18"/>
              </w:rPr>
              <w:t>reallocate</w:t>
            </w:r>
            <w:r w:rsidRPr="00EA2B19">
              <w:rPr>
                <w:caps w:val="0"/>
                <w:szCs w:val="18"/>
              </w:rPr>
              <w:t xml:space="preserve"> funding of regional and general practice </w:t>
            </w:r>
            <w:r w:rsidR="0064393A" w:rsidRPr="00EA2B19">
              <w:rPr>
                <w:caps w:val="0"/>
                <w:szCs w:val="18"/>
              </w:rPr>
              <w:t>initiatives</w:t>
            </w:r>
            <w:r w:rsidRPr="00EA2B19">
              <w:rPr>
                <w:caps w:val="0"/>
                <w:szCs w:val="18"/>
              </w:rPr>
              <w:t xml:space="preserve"> to PHNs</w:t>
            </w:r>
          </w:p>
          <w:p w14:paraId="1EA39063" w14:textId="77777777" w:rsidR="002F121D" w:rsidRPr="00EA2B19" w:rsidRDefault="002F121D" w:rsidP="00C04639">
            <w:pPr>
              <w:pStyle w:val="RecTitle"/>
              <w:numPr>
                <w:ilvl w:val="0"/>
                <w:numId w:val="31"/>
              </w:numPr>
              <w:spacing w:before="40" w:line="240" w:lineRule="atLeast"/>
              <w:ind w:left="142" w:hanging="152"/>
              <w:jc w:val="left"/>
              <w:rPr>
                <w:caps w:val="0"/>
                <w:szCs w:val="18"/>
              </w:rPr>
            </w:pPr>
            <w:r w:rsidRPr="00EA2B19">
              <w:rPr>
                <w:caps w:val="0"/>
                <w:szCs w:val="18"/>
              </w:rPr>
              <w:t>LHNs and</w:t>
            </w:r>
            <w:r w:rsidR="00090993" w:rsidRPr="00EA2B19">
              <w:rPr>
                <w:caps w:val="0"/>
                <w:szCs w:val="18"/>
              </w:rPr>
              <w:t xml:space="preserve"> PHNs would be the key decision </w:t>
            </w:r>
            <w:r w:rsidRPr="00EA2B19">
              <w:rPr>
                <w:caps w:val="0"/>
                <w:szCs w:val="18"/>
              </w:rPr>
              <w:t>makers at the local level, but would have to have governance structures that made them accountable</w:t>
            </w:r>
          </w:p>
          <w:p w14:paraId="1EA39064" w14:textId="77777777" w:rsidR="007606B7" w:rsidRPr="00EA2B19" w:rsidRDefault="007606B7" w:rsidP="007606B7">
            <w:pPr>
              <w:pStyle w:val="RecTitle"/>
              <w:numPr>
                <w:ilvl w:val="0"/>
                <w:numId w:val="31"/>
              </w:numPr>
              <w:spacing w:before="40" w:line="240" w:lineRule="atLeast"/>
              <w:ind w:left="142" w:hanging="152"/>
              <w:jc w:val="left"/>
              <w:rPr>
                <w:caps w:val="0"/>
                <w:szCs w:val="18"/>
              </w:rPr>
            </w:pPr>
            <w:r w:rsidRPr="00EA2B19">
              <w:rPr>
                <w:caps w:val="0"/>
                <w:szCs w:val="18"/>
              </w:rPr>
              <w:t>Adapt Health Care Homes Program so it allows new payment models and permits greater regional flexibility</w:t>
            </w:r>
          </w:p>
          <w:p w14:paraId="1EA39065" w14:textId="77777777" w:rsidR="007606B7" w:rsidRPr="00EA2B19" w:rsidRDefault="00C04639" w:rsidP="007606B7">
            <w:pPr>
              <w:pStyle w:val="RecTitle"/>
              <w:numPr>
                <w:ilvl w:val="0"/>
                <w:numId w:val="31"/>
              </w:numPr>
              <w:spacing w:before="40" w:line="240" w:lineRule="atLeast"/>
              <w:ind w:left="142" w:hanging="152"/>
              <w:jc w:val="left"/>
              <w:rPr>
                <w:caps w:val="0"/>
              </w:rPr>
            </w:pPr>
            <w:r w:rsidRPr="00EA2B19">
              <w:rPr>
                <w:caps w:val="0"/>
              </w:rPr>
              <w:t>D</w:t>
            </w:r>
            <w:r w:rsidR="002F7043" w:rsidRPr="00EA2B19">
              <w:rPr>
                <w:caps w:val="0"/>
              </w:rPr>
              <w:t>e</w:t>
            </w:r>
            <w:r w:rsidR="002F7043" w:rsidRPr="00EA2B19">
              <w:rPr>
                <w:caps w:val="0"/>
              </w:rPr>
              <w:noBreakHyphen/>
              <w:t>fund health interventions that fail efficacy or cost</w:t>
            </w:r>
            <w:r w:rsidR="002F7043" w:rsidRPr="00EA2B19">
              <w:rPr>
                <w:caps w:val="0"/>
              </w:rPr>
              <w:noBreakHyphen/>
              <w:t>effectiveness criteria</w:t>
            </w:r>
            <w:r w:rsidR="00F376AA" w:rsidRPr="00EA2B19">
              <w:rPr>
                <w:caps w:val="0"/>
              </w:rPr>
              <w:t>, moving from volume to value</w:t>
            </w:r>
          </w:p>
        </w:tc>
      </w:tr>
      <w:tr w:rsidR="002C68A0" w14:paraId="1EA39069" w14:textId="77777777" w:rsidTr="00EA2B19">
        <w:tc>
          <w:tcPr>
            <w:tcW w:w="5000" w:type="pct"/>
            <w:gridSpan w:val="2"/>
            <w:tcBorders>
              <w:top w:val="nil"/>
              <w:left w:val="nil"/>
              <w:bottom w:val="single" w:sz="4" w:space="0" w:color="265A9A" w:themeColor="accent2"/>
              <w:right w:val="nil"/>
            </w:tcBorders>
            <w:shd w:val="clear" w:color="auto" w:fill="F0F5FA"/>
            <w:tcMar>
              <w:left w:w="170" w:type="dxa"/>
              <w:right w:w="170" w:type="dxa"/>
            </w:tcMar>
          </w:tcPr>
          <w:p w14:paraId="1EA39067" w14:textId="77777777" w:rsidR="00F576FE" w:rsidRDefault="00F576FE" w:rsidP="00F576FE">
            <w:pPr>
              <w:pStyle w:val="Continued"/>
            </w:pPr>
            <w:r>
              <w:t>(continued next page)</w:t>
            </w:r>
          </w:p>
          <w:p w14:paraId="1EA39068" w14:textId="77777777" w:rsidR="002C68A0" w:rsidRPr="00EA2B19" w:rsidRDefault="002C68A0" w:rsidP="00F576FE">
            <w:pPr>
              <w:pStyle w:val="Space"/>
              <w:keepLines/>
            </w:pPr>
          </w:p>
        </w:tc>
      </w:tr>
      <w:tr w:rsidR="002C68A0" w:rsidRPr="000863A5" w14:paraId="1EA3906B" w14:textId="77777777" w:rsidTr="00EA2B19">
        <w:tc>
          <w:tcPr>
            <w:tcW w:w="5000" w:type="pct"/>
            <w:gridSpan w:val="2"/>
            <w:tcBorders>
              <w:top w:val="single" w:sz="4" w:space="0" w:color="265A9A" w:themeColor="accent2"/>
              <w:left w:val="nil"/>
              <w:bottom w:val="nil"/>
              <w:right w:val="nil"/>
            </w:tcBorders>
            <w:tcMar>
              <w:left w:w="170" w:type="dxa"/>
              <w:right w:w="170" w:type="dxa"/>
            </w:tcMar>
          </w:tcPr>
          <w:p w14:paraId="1EA3906A" w14:textId="77777777" w:rsidR="002C68A0" w:rsidRPr="00626D32" w:rsidRDefault="002C68A0" w:rsidP="002C68A0">
            <w:pPr>
              <w:pStyle w:val="BoxSpaceBelow"/>
              <w:keepLines/>
            </w:pPr>
          </w:p>
        </w:tc>
      </w:tr>
    </w:tbl>
    <w:p w14:paraId="1EA3906C" w14:textId="77777777" w:rsidR="00C04639" w:rsidRDefault="00C04639" w:rsidP="00612603">
      <w:pPr>
        <w:pStyle w:val="BodyText"/>
      </w:pPr>
    </w:p>
    <w:p w14:paraId="1EA3906D" w14:textId="77777777" w:rsidR="00612603" w:rsidRPr="004E3B94" w:rsidRDefault="00612603" w:rsidP="0061260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2355"/>
        <w:gridCol w:w="6774"/>
      </w:tblGrid>
      <w:tr w:rsidR="00612603" w14:paraId="1EA3906F" w14:textId="77777777" w:rsidTr="00F576FE">
        <w:trPr>
          <w:trHeight w:val="417"/>
          <w:tblHeader/>
        </w:trPr>
        <w:tc>
          <w:tcPr>
            <w:tcW w:w="5000" w:type="pct"/>
            <w:gridSpan w:val="2"/>
            <w:tcBorders>
              <w:top w:val="single" w:sz="4" w:space="0" w:color="265A9A" w:themeColor="accent2"/>
              <w:left w:val="nil"/>
              <w:bottom w:val="single" w:sz="4" w:space="0" w:color="265A9A" w:themeColor="accent2"/>
              <w:right w:val="nil"/>
            </w:tcBorders>
            <w:shd w:val="clear" w:color="auto" w:fill="E1EBF5"/>
            <w:tcMar>
              <w:left w:w="170" w:type="dxa"/>
              <w:right w:w="170" w:type="dxa"/>
            </w:tcMar>
          </w:tcPr>
          <w:p w14:paraId="1EA3906E" w14:textId="77777777" w:rsidR="00612603" w:rsidRPr="00F576FE" w:rsidRDefault="00612603" w:rsidP="004D6075">
            <w:pPr>
              <w:pStyle w:val="RecTitle"/>
              <w:spacing w:before="120"/>
              <w:rPr>
                <w:noProof/>
              </w:rPr>
            </w:pPr>
            <w:r w:rsidRPr="00F576FE">
              <w:t>conclusion </w:t>
            </w:r>
            <w:r w:rsidR="000E3206" w:rsidRPr="00F576FE">
              <w:t>10</w:t>
            </w:r>
            <w:r w:rsidRPr="00F576FE">
              <w:t>.1</w:t>
            </w:r>
            <w:r w:rsidRPr="00F576FE">
              <w:rPr>
                <w:noProof/>
              </w:rPr>
              <w:t xml:space="preserve"> </w:t>
            </w:r>
            <w:r w:rsidRPr="00F576FE">
              <w:rPr>
                <w:caps w:val="0"/>
              </w:rPr>
              <w:t>(continued)</w:t>
            </w:r>
          </w:p>
        </w:tc>
      </w:tr>
      <w:tr w:rsidR="00612603" w:rsidRPr="00231749" w14:paraId="1EA39072" w14:textId="77777777" w:rsidTr="00F576FE">
        <w:trPr>
          <w:tblHeader/>
        </w:trPr>
        <w:tc>
          <w:tcPr>
            <w:tcW w:w="1290" w:type="pct"/>
            <w:tcBorders>
              <w:top w:val="single" w:sz="4" w:space="0" w:color="265A9A" w:themeColor="accent2"/>
              <w:left w:val="nil"/>
              <w:bottom w:val="single" w:sz="4" w:space="0" w:color="265A9A" w:themeColor="accent2"/>
              <w:right w:val="nil"/>
            </w:tcBorders>
            <w:shd w:val="clear" w:color="auto" w:fill="E1EBF5"/>
            <w:tcMar>
              <w:left w:w="170" w:type="dxa"/>
              <w:right w:w="170" w:type="dxa"/>
            </w:tcMar>
            <w:vAlign w:val="center"/>
          </w:tcPr>
          <w:p w14:paraId="1EA39070" w14:textId="77777777" w:rsidR="00612603" w:rsidRPr="00F576FE" w:rsidRDefault="00612603" w:rsidP="00F576FE">
            <w:pPr>
              <w:pStyle w:val="RecTitle"/>
              <w:spacing w:before="60" w:after="60"/>
              <w:jc w:val="left"/>
              <w:rPr>
                <w:b/>
              </w:rPr>
            </w:pPr>
            <w:r w:rsidRPr="00F576FE">
              <w:rPr>
                <w:b/>
                <w:caps w:val="0"/>
              </w:rPr>
              <w:t>The things that work</w:t>
            </w:r>
          </w:p>
        </w:tc>
        <w:tc>
          <w:tcPr>
            <w:tcW w:w="3710" w:type="pct"/>
            <w:tcBorders>
              <w:top w:val="single" w:sz="4" w:space="0" w:color="265A9A" w:themeColor="accent2"/>
              <w:left w:val="nil"/>
              <w:bottom w:val="single" w:sz="4" w:space="0" w:color="265A9A" w:themeColor="accent2"/>
              <w:right w:val="nil"/>
            </w:tcBorders>
            <w:shd w:val="clear" w:color="auto" w:fill="E1EBF5"/>
            <w:vAlign w:val="center"/>
          </w:tcPr>
          <w:p w14:paraId="1EA39071" w14:textId="77777777" w:rsidR="00612603" w:rsidRPr="00F576FE" w:rsidRDefault="00612603" w:rsidP="00F576FE">
            <w:pPr>
              <w:pStyle w:val="RecTitle"/>
              <w:spacing w:before="60" w:after="60"/>
              <w:jc w:val="left"/>
              <w:rPr>
                <w:b/>
              </w:rPr>
            </w:pPr>
            <w:r w:rsidRPr="00F576FE">
              <w:rPr>
                <w:b/>
                <w:caps w:val="0"/>
              </w:rPr>
              <w:t>What it means for Australia</w:t>
            </w:r>
          </w:p>
        </w:tc>
      </w:tr>
      <w:tr w:rsidR="00C04639" w14:paraId="1EA39075" w14:textId="77777777" w:rsidTr="00F576FE">
        <w:trPr>
          <w:tblHeader/>
        </w:trPr>
        <w:tc>
          <w:tcPr>
            <w:tcW w:w="1290" w:type="pct"/>
            <w:tcBorders>
              <w:top w:val="single" w:sz="4" w:space="0" w:color="265A9A" w:themeColor="accent2"/>
              <w:left w:val="nil"/>
              <w:bottom w:val="nil"/>
              <w:right w:val="nil"/>
            </w:tcBorders>
            <w:shd w:val="clear" w:color="auto" w:fill="F0F5FA"/>
            <w:tcMar>
              <w:left w:w="170" w:type="dxa"/>
              <w:right w:w="170" w:type="dxa"/>
            </w:tcMar>
          </w:tcPr>
          <w:p w14:paraId="1EA39073" w14:textId="77777777" w:rsidR="00C04639" w:rsidRPr="00F576FE" w:rsidRDefault="00C04639" w:rsidP="00C04639">
            <w:pPr>
              <w:pStyle w:val="RecTitle"/>
              <w:spacing w:before="40" w:line="240" w:lineRule="atLeast"/>
              <w:jc w:val="left"/>
              <w:rPr>
                <w:caps w:val="0"/>
                <w:szCs w:val="18"/>
              </w:rPr>
            </w:pPr>
            <w:r w:rsidRPr="00F576FE">
              <w:rPr>
                <w:caps w:val="0"/>
                <w:szCs w:val="18"/>
              </w:rPr>
              <w:t>Seamless care</w:t>
            </w:r>
          </w:p>
        </w:tc>
        <w:tc>
          <w:tcPr>
            <w:tcW w:w="3710" w:type="pct"/>
            <w:tcBorders>
              <w:top w:val="single" w:sz="4" w:space="0" w:color="265A9A" w:themeColor="accent2"/>
              <w:left w:val="nil"/>
              <w:bottom w:val="nil"/>
              <w:right w:val="nil"/>
            </w:tcBorders>
            <w:shd w:val="clear" w:color="auto" w:fill="F0F5FA"/>
          </w:tcPr>
          <w:p w14:paraId="1EA39074" w14:textId="77777777" w:rsidR="00C04639" w:rsidRPr="00F576FE" w:rsidRDefault="00C04639" w:rsidP="00C04639">
            <w:pPr>
              <w:pStyle w:val="RecTitle"/>
              <w:numPr>
                <w:ilvl w:val="0"/>
                <w:numId w:val="31"/>
              </w:numPr>
              <w:spacing w:before="40" w:line="240" w:lineRule="atLeast"/>
              <w:ind w:left="142" w:hanging="152"/>
              <w:jc w:val="left"/>
              <w:rPr>
                <w:caps w:val="0"/>
                <w:szCs w:val="18"/>
              </w:rPr>
            </w:pPr>
            <w:r w:rsidRPr="00F576FE">
              <w:rPr>
                <w:caps w:val="0"/>
                <w:szCs w:val="18"/>
              </w:rPr>
              <w:t>Public funding of health</w:t>
            </w:r>
            <w:r w:rsidR="00923B4C" w:rsidRPr="00F576FE">
              <w:rPr>
                <w:caps w:val="0"/>
                <w:szCs w:val="18"/>
              </w:rPr>
              <w:t xml:space="preserve"> </w:t>
            </w:r>
            <w:r w:rsidRPr="00F576FE">
              <w:rPr>
                <w:caps w:val="0"/>
                <w:szCs w:val="18"/>
              </w:rPr>
              <w:t>care should be based on quality, safety and value — and not differentiate decisions about sourcing care between private and publicly owned entities</w:t>
            </w:r>
          </w:p>
        </w:tc>
      </w:tr>
      <w:tr w:rsidR="00C04639" w14:paraId="1EA39079" w14:textId="77777777" w:rsidTr="00F576FE">
        <w:trPr>
          <w:tblHeader/>
        </w:trPr>
        <w:tc>
          <w:tcPr>
            <w:tcW w:w="1290" w:type="pct"/>
            <w:tcBorders>
              <w:top w:val="nil"/>
              <w:left w:val="nil"/>
              <w:bottom w:val="nil"/>
              <w:right w:val="nil"/>
            </w:tcBorders>
            <w:shd w:val="clear" w:color="auto" w:fill="F0F5FA"/>
            <w:tcMar>
              <w:left w:w="170" w:type="dxa"/>
              <w:right w:w="170" w:type="dxa"/>
            </w:tcMar>
          </w:tcPr>
          <w:p w14:paraId="1EA39076" w14:textId="77777777" w:rsidR="00C04639" w:rsidRPr="00F576FE" w:rsidRDefault="00C04639" w:rsidP="00C04639">
            <w:pPr>
              <w:pStyle w:val="RecTitle"/>
              <w:spacing w:before="40" w:line="240" w:lineRule="atLeast"/>
              <w:jc w:val="left"/>
              <w:rPr>
                <w:caps w:val="0"/>
                <w:szCs w:val="18"/>
              </w:rPr>
            </w:pPr>
            <w:r w:rsidRPr="00F576FE">
              <w:rPr>
                <w:caps w:val="0"/>
                <w:szCs w:val="18"/>
              </w:rPr>
              <w:t>Integrated ICT: shared electronic health record, linked clinical and financial measures</w:t>
            </w:r>
          </w:p>
        </w:tc>
        <w:tc>
          <w:tcPr>
            <w:tcW w:w="3710" w:type="pct"/>
            <w:tcBorders>
              <w:top w:val="nil"/>
              <w:left w:val="nil"/>
              <w:bottom w:val="nil"/>
              <w:right w:val="nil"/>
            </w:tcBorders>
            <w:shd w:val="clear" w:color="auto" w:fill="F0F5FA"/>
          </w:tcPr>
          <w:p w14:paraId="1EA39077" w14:textId="77777777" w:rsidR="00C04639" w:rsidRPr="00F576FE" w:rsidRDefault="00CE0633" w:rsidP="00C04639">
            <w:pPr>
              <w:pStyle w:val="RecTitle"/>
              <w:numPr>
                <w:ilvl w:val="0"/>
                <w:numId w:val="31"/>
              </w:numPr>
              <w:spacing w:before="40" w:line="240" w:lineRule="atLeast"/>
              <w:ind w:left="142" w:hanging="152"/>
              <w:jc w:val="left"/>
              <w:rPr>
                <w:caps w:val="0"/>
                <w:szCs w:val="18"/>
              </w:rPr>
            </w:pPr>
            <w:r w:rsidRPr="00F576FE">
              <w:rPr>
                <w:caps w:val="0"/>
                <w:szCs w:val="18"/>
              </w:rPr>
              <w:t>I</w:t>
            </w:r>
            <w:r w:rsidR="00C04639" w:rsidRPr="00F576FE">
              <w:rPr>
                <w:caps w:val="0"/>
                <w:szCs w:val="18"/>
              </w:rPr>
              <w:t xml:space="preserve">nvest in </w:t>
            </w:r>
            <w:r w:rsidR="00024776" w:rsidRPr="00F576FE">
              <w:rPr>
                <w:caps w:val="0"/>
                <w:szCs w:val="18"/>
              </w:rPr>
              <w:t xml:space="preserve">information technology </w:t>
            </w:r>
            <w:r w:rsidR="00C04639" w:rsidRPr="00F576FE">
              <w:rPr>
                <w:caps w:val="0"/>
                <w:szCs w:val="18"/>
              </w:rPr>
              <w:t>and software for information flows throughout the system</w:t>
            </w:r>
          </w:p>
          <w:p w14:paraId="1EA39078" w14:textId="77777777" w:rsidR="00C04639" w:rsidRPr="00F576FE" w:rsidRDefault="00C04639" w:rsidP="00C04639">
            <w:pPr>
              <w:pStyle w:val="RecTitle"/>
              <w:numPr>
                <w:ilvl w:val="0"/>
                <w:numId w:val="31"/>
              </w:numPr>
              <w:spacing w:before="40" w:line="240" w:lineRule="atLeast"/>
              <w:ind w:left="142" w:hanging="152"/>
              <w:jc w:val="left"/>
              <w:rPr>
                <w:caps w:val="0"/>
                <w:szCs w:val="18"/>
              </w:rPr>
            </w:pPr>
            <w:r w:rsidRPr="00F576FE">
              <w:rPr>
                <w:caps w:val="0"/>
                <w:szCs w:val="18"/>
              </w:rPr>
              <w:t>Use My</w:t>
            </w:r>
            <w:r w:rsidR="003036B3" w:rsidRPr="00F576FE">
              <w:rPr>
                <w:caps w:val="0"/>
                <w:szCs w:val="18"/>
              </w:rPr>
              <w:t xml:space="preserve"> </w:t>
            </w:r>
            <w:r w:rsidRPr="00F576FE">
              <w:rPr>
                <w:caps w:val="0"/>
                <w:szCs w:val="18"/>
              </w:rPr>
              <w:t>Health Record as the key patient record</w:t>
            </w:r>
          </w:p>
        </w:tc>
      </w:tr>
      <w:tr w:rsidR="00C04639" w14:paraId="1EA3907E" w14:textId="77777777" w:rsidTr="00F576FE">
        <w:trPr>
          <w:tblHeader/>
        </w:trPr>
        <w:tc>
          <w:tcPr>
            <w:tcW w:w="1290" w:type="pct"/>
            <w:tcBorders>
              <w:top w:val="nil"/>
              <w:left w:val="nil"/>
              <w:bottom w:val="nil"/>
              <w:right w:val="nil"/>
            </w:tcBorders>
            <w:shd w:val="clear" w:color="auto" w:fill="F0F5FA"/>
            <w:tcMar>
              <w:left w:w="170" w:type="dxa"/>
              <w:right w:w="170" w:type="dxa"/>
            </w:tcMar>
          </w:tcPr>
          <w:p w14:paraId="1EA3907A" w14:textId="77777777" w:rsidR="00C04639" w:rsidRPr="00F576FE" w:rsidRDefault="00C04639" w:rsidP="00C04639">
            <w:pPr>
              <w:pStyle w:val="RecTitle"/>
              <w:spacing w:before="40" w:line="240" w:lineRule="atLeast"/>
              <w:jc w:val="left"/>
              <w:rPr>
                <w:caps w:val="0"/>
              </w:rPr>
            </w:pPr>
            <w:r w:rsidRPr="00F576FE">
              <w:rPr>
                <w:caps w:val="0"/>
                <w:szCs w:val="18"/>
              </w:rPr>
              <w:t>Collect and use data for coordinated care, transparent measures of performance and for research into what works best</w:t>
            </w:r>
          </w:p>
        </w:tc>
        <w:tc>
          <w:tcPr>
            <w:tcW w:w="3710" w:type="pct"/>
            <w:tcBorders>
              <w:top w:val="nil"/>
              <w:left w:val="nil"/>
              <w:bottom w:val="nil"/>
              <w:right w:val="nil"/>
            </w:tcBorders>
            <w:shd w:val="clear" w:color="auto" w:fill="F0F5FA"/>
          </w:tcPr>
          <w:p w14:paraId="1EA3907B" w14:textId="77777777" w:rsidR="00F376AA" w:rsidRPr="00F576FE" w:rsidRDefault="00EC1101" w:rsidP="00C04639">
            <w:pPr>
              <w:pStyle w:val="RecTitle"/>
              <w:numPr>
                <w:ilvl w:val="0"/>
                <w:numId w:val="31"/>
              </w:numPr>
              <w:spacing w:before="40" w:line="240" w:lineRule="atLeast"/>
              <w:ind w:left="142" w:hanging="152"/>
              <w:jc w:val="left"/>
              <w:rPr>
                <w:caps w:val="0"/>
                <w:szCs w:val="18"/>
              </w:rPr>
            </w:pPr>
            <w:r w:rsidRPr="00F576FE">
              <w:rPr>
                <w:caps w:val="0"/>
                <w:szCs w:val="18"/>
              </w:rPr>
              <w:t xml:space="preserve">Measure outcomes as people see them. </w:t>
            </w:r>
            <w:r w:rsidR="00F376AA" w:rsidRPr="00F576FE">
              <w:rPr>
                <w:caps w:val="0"/>
                <w:szCs w:val="18"/>
              </w:rPr>
              <w:t xml:space="preserve">Develop and adopt PREMs and PROMs, drawing on existing instruments and evidence from abroad </w:t>
            </w:r>
          </w:p>
          <w:p w14:paraId="1EA3907C" w14:textId="77777777" w:rsidR="00C04639" w:rsidRPr="00F576FE" w:rsidRDefault="00C04639" w:rsidP="00EC1101">
            <w:pPr>
              <w:pStyle w:val="RecTitle"/>
              <w:numPr>
                <w:ilvl w:val="0"/>
                <w:numId w:val="31"/>
              </w:numPr>
              <w:spacing w:before="40" w:line="240" w:lineRule="atLeast"/>
              <w:ind w:left="142" w:hanging="152"/>
              <w:jc w:val="left"/>
              <w:rPr>
                <w:caps w:val="0"/>
                <w:szCs w:val="18"/>
              </w:rPr>
            </w:pPr>
            <w:r w:rsidRPr="00F576FE">
              <w:rPr>
                <w:caps w:val="0"/>
                <w:szCs w:val="18"/>
              </w:rPr>
              <w:t xml:space="preserve">Follow recommendations of the Productivity Commission’s inquiry into </w:t>
            </w:r>
            <w:r w:rsidR="00827015" w:rsidRPr="00F576FE">
              <w:rPr>
                <w:i/>
                <w:caps w:val="0"/>
                <w:szCs w:val="18"/>
              </w:rPr>
              <w:t>Data A</w:t>
            </w:r>
            <w:r w:rsidRPr="00F576FE">
              <w:rPr>
                <w:i/>
                <w:caps w:val="0"/>
                <w:szCs w:val="18"/>
              </w:rPr>
              <w:t xml:space="preserve">vailability and </w:t>
            </w:r>
            <w:r w:rsidR="00827015" w:rsidRPr="00F576FE">
              <w:rPr>
                <w:i/>
                <w:caps w:val="0"/>
                <w:szCs w:val="18"/>
              </w:rPr>
              <w:t>U</w:t>
            </w:r>
            <w:r w:rsidRPr="00F576FE">
              <w:rPr>
                <w:i/>
                <w:caps w:val="0"/>
                <w:szCs w:val="18"/>
              </w:rPr>
              <w:t>se</w:t>
            </w:r>
          </w:p>
          <w:p w14:paraId="1EA3907D" w14:textId="77777777" w:rsidR="00C04639" w:rsidRPr="00F576FE" w:rsidRDefault="00C04639" w:rsidP="00C04639">
            <w:pPr>
              <w:pStyle w:val="RecTitle"/>
              <w:numPr>
                <w:ilvl w:val="0"/>
                <w:numId w:val="31"/>
              </w:numPr>
              <w:spacing w:before="40" w:line="240" w:lineRule="atLeast"/>
              <w:ind w:left="142" w:hanging="152"/>
              <w:jc w:val="left"/>
              <w:rPr>
                <w:szCs w:val="18"/>
              </w:rPr>
            </w:pPr>
            <w:r w:rsidRPr="00F576FE">
              <w:rPr>
                <w:caps w:val="0"/>
                <w:szCs w:val="18"/>
              </w:rPr>
              <w:t>Systematic diffusion of best clinical and organisational practice</w:t>
            </w:r>
          </w:p>
        </w:tc>
      </w:tr>
      <w:tr w:rsidR="00C04639" w14:paraId="1EA39082" w14:textId="77777777" w:rsidTr="00F576FE">
        <w:trPr>
          <w:tblHeader/>
        </w:trPr>
        <w:tc>
          <w:tcPr>
            <w:tcW w:w="1290" w:type="pct"/>
            <w:tcBorders>
              <w:top w:val="nil"/>
              <w:left w:val="nil"/>
              <w:bottom w:val="nil"/>
              <w:right w:val="nil"/>
            </w:tcBorders>
            <w:shd w:val="clear" w:color="auto" w:fill="F0F5FA"/>
            <w:tcMar>
              <w:left w:w="170" w:type="dxa"/>
              <w:right w:w="170" w:type="dxa"/>
            </w:tcMar>
          </w:tcPr>
          <w:p w14:paraId="1EA3907F" w14:textId="77777777" w:rsidR="00C04639" w:rsidRPr="00F576FE" w:rsidRDefault="00C04639" w:rsidP="00C04639">
            <w:pPr>
              <w:pStyle w:val="RecTitle"/>
              <w:spacing w:before="40" w:line="240" w:lineRule="atLeast"/>
              <w:jc w:val="left"/>
              <w:rPr>
                <w:caps w:val="0"/>
                <w:szCs w:val="18"/>
              </w:rPr>
            </w:pPr>
            <w:r w:rsidRPr="00F576FE">
              <w:rPr>
                <w:caps w:val="0"/>
                <w:szCs w:val="18"/>
              </w:rPr>
              <w:t>Professional development to support patient</w:t>
            </w:r>
            <w:r w:rsidR="002D1249" w:rsidRPr="00F576FE">
              <w:rPr>
                <w:caps w:val="0"/>
                <w:szCs w:val="18"/>
              </w:rPr>
              <w:t>-</w:t>
            </w:r>
            <w:r w:rsidRPr="00F576FE">
              <w:rPr>
                <w:caps w:val="0"/>
                <w:szCs w:val="18"/>
              </w:rPr>
              <w:t>centred integrated approach</w:t>
            </w:r>
          </w:p>
        </w:tc>
        <w:tc>
          <w:tcPr>
            <w:tcW w:w="3710" w:type="pct"/>
            <w:tcBorders>
              <w:top w:val="nil"/>
              <w:left w:val="nil"/>
              <w:bottom w:val="nil"/>
              <w:right w:val="nil"/>
            </w:tcBorders>
            <w:shd w:val="clear" w:color="auto" w:fill="F0F5FA"/>
          </w:tcPr>
          <w:p w14:paraId="1EA39080" w14:textId="77777777" w:rsidR="00C04639" w:rsidRPr="00F576FE" w:rsidRDefault="00C04639" w:rsidP="00C04639">
            <w:pPr>
              <w:pStyle w:val="RecTitle"/>
              <w:numPr>
                <w:ilvl w:val="0"/>
                <w:numId w:val="31"/>
              </w:numPr>
              <w:spacing w:before="40" w:line="240" w:lineRule="atLeast"/>
              <w:ind w:left="142" w:hanging="152"/>
              <w:jc w:val="left"/>
              <w:rPr>
                <w:caps w:val="0"/>
                <w:szCs w:val="18"/>
              </w:rPr>
            </w:pPr>
            <w:r w:rsidRPr="00F576FE">
              <w:rPr>
                <w:caps w:val="0"/>
                <w:szCs w:val="18"/>
              </w:rPr>
              <w:t xml:space="preserve">Increase emphasis </w:t>
            </w:r>
            <w:r w:rsidR="00EC1101" w:rsidRPr="00F576FE">
              <w:rPr>
                <w:caps w:val="0"/>
                <w:szCs w:val="18"/>
              </w:rPr>
              <w:t>on</w:t>
            </w:r>
            <w:r w:rsidRPr="00F576FE">
              <w:rPr>
                <w:caps w:val="0"/>
                <w:szCs w:val="18"/>
              </w:rPr>
              <w:t xml:space="preserve"> </w:t>
            </w:r>
            <w:r w:rsidR="00EC1101" w:rsidRPr="00F576FE">
              <w:rPr>
                <w:caps w:val="0"/>
                <w:szCs w:val="18"/>
              </w:rPr>
              <w:t>health professional</w:t>
            </w:r>
            <w:r w:rsidRPr="00F576FE">
              <w:rPr>
                <w:caps w:val="0"/>
                <w:szCs w:val="18"/>
              </w:rPr>
              <w:t xml:space="preserve"> training and professional development concerning patient</w:t>
            </w:r>
            <w:r w:rsidRPr="00F576FE">
              <w:rPr>
                <w:caps w:val="0"/>
                <w:szCs w:val="18"/>
              </w:rPr>
              <w:noBreakHyphen/>
              <w:t xml:space="preserve">centred and integrated care </w:t>
            </w:r>
          </w:p>
          <w:p w14:paraId="1EA39081" w14:textId="77777777" w:rsidR="00C04639" w:rsidRPr="00F576FE" w:rsidRDefault="00C04639" w:rsidP="00C04639">
            <w:pPr>
              <w:pStyle w:val="RecTitle"/>
              <w:numPr>
                <w:ilvl w:val="0"/>
                <w:numId w:val="31"/>
              </w:numPr>
              <w:spacing w:before="40" w:line="240" w:lineRule="atLeast"/>
              <w:ind w:left="142" w:hanging="152"/>
              <w:jc w:val="left"/>
              <w:rPr>
                <w:caps w:val="0"/>
                <w:szCs w:val="18"/>
              </w:rPr>
            </w:pPr>
            <w:r w:rsidRPr="00F576FE">
              <w:rPr>
                <w:caps w:val="0"/>
                <w:szCs w:val="18"/>
              </w:rPr>
              <w:t>Included in these requirements should be cross</w:t>
            </w:r>
            <w:r w:rsidR="00E61B6C" w:rsidRPr="00F576FE">
              <w:rPr>
                <w:caps w:val="0"/>
                <w:szCs w:val="18"/>
              </w:rPr>
              <w:t>-</w:t>
            </w:r>
            <w:r w:rsidRPr="00F576FE">
              <w:rPr>
                <w:caps w:val="0"/>
                <w:szCs w:val="18"/>
              </w:rPr>
              <w:t>sectoral and interdisciplinary training</w:t>
            </w:r>
            <w:r w:rsidR="00C7349A" w:rsidRPr="00F576FE">
              <w:rPr>
                <w:caps w:val="0"/>
                <w:szCs w:val="18"/>
              </w:rPr>
              <w:t>.</w:t>
            </w:r>
          </w:p>
        </w:tc>
      </w:tr>
      <w:tr w:rsidR="00C04639" w14:paraId="1EA39084" w14:textId="77777777" w:rsidTr="00782471">
        <w:tc>
          <w:tcPr>
            <w:tcW w:w="5000" w:type="pct"/>
            <w:gridSpan w:val="2"/>
            <w:tcBorders>
              <w:top w:val="nil"/>
              <w:left w:val="nil"/>
              <w:bottom w:val="single" w:sz="4" w:space="0" w:color="265A9A" w:themeColor="accent2"/>
              <w:right w:val="nil"/>
            </w:tcBorders>
            <w:shd w:val="clear" w:color="auto" w:fill="F0F5FA"/>
            <w:tcMar>
              <w:left w:w="170" w:type="dxa"/>
              <w:right w:w="170" w:type="dxa"/>
            </w:tcMar>
          </w:tcPr>
          <w:p w14:paraId="1EA39083" w14:textId="77777777" w:rsidR="00C04639" w:rsidRDefault="00C04639" w:rsidP="002B3E70">
            <w:pPr>
              <w:pStyle w:val="Space"/>
              <w:keepLines/>
            </w:pPr>
          </w:p>
        </w:tc>
      </w:tr>
      <w:tr w:rsidR="00C04639" w:rsidRPr="000863A5" w14:paraId="1EA39086" w14:textId="77777777" w:rsidTr="00782471">
        <w:tc>
          <w:tcPr>
            <w:tcW w:w="5000" w:type="pct"/>
            <w:gridSpan w:val="2"/>
            <w:tcBorders>
              <w:top w:val="single" w:sz="4" w:space="0" w:color="265A9A" w:themeColor="accent2"/>
              <w:left w:val="nil"/>
              <w:bottom w:val="nil"/>
              <w:right w:val="nil"/>
            </w:tcBorders>
            <w:tcMar>
              <w:left w:w="170" w:type="dxa"/>
              <w:right w:w="170" w:type="dxa"/>
            </w:tcMar>
          </w:tcPr>
          <w:p w14:paraId="1EA39085" w14:textId="77777777" w:rsidR="00C04639" w:rsidRPr="00626D32" w:rsidRDefault="00C04639" w:rsidP="00C04639">
            <w:pPr>
              <w:pStyle w:val="BoxSpaceBelow"/>
              <w:keepLines/>
            </w:pPr>
          </w:p>
        </w:tc>
      </w:tr>
    </w:tbl>
    <w:p w14:paraId="1EA39087" w14:textId="77777777" w:rsidR="00F576FE" w:rsidRDefault="00F576FE" w:rsidP="00C801D3">
      <w:pPr>
        <w:pStyle w:val="BodyText"/>
        <w:sectPr w:rsidR="00F576FE" w:rsidSect="00D41EC1">
          <w:type w:val="oddPage"/>
          <w:pgSz w:w="11907" w:h="16840" w:code="9"/>
          <w:pgMar w:top="1985" w:right="1304" w:bottom="1418" w:left="1814" w:header="1701" w:footer="397" w:gutter="0"/>
          <w:pgNumType w:chapSep="period"/>
          <w:cols w:space="720"/>
          <w:docGrid w:linePitch="326"/>
        </w:sectPr>
      </w:pPr>
    </w:p>
    <w:p w14:paraId="1EA39088" w14:textId="77777777" w:rsidR="002837CA" w:rsidRPr="002837CA" w:rsidRDefault="009C09EF" w:rsidP="00254785">
      <w:pPr>
        <w:pStyle w:val="Heading1"/>
      </w:pPr>
      <w:bookmarkStart w:id="91" w:name="_Toc488929715"/>
      <w:bookmarkStart w:id="92" w:name="_Toc489250093"/>
      <w:r>
        <w:t>A</w:t>
      </w:r>
      <w:r w:rsidR="002837CA" w:rsidRPr="002837CA">
        <w:tab/>
        <w:t>Integrated care in Australia</w:t>
      </w:r>
      <w:bookmarkEnd w:id="91"/>
      <w:bookmarkEnd w:id="92"/>
    </w:p>
    <w:p w14:paraId="1EA39089" w14:textId="77777777" w:rsidR="002837CA" w:rsidRPr="002837CA" w:rsidRDefault="009C09EF" w:rsidP="00254785">
      <w:pPr>
        <w:pStyle w:val="Heading2"/>
      </w:pPr>
      <w:bookmarkStart w:id="93" w:name="_Toc485912898"/>
      <w:bookmarkStart w:id="94" w:name="_Toc488929716"/>
      <w:bookmarkStart w:id="95" w:name="_Toc488930012"/>
      <w:bookmarkStart w:id="96" w:name="_Toc489250094"/>
      <w:r>
        <w:t>A</w:t>
      </w:r>
      <w:r w:rsidR="002837CA">
        <w:t>.1</w:t>
      </w:r>
      <w:r w:rsidR="002837CA" w:rsidRPr="002837CA">
        <w:tab/>
        <w:t>The evolution of integrated care policy</w:t>
      </w:r>
      <w:bookmarkEnd w:id="93"/>
      <w:bookmarkEnd w:id="94"/>
      <w:bookmarkEnd w:id="95"/>
      <w:bookmarkEnd w:id="96"/>
    </w:p>
    <w:p w14:paraId="1EA3908A" w14:textId="77777777" w:rsidR="002837CA" w:rsidRPr="00F576FE" w:rsidRDefault="004250D9" w:rsidP="00254785">
      <w:pPr>
        <w:pStyle w:val="BodyText"/>
        <w:rPr>
          <w:spacing w:val="-2"/>
        </w:rPr>
      </w:pPr>
      <w:r w:rsidRPr="00F576FE">
        <w:rPr>
          <w:spacing w:val="-2"/>
        </w:rPr>
        <w:t xml:space="preserve">While technological change has been spectacular in health care in all developed countries, the organisational models that deploy such technologies have not </w:t>
      </w:r>
      <w:r w:rsidR="008774E6" w:rsidRPr="00F576FE">
        <w:rPr>
          <w:spacing w:val="-2"/>
        </w:rPr>
        <w:t>kept pace</w:t>
      </w:r>
      <w:r w:rsidRPr="00F576FE">
        <w:rPr>
          <w:spacing w:val="-2"/>
        </w:rPr>
        <w:t xml:space="preserve">, even when new models of funding and structuring health services appear to offer better outcomes. </w:t>
      </w:r>
      <w:r w:rsidR="002837CA" w:rsidRPr="00F576FE">
        <w:rPr>
          <w:spacing w:val="-2"/>
        </w:rPr>
        <w:t>Australian health policy has slowly evolved in response to the evidence in favour of an integrated, patient</w:t>
      </w:r>
      <w:r w:rsidR="002837CA" w:rsidRPr="00F576FE">
        <w:rPr>
          <w:spacing w:val="-2"/>
        </w:rPr>
        <w:noBreakHyphen/>
        <w:t>centred approach to care</w:t>
      </w:r>
      <w:r w:rsidR="00B160F2" w:rsidRPr="00F576FE">
        <w:rPr>
          <w:spacing w:val="-2"/>
        </w:rPr>
        <w:t xml:space="preserve"> </w:t>
      </w:r>
      <w:r w:rsidR="008774E6" w:rsidRPr="00F576FE">
        <w:rPr>
          <w:spacing w:val="-2"/>
        </w:rPr>
        <w:t>(box A</w:t>
      </w:r>
      <w:r w:rsidR="00B160F2" w:rsidRPr="00F576FE">
        <w:rPr>
          <w:spacing w:val="-2"/>
        </w:rPr>
        <w:t>.1), and arguably Australia lags many other countries</w:t>
      </w:r>
      <w:r w:rsidR="002837CA" w:rsidRPr="00F576FE">
        <w:rPr>
          <w:spacing w:val="-2"/>
        </w:rPr>
        <w:t>.</w:t>
      </w:r>
      <w:r w:rsidR="00B160F2" w:rsidRPr="00F576FE">
        <w:rPr>
          <w:spacing w:val="-2"/>
        </w:rPr>
        <w:t xml:space="preserve"> </w:t>
      </w:r>
    </w:p>
    <w:p w14:paraId="1EA3908B" w14:textId="77777777" w:rsidR="002837CA" w:rsidRPr="00F576FE" w:rsidRDefault="002837CA" w:rsidP="00254785">
      <w:pPr>
        <w:pStyle w:val="BodyText"/>
        <w:rPr>
          <w:spacing w:val="-2"/>
        </w:rPr>
      </w:pPr>
      <w:r w:rsidRPr="00F576FE">
        <w:rPr>
          <w:spacing w:val="-2"/>
        </w:rPr>
        <w:t>Policy measures to integrate Australia’s health care system were initially concentra</w:t>
      </w:r>
      <w:r w:rsidR="00C94757" w:rsidRPr="00F576FE">
        <w:rPr>
          <w:spacing w:val="-2"/>
        </w:rPr>
        <w:t xml:space="preserve">ted in the primary care sector. </w:t>
      </w:r>
      <w:r w:rsidRPr="00F576FE">
        <w:rPr>
          <w:spacing w:val="-2"/>
        </w:rPr>
        <w:t>The coordinated care of chronically ill patients by primary practice was trialled in the late 1990s and early 2000s. Despite the lessons learnt from the trials, the coordinator role of primary care ceased to be a policy priority for almost a decade – until the current proposal to again trial the coordination of primary care, this time through the health care ho</w:t>
      </w:r>
      <w:r w:rsidR="00DE0AF3" w:rsidRPr="00F576FE">
        <w:rPr>
          <w:spacing w:val="-2"/>
        </w:rPr>
        <w:t>mes initiative. The Australian G</w:t>
      </w:r>
      <w:r w:rsidRPr="00F576FE">
        <w:rPr>
          <w:spacing w:val="-2"/>
        </w:rPr>
        <w:t>overnment otherwise sought to integrate GP services with that of other providers by co</w:t>
      </w:r>
      <w:r w:rsidRPr="00F576FE">
        <w:rPr>
          <w:spacing w:val="-2"/>
        </w:rPr>
        <w:noBreakHyphen/>
        <w:t>locating GPs with specialists and other providers in the GP Super Clinics program of 2007–2011.</w:t>
      </w:r>
    </w:p>
    <w:p w14:paraId="1EA3908C" w14:textId="77777777" w:rsidR="002837CA" w:rsidRPr="00F576FE" w:rsidRDefault="002837CA" w:rsidP="00254785">
      <w:pPr>
        <w:pStyle w:val="BodyText"/>
        <w:rPr>
          <w:spacing w:val="-2"/>
        </w:rPr>
      </w:pPr>
      <w:r w:rsidRPr="00F576FE">
        <w:rPr>
          <w:spacing w:val="-2"/>
        </w:rPr>
        <w:t>More broadly, the Australian and state governments have agreed to take a regional approach to the management of health services through Local Hospital Networks and Primary Health Networks (formerly known as Medicare Locals).</w:t>
      </w:r>
      <w:r w:rsidRPr="00F576FE">
        <w:rPr>
          <w:rStyle w:val="FootnoteReference"/>
          <w:spacing w:val="-2"/>
        </w:rPr>
        <w:footnoteReference w:id="46"/>
      </w:r>
      <w:r w:rsidRPr="00F576FE">
        <w:rPr>
          <w:spacing w:val="-2"/>
        </w:rPr>
        <w:t xml:space="preserve"> This regional approach has extended to the pooling of hospital funding (through Activity Based Funding), but not yet to the pooling of general practice funding. Some progress has also been made towards an electronic patient medical record system</w:t>
      </w:r>
      <w:r w:rsidR="007606FF" w:rsidRPr="00F576FE">
        <w:rPr>
          <w:spacing w:val="-2"/>
        </w:rPr>
        <w:t>,</w:t>
      </w:r>
      <w:r w:rsidRPr="00F576FE">
        <w:rPr>
          <w:spacing w:val="-2"/>
        </w:rPr>
        <w:t xml:space="preserve"> which would facilitate patient transition between providers and between sectors.</w:t>
      </w:r>
    </w:p>
    <w:p w14:paraId="1EA3908D" w14:textId="77777777" w:rsidR="002837CA" w:rsidRPr="00F576FE" w:rsidRDefault="002837CA" w:rsidP="00254785">
      <w:pPr>
        <w:pStyle w:val="BodyText"/>
        <w:rPr>
          <w:spacing w:val="-2"/>
        </w:rPr>
      </w:pPr>
      <w:r w:rsidRPr="00F576FE">
        <w:rPr>
          <w:spacing w:val="-2"/>
        </w:rPr>
        <w:t>A number of options for realising integrated care in Australia have been proposed. In 2009, the National Health and Hospitals Reform Commission recommended the introduction of health care plans that would purchase all the health needs of an individual</w:t>
      </w:r>
      <w:r w:rsidR="00C34055" w:rsidRPr="00F576FE">
        <w:rPr>
          <w:spacing w:val="-2"/>
        </w:rPr>
        <w:t xml:space="preserve">, with the Australian Government funding these </w:t>
      </w:r>
      <w:r w:rsidRPr="00F576FE">
        <w:rPr>
          <w:spacing w:val="-2"/>
        </w:rPr>
        <w:t>through risk adjusted capitation payments. It recommended that such plans be provided by Commonwealth and State governments and by other providers, including for</w:t>
      </w:r>
      <w:r w:rsidRPr="00F576FE">
        <w:rPr>
          <w:spacing w:val="-2"/>
        </w:rPr>
        <w:noBreakHyphen/>
        <w:t>profit providers, with each individual free to switch between plans.</w:t>
      </w:r>
    </w:p>
    <w:p w14:paraId="1EA3908E" w14:textId="77777777" w:rsidR="00254785" w:rsidRDefault="002547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254785" w14:paraId="1EA39090" w14:textId="77777777" w:rsidTr="004D0D4C">
        <w:tc>
          <w:tcPr>
            <w:tcW w:w="5000" w:type="pct"/>
            <w:tcBorders>
              <w:top w:val="single" w:sz="6" w:space="0" w:color="78A22F"/>
              <w:left w:val="nil"/>
              <w:bottom w:val="nil"/>
              <w:right w:val="nil"/>
            </w:tcBorders>
            <w:shd w:val="clear" w:color="auto" w:fill="F2F2F2"/>
          </w:tcPr>
          <w:p w14:paraId="1EA3908F" w14:textId="77777777" w:rsidR="00254785" w:rsidRDefault="00254785" w:rsidP="009C09EF">
            <w:pPr>
              <w:pStyle w:val="BoxTitle"/>
            </w:pPr>
            <w:r w:rsidRPr="00944790">
              <w:rPr>
                <w:b w:val="0"/>
              </w:rPr>
              <w:t xml:space="preserve">Box </w:t>
            </w:r>
            <w:r w:rsidR="009C09EF" w:rsidRPr="00944790">
              <w:rPr>
                <w:b w:val="0"/>
              </w:rPr>
              <w:t>A.1</w:t>
            </w:r>
            <w:r>
              <w:tab/>
            </w:r>
            <w:r w:rsidRPr="002837CA">
              <w:t>Key developments in Australia’s integrated care policy</w:t>
            </w:r>
          </w:p>
        </w:tc>
      </w:tr>
      <w:tr w:rsidR="00254785" w14:paraId="1EA390A2" w14:textId="77777777" w:rsidTr="004D0D4C">
        <w:tc>
          <w:tcPr>
            <w:tcW w:w="5000" w:type="pct"/>
            <w:tcBorders>
              <w:top w:val="nil"/>
              <w:left w:val="nil"/>
              <w:bottom w:val="nil"/>
              <w:right w:val="nil"/>
            </w:tcBorders>
            <w:shd w:val="clear" w:color="auto" w:fill="F2F2F2"/>
          </w:tcPr>
          <w:p w14:paraId="1EA39091" w14:textId="77777777" w:rsidR="006D630A" w:rsidRDefault="006D630A" w:rsidP="000A688E">
            <w:pPr>
              <w:pStyle w:val="Box"/>
              <w:spacing w:before="80" w:line="240" w:lineRule="atLeast"/>
            </w:pPr>
            <w:r>
              <w:t xml:space="preserve">1970s – </w:t>
            </w:r>
            <w:r w:rsidRPr="006D630A">
              <w:t>Community health centres</w:t>
            </w:r>
            <w:r>
              <w:t xml:space="preserve"> </w:t>
            </w:r>
            <w:r w:rsidR="00304C12">
              <w:t>—</w:t>
            </w:r>
            <w:r w:rsidR="005534A3">
              <w:t xml:space="preserve"> </w:t>
            </w:r>
            <w:r>
              <w:t xml:space="preserve">an Australian Government initiative subsequently adopted by states and </w:t>
            </w:r>
            <w:r w:rsidR="00304C12">
              <w:t>territories. They revolve</w:t>
            </w:r>
            <w:r>
              <w:t xml:space="preserve"> around </w:t>
            </w:r>
            <w:r w:rsidR="00304C12">
              <w:t>place</w:t>
            </w:r>
            <w:r w:rsidR="005534A3">
              <w:noBreakHyphen/>
            </w:r>
            <w:r w:rsidR="00304C12">
              <w:t xml:space="preserve">based access to </w:t>
            </w:r>
            <w:r>
              <w:t>allied health professionals</w:t>
            </w:r>
          </w:p>
          <w:p w14:paraId="1EA39092" w14:textId="77777777" w:rsidR="00254785" w:rsidRDefault="00DE0AF3" w:rsidP="000A688E">
            <w:pPr>
              <w:pStyle w:val="Box"/>
              <w:spacing w:before="80" w:line="240" w:lineRule="atLeast"/>
            </w:pPr>
            <w:r>
              <w:t>1992 – The Australian G</w:t>
            </w:r>
            <w:r w:rsidR="00254785">
              <w:t>overnment’s national health strategy included integrating GP services</w:t>
            </w:r>
            <w:r w:rsidR="00304C12">
              <w:t xml:space="preserve"> and </w:t>
            </w:r>
            <w:r w:rsidR="00254785">
              <w:t xml:space="preserve">the broader health system including </w:t>
            </w:r>
            <w:r w:rsidR="008774E6">
              <w:t xml:space="preserve">through </w:t>
            </w:r>
            <w:r w:rsidR="00254785">
              <w:t>funding reform and information technology</w:t>
            </w:r>
          </w:p>
          <w:p w14:paraId="1EA39093" w14:textId="77777777" w:rsidR="00254785" w:rsidRDefault="00254785" w:rsidP="000A688E">
            <w:pPr>
              <w:pStyle w:val="Box"/>
              <w:spacing w:before="80" w:line="240" w:lineRule="atLeast"/>
            </w:pPr>
            <w:r>
              <w:t>April 1995 — COAG identified the need to coordinate health care</w:t>
            </w:r>
          </w:p>
          <w:p w14:paraId="1EA39094" w14:textId="77777777" w:rsidR="00254785" w:rsidRDefault="00254785" w:rsidP="000A688E">
            <w:pPr>
              <w:pStyle w:val="Box"/>
              <w:spacing w:before="80" w:line="240" w:lineRule="atLeast"/>
            </w:pPr>
            <w:r>
              <w:t>June 1996 — COAG agreed to explore options for better coordinating care</w:t>
            </w:r>
          </w:p>
          <w:p w14:paraId="1EA39095" w14:textId="77777777" w:rsidR="00254785" w:rsidRDefault="00254785" w:rsidP="000A688E">
            <w:pPr>
              <w:pStyle w:val="Box"/>
              <w:spacing w:before="80" w:line="240" w:lineRule="atLeast"/>
            </w:pPr>
            <w:r>
              <w:t>1997</w:t>
            </w:r>
            <w:r w:rsidR="005534A3">
              <w:t>–</w:t>
            </w:r>
            <w:r>
              <w:t>99 — First round of National Coordinated Care Trials</w:t>
            </w:r>
          </w:p>
          <w:p w14:paraId="1EA39096" w14:textId="77777777" w:rsidR="00254785" w:rsidRDefault="00254785" w:rsidP="000A688E">
            <w:pPr>
              <w:pStyle w:val="Box"/>
              <w:spacing w:before="80" w:line="240" w:lineRule="atLeast"/>
            </w:pPr>
            <w:r>
              <w:t>2002</w:t>
            </w:r>
            <w:r w:rsidR="005534A3">
              <w:t>–</w:t>
            </w:r>
            <w:r>
              <w:t xml:space="preserve">05 — Second round of </w:t>
            </w:r>
            <w:r w:rsidR="006554CF">
              <w:t>National Coordinated Care Trials</w:t>
            </w:r>
          </w:p>
          <w:p w14:paraId="1EA39097" w14:textId="77777777" w:rsidR="00254785" w:rsidRDefault="00254785" w:rsidP="000A688E">
            <w:pPr>
              <w:pStyle w:val="Box"/>
              <w:spacing w:before="80" w:line="240" w:lineRule="atLeast"/>
            </w:pPr>
            <w:r>
              <w:t xml:space="preserve">February 2006 — COAG endorsed a national action plan </w:t>
            </w:r>
            <w:r w:rsidR="00006334">
              <w:t>that</w:t>
            </w:r>
            <w:r>
              <w:t xml:space="preserve"> included incentive funds to improve the integration of services, case conferencing to improve the care of cancer patients, and development of a national electronic patient medical record system</w:t>
            </w:r>
          </w:p>
          <w:p w14:paraId="1EA39098" w14:textId="77777777" w:rsidR="00254785" w:rsidRDefault="00254785" w:rsidP="000A688E">
            <w:pPr>
              <w:pStyle w:val="Box"/>
              <w:spacing w:before="80" w:line="240" w:lineRule="atLeast"/>
            </w:pPr>
            <w:r>
              <w:t>July 2006 — COAG agreed to the National Action Plan on Mental Health</w:t>
            </w:r>
            <w:r w:rsidR="00F31FA3">
              <w:t xml:space="preserve">, </w:t>
            </w:r>
            <w:r>
              <w:t xml:space="preserve">which emphasised coordination and collaboration between all providers in order to deliver a seamless system of care. COAG also agreed to health workforce reforms, including allowing practice nurses to provide ongoing support for patients with chronic disease on behalf of general practitioners </w:t>
            </w:r>
          </w:p>
          <w:p w14:paraId="1EA39099" w14:textId="77777777" w:rsidR="00254785" w:rsidRDefault="00254785" w:rsidP="000A688E">
            <w:pPr>
              <w:pStyle w:val="Box"/>
              <w:spacing w:before="80" w:line="240" w:lineRule="atLeast"/>
            </w:pPr>
            <w:r>
              <w:t>2007</w:t>
            </w:r>
            <w:r w:rsidR="005534A3">
              <w:t>–</w:t>
            </w:r>
            <w:r w:rsidR="00154E2D">
              <w:t>11 — The Australian G</w:t>
            </w:r>
            <w:r>
              <w:t xml:space="preserve">overnment rolled out GP Super Clinics to provide </w:t>
            </w:r>
            <w:r w:rsidR="000A11F2">
              <w:t>multi</w:t>
            </w:r>
            <w:r w:rsidR="00F31FA3">
              <w:t>disciplinary</w:t>
            </w:r>
            <w:r>
              <w:t xml:space="preserve"> and integrated care by co locating GPs, specialists and other providers</w:t>
            </w:r>
          </w:p>
          <w:p w14:paraId="1EA3909A" w14:textId="77777777" w:rsidR="00254785" w:rsidRDefault="00254785" w:rsidP="000A688E">
            <w:pPr>
              <w:pStyle w:val="Box"/>
              <w:spacing w:before="80" w:line="240" w:lineRule="atLeast"/>
            </w:pPr>
            <w:r>
              <w:t>July 2008 — COAG endorsed a national approach to integrating Australia’s organ and tissue donation system</w:t>
            </w:r>
          </w:p>
          <w:p w14:paraId="1EA3909B" w14:textId="77777777" w:rsidR="00254785" w:rsidRDefault="00254785" w:rsidP="000A688E">
            <w:pPr>
              <w:pStyle w:val="Box"/>
              <w:spacing w:before="80" w:line="240" w:lineRule="atLeast"/>
            </w:pPr>
            <w:r>
              <w:t>2009 — The National Health and Hospitals Reform Commission recommended integrating health care services particularly for those with complex and chronic health conditions</w:t>
            </w:r>
          </w:p>
          <w:p w14:paraId="1EA3909C" w14:textId="77777777" w:rsidR="00254785" w:rsidRDefault="00254785" w:rsidP="000A688E">
            <w:pPr>
              <w:pStyle w:val="Box"/>
              <w:spacing w:before="80" w:line="240" w:lineRule="atLeast"/>
            </w:pPr>
            <w:r>
              <w:t>2010 — In the National Primary Health Care Strategy, all jurisdictions committed to integrating health care, including through regional based integration, e health, chronic disease management and prevention. COAG otherwise endorsed the first annual National Healthcare Agreement that affirms the centrality of patients and their families in the health system and aims for an integrated approach to health care, including prevention.</w:t>
            </w:r>
          </w:p>
          <w:p w14:paraId="1EA3909D" w14:textId="77777777" w:rsidR="00254785" w:rsidRDefault="00254785" w:rsidP="000A688E">
            <w:pPr>
              <w:pStyle w:val="Box"/>
              <w:spacing w:before="80" w:line="240" w:lineRule="atLeast"/>
            </w:pPr>
            <w:r>
              <w:t>August 2011 — Under the National Health Reform Agreement, COAG agreed to funding reforms that can facilitate the provision of integrated care, including localising control of health systems (through Local Hospital Networks and Medicare Locals) and the pooling of Australian and state government funding of hospitals at the local level (through Activity Based Funding)</w:t>
            </w:r>
          </w:p>
          <w:p w14:paraId="1EA3909E" w14:textId="77777777" w:rsidR="00254785" w:rsidRDefault="00254785" w:rsidP="000A688E">
            <w:pPr>
              <w:pStyle w:val="Box"/>
              <w:spacing w:before="80" w:line="240" w:lineRule="atLeast"/>
            </w:pPr>
            <w:r>
              <w:t>2011</w:t>
            </w:r>
            <w:r w:rsidR="005534A3">
              <w:t>–</w:t>
            </w:r>
            <w:r w:rsidR="00FF1F26">
              <w:t>2</w:t>
            </w:r>
            <w:r>
              <w:t xml:space="preserve">014 — The Australian Government and various partners </w:t>
            </w:r>
            <w:r w:rsidR="00FF1F26">
              <w:t>trialled</w:t>
            </w:r>
            <w:r>
              <w:t xml:space="preserve"> the Diabetes Care Project. This was the precursor to the subsequent development of Health Care Homes, but limited to diabetes management.</w:t>
            </w:r>
          </w:p>
          <w:p w14:paraId="1EA3909F" w14:textId="77777777" w:rsidR="00254785" w:rsidRDefault="00254785" w:rsidP="000A688E">
            <w:pPr>
              <w:pStyle w:val="Box"/>
              <w:spacing w:before="80" w:line="240" w:lineRule="atLeast"/>
            </w:pPr>
            <w:r>
              <w:t>2014 — The National Commission of Audit advocated a coordinated approach to health care</w:t>
            </w:r>
          </w:p>
          <w:p w14:paraId="1EA390A0" w14:textId="77777777" w:rsidR="00254785" w:rsidRDefault="00254785" w:rsidP="000A688E">
            <w:pPr>
              <w:pStyle w:val="Box"/>
              <w:spacing w:before="80" w:line="240" w:lineRule="atLeast"/>
            </w:pPr>
            <w:r>
              <w:t>2015 — The Primary Health Care Advisory Group recommended a ‘health care home’ model of integrated care for people with chronic and complex health conditions, block funding of Primary Health Networks and the pooling of Australian and state government funds in primary care</w:t>
            </w:r>
          </w:p>
          <w:p w14:paraId="1EA390A1" w14:textId="77777777" w:rsidR="00254785" w:rsidRDefault="00254785" w:rsidP="000A688E">
            <w:pPr>
              <w:pStyle w:val="Box"/>
              <w:spacing w:before="80" w:line="240" w:lineRule="atLeast"/>
            </w:pPr>
            <w:r>
              <w:t>April 2016 — COAG’s public hospital funding agreement emphasised the coordination of patient care, including through a bilateral approach that facilitates flexibility, the development of funding options to incentivise higher quality hospital care, integrating services at a regional level through PHNs, the piloting of health care homes and progressing My</w:t>
            </w:r>
            <w:r w:rsidR="003036B3">
              <w:t xml:space="preserve"> </w:t>
            </w:r>
            <w:r>
              <w:t>Health</w:t>
            </w:r>
            <w:r w:rsidR="00000E32">
              <w:t xml:space="preserve"> Record</w:t>
            </w:r>
            <w:r>
              <w:t>.</w:t>
            </w:r>
          </w:p>
        </w:tc>
      </w:tr>
      <w:tr w:rsidR="00254785" w14:paraId="1EA390A4" w14:textId="77777777" w:rsidTr="004D0D4C">
        <w:tc>
          <w:tcPr>
            <w:tcW w:w="5000" w:type="pct"/>
            <w:tcBorders>
              <w:top w:val="nil"/>
              <w:left w:val="nil"/>
              <w:bottom w:val="nil"/>
              <w:right w:val="nil"/>
            </w:tcBorders>
            <w:shd w:val="clear" w:color="auto" w:fill="F2F2F2"/>
          </w:tcPr>
          <w:p w14:paraId="1EA390A3" w14:textId="77777777" w:rsidR="00254785" w:rsidRDefault="00254785" w:rsidP="00990738">
            <w:pPr>
              <w:pStyle w:val="BoxSource"/>
            </w:pPr>
            <w:r w:rsidRPr="002837CA">
              <w:rPr>
                <w:i/>
              </w:rPr>
              <w:t>Source</w:t>
            </w:r>
            <w:r>
              <w:rPr>
                <w:i/>
              </w:rPr>
              <w:t>s</w:t>
            </w:r>
            <w:r w:rsidRPr="002837CA">
              <w:t xml:space="preserve">: </w:t>
            </w:r>
            <w:r w:rsidR="00990738" w:rsidRPr="00990738">
              <w:rPr>
                <w:rFonts w:cs="Arial"/>
                <w:szCs w:val="24"/>
              </w:rPr>
              <w:t>(COAG 1995, 1996, 2005, 2006a, 2006b, 2006c, 2007, 2008a, 2008b, 2011, 2016a; Consan Consulting 2012; DoH 2016d; DoHA 2001, 2007, 2010a; National Health Strategy (Australia) 1992; NCOA 2014; NHHRC 2008; PHCAG 2016)</w:t>
            </w:r>
            <w:r>
              <w:t>.</w:t>
            </w:r>
          </w:p>
        </w:tc>
      </w:tr>
      <w:tr w:rsidR="00254785" w14:paraId="1EA390A6" w14:textId="77777777" w:rsidTr="004D0D4C">
        <w:tc>
          <w:tcPr>
            <w:tcW w:w="5000" w:type="pct"/>
            <w:tcBorders>
              <w:top w:val="nil"/>
              <w:left w:val="nil"/>
              <w:bottom w:val="single" w:sz="6" w:space="0" w:color="78A22F"/>
              <w:right w:val="nil"/>
            </w:tcBorders>
            <w:shd w:val="clear" w:color="auto" w:fill="F2F2F2"/>
          </w:tcPr>
          <w:p w14:paraId="1EA390A5" w14:textId="77777777" w:rsidR="00254785" w:rsidRDefault="00254785">
            <w:pPr>
              <w:pStyle w:val="Box"/>
              <w:spacing w:before="0" w:line="120" w:lineRule="exact"/>
            </w:pPr>
          </w:p>
        </w:tc>
      </w:tr>
      <w:tr w:rsidR="00254785" w:rsidRPr="000863A5" w14:paraId="1EA390A8" w14:textId="77777777" w:rsidTr="004D0D4C">
        <w:tc>
          <w:tcPr>
            <w:tcW w:w="5000" w:type="pct"/>
            <w:tcBorders>
              <w:top w:val="single" w:sz="6" w:space="0" w:color="78A22F"/>
              <w:left w:val="nil"/>
              <w:bottom w:val="nil"/>
              <w:right w:val="nil"/>
            </w:tcBorders>
          </w:tcPr>
          <w:p w14:paraId="1EA390A7" w14:textId="77777777" w:rsidR="00254785" w:rsidRPr="00626D32" w:rsidRDefault="00254785" w:rsidP="004D0D4C">
            <w:pPr>
              <w:pStyle w:val="BoxSpaceBelow"/>
            </w:pPr>
          </w:p>
        </w:tc>
      </w:tr>
    </w:tbl>
    <w:p w14:paraId="1EA390A9" w14:textId="77777777" w:rsidR="002837CA" w:rsidRPr="002837CA" w:rsidRDefault="002837CA" w:rsidP="00CC795A">
      <w:pPr>
        <w:pStyle w:val="BodyText"/>
      </w:pPr>
      <w:r w:rsidRPr="002837CA">
        <w:t>In 2014, the National Commission of Audit advocated greater reliance on private health insurers to coordinate health care. The distinguishing features of its proposals included giving private health insurers the capacity to cover primary care spending and ultimately to move to a lifetime model of insurance funded largely through mandatory premiums (effectively a new hypothecated tax).</w:t>
      </w:r>
    </w:p>
    <w:p w14:paraId="1EA390AA" w14:textId="77777777" w:rsidR="002837CA" w:rsidRPr="002837CA" w:rsidRDefault="002837CA" w:rsidP="00CC795A">
      <w:pPr>
        <w:pStyle w:val="BodyText"/>
      </w:pPr>
      <w:r w:rsidRPr="002837CA">
        <w:t>Most recently</w:t>
      </w:r>
      <w:r w:rsidR="00C34055">
        <w:t>,</w:t>
      </w:r>
      <w:r w:rsidRPr="002837CA">
        <w:t xml:space="preserve"> the Primary Health Care Advisory Group made a number of recommendations building on Australia’s current health system, including health care homes and the block funding of Primary Health Networks. To improve integration and to remove the costs and complexity associated with funding silos, the Advisory Group also recommended exploring options for pooling </w:t>
      </w:r>
      <w:r w:rsidR="00FF1F26">
        <w:t xml:space="preserve">the health care funding of </w:t>
      </w:r>
      <w:r w:rsidRPr="002837CA">
        <w:t xml:space="preserve">Australian and State and Territory </w:t>
      </w:r>
      <w:r w:rsidR="00FF1F26">
        <w:t>G</w:t>
      </w:r>
      <w:r w:rsidRPr="002837CA">
        <w:t>overnment</w:t>
      </w:r>
      <w:r w:rsidR="00EC37E0">
        <w:t>s</w:t>
      </w:r>
      <w:r w:rsidRPr="002837CA">
        <w:t>, including of primary care. Other recommendations of the advisory group with implications for coordinated care covered:</w:t>
      </w:r>
    </w:p>
    <w:p w14:paraId="1EA390AB" w14:textId="77777777" w:rsidR="002837CA" w:rsidRPr="002837CA" w:rsidRDefault="002837CA" w:rsidP="00CC795A">
      <w:pPr>
        <w:pStyle w:val="ListBullet"/>
      </w:pPr>
      <w:r w:rsidRPr="002837CA">
        <w:t>the investment in digital health devices, targeted online health literacy information for patients, an electronic patient record system and software compatibility between providers to facilitate data sharing</w:t>
      </w:r>
    </w:p>
    <w:p w14:paraId="1EA390AC" w14:textId="77777777" w:rsidR="002837CA" w:rsidRPr="002837CA" w:rsidRDefault="002837CA" w:rsidP="00CC795A">
      <w:pPr>
        <w:pStyle w:val="ListBullet"/>
      </w:pPr>
      <w:r w:rsidRPr="002837CA">
        <w:t>reform of the current approach to risk equalisation of private health insurance. Risk equalisation is currently only based on age. The advisory group recommended also taking into account the presence of complex and chronic health conditions. The group otherwise recommended expanding the types of health services that can be risk equalised beyond hospital services, for example, to include community nursing and community pharmacy.</w:t>
      </w:r>
    </w:p>
    <w:p w14:paraId="1EA390AD" w14:textId="77777777" w:rsidR="002837CA" w:rsidRPr="002837CA" w:rsidRDefault="002837CA" w:rsidP="00CC795A">
      <w:pPr>
        <w:pStyle w:val="BodyText"/>
      </w:pPr>
      <w:r w:rsidRPr="002837CA">
        <w:t>The variety of options proposed for realising integrated care is testimony to uncertainty about its best form, but also to the range of normative views about how a health system should be structured. While inevitably, views about the nature of an ideal system will change, it will be critical to achieve some agreement about the key elements of integrated care. A well</w:t>
      </w:r>
      <w:r w:rsidR="005534A3">
        <w:noBreakHyphen/>
      </w:r>
      <w:r w:rsidRPr="002837CA">
        <w:t>functioning system requires investments by various groups, changes in cultures, and agreements between funders and providers — all of which hinges on the commitment by successive governments to the basic nature of the new system. To this end, the Commission advocates an approach to reform that builds on what has gone before, while also recognising and addressing key dichotomies in policy directions.</w:t>
      </w:r>
    </w:p>
    <w:p w14:paraId="1EA390AE" w14:textId="77777777" w:rsidR="002837CA" w:rsidRPr="002837CA" w:rsidRDefault="009C09EF" w:rsidP="00CC795A">
      <w:pPr>
        <w:pStyle w:val="Heading2"/>
      </w:pPr>
      <w:bookmarkStart w:id="97" w:name="_Toc485912899"/>
      <w:bookmarkStart w:id="98" w:name="_Toc488929717"/>
      <w:bookmarkStart w:id="99" w:name="_Toc488930013"/>
      <w:bookmarkStart w:id="100" w:name="_Toc489250095"/>
      <w:r>
        <w:t>A</w:t>
      </w:r>
      <w:r w:rsidR="002837CA">
        <w:t>.2</w:t>
      </w:r>
      <w:r w:rsidR="002837CA" w:rsidRPr="002837CA">
        <w:tab/>
        <w:t>Australian evidence on integrated and patient</w:t>
      </w:r>
      <w:r w:rsidR="002837CA" w:rsidRPr="002837CA">
        <w:noBreakHyphen/>
        <w:t>centred care</w:t>
      </w:r>
      <w:bookmarkEnd w:id="97"/>
      <w:bookmarkEnd w:id="98"/>
      <w:bookmarkEnd w:id="99"/>
      <w:bookmarkEnd w:id="100"/>
    </w:p>
    <w:p w14:paraId="1EA390AF" w14:textId="77777777" w:rsidR="002837CA" w:rsidRPr="002837CA" w:rsidRDefault="002837CA" w:rsidP="00AA2B53">
      <w:pPr>
        <w:pStyle w:val="BodyText"/>
      </w:pPr>
      <w:r w:rsidRPr="002837CA">
        <w:t>Because of the limitations highlighted in previous chapter, there is incomplete evidence in Australia about how to integrate health care around the needs of the patient, and about the benefits of such an approach. The Australian examples of integrated care tend to be either confined to the GP</w:t>
      </w:r>
      <w:r w:rsidRPr="002837CA">
        <w:noBreakHyphen/>
        <w:t xml:space="preserve">dominated primary sector (national initiatives) or fail to </w:t>
      </w:r>
      <w:r w:rsidR="0050360D">
        <w:t xml:space="preserve">fully </w:t>
      </w:r>
      <w:r w:rsidRPr="002837CA">
        <w:t>engage with GPs (state</w:t>
      </w:r>
      <w:r w:rsidRPr="002837CA">
        <w:noBreakHyphen/>
        <w:t xml:space="preserve">led initiatives). Private health insurers have also been investing in integrated care for members with complex and chronic conditions. There are some recent initiatives that seek to integrate care across all sectors, </w:t>
      </w:r>
      <w:r w:rsidR="00636A86">
        <w:t>but</w:t>
      </w:r>
      <w:r w:rsidRPr="002837CA">
        <w:t xml:space="preserve"> these are at an early stage. Few initiatives have progressed beyond a trial stage and trials have often had an inadequate timeframe to support an effective evaluation. </w:t>
      </w:r>
    </w:p>
    <w:p w14:paraId="1EA390B0" w14:textId="77777777" w:rsidR="0050360D" w:rsidRDefault="002837CA" w:rsidP="00AA2B53">
      <w:pPr>
        <w:pStyle w:val="BodyText"/>
      </w:pPr>
      <w:r w:rsidRPr="002837CA">
        <w:t>The nature and impacts of the multiplicity of trials are summarised in table</w:t>
      </w:r>
      <w:r w:rsidR="00730993">
        <w:t> A.6</w:t>
      </w:r>
      <w:r w:rsidRPr="002837CA">
        <w:t xml:space="preserve"> at the end of this </w:t>
      </w:r>
      <w:r w:rsidR="00730993">
        <w:t>appendix</w:t>
      </w:r>
      <w:r w:rsidRPr="002837CA">
        <w:t xml:space="preserve">. </w:t>
      </w:r>
    </w:p>
    <w:p w14:paraId="1EA390B1" w14:textId="77777777" w:rsidR="002837CA" w:rsidRPr="002837CA" w:rsidRDefault="002837CA" w:rsidP="00AA2B53">
      <w:pPr>
        <w:pStyle w:val="BodyText"/>
      </w:pPr>
      <w:r w:rsidRPr="002837CA">
        <w:t xml:space="preserve">The single most important message is that </w:t>
      </w:r>
      <w:r w:rsidR="0001400F">
        <w:t xml:space="preserve">where there is </w:t>
      </w:r>
      <w:r w:rsidR="00730993" w:rsidRPr="002837CA">
        <w:t>a higher degree of integration across the primary care and hospital sectors</w:t>
      </w:r>
      <w:r w:rsidR="00730993">
        <w:t xml:space="preserve"> </w:t>
      </w:r>
      <w:r w:rsidRPr="002837CA">
        <w:t>there are larger impacts on the utilisation of health services and on the health of clients</w:t>
      </w:r>
      <w:r w:rsidR="00730993">
        <w:t>;</w:t>
      </w:r>
      <w:r w:rsidR="001823A4">
        <w:t xml:space="preserve"> and </w:t>
      </w:r>
      <w:r w:rsidR="00730993">
        <w:t>these larger impacts are</w:t>
      </w:r>
      <w:r w:rsidR="001823A4">
        <w:t xml:space="preserve"> achieved at less cost.</w:t>
      </w:r>
    </w:p>
    <w:p w14:paraId="1EA390B2" w14:textId="77777777" w:rsidR="002837CA" w:rsidRPr="002837CA" w:rsidRDefault="009C09EF" w:rsidP="00AA2B53">
      <w:pPr>
        <w:pStyle w:val="Heading2"/>
      </w:pPr>
      <w:bookmarkStart w:id="101" w:name="_Toc485912900"/>
      <w:bookmarkStart w:id="102" w:name="_Toc488929718"/>
      <w:bookmarkStart w:id="103" w:name="_Toc488930014"/>
      <w:bookmarkStart w:id="104" w:name="_Toc489250096"/>
      <w:r>
        <w:t>A</w:t>
      </w:r>
      <w:r w:rsidR="002837CA">
        <w:t>.3</w:t>
      </w:r>
      <w:r w:rsidR="002837CA" w:rsidRPr="002837CA">
        <w:tab/>
        <w:t>The evidence from national initiatives</w:t>
      </w:r>
      <w:bookmarkEnd w:id="101"/>
      <w:bookmarkEnd w:id="102"/>
      <w:bookmarkEnd w:id="103"/>
      <w:bookmarkEnd w:id="104"/>
    </w:p>
    <w:p w14:paraId="1EA390B3" w14:textId="77777777" w:rsidR="00D31F5D" w:rsidRPr="002837CA" w:rsidRDefault="00D31F5D" w:rsidP="00D31F5D">
      <w:pPr>
        <w:pStyle w:val="Heading3"/>
      </w:pPr>
      <w:r w:rsidRPr="002837CA">
        <w:t>Community health programs across the nation are a form of integrated care</w:t>
      </w:r>
    </w:p>
    <w:p w14:paraId="1EA390B4" w14:textId="77777777" w:rsidR="00D31F5D" w:rsidRPr="002837CA" w:rsidRDefault="00D31F5D" w:rsidP="00D31F5D">
      <w:pPr>
        <w:pStyle w:val="BodyText"/>
      </w:pPr>
      <w:r w:rsidRPr="002837CA">
        <w:t>Integrated health</w:t>
      </w:r>
      <w:r>
        <w:t xml:space="preserve"> </w:t>
      </w:r>
      <w:r w:rsidRPr="002837CA">
        <w:t xml:space="preserve">care can arise without being referred to explicitly as part of an ‘integrated health care program’. Integration can emerge organically, reflect past programs or result from payment systems that encourage their developments (such as some of the incentive payments under the MBS). </w:t>
      </w:r>
    </w:p>
    <w:p w14:paraId="1EA390B5" w14:textId="5E716690" w:rsidR="00D31F5D" w:rsidRPr="002837CA" w:rsidRDefault="00D31F5D" w:rsidP="00D31F5D">
      <w:pPr>
        <w:pStyle w:val="BodyText"/>
      </w:pPr>
      <w:r w:rsidRPr="002837CA">
        <w:t>Community health centres</w:t>
      </w:r>
      <w:r w:rsidR="00EC37E0">
        <w:t xml:space="preserve"> (CHCs)</w:t>
      </w:r>
      <w:r w:rsidRPr="002837CA">
        <w:t xml:space="preserve"> have long been a feature of the Australian health</w:t>
      </w:r>
      <w:r>
        <w:t xml:space="preserve"> </w:t>
      </w:r>
      <w:r w:rsidRPr="002837CA">
        <w:t xml:space="preserve">care system. They were a legacy of a 1970s Australian Government program that </w:t>
      </w:r>
      <w:r w:rsidR="00996678" w:rsidRPr="002837CA">
        <w:t xml:space="preserve">State and Territory Governments </w:t>
      </w:r>
      <w:r w:rsidR="00996678">
        <w:t xml:space="preserve">then </w:t>
      </w:r>
      <w:r w:rsidRPr="002837CA">
        <w:t xml:space="preserve">preserved and funded </w:t>
      </w:r>
      <w:r w:rsidR="00C65A42" w:rsidRPr="00C65A42">
        <w:rPr>
          <w:szCs w:val="24"/>
        </w:rPr>
        <w:t>(Baum et al. 2017; Montalto and Dunt 1992)</w:t>
      </w:r>
      <w:r w:rsidRPr="002837CA">
        <w:t>.</w:t>
      </w:r>
      <w:r w:rsidRPr="003D243B">
        <w:rPr>
          <w:rStyle w:val="FootnoteReference"/>
        </w:rPr>
        <w:footnoteReference w:id="47"/>
      </w:r>
      <w:r w:rsidRPr="002837CA">
        <w:t xml:space="preserve"> The implication of this is that programs at one jurisdictional level can be adopted by others even when the initial program dies.</w:t>
      </w:r>
    </w:p>
    <w:p w14:paraId="1EA390B6" w14:textId="77777777" w:rsidR="00D31F5D" w:rsidRPr="002837CA" w:rsidRDefault="00D31F5D" w:rsidP="00D31F5D">
      <w:pPr>
        <w:pStyle w:val="BodyText"/>
      </w:pPr>
      <w:r w:rsidRPr="002837CA">
        <w:t xml:space="preserve">As their names suggests, CHCs are regionally focused and aim to provide a host of connected services drawing on multidisciplinary teams. These could include nurses, dieticians, counsellors, physiotherapists, speech therapists and health educators. CHCs often focus on people with the poorest health (those with chronic health conditions particularly) or those who face significant social and economic disadvantage. </w:t>
      </w:r>
    </w:p>
    <w:p w14:paraId="1EA390B7" w14:textId="45A052FA" w:rsidR="00D31F5D" w:rsidRPr="002837CA" w:rsidRDefault="00D31F5D" w:rsidP="00D31F5D">
      <w:pPr>
        <w:pStyle w:val="BodyText"/>
      </w:pPr>
      <w:r w:rsidRPr="002837CA">
        <w:t xml:space="preserve">Community health centres are now widespread throughout Australia. As an illustration, the Victorian Department of Health provides Community Health Program funding to approximately 100 CHCs in Victoria operating from approximately 350 sites. Each year, Victorian CHCs provide </w:t>
      </w:r>
      <w:r w:rsidR="00C43F38">
        <w:t>about</w:t>
      </w:r>
      <w:r w:rsidRPr="002837CA">
        <w:t xml:space="preserve"> one million hours of allied health, counselling and nursing services </w:t>
      </w:r>
      <w:r w:rsidR="00F65FF0" w:rsidRPr="00F65FF0">
        <w:rPr>
          <w:szCs w:val="24"/>
        </w:rPr>
        <w:t>(V</w:t>
      </w:r>
      <w:r w:rsidR="00906D9C">
        <w:rPr>
          <w:szCs w:val="24"/>
        </w:rPr>
        <w:t>icDHHS</w:t>
      </w:r>
      <w:r w:rsidR="00F65FF0" w:rsidRPr="00F65FF0">
        <w:rPr>
          <w:szCs w:val="24"/>
        </w:rPr>
        <w:t> 2017)</w:t>
      </w:r>
      <w:r w:rsidRPr="002837CA">
        <w:t>. In Victoria, government funding in 2013</w:t>
      </w:r>
      <w:r w:rsidRPr="002837CA">
        <w:noBreakHyphen/>
        <w:t xml:space="preserve">14 was </w:t>
      </w:r>
      <w:r w:rsidR="00C43F38">
        <w:t>about</w:t>
      </w:r>
      <w:r w:rsidRPr="002837CA">
        <w:t xml:space="preserve"> $140 million (</w:t>
      </w:r>
      <w:r w:rsidR="00C43F38">
        <w:t>approximately</w:t>
      </w:r>
      <w:r w:rsidRPr="002837CA">
        <w:t xml:space="preserve"> 60 per cent of the revenue of CHCs).</w:t>
      </w:r>
      <w:r w:rsidRPr="003D243B">
        <w:rPr>
          <w:rStyle w:val="FootnoteReference"/>
        </w:rPr>
        <w:footnoteReference w:id="48"/>
      </w:r>
      <w:r w:rsidRPr="002837CA">
        <w:t xml:space="preserve"> </w:t>
      </w:r>
    </w:p>
    <w:p w14:paraId="1EA390B8" w14:textId="77777777" w:rsidR="00D31F5D" w:rsidRPr="002837CA" w:rsidRDefault="00D31F5D" w:rsidP="00D31F5D">
      <w:pPr>
        <w:pStyle w:val="BodyText"/>
      </w:pPr>
      <w:r w:rsidRPr="002837CA">
        <w:t xml:space="preserve">While CHCs are widely available, there is no national strategy for community health services and there is considerable variation in the services across the various levels of government </w:t>
      </w:r>
      <w:r w:rsidR="00C65A42" w:rsidRPr="00C65A42">
        <w:rPr>
          <w:szCs w:val="24"/>
        </w:rPr>
        <w:t>(SCRGSP 2017, p. 10.3)</w:t>
      </w:r>
      <w:r w:rsidR="00C56B36">
        <w:t>.</w:t>
      </w:r>
      <w:r w:rsidRPr="002837CA">
        <w:t xml:space="preserve"> </w:t>
      </w:r>
      <w:r w:rsidR="006803B4">
        <w:t>A</w:t>
      </w:r>
      <w:r w:rsidRPr="002837CA">
        <w:t xml:space="preserve"> common model involves cooperation with private GPs.</w:t>
      </w:r>
      <w:r w:rsidRPr="003D243B">
        <w:rPr>
          <w:rStyle w:val="FootnoteReference"/>
        </w:rPr>
        <w:footnoteReference w:id="49"/>
      </w:r>
      <w:r w:rsidRPr="002837CA">
        <w:t xml:space="preserve"> There also large differences in the goals and processes used by CHCs within states, as demonstrated by a series of case studies published by the Victorian Government (further discussed below).</w:t>
      </w:r>
      <w:r w:rsidRPr="003D243B">
        <w:rPr>
          <w:rStyle w:val="FootnoteReference"/>
        </w:rPr>
        <w:footnoteReference w:id="50"/>
      </w:r>
      <w:r w:rsidRPr="002837CA">
        <w:t xml:space="preserve"> CHCs are also vehicles for delivering various health initiatives in varying regions — such as measures that improve child and maternal health, reduce obesity levels, and support youth. CHCs can be part of broader system</w:t>
      </w:r>
      <w:r w:rsidR="008272EB">
        <w:t>s</w:t>
      </w:r>
      <w:r w:rsidRPr="002837CA">
        <w:t xml:space="preserve"> that aim to coordinate care between the primary and hospital systems — as exemplified in Hospital Admission Risk Progra</w:t>
      </w:r>
      <w:r w:rsidR="008272EB">
        <w:t>m (HARP) in Victoria (section A.4</w:t>
      </w:r>
      <w:r w:rsidRPr="002837CA">
        <w:t xml:space="preserve">). This adds to the variations in CHCs within, and across different, jurisdictions. </w:t>
      </w:r>
    </w:p>
    <w:p w14:paraId="1EA390B9" w14:textId="77777777" w:rsidR="00D31F5D" w:rsidRPr="002837CA" w:rsidRDefault="00D31F5D" w:rsidP="00D31F5D">
      <w:pPr>
        <w:pStyle w:val="BodyText"/>
      </w:pPr>
      <w:r w:rsidRPr="002837CA">
        <w:t>There is not, as far as we are aware, any studies that indicate the overall impacts and cost</w:t>
      </w:r>
      <w:r w:rsidRPr="002837CA">
        <w:noBreakHyphen/>
        <w:t>effectiveness of CHCs in Australia, and the several that related to Victoria were limited in scope and dated</w:t>
      </w:r>
      <w:r w:rsidR="008272EB">
        <w:t> </w:t>
      </w:r>
      <w:r w:rsidR="00C65A42" w:rsidRPr="00C65A42">
        <w:rPr>
          <w:szCs w:val="24"/>
        </w:rPr>
        <w:t>(McDonald et al. 2006, pp. 23–24)</w:t>
      </w:r>
      <w:r w:rsidRPr="002837CA">
        <w:t xml:space="preserve">. This is not surprising given the challenges. Their universality means that it is not possible to compare their outcomes to control groups. Moreover, </w:t>
      </w:r>
      <w:r w:rsidR="008272EB">
        <w:t xml:space="preserve">it </w:t>
      </w:r>
      <w:r w:rsidRPr="002837CA">
        <w:t xml:space="preserve">would be difficult to measure objectively the sometimes subtle and changing variations between the approaches of different CHCs and of the programs delivered through them. The AIHW notes that there is no national data about community health activity </w:t>
      </w:r>
      <w:r w:rsidR="00C65A42" w:rsidRPr="00C65A42">
        <w:rPr>
          <w:szCs w:val="24"/>
        </w:rPr>
        <w:t>(AIHW 2016b, p. 265)</w:t>
      </w:r>
      <w:r w:rsidRPr="002837CA">
        <w:t>. The myriad of factors outside the control of the centres, such as the socio</w:t>
      </w:r>
      <w:r w:rsidR="005534A3">
        <w:noBreakHyphen/>
      </w:r>
      <w:r w:rsidRPr="002837CA">
        <w:t xml:space="preserve">demographic characteristics of their clients, adds further difficulties. Any evaluation would need not only to have the above data, but also good information on the outcomes for clients. </w:t>
      </w:r>
      <w:r w:rsidR="00144A1A">
        <w:t>EH</w:t>
      </w:r>
      <w:r w:rsidR="00392D30" w:rsidRPr="002837CA">
        <w:t xml:space="preserve">ealth records might ultimately capture </w:t>
      </w:r>
      <w:r w:rsidR="00827015">
        <w:t>those</w:t>
      </w:r>
      <w:r w:rsidR="00392D30">
        <w:t xml:space="preserve"> data</w:t>
      </w:r>
      <w:r w:rsidRPr="002837CA">
        <w:t>, but their coverage is currently incomplete. Evaluation is best suited to circumstances where a reasonably clear</w:t>
      </w:r>
      <w:r w:rsidR="005534A3">
        <w:noBreakHyphen/>
      </w:r>
      <w:r w:rsidRPr="002837CA">
        <w:t xml:space="preserve">cut intervention has been trialled in multiple places or with large populations, and can be compared with the outcomes from </w:t>
      </w:r>
      <w:r w:rsidR="00392D30">
        <w:t xml:space="preserve">other places. A possible approach is to </w:t>
      </w:r>
      <w:r w:rsidRPr="002837CA">
        <w:t>examine differences in outcomes that relate to observable traits of different CHCs (such as degree of remoteness, whether they employ in</w:t>
      </w:r>
      <w:r w:rsidR="005534A3">
        <w:noBreakHyphen/>
      </w:r>
      <w:r w:rsidRPr="002837CA">
        <w:t>house GPs, the types of allied health professionals they employ, availability of e</w:t>
      </w:r>
      <w:r w:rsidRPr="002837CA">
        <w:noBreakHyphen/>
        <w:t xml:space="preserve">records, use of telehealth, and funding levels) and assess whether, after controlling for population characteristics, there seem to be any marked differences in outcomes. This is, at best, a project for the future, and might be superseded by new types of coordinated care arrangements. </w:t>
      </w:r>
    </w:p>
    <w:p w14:paraId="1EA390BA" w14:textId="77777777" w:rsidR="00D31F5D" w:rsidRPr="002837CA" w:rsidRDefault="00D31F5D" w:rsidP="00D31F5D">
      <w:pPr>
        <w:pStyle w:val="BodyText"/>
      </w:pPr>
      <w:r w:rsidRPr="002837CA">
        <w:t>The evidence that is available is therefore largely qualitative, supplemented by some partial quantitative assessments:</w:t>
      </w:r>
    </w:p>
    <w:p w14:paraId="1EA390BB" w14:textId="54DA55A6" w:rsidR="00D31F5D" w:rsidRPr="002837CA" w:rsidRDefault="00D31F5D" w:rsidP="00D31F5D">
      <w:pPr>
        <w:pStyle w:val="ListBullet"/>
      </w:pPr>
      <w:r w:rsidRPr="002837CA">
        <w:t xml:space="preserve">The Dianella Community Health (Victoria) aimed to improve communication and integration of diabetes care by using common tools, an agreed preferred standard of general practice referral documentation and agreements about minimum services for diabetics, depending on the severity of the condition. There was no evidence of any clinical improvements (though these may have occurred), but service waiting </w:t>
      </w:r>
      <w:r w:rsidR="006209DD">
        <w:t xml:space="preserve">times </w:t>
      </w:r>
      <w:r w:rsidRPr="002837CA">
        <w:t xml:space="preserve">were reduced </w:t>
      </w:r>
      <w:r w:rsidR="00725CDA">
        <w:rPr>
          <w:szCs w:val="24"/>
        </w:rPr>
        <w:t>(VicD</w:t>
      </w:r>
      <w:r w:rsidR="00DA3429" w:rsidRPr="00DA3429">
        <w:rPr>
          <w:szCs w:val="24"/>
        </w:rPr>
        <w:t>HHS 2016c)</w:t>
      </w:r>
      <w:r w:rsidRPr="002837CA">
        <w:t xml:space="preserve">. </w:t>
      </w:r>
    </w:p>
    <w:p w14:paraId="1EA390BC" w14:textId="5B56C662" w:rsidR="00D31F5D" w:rsidRPr="002837CA" w:rsidRDefault="00D31F5D" w:rsidP="00D31F5D">
      <w:pPr>
        <w:pStyle w:val="ListBullet"/>
      </w:pPr>
      <w:r w:rsidRPr="002837CA">
        <w:t xml:space="preserve">Other case studies in various Victorian community health services showed that innovations in various aspects of their operation resulted in improved processes and where measured, better outcomes — for instance, reduced travel times to access cardiac rehabilitation services for remote populations by using telehealth </w:t>
      </w:r>
      <w:r w:rsidR="00725CDA">
        <w:rPr>
          <w:szCs w:val="24"/>
        </w:rPr>
        <w:t>(VicD</w:t>
      </w:r>
      <w:r w:rsidR="00DA3429" w:rsidRPr="00DA3429">
        <w:rPr>
          <w:szCs w:val="24"/>
        </w:rPr>
        <w:t>HHS 2016f)</w:t>
      </w:r>
      <w:r w:rsidRPr="002837CA">
        <w:t xml:space="preserve">; better outcomes in care for chronic conditions </w:t>
      </w:r>
      <w:r w:rsidR="00725CDA">
        <w:rPr>
          <w:szCs w:val="24"/>
        </w:rPr>
        <w:t>(VicD</w:t>
      </w:r>
      <w:r w:rsidR="00DA3429" w:rsidRPr="00DA3429">
        <w:rPr>
          <w:szCs w:val="24"/>
        </w:rPr>
        <w:t>HHS 2016b)</w:t>
      </w:r>
      <w:r w:rsidRPr="002837CA">
        <w:t>; re</w:t>
      </w:r>
      <w:r w:rsidR="005534A3">
        <w:noBreakHyphen/>
      </w:r>
      <w:r w:rsidRPr="002837CA">
        <w:t xml:space="preserve">direction of referrals to lower cost alternatives, improved blood sugar levels, lower levels of diabetes distress, and higher satisfaction with services </w:t>
      </w:r>
      <w:r w:rsidR="00725CDA">
        <w:rPr>
          <w:szCs w:val="24"/>
        </w:rPr>
        <w:t>(VicD</w:t>
      </w:r>
      <w:r w:rsidR="00DA3429" w:rsidRPr="00DA3429">
        <w:rPr>
          <w:szCs w:val="24"/>
        </w:rPr>
        <w:t>HHS 2016a)</w:t>
      </w:r>
      <w:r w:rsidRPr="002837CA">
        <w:t>; and higher take</w:t>
      </w:r>
      <w:r w:rsidR="00006334">
        <w:t xml:space="preserve"> </w:t>
      </w:r>
      <w:r w:rsidRPr="002837CA">
        <w:t xml:space="preserve">up of care plans for people with chronic and complex conditions </w:t>
      </w:r>
      <w:r w:rsidR="00725CDA">
        <w:rPr>
          <w:szCs w:val="24"/>
        </w:rPr>
        <w:t>(VicD</w:t>
      </w:r>
      <w:r w:rsidR="00DA3429" w:rsidRPr="00DA3429">
        <w:rPr>
          <w:szCs w:val="24"/>
        </w:rPr>
        <w:t>HHS 2016d)</w:t>
      </w:r>
      <w:r w:rsidRPr="002837CA">
        <w:t xml:space="preserve">. </w:t>
      </w:r>
    </w:p>
    <w:p w14:paraId="1EA390BD" w14:textId="77777777" w:rsidR="00D31F5D" w:rsidRPr="002837CA" w:rsidRDefault="00D31F5D" w:rsidP="00AC5A7C">
      <w:pPr>
        <w:pStyle w:val="ListBullet"/>
      </w:pPr>
      <w:r w:rsidRPr="002837CA">
        <w:t xml:space="preserve">An evaluation of Aboriginal health workers (AHWs) on delivery of diabetes care in remote Northern Territory community health centres resulted in improvements in regular testing and monitoring, but had no effects on </w:t>
      </w:r>
      <w:r w:rsidR="00AC5A7C">
        <w:t>glycated haemoglobin</w:t>
      </w:r>
      <w:r w:rsidRPr="002837CA">
        <w:t xml:space="preserve"> levels or blood pressure among treated patients. However, where a CHC had a visiting GP, clinical outcomes did improve </w:t>
      </w:r>
      <w:r w:rsidR="00C65A42" w:rsidRPr="00C65A42">
        <w:rPr>
          <w:szCs w:val="24"/>
        </w:rPr>
        <w:t>(Si et al. 2006)</w:t>
      </w:r>
      <w:r w:rsidRPr="002837CA">
        <w:t>.</w:t>
      </w:r>
    </w:p>
    <w:p w14:paraId="1EA390BE" w14:textId="77777777" w:rsidR="00D31F5D" w:rsidRPr="002837CA" w:rsidRDefault="00D31F5D" w:rsidP="00D31F5D">
      <w:pPr>
        <w:pStyle w:val="BodyText"/>
      </w:pPr>
      <w:r w:rsidRPr="002837CA">
        <w:t>There is international evidence about the impacts of CHCs, though its relevance to Australia is only partial because CHCs take different forms in different countries and the health system in which they are embedded can be quite different. In the United States, CHCs serve as the dominant model for provision of federally</w:t>
      </w:r>
      <w:r w:rsidRPr="002837CA">
        <w:noBreakHyphen/>
        <w:t>funded primary health care. They include general practitioners, some are affiliated with hospitals, a few would more aptly be referred to as patient</w:t>
      </w:r>
      <w:r w:rsidRPr="002837CA">
        <w:noBreakHyphen/>
        <w:t xml:space="preserve">centred medical care homes, and the populations they assist are often not insured </w:t>
      </w:r>
      <w:r w:rsidR="00C65A42" w:rsidRPr="00C65A42">
        <w:rPr>
          <w:szCs w:val="24"/>
        </w:rPr>
        <w:t>(Doty et al. 2010)</w:t>
      </w:r>
      <w:r w:rsidRPr="002837CA">
        <w:t xml:space="preserve">. At least, the international evidence is generally positive. CHCs in the United States appear to have achieved the same or better health outcomes at lower costs than occurring in private physicians’ offices and outpatient clinics. For instance, in California, adult patients in federally qualified community health (FQCH) centres had 18 per cent lower emergency department visits, </w:t>
      </w:r>
      <w:r w:rsidR="00427F6A">
        <w:t>about</w:t>
      </w:r>
      <w:r w:rsidRPr="002837CA">
        <w:t xml:space="preserve"> 5 per cent lower 30 day readmission rates and 64 per cent lower rates of multi</w:t>
      </w:r>
      <w:r w:rsidRPr="002837CA">
        <w:noBreakHyphen/>
        <w:t>day hospital admissions compared with non</w:t>
      </w:r>
      <w:r w:rsidRPr="002837CA">
        <w:noBreakHyphen/>
        <w:t xml:space="preserve">FQHC adult patients. The total cost of care was 19 per cent lower after controlling for patient characteristics </w:t>
      </w:r>
      <w:r w:rsidR="00C65A42" w:rsidRPr="00C65A42">
        <w:rPr>
          <w:szCs w:val="24"/>
        </w:rPr>
        <w:t>(CPCA 2013)</w:t>
      </w:r>
      <w:r w:rsidRPr="002837CA">
        <w:t>. There are a range of similarly positive outcomes from other studies.</w:t>
      </w:r>
      <w:r w:rsidRPr="003D243B">
        <w:rPr>
          <w:rStyle w:val="FootnoteReference"/>
        </w:rPr>
        <w:footnoteReference w:id="51"/>
      </w:r>
    </w:p>
    <w:p w14:paraId="1EA390BF" w14:textId="77777777" w:rsidR="00D31F5D" w:rsidRDefault="00D31F5D" w:rsidP="00D31F5D">
      <w:pPr>
        <w:pStyle w:val="BodyText"/>
      </w:pPr>
      <w:r w:rsidRPr="002837CA">
        <w:t>It is hard to conceive that CHCs would not act as a major node in any form of fully</w:t>
      </w:r>
      <w:r w:rsidRPr="002837CA">
        <w:noBreakHyphen/>
        <w:t>developed integrated care</w:t>
      </w:r>
      <w:r w:rsidR="005967B3">
        <w:t xml:space="preserve"> in Australia</w:t>
      </w:r>
      <w:r w:rsidRPr="002837CA">
        <w:t>, even if their scope and relationships to other parts of the health system changes. This reflects their multidisciplinary nature, their connection to the local community, and their links to non</w:t>
      </w:r>
      <w:r w:rsidR="005534A3">
        <w:noBreakHyphen/>
      </w:r>
      <w:r w:rsidRPr="002837CA">
        <w:t>health service</w:t>
      </w:r>
      <w:r w:rsidR="00EF6C8B">
        <w:t>s — like meals on wheels (box 4.2</w:t>
      </w:r>
      <w:r w:rsidRPr="002837CA">
        <w:t xml:space="preserve">). If nothing else, experience with CHCs throughout Australia indicates that they are the ‘vessels’ for trialling new initiatives in </w:t>
      </w:r>
      <w:r w:rsidR="009D44FA">
        <w:t>preventative</w:t>
      </w:r>
      <w:r w:rsidRPr="002837CA">
        <w:t xml:space="preserve"> health and in accessing hard</w:t>
      </w:r>
      <w:r w:rsidRPr="002837CA">
        <w:noBreakHyphen/>
        <w:t>to</w:t>
      </w:r>
      <w:r w:rsidRPr="002837CA">
        <w:noBreakHyphen/>
        <w:t>reach and disadvantaged populations.</w:t>
      </w:r>
    </w:p>
    <w:p w14:paraId="1EA390C0" w14:textId="77777777" w:rsidR="00C65999" w:rsidRPr="004E3B94" w:rsidRDefault="00C65999" w:rsidP="00C6599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129"/>
      </w:tblGrid>
      <w:tr w:rsidR="00F576FE" w:rsidRPr="00F576FE" w14:paraId="1EA390C3" w14:textId="77777777" w:rsidTr="00F576FE">
        <w:trPr>
          <w:tblHeader/>
        </w:trPr>
        <w:tc>
          <w:tcPr>
            <w:tcW w:w="5000" w:type="pct"/>
            <w:tcBorders>
              <w:top w:val="single" w:sz="4" w:space="0" w:color="265A9A" w:themeColor="accent2"/>
              <w:left w:val="nil"/>
              <w:bottom w:val="nil"/>
              <w:right w:val="nil"/>
            </w:tcBorders>
            <w:shd w:val="clear" w:color="auto" w:fill="F0F5FA"/>
            <w:tcMar>
              <w:left w:w="170" w:type="dxa"/>
              <w:right w:w="170" w:type="dxa"/>
            </w:tcMar>
          </w:tcPr>
          <w:p w14:paraId="1EA390C1" w14:textId="77777777" w:rsidR="00C65999" w:rsidRPr="00F576FE" w:rsidRDefault="00C65999" w:rsidP="00CC0924">
            <w:pPr>
              <w:pStyle w:val="RecTitle"/>
              <w:spacing w:before="120"/>
              <w:rPr>
                <w:noProof/>
              </w:rPr>
            </w:pPr>
            <w:r w:rsidRPr="00F576FE">
              <w:t xml:space="preserve">conclusion </w:t>
            </w:r>
            <w:r w:rsidR="00C72E88" w:rsidRPr="00F576FE">
              <w:t>A.1</w:t>
            </w:r>
          </w:p>
          <w:p w14:paraId="1EA390C2" w14:textId="77777777" w:rsidR="00C65999" w:rsidRPr="00C1530E" w:rsidRDefault="00C65999" w:rsidP="00944790">
            <w:pPr>
              <w:pStyle w:val="Rec"/>
            </w:pPr>
            <w:r w:rsidRPr="00C1530E">
              <w:t>While there have been limited evaluations of community health care centres, they are widely accessible throughout Australia, and their multidisciplinary approach and links to the local community make them a natural partner in any integrated care health care system.</w:t>
            </w:r>
          </w:p>
        </w:tc>
      </w:tr>
      <w:tr w:rsidR="00F576FE" w:rsidRPr="00F576FE" w14:paraId="1EA390C5" w14:textId="77777777" w:rsidTr="00F576FE">
        <w:tc>
          <w:tcPr>
            <w:tcW w:w="5000" w:type="pct"/>
            <w:tcBorders>
              <w:top w:val="nil"/>
              <w:left w:val="nil"/>
              <w:bottom w:val="single" w:sz="4" w:space="0" w:color="265A9A" w:themeColor="accent2"/>
              <w:right w:val="nil"/>
            </w:tcBorders>
            <w:shd w:val="clear" w:color="auto" w:fill="F0F5FA"/>
            <w:tcMar>
              <w:left w:w="170" w:type="dxa"/>
              <w:right w:w="170" w:type="dxa"/>
            </w:tcMar>
          </w:tcPr>
          <w:p w14:paraId="1EA390C4" w14:textId="77777777" w:rsidR="00C65999" w:rsidRPr="00F576FE" w:rsidRDefault="00C65999" w:rsidP="00F576FE">
            <w:pPr>
              <w:pStyle w:val="Space"/>
              <w:keepLines/>
            </w:pPr>
          </w:p>
        </w:tc>
      </w:tr>
      <w:tr w:rsidR="00C65999" w:rsidRPr="000863A5" w14:paraId="1EA390C7" w14:textId="77777777" w:rsidTr="00F576FE">
        <w:tc>
          <w:tcPr>
            <w:tcW w:w="5000" w:type="pct"/>
            <w:tcBorders>
              <w:top w:val="single" w:sz="4" w:space="0" w:color="265A9A" w:themeColor="accent2"/>
              <w:left w:val="nil"/>
              <w:bottom w:val="nil"/>
              <w:right w:val="nil"/>
            </w:tcBorders>
            <w:tcMar>
              <w:left w:w="170" w:type="dxa"/>
              <w:right w:w="170" w:type="dxa"/>
            </w:tcMar>
          </w:tcPr>
          <w:p w14:paraId="1EA390C6" w14:textId="77777777" w:rsidR="00C65999" w:rsidRPr="00626D32" w:rsidRDefault="00C65999" w:rsidP="00CC0924">
            <w:pPr>
              <w:pStyle w:val="BoxSpaceBelow"/>
              <w:keepLines/>
            </w:pPr>
          </w:p>
        </w:tc>
      </w:tr>
    </w:tbl>
    <w:p w14:paraId="1EA390C8" w14:textId="77777777" w:rsidR="002837CA" w:rsidRPr="002837CA" w:rsidRDefault="002837CA" w:rsidP="00AA2B53">
      <w:pPr>
        <w:pStyle w:val="Heading3"/>
      </w:pPr>
      <w:r w:rsidRPr="002837CA">
        <w:t>National coordinated care trials</w:t>
      </w:r>
    </w:p>
    <w:p w14:paraId="1EA390C9" w14:textId="77777777" w:rsidR="002837CA" w:rsidRPr="002837CA" w:rsidRDefault="002837CA" w:rsidP="00AA2B53">
      <w:pPr>
        <w:pStyle w:val="BodyText"/>
      </w:pPr>
      <w:r w:rsidRPr="002837CA">
        <w:t xml:space="preserve">In the late 1990s and the early 2000s, </w:t>
      </w:r>
      <w:r w:rsidR="00E61620">
        <w:t>t</w:t>
      </w:r>
      <w:r w:rsidR="00E61620" w:rsidRPr="002837CA">
        <w:t xml:space="preserve">he Australian </w:t>
      </w:r>
      <w:r w:rsidR="00E61620">
        <w:t>G</w:t>
      </w:r>
      <w:r w:rsidR="00E61620" w:rsidRPr="002837CA">
        <w:t>overnment</w:t>
      </w:r>
      <w:r w:rsidR="00E61620">
        <w:t>,</w:t>
      </w:r>
      <w:r w:rsidR="00E61620" w:rsidRPr="002837CA">
        <w:t xml:space="preserve"> with the support of </w:t>
      </w:r>
      <w:r w:rsidR="00621EF5">
        <w:t>S</w:t>
      </w:r>
      <w:r w:rsidR="00E61620" w:rsidRPr="002837CA">
        <w:t xml:space="preserve">tate and </w:t>
      </w:r>
      <w:r w:rsidR="00621EF5">
        <w:t>T</w:t>
      </w:r>
      <w:r w:rsidR="00E61620" w:rsidRPr="002837CA">
        <w:t xml:space="preserve">erritory </w:t>
      </w:r>
      <w:r w:rsidR="00621EF5">
        <w:t>G</w:t>
      </w:r>
      <w:r w:rsidR="00E61620" w:rsidRPr="002837CA">
        <w:t>overnments</w:t>
      </w:r>
      <w:r w:rsidR="00621EF5">
        <w:t>,</w:t>
      </w:r>
      <w:r w:rsidR="00E61620">
        <w:t xml:space="preserve"> undertook </w:t>
      </w:r>
      <w:r w:rsidRPr="002837CA">
        <w:t>two consecutive series of coordinated care trials. These trials tested alternative approaches to coordinating the primary care provided by GPs and the care provided by community health services. Secondary and other government</w:t>
      </w:r>
      <w:r w:rsidR="0008142E">
        <w:noBreakHyphen/>
      </w:r>
      <w:r w:rsidRPr="002837CA">
        <w:t>provided services were not heavily engaged in the trials, other than by making nurses available to assist GPs to manage the care of patients.</w:t>
      </w:r>
    </w:p>
    <w:p w14:paraId="1EA390CA" w14:textId="77777777" w:rsidR="002837CA" w:rsidRPr="002837CA" w:rsidRDefault="002837CA" w:rsidP="00AA2B53">
      <w:pPr>
        <w:pStyle w:val="BodyText"/>
      </w:pPr>
      <w:r w:rsidRPr="002837CA">
        <w:t>Much of the value of these trials lies in identifying pitfalls and process issues. Almost all encountered process difficulties that otherwise undermined their capacity to contribute to the evidence base for better coordination of primary care.</w:t>
      </w:r>
    </w:p>
    <w:p w14:paraId="1EA390CB" w14:textId="77777777" w:rsidR="002837CA" w:rsidRPr="002837CA" w:rsidRDefault="002837CA" w:rsidP="00AA2B53">
      <w:pPr>
        <w:pStyle w:val="BodyText"/>
      </w:pPr>
      <w:r w:rsidRPr="002837CA">
        <w:t>In the first round of trials, the duration of the actual intervention period was between twelve and eighteen months, taking into account the set</w:t>
      </w:r>
      <w:r w:rsidRPr="002837CA">
        <w:noBreakHyphen/>
        <w:t>up and wind</w:t>
      </w:r>
      <w:r w:rsidRPr="002837CA">
        <w:noBreakHyphen/>
        <w:t xml:space="preserve">down times. This was subsequently assessed to be too short to feasibly </w:t>
      </w:r>
      <w:r w:rsidR="00EF6C8B">
        <w:t>support</w:t>
      </w:r>
      <w:r w:rsidRPr="002837CA">
        <w:t xml:space="preserve"> measureable impacts </w:t>
      </w:r>
      <w:r w:rsidR="00F6095D" w:rsidRPr="00F6095D">
        <w:rPr>
          <w:szCs w:val="24"/>
        </w:rPr>
        <w:t>(DoHA 2001)</w:t>
      </w:r>
      <w:r w:rsidRPr="002837CA">
        <w:t>. The first series of trials was not well targeted to people who would benefit most from coordinated care, diluting the value of the short</w:t>
      </w:r>
      <w:r w:rsidRPr="002837CA">
        <w:noBreakHyphen/>
        <w:t xml:space="preserve">term intervention. Recruitment of GPs also proved difficult, including because of inadequate funding options. </w:t>
      </w:r>
    </w:p>
    <w:p w14:paraId="1EA390CC" w14:textId="77777777" w:rsidR="002837CA" w:rsidRPr="002837CA" w:rsidRDefault="002837CA" w:rsidP="00AA2B53">
      <w:pPr>
        <w:pStyle w:val="BodyText"/>
      </w:pPr>
      <w:r w:rsidRPr="002837CA">
        <w:t>Lessons learnt in the first round of trials informed the design of the second round of trials </w:t>
      </w:r>
      <w:r w:rsidR="00F6095D" w:rsidRPr="00F6095D">
        <w:rPr>
          <w:szCs w:val="24"/>
        </w:rPr>
        <w:t>(DoHA 2007)</w:t>
      </w:r>
      <w:r w:rsidRPr="002837CA">
        <w:t>. The second round of trials sought to provide for:</w:t>
      </w:r>
    </w:p>
    <w:p w14:paraId="1EA390CD" w14:textId="77777777" w:rsidR="002837CA" w:rsidRPr="002837CA" w:rsidRDefault="002837CA" w:rsidP="00AA2B53">
      <w:pPr>
        <w:pStyle w:val="ListBullet"/>
      </w:pPr>
      <w:r w:rsidRPr="002837CA">
        <w:t>greater consumer empowerment</w:t>
      </w:r>
    </w:p>
    <w:p w14:paraId="1EA390CE" w14:textId="77777777" w:rsidR="002837CA" w:rsidRPr="002837CA" w:rsidRDefault="002837CA" w:rsidP="00AA2B53">
      <w:pPr>
        <w:pStyle w:val="ListBullet"/>
      </w:pPr>
      <w:r w:rsidRPr="002837CA">
        <w:t>better targeting of those with complex and chronic conditions</w:t>
      </w:r>
    </w:p>
    <w:p w14:paraId="1EA390CF" w14:textId="77777777" w:rsidR="002837CA" w:rsidRPr="002837CA" w:rsidRDefault="002837CA" w:rsidP="00AA2B53">
      <w:pPr>
        <w:pStyle w:val="ListBullet"/>
      </w:pPr>
      <w:r w:rsidRPr="002837CA">
        <w:t>a more generic approach to pooling funds through the development and use of a risk</w:t>
      </w:r>
      <w:r w:rsidRPr="002837CA">
        <w:noBreakHyphen/>
        <w:t>based capitation model (developed by PricewaterhouseCoopers)</w:t>
      </w:r>
    </w:p>
    <w:p w14:paraId="1EA390D0" w14:textId="77777777" w:rsidR="002837CA" w:rsidRPr="002837CA" w:rsidRDefault="002837CA" w:rsidP="00AA2B53">
      <w:pPr>
        <w:pStyle w:val="ListBullet"/>
      </w:pPr>
      <w:r w:rsidRPr="002837CA">
        <w:t>the introduction of new MBS items payable to GPs for conducting health assessments, care planning and care conferencing</w:t>
      </w:r>
    </w:p>
    <w:p w14:paraId="1EA390D1" w14:textId="77777777" w:rsidR="002837CA" w:rsidRPr="002837CA" w:rsidRDefault="002837CA" w:rsidP="00AA2B53">
      <w:pPr>
        <w:pStyle w:val="ListBullet"/>
      </w:pPr>
      <w:r w:rsidRPr="002837CA">
        <w:t>further opportunity to experiment with different approaches to integration and funding.</w:t>
      </w:r>
    </w:p>
    <w:p w14:paraId="1EA390D2" w14:textId="77777777" w:rsidR="002837CA" w:rsidRPr="002837CA" w:rsidRDefault="002837CA" w:rsidP="00AA2B53">
      <w:pPr>
        <w:pStyle w:val="BodyText"/>
      </w:pPr>
      <w:r w:rsidRPr="002837CA">
        <w:t xml:space="preserve">The second round of trials comprised five diverse approaches to primary care coordination, three of which specifically targeted indigenous populations. </w:t>
      </w:r>
    </w:p>
    <w:p w14:paraId="1EA390D3" w14:textId="77777777" w:rsidR="002837CA" w:rsidRPr="002837CA" w:rsidRDefault="008E6751" w:rsidP="00AA2B53">
      <w:pPr>
        <w:pStyle w:val="BodyText"/>
      </w:pPr>
      <w:r>
        <w:t>The key objective of the I</w:t>
      </w:r>
      <w:r w:rsidR="002837CA" w:rsidRPr="002837CA">
        <w:t xml:space="preserve">ndigenous trials was to increase the rate of access to primary health services from a low base. The Sunrise Health Services Aboriginal Corporation trial, centred </w:t>
      </w:r>
      <w:r w:rsidRPr="002837CA">
        <w:t>on</w:t>
      </w:r>
      <w:r w:rsidR="002837CA" w:rsidRPr="002837CA">
        <w:t xml:space="preserve"> developing community</w:t>
      </w:r>
      <w:r w:rsidR="002837CA" w:rsidRPr="002837CA">
        <w:noBreakHyphen/>
        <w:t>owned indigenous health services, was particularly successful in this regard. Of the participants with complex chronic conditions reached by this trial, 57 per cent had not accessed health care services in the six months prior to entering the program. While the trial data could not indicate the implications for hospital usage, the evidence supports the expectation that ensuring better primary care of chronically</w:t>
      </w:r>
      <w:r>
        <w:noBreakHyphen/>
      </w:r>
      <w:r w:rsidR="002837CA" w:rsidRPr="002837CA">
        <w:t xml:space="preserve">ill patients would reduce the future need for acute hospital care. </w:t>
      </w:r>
    </w:p>
    <w:p w14:paraId="1EA390D4" w14:textId="77777777" w:rsidR="002837CA" w:rsidRPr="002837CA" w:rsidRDefault="002837CA" w:rsidP="00AA2B53">
      <w:pPr>
        <w:pStyle w:val="BodyText"/>
      </w:pPr>
      <w:r w:rsidRPr="002837CA">
        <w:t xml:space="preserve">The two mainstream population trials — Brisbane North and North Melbourne — were run as randomised control trials. Both indicated higher utilisation of primary care services by intervention groups relative to control groups. </w:t>
      </w:r>
    </w:p>
    <w:p w14:paraId="1EA390D5" w14:textId="77777777" w:rsidR="002837CA" w:rsidRPr="002837CA" w:rsidRDefault="002837CA" w:rsidP="00AA2B53">
      <w:pPr>
        <w:pStyle w:val="BodyText"/>
      </w:pPr>
      <w:r w:rsidRPr="002837CA">
        <w:t>The North Melbourne trial was otherwise undermined by workforce management issues, poor recruitment of GPs and a lack of understanding among participants about the role of nurses as care coordinators. It therefore contributed little to the evidence base about the impact of a coordinated approach to primary care.</w:t>
      </w:r>
      <w:r w:rsidRPr="002837CA" w:rsidDel="00A82F0E">
        <w:t xml:space="preserve"> </w:t>
      </w:r>
      <w:r w:rsidRPr="002837CA">
        <w:t>Nevertheless, the contrast with the Brisbane North trial illustrates the importance of good relationships for the provision of a successful health service.</w:t>
      </w:r>
    </w:p>
    <w:p w14:paraId="1EA390D6" w14:textId="77777777" w:rsidR="00F576FE" w:rsidRDefault="002837CA" w:rsidP="00AA2B53">
      <w:pPr>
        <w:pStyle w:val="BodyText"/>
      </w:pPr>
      <w:r w:rsidRPr="002837CA">
        <w:t>Participants in the Brisbane North trial experienced improvements in general health, mental health and health</w:t>
      </w:r>
      <w:r w:rsidRPr="002837CA">
        <w:noBreakHyphen/>
        <w:t xml:space="preserve">related quality of life indicators relative to the control group (table </w:t>
      </w:r>
      <w:r w:rsidR="002549FE">
        <w:t>A</w:t>
      </w:r>
      <w:r w:rsidRPr="002837CA">
        <w:t xml:space="preserve">.1). </w:t>
      </w:r>
    </w:p>
    <w:p w14:paraId="1EA390D7" w14:textId="77777777" w:rsidR="00F576FE" w:rsidRDefault="00F576FE" w:rsidP="00AA2B53">
      <w:pPr>
        <w:pStyle w:val="BodyText"/>
      </w:pPr>
      <w:r>
        <w:br w:type="page"/>
      </w:r>
    </w:p>
    <w:p w14:paraId="1EA390D8" w14:textId="77777777" w:rsidR="001446F5" w:rsidRDefault="001446F5" w:rsidP="001446F5">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71"/>
      </w:tblGrid>
      <w:tr w:rsidR="002837CA" w:rsidRPr="002837CA" w14:paraId="1EA390DB" w14:textId="77777777" w:rsidTr="00B97386">
        <w:tc>
          <w:tcPr>
            <w:tcW w:w="8771" w:type="dxa"/>
            <w:tcBorders>
              <w:top w:val="single" w:sz="6" w:space="0" w:color="78A22F"/>
              <w:left w:val="nil"/>
              <w:bottom w:val="nil"/>
              <w:right w:val="nil"/>
            </w:tcBorders>
            <w:shd w:val="clear" w:color="auto" w:fill="auto"/>
          </w:tcPr>
          <w:p w14:paraId="1EA390D9" w14:textId="77777777" w:rsidR="002837CA" w:rsidRPr="002837CA" w:rsidRDefault="002837CA" w:rsidP="00AF098D">
            <w:pPr>
              <w:pStyle w:val="TableTitle"/>
            </w:pPr>
            <w:r w:rsidRPr="00944790">
              <w:rPr>
                <w:b w:val="0"/>
              </w:rPr>
              <w:t xml:space="preserve">Table </w:t>
            </w:r>
            <w:r w:rsidR="002549FE" w:rsidRPr="00944790">
              <w:rPr>
                <w:b w:val="0"/>
              </w:rPr>
              <w:t>A</w:t>
            </w:r>
            <w:r w:rsidRPr="00944790">
              <w:rPr>
                <w:b w:val="0"/>
              </w:rPr>
              <w:t>.1</w:t>
            </w:r>
            <w:r w:rsidRPr="00AF098D">
              <w:tab/>
              <w:t>Indicators</w:t>
            </w:r>
            <w:r w:rsidRPr="002837CA">
              <w:t xml:space="preserve"> of the change in health outcomes flowing from the Brisbane North coordinated care trial</w:t>
            </w:r>
          </w:p>
          <w:p w14:paraId="1EA390DA" w14:textId="77777777" w:rsidR="002837CA" w:rsidRPr="002837CA" w:rsidRDefault="002837CA" w:rsidP="001446F5">
            <w:pPr>
              <w:pStyle w:val="Subtitle"/>
            </w:pPr>
            <w:r w:rsidRPr="002837CA">
              <w:t>Mean scores over twelve months</w:t>
            </w:r>
          </w:p>
        </w:tc>
      </w:tr>
      <w:tr w:rsidR="002837CA" w:rsidRPr="002837CA" w14:paraId="1EA390F6" w14:textId="77777777" w:rsidTr="00B97386">
        <w:tc>
          <w:tcPr>
            <w:tcW w:w="8771" w:type="dxa"/>
            <w:tcBorders>
              <w:top w:val="nil"/>
              <w:left w:val="nil"/>
              <w:bottom w:val="nil"/>
              <w:right w:val="nil"/>
            </w:tcBorders>
            <w:shd w:val="clear" w:color="auto" w:fill="auto"/>
          </w:tcPr>
          <w:tbl>
            <w:tblPr>
              <w:tblW w:w="0" w:type="auto"/>
              <w:tblCellMar>
                <w:top w:w="28" w:type="dxa"/>
                <w:left w:w="0" w:type="dxa"/>
                <w:right w:w="0" w:type="dxa"/>
              </w:tblCellMar>
              <w:tblLook w:val="0000" w:firstRow="0" w:lastRow="0" w:firstColumn="0" w:lastColumn="0" w:noHBand="0" w:noVBand="0"/>
            </w:tblPr>
            <w:tblGrid>
              <w:gridCol w:w="1277"/>
              <w:gridCol w:w="2127"/>
              <w:gridCol w:w="2410"/>
              <w:gridCol w:w="2527"/>
            </w:tblGrid>
            <w:tr w:rsidR="002837CA" w:rsidRPr="002837CA" w14:paraId="1EA390E0" w14:textId="77777777" w:rsidTr="008E6751">
              <w:trPr>
                <w:tblHeader/>
              </w:trPr>
              <w:tc>
                <w:tcPr>
                  <w:tcW w:w="1277" w:type="dxa"/>
                  <w:tcBorders>
                    <w:top w:val="single" w:sz="6" w:space="0" w:color="BFBFBF"/>
                    <w:bottom w:val="single" w:sz="6" w:space="0" w:color="BFBFBF"/>
                  </w:tcBorders>
                  <w:shd w:val="clear" w:color="auto" w:fill="auto"/>
                  <w:tcMar>
                    <w:top w:w="28" w:type="dxa"/>
                  </w:tcMar>
                </w:tcPr>
                <w:p w14:paraId="1EA390DC" w14:textId="77777777" w:rsidR="002837CA" w:rsidRPr="002837CA" w:rsidRDefault="002837CA" w:rsidP="001446F5">
                  <w:pPr>
                    <w:pStyle w:val="TableBodyText"/>
                  </w:pPr>
                </w:p>
              </w:tc>
              <w:tc>
                <w:tcPr>
                  <w:tcW w:w="2127" w:type="dxa"/>
                  <w:tcBorders>
                    <w:top w:val="single" w:sz="6" w:space="0" w:color="BFBFBF"/>
                    <w:bottom w:val="single" w:sz="6" w:space="0" w:color="BFBFBF"/>
                  </w:tcBorders>
                </w:tcPr>
                <w:p w14:paraId="1EA390DD" w14:textId="77777777" w:rsidR="002837CA" w:rsidRPr="002837CA" w:rsidRDefault="002837CA" w:rsidP="001446F5">
                  <w:pPr>
                    <w:pStyle w:val="TableColumnHeading"/>
                  </w:pPr>
                  <w:r w:rsidRPr="002837CA">
                    <w:t>General health</w:t>
                  </w:r>
                </w:p>
              </w:tc>
              <w:tc>
                <w:tcPr>
                  <w:tcW w:w="2410" w:type="dxa"/>
                  <w:tcBorders>
                    <w:top w:val="single" w:sz="6" w:space="0" w:color="BFBFBF"/>
                    <w:bottom w:val="single" w:sz="6" w:space="0" w:color="BFBFBF"/>
                  </w:tcBorders>
                  <w:shd w:val="clear" w:color="auto" w:fill="auto"/>
                  <w:tcMar>
                    <w:top w:w="28" w:type="dxa"/>
                  </w:tcMar>
                </w:tcPr>
                <w:p w14:paraId="1EA390DE" w14:textId="77777777" w:rsidR="002837CA" w:rsidRPr="002837CA" w:rsidRDefault="002837CA" w:rsidP="001446F5">
                  <w:pPr>
                    <w:pStyle w:val="TableColumnHeading"/>
                  </w:pPr>
                  <w:r w:rsidRPr="002837CA">
                    <w:t>Depression</w:t>
                  </w:r>
                </w:p>
              </w:tc>
              <w:tc>
                <w:tcPr>
                  <w:tcW w:w="2527" w:type="dxa"/>
                  <w:tcBorders>
                    <w:top w:val="single" w:sz="6" w:space="0" w:color="BFBFBF"/>
                    <w:bottom w:val="single" w:sz="6" w:space="0" w:color="BFBFBF"/>
                  </w:tcBorders>
                  <w:shd w:val="clear" w:color="auto" w:fill="auto"/>
                  <w:tcMar>
                    <w:top w:w="28" w:type="dxa"/>
                  </w:tcMar>
                </w:tcPr>
                <w:p w14:paraId="1EA390DF" w14:textId="77777777" w:rsidR="002837CA" w:rsidRPr="002837CA" w:rsidRDefault="002837CA" w:rsidP="001446F5">
                  <w:pPr>
                    <w:pStyle w:val="TableColumnHeading"/>
                  </w:pPr>
                  <w:r w:rsidRPr="002837CA">
                    <w:t>Quality of life (health related)</w:t>
                  </w:r>
                </w:p>
              </w:tc>
            </w:tr>
            <w:tr w:rsidR="002837CA" w:rsidRPr="002837CA" w14:paraId="1EA390E5" w14:textId="77777777" w:rsidTr="008E6751">
              <w:tc>
                <w:tcPr>
                  <w:tcW w:w="1277" w:type="dxa"/>
                  <w:tcBorders>
                    <w:top w:val="single" w:sz="6" w:space="0" w:color="BFBFBF"/>
                  </w:tcBorders>
                </w:tcPr>
                <w:p w14:paraId="1EA390E1" w14:textId="77777777" w:rsidR="002837CA" w:rsidRPr="002837CA" w:rsidRDefault="002837CA" w:rsidP="001446F5">
                  <w:pPr>
                    <w:pStyle w:val="TableBodyText"/>
                    <w:jc w:val="left"/>
                  </w:pPr>
                  <w:r w:rsidRPr="002837CA">
                    <w:t>Indicator</w:t>
                  </w:r>
                </w:p>
              </w:tc>
              <w:tc>
                <w:tcPr>
                  <w:tcW w:w="2127" w:type="dxa"/>
                  <w:tcBorders>
                    <w:top w:val="single" w:sz="6" w:space="0" w:color="BFBFBF"/>
                  </w:tcBorders>
                </w:tcPr>
                <w:p w14:paraId="1EA390E2" w14:textId="77777777" w:rsidR="002837CA" w:rsidRPr="002837CA" w:rsidRDefault="002837CA" w:rsidP="001446F5">
                  <w:pPr>
                    <w:pStyle w:val="TableBodyText"/>
                  </w:pPr>
                  <w:r w:rsidRPr="002837CA">
                    <w:t>Self</w:t>
                  </w:r>
                  <w:r w:rsidRPr="002837CA">
                    <w:noBreakHyphen/>
                    <w:t>rated general health (lower number indicates better health)</w:t>
                  </w:r>
                </w:p>
              </w:tc>
              <w:tc>
                <w:tcPr>
                  <w:tcW w:w="2410" w:type="dxa"/>
                  <w:tcBorders>
                    <w:top w:val="single" w:sz="6" w:space="0" w:color="BFBFBF"/>
                  </w:tcBorders>
                </w:tcPr>
                <w:p w14:paraId="1EA390E3" w14:textId="77777777" w:rsidR="002837CA" w:rsidRPr="002837CA" w:rsidRDefault="002837CA" w:rsidP="001446F5">
                  <w:pPr>
                    <w:pStyle w:val="TableBodyText"/>
                  </w:pPr>
                  <w:r w:rsidRPr="002837CA">
                    <w:t>Kessler 10 (higher number indicates higher risk of depression)</w:t>
                  </w:r>
                </w:p>
              </w:tc>
              <w:tc>
                <w:tcPr>
                  <w:tcW w:w="2527" w:type="dxa"/>
                  <w:tcBorders>
                    <w:top w:val="single" w:sz="6" w:space="0" w:color="BFBFBF"/>
                  </w:tcBorders>
                </w:tcPr>
                <w:p w14:paraId="1EA390E4" w14:textId="77777777" w:rsidR="002837CA" w:rsidRPr="002837CA" w:rsidRDefault="002837CA" w:rsidP="001446F5">
                  <w:pPr>
                    <w:pStyle w:val="TableBodyText"/>
                  </w:pPr>
                  <w:r w:rsidRPr="002837CA">
                    <w:t>EuroQol 5D</w:t>
                  </w:r>
                  <w:r w:rsidRPr="002837CA">
                    <w:rPr>
                      <w:b/>
                      <w:position w:val="6"/>
                    </w:rPr>
                    <w:t xml:space="preserve"> </w:t>
                  </w:r>
                  <w:r w:rsidRPr="001446F5">
                    <w:rPr>
                      <w:rStyle w:val="NoteLabel"/>
                    </w:rPr>
                    <w:t>a</w:t>
                  </w:r>
                  <w:r w:rsidRPr="002837CA">
                    <w:t xml:space="preserve"> (ranging from 1.0 for perfect health to 0.0 for death)</w:t>
                  </w:r>
                </w:p>
              </w:tc>
            </w:tr>
            <w:tr w:rsidR="002837CA" w:rsidRPr="002837CA" w14:paraId="1EA390EA" w14:textId="77777777" w:rsidTr="008E6751">
              <w:tc>
                <w:tcPr>
                  <w:tcW w:w="1277" w:type="dxa"/>
                </w:tcPr>
                <w:p w14:paraId="1EA390E6" w14:textId="77777777" w:rsidR="002837CA" w:rsidRPr="002837CA" w:rsidRDefault="002837CA" w:rsidP="001446F5">
                  <w:pPr>
                    <w:pStyle w:val="TableBodyText"/>
                    <w:jc w:val="left"/>
                  </w:pPr>
                  <w:r w:rsidRPr="002837CA">
                    <w:t>Participants</w:t>
                  </w:r>
                </w:p>
              </w:tc>
              <w:tc>
                <w:tcPr>
                  <w:tcW w:w="2127" w:type="dxa"/>
                </w:tcPr>
                <w:p w14:paraId="1EA390E7" w14:textId="77777777" w:rsidR="002837CA" w:rsidRPr="002837CA" w:rsidRDefault="002837CA" w:rsidP="001446F5">
                  <w:pPr>
                    <w:pStyle w:val="TableBodyText"/>
                  </w:pPr>
                  <w:r w:rsidRPr="002837CA">
                    <w:t>3.23 to 3.20 (a 0.03 improvement)</w:t>
                  </w:r>
                </w:p>
              </w:tc>
              <w:tc>
                <w:tcPr>
                  <w:tcW w:w="2410" w:type="dxa"/>
                </w:tcPr>
                <w:p w14:paraId="1EA390E8" w14:textId="77777777" w:rsidR="002837CA" w:rsidRPr="002837CA" w:rsidRDefault="002837CA" w:rsidP="001446F5">
                  <w:pPr>
                    <w:pStyle w:val="TableBodyText"/>
                  </w:pPr>
                  <w:r w:rsidRPr="002837CA">
                    <w:t>17.22 to 16.31 (a 0.91 improvement)</w:t>
                  </w:r>
                </w:p>
              </w:tc>
              <w:tc>
                <w:tcPr>
                  <w:tcW w:w="2527" w:type="dxa"/>
                </w:tcPr>
                <w:p w14:paraId="1EA390E9" w14:textId="77777777" w:rsidR="002837CA" w:rsidRPr="002837CA" w:rsidRDefault="002837CA" w:rsidP="001446F5">
                  <w:pPr>
                    <w:pStyle w:val="TableBodyText"/>
                  </w:pPr>
                  <w:r w:rsidRPr="002837CA">
                    <w:t>0.74 to 0.74 (no change)</w:t>
                  </w:r>
                </w:p>
              </w:tc>
            </w:tr>
            <w:tr w:rsidR="002837CA" w:rsidRPr="002837CA" w14:paraId="1EA390EF" w14:textId="77777777" w:rsidTr="008E6751">
              <w:tc>
                <w:tcPr>
                  <w:tcW w:w="1277" w:type="dxa"/>
                </w:tcPr>
                <w:p w14:paraId="1EA390EB" w14:textId="77777777" w:rsidR="002837CA" w:rsidRPr="002837CA" w:rsidRDefault="002837CA" w:rsidP="001446F5">
                  <w:pPr>
                    <w:pStyle w:val="TableBodyText"/>
                    <w:jc w:val="left"/>
                  </w:pPr>
                  <w:r w:rsidRPr="002837CA">
                    <w:t>Control group</w:t>
                  </w:r>
                </w:p>
              </w:tc>
              <w:tc>
                <w:tcPr>
                  <w:tcW w:w="2127" w:type="dxa"/>
                </w:tcPr>
                <w:p w14:paraId="1EA390EC" w14:textId="77777777" w:rsidR="002837CA" w:rsidRPr="002837CA" w:rsidRDefault="002837CA" w:rsidP="001446F5">
                  <w:pPr>
                    <w:pStyle w:val="TableBodyText"/>
                  </w:pPr>
                  <w:r w:rsidRPr="002837CA">
                    <w:t>3.31 to 3.35 (a 0.04 deterioration)</w:t>
                  </w:r>
                </w:p>
              </w:tc>
              <w:tc>
                <w:tcPr>
                  <w:tcW w:w="2410" w:type="dxa"/>
                </w:tcPr>
                <w:p w14:paraId="1EA390ED" w14:textId="77777777" w:rsidR="002837CA" w:rsidRPr="002837CA" w:rsidRDefault="002837CA" w:rsidP="001446F5">
                  <w:pPr>
                    <w:pStyle w:val="TableBodyText"/>
                  </w:pPr>
                  <w:r w:rsidRPr="002837CA">
                    <w:t>17.69 to 17.57 (a 0.12 improvement)</w:t>
                  </w:r>
                </w:p>
              </w:tc>
              <w:tc>
                <w:tcPr>
                  <w:tcW w:w="2527" w:type="dxa"/>
                </w:tcPr>
                <w:p w14:paraId="1EA390EE" w14:textId="77777777" w:rsidR="002837CA" w:rsidRPr="002837CA" w:rsidRDefault="002837CA" w:rsidP="001446F5">
                  <w:pPr>
                    <w:pStyle w:val="TableBodyText"/>
                  </w:pPr>
                  <w:r w:rsidRPr="002837CA">
                    <w:t>0.73 to 0.69 (a 0.04 deterioration)</w:t>
                  </w:r>
                </w:p>
              </w:tc>
            </w:tr>
            <w:tr w:rsidR="002837CA" w:rsidRPr="002837CA" w14:paraId="1EA390F4" w14:textId="77777777" w:rsidTr="008E6751">
              <w:tc>
                <w:tcPr>
                  <w:tcW w:w="1277" w:type="dxa"/>
                  <w:tcBorders>
                    <w:bottom w:val="single" w:sz="6" w:space="0" w:color="BFBFBF"/>
                  </w:tcBorders>
                  <w:shd w:val="clear" w:color="auto" w:fill="auto"/>
                </w:tcPr>
                <w:p w14:paraId="1EA390F0" w14:textId="77777777" w:rsidR="002837CA" w:rsidRPr="002837CA" w:rsidRDefault="002837CA" w:rsidP="001446F5">
                  <w:pPr>
                    <w:pStyle w:val="TableBodyText"/>
                    <w:jc w:val="left"/>
                  </w:pPr>
                  <w:r w:rsidRPr="002837CA">
                    <w:t>Impact</w:t>
                  </w:r>
                </w:p>
              </w:tc>
              <w:tc>
                <w:tcPr>
                  <w:tcW w:w="2127" w:type="dxa"/>
                  <w:tcBorders>
                    <w:bottom w:val="single" w:sz="6" w:space="0" w:color="BFBFBF"/>
                  </w:tcBorders>
                </w:tcPr>
                <w:p w14:paraId="1EA390F1" w14:textId="77777777" w:rsidR="002837CA" w:rsidRPr="002837CA" w:rsidRDefault="002837CA" w:rsidP="001446F5">
                  <w:pPr>
                    <w:pStyle w:val="TableBodyText"/>
                  </w:pPr>
                  <w:r w:rsidRPr="002837CA">
                    <w:t>0.07 better off</w:t>
                  </w:r>
                </w:p>
              </w:tc>
              <w:tc>
                <w:tcPr>
                  <w:tcW w:w="2410" w:type="dxa"/>
                  <w:tcBorders>
                    <w:bottom w:val="single" w:sz="6" w:space="0" w:color="BFBFBF"/>
                  </w:tcBorders>
                  <w:shd w:val="clear" w:color="auto" w:fill="auto"/>
                </w:tcPr>
                <w:p w14:paraId="1EA390F2" w14:textId="77777777" w:rsidR="002837CA" w:rsidRPr="002837CA" w:rsidRDefault="002837CA" w:rsidP="001446F5">
                  <w:pPr>
                    <w:pStyle w:val="TableBodyText"/>
                  </w:pPr>
                  <w:r w:rsidRPr="002837CA">
                    <w:t>0.79 better off</w:t>
                  </w:r>
                </w:p>
              </w:tc>
              <w:tc>
                <w:tcPr>
                  <w:tcW w:w="2527" w:type="dxa"/>
                  <w:tcBorders>
                    <w:bottom w:val="single" w:sz="6" w:space="0" w:color="BFBFBF"/>
                  </w:tcBorders>
                  <w:shd w:val="clear" w:color="auto" w:fill="auto"/>
                </w:tcPr>
                <w:p w14:paraId="1EA390F3" w14:textId="77777777" w:rsidR="002837CA" w:rsidRPr="002837CA" w:rsidRDefault="002837CA" w:rsidP="001446F5">
                  <w:pPr>
                    <w:pStyle w:val="TableBodyText"/>
                  </w:pPr>
                  <w:r w:rsidRPr="002837CA">
                    <w:t>0.04 better off</w:t>
                  </w:r>
                </w:p>
              </w:tc>
            </w:tr>
          </w:tbl>
          <w:p w14:paraId="1EA390F5" w14:textId="77777777" w:rsidR="002837CA" w:rsidRPr="002837CA" w:rsidRDefault="002837CA" w:rsidP="002837CA">
            <w:pPr>
              <w:keepNext/>
              <w:spacing w:before="120" w:line="260" w:lineRule="atLeast"/>
              <w:jc w:val="both"/>
              <w:rPr>
                <w:rFonts w:ascii="Arial" w:hAnsi="Arial"/>
              </w:rPr>
            </w:pPr>
          </w:p>
        </w:tc>
      </w:tr>
      <w:tr w:rsidR="002837CA" w:rsidRPr="002837CA" w14:paraId="1EA390F8" w14:textId="77777777" w:rsidTr="00B97386">
        <w:tc>
          <w:tcPr>
            <w:tcW w:w="8771" w:type="dxa"/>
            <w:tcBorders>
              <w:top w:val="nil"/>
              <w:left w:val="nil"/>
              <w:bottom w:val="nil"/>
              <w:right w:val="nil"/>
            </w:tcBorders>
            <w:shd w:val="clear" w:color="auto" w:fill="auto"/>
          </w:tcPr>
          <w:p w14:paraId="1EA390F7" w14:textId="77777777" w:rsidR="002837CA" w:rsidRPr="002837CA" w:rsidRDefault="001446F5" w:rsidP="001446F5">
            <w:pPr>
              <w:pStyle w:val="Note"/>
              <w:rPr>
                <w:i/>
              </w:rPr>
            </w:pPr>
            <w:r>
              <w:rPr>
                <w:rStyle w:val="NoteLabel"/>
              </w:rPr>
              <w:t>a</w:t>
            </w:r>
            <w:r>
              <w:t xml:space="preserve"> </w:t>
            </w:r>
            <w:r w:rsidR="002837CA" w:rsidRPr="002837CA">
              <w:t>EuroQol 5D measures health in terms of mobility, self</w:t>
            </w:r>
            <w:r w:rsidR="002837CA" w:rsidRPr="002837CA">
              <w:noBreakHyphen/>
              <w:t>care, usual activities, pain/discomfort and anxiety/depression.</w:t>
            </w:r>
          </w:p>
        </w:tc>
      </w:tr>
      <w:tr w:rsidR="002837CA" w:rsidRPr="002837CA" w14:paraId="1EA390FA" w14:textId="77777777" w:rsidTr="00B97386">
        <w:tc>
          <w:tcPr>
            <w:tcW w:w="8771" w:type="dxa"/>
            <w:tcBorders>
              <w:top w:val="nil"/>
              <w:left w:val="nil"/>
              <w:bottom w:val="nil"/>
              <w:right w:val="nil"/>
            </w:tcBorders>
            <w:shd w:val="clear" w:color="auto" w:fill="auto"/>
          </w:tcPr>
          <w:p w14:paraId="1EA390F9" w14:textId="492E37B1" w:rsidR="002837CA" w:rsidRPr="002837CA" w:rsidRDefault="002837CA" w:rsidP="001446F5">
            <w:pPr>
              <w:pStyle w:val="Source"/>
            </w:pPr>
            <w:r w:rsidRPr="002837CA">
              <w:rPr>
                <w:i/>
              </w:rPr>
              <w:t>Source</w:t>
            </w:r>
            <w:r w:rsidRPr="002837CA">
              <w:t>: Australian Government Department of Health and Ageing </w:t>
            </w:r>
            <w:r w:rsidR="00C65A42" w:rsidRPr="00C65A42">
              <w:rPr>
                <w:rFonts w:cs="Arial"/>
              </w:rPr>
              <w:t>(</w:t>
            </w:r>
            <w:r w:rsidR="00B55E9E">
              <w:rPr>
                <w:rFonts w:cs="Arial"/>
              </w:rPr>
              <w:t xml:space="preserve">DoHA </w:t>
            </w:r>
            <w:r w:rsidR="00C65A42" w:rsidRPr="00C65A42">
              <w:rPr>
                <w:rFonts w:cs="Arial"/>
              </w:rPr>
              <w:t>2007)</w:t>
            </w:r>
            <w:r w:rsidRPr="002837CA">
              <w:t>.</w:t>
            </w:r>
          </w:p>
        </w:tc>
      </w:tr>
      <w:tr w:rsidR="002837CA" w:rsidRPr="002837CA" w14:paraId="1EA390FC" w14:textId="77777777" w:rsidTr="00B97386">
        <w:tc>
          <w:tcPr>
            <w:tcW w:w="8771" w:type="dxa"/>
            <w:tcBorders>
              <w:top w:val="nil"/>
              <w:left w:val="nil"/>
              <w:bottom w:val="single" w:sz="6" w:space="0" w:color="78A22F"/>
              <w:right w:val="nil"/>
            </w:tcBorders>
            <w:shd w:val="clear" w:color="auto" w:fill="auto"/>
          </w:tcPr>
          <w:p w14:paraId="1EA390FB" w14:textId="77777777" w:rsidR="002837CA" w:rsidRPr="002837CA" w:rsidRDefault="002837CA" w:rsidP="00F576FE">
            <w:pPr>
              <w:keepNext/>
              <w:spacing w:line="120" w:lineRule="exact"/>
              <w:jc w:val="both"/>
              <w:rPr>
                <w:rFonts w:ascii="Arial" w:hAnsi="Arial"/>
              </w:rPr>
            </w:pPr>
          </w:p>
        </w:tc>
      </w:tr>
      <w:tr w:rsidR="002837CA" w:rsidRPr="002837CA" w14:paraId="1EA390FE" w14:textId="77777777" w:rsidTr="00B97386">
        <w:tc>
          <w:tcPr>
            <w:tcW w:w="8771" w:type="dxa"/>
            <w:tcBorders>
              <w:top w:val="single" w:sz="6" w:space="0" w:color="78A22F"/>
              <w:left w:val="nil"/>
              <w:bottom w:val="nil"/>
              <w:right w:val="nil"/>
            </w:tcBorders>
          </w:tcPr>
          <w:p w14:paraId="1EA390FD" w14:textId="77777777" w:rsidR="002837CA" w:rsidRPr="002837CA" w:rsidRDefault="002837CA" w:rsidP="001446F5">
            <w:pPr>
              <w:pStyle w:val="BoxSpaceBelow"/>
            </w:pPr>
          </w:p>
        </w:tc>
      </w:tr>
    </w:tbl>
    <w:p w14:paraId="1EA390FF" w14:textId="77777777" w:rsidR="002837CA" w:rsidRDefault="002837CA" w:rsidP="00AA2C6D">
      <w:pPr>
        <w:pStyle w:val="BodyText"/>
      </w:pPr>
      <w:r w:rsidRPr="002837CA">
        <w:t>The evaluation also reported financial impacts. Including the cost of care coordination (about $151</w:t>
      </w:r>
      <w:r w:rsidR="002549FE">
        <w:t> </w:t>
      </w:r>
      <w:r w:rsidRPr="002837CA">
        <w:t>each quarter for each participant), the difference in cost for the intervention group relative to the control group was higher throughout the trial, but the difference declined over the first nine months (table</w:t>
      </w:r>
      <w:r w:rsidR="002549FE">
        <w:t> A</w:t>
      </w:r>
      <w:r w:rsidRPr="002837CA">
        <w:t xml:space="preserve">.2). The length of the trial (and the number of participants) was insufficient to indicate whether the cost differential would have favoured the intervention group in the longer term. </w:t>
      </w:r>
      <w:r w:rsidR="00AE34C4">
        <w:t>T</w:t>
      </w:r>
      <w:r w:rsidR="00AE34C4" w:rsidRPr="002837CA">
        <w:t>he size of the trial was too small to provide statistically significant evidence of an impact on costs.</w:t>
      </w:r>
      <w:r w:rsidRPr="002837CA">
        <w:t xml:space="preserve"> </w:t>
      </w:r>
    </w:p>
    <w:p w14:paraId="1EA39100" w14:textId="77777777" w:rsidR="00BA2C53" w:rsidRDefault="00BA2C53" w:rsidP="004D0D4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9073"/>
      </w:tblGrid>
      <w:tr w:rsidR="00BA2C53" w14:paraId="1EA39103" w14:textId="77777777" w:rsidTr="004D0D4C">
        <w:tc>
          <w:tcPr>
            <w:tcW w:w="5000" w:type="pct"/>
            <w:tcBorders>
              <w:top w:val="single" w:sz="6" w:space="0" w:color="78A22F"/>
              <w:left w:val="nil"/>
              <w:bottom w:val="nil"/>
              <w:right w:val="nil"/>
            </w:tcBorders>
            <w:shd w:val="clear" w:color="auto" w:fill="auto"/>
          </w:tcPr>
          <w:p w14:paraId="1EA39101" w14:textId="77777777" w:rsidR="00BA2C53" w:rsidRDefault="00BA2C53" w:rsidP="00AF098D">
            <w:pPr>
              <w:pStyle w:val="TableTitle"/>
            </w:pPr>
            <w:r w:rsidRPr="00944790">
              <w:rPr>
                <w:b w:val="0"/>
              </w:rPr>
              <w:t xml:space="preserve">Table </w:t>
            </w:r>
            <w:r w:rsidR="002549FE" w:rsidRPr="00944790">
              <w:rPr>
                <w:b w:val="0"/>
              </w:rPr>
              <w:t>A</w:t>
            </w:r>
            <w:r w:rsidR="00AF321D" w:rsidRPr="00944790">
              <w:rPr>
                <w:b w:val="0"/>
              </w:rPr>
              <w:t>.2</w:t>
            </w:r>
            <w:r>
              <w:tab/>
            </w:r>
            <w:r w:rsidRPr="00BA2C53">
              <w:t>Total health costs (including cost of care coordination)</w:t>
            </w:r>
          </w:p>
          <w:p w14:paraId="1EA39102" w14:textId="77777777" w:rsidR="00BA2C53" w:rsidRPr="00784A05" w:rsidRDefault="00BA2C53" w:rsidP="004D0D4C">
            <w:pPr>
              <w:pStyle w:val="Subtitle"/>
            </w:pPr>
            <w:r w:rsidRPr="00BA2C53">
              <w:t>$ for the average participant</w:t>
            </w:r>
          </w:p>
        </w:tc>
      </w:tr>
      <w:tr w:rsidR="00BA2C53" w14:paraId="1EA3912D" w14:textId="77777777" w:rsidTr="004D0D4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508"/>
              <w:gridCol w:w="1447"/>
              <w:gridCol w:w="837"/>
              <w:gridCol w:w="837"/>
              <w:gridCol w:w="837"/>
              <w:gridCol w:w="831"/>
              <w:gridCol w:w="833"/>
              <w:gridCol w:w="833"/>
              <w:gridCol w:w="826"/>
            </w:tblGrid>
            <w:tr w:rsidR="00357AB3" w14:paraId="4C78BA5E" w14:textId="77777777" w:rsidTr="00737FFE">
              <w:trPr>
                <w:tblHeader/>
              </w:trPr>
              <w:tc>
                <w:tcPr>
                  <w:tcW w:w="858" w:type="pct"/>
                  <w:tcBorders>
                    <w:top w:val="single" w:sz="6" w:space="0" w:color="BFBFBF"/>
                    <w:bottom w:val="single" w:sz="6" w:space="0" w:color="BFBFBF"/>
                  </w:tcBorders>
                  <w:shd w:val="clear" w:color="auto" w:fill="808080" w:themeFill="background1" w:themeFillShade="80"/>
                  <w:tcMar>
                    <w:top w:w="28" w:type="dxa"/>
                  </w:tcMar>
                </w:tcPr>
                <w:p w14:paraId="6A90504F" w14:textId="77777777" w:rsidR="00357AB3" w:rsidRPr="00737FFE" w:rsidRDefault="00357AB3" w:rsidP="00BA2C53">
                  <w:pPr>
                    <w:pStyle w:val="TableColumnHeading"/>
                    <w:jc w:val="left"/>
                    <w:rPr>
                      <w:color w:val="FFFFFF" w:themeColor="background1"/>
                    </w:rPr>
                  </w:pPr>
                </w:p>
              </w:tc>
              <w:tc>
                <w:tcPr>
                  <w:tcW w:w="1299" w:type="pct"/>
                  <w:gridSpan w:val="2"/>
                  <w:tcBorders>
                    <w:top w:val="single" w:sz="6" w:space="0" w:color="BFBFBF"/>
                    <w:bottom w:val="single" w:sz="6" w:space="0" w:color="BFBFBF"/>
                  </w:tcBorders>
                  <w:shd w:val="clear" w:color="auto" w:fill="B2D673" w:themeFill="accent3"/>
                </w:tcPr>
                <w:p w14:paraId="04DD1132" w14:textId="65B9E692" w:rsidR="00357AB3" w:rsidRPr="00052891" w:rsidRDefault="00357AB3" w:rsidP="00BA2C53">
                  <w:pPr>
                    <w:pStyle w:val="TableColumnHeading"/>
                  </w:pPr>
                  <w:r>
                    <w:t>Pre-commencement</w:t>
                  </w:r>
                </w:p>
              </w:tc>
              <w:tc>
                <w:tcPr>
                  <w:tcW w:w="2843" w:type="pct"/>
                  <w:gridSpan w:val="6"/>
                  <w:tcBorders>
                    <w:top w:val="single" w:sz="6" w:space="0" w:color="BFBFBF"/>
                    <w:bottom w:val="single" w:sz="6" w:space="0" w:color="BFBFBF"/>
                  </w:tcBorders>
                  <w:shd w:val="clear" w:color="auto" w:fill="D7E4F6" w:themeFill="accent5" w:themeFillTint="33"/>
                </w:tcPr>
                <w:p w14:paraId="4A9EE309" w14:textId="57E21DE0" w:rsidR="00357AB3" w:rsidRPr="00052891" w:rsidRDefault="00357AB3" w:rsidP="00357AB3">
                  <w:pPr>
                    <w:pStyle w:val="TableColumnHeading"/>
                  </w:pPr>
                  <w:r>
                    <w:t>Trial</w:t>
                  </w:r>
                  <w:r w:rsidR="005306B7">
                    <w:t xml:space="preserve"> periods</w:t>
                  </w:r>
                </w:p>
              </w:tc>
            </w:tr>
            <w:tr w:rsidR="00BA2C53" w14:paraId="1EA3910D" w14:textId="77777777" w:rsidTr="00737FFE">
              <w:trPr>
                <w:tblHeader/>
              </w:trPr>
              <w:tc>
                <w:tcPr>
                  <w:tcW w:w="858" w:type="pct"/>
                  <w:tcBorders>
                    <w:top w:val="single" w:sz="6" w:space="0" w:color="BFBFBF"/>
                    <w:bottom w:val="single" w:sz="6" w:space="0" w:color="BFBFBF"/>
                  </w:tcBorders>
                  <w:shd w:val="clear" w:color="auto" w:fill="808080" w:themeFill="background1" w:themeFillShade="80"/>
                  <w:tcMar>
                    <w:top w:w="28" w:type="dxa"/>
                  </w:tcMar>
                </w:tcPr>
                <w:p w14:paraId="1EA39104" w14:textId="77777777" w:rsidR="00BA2C53" w:rsidRPr="00737FFE" w:rsidRDefault="00BA2C53" w:rsidP="00BA2C53">
                  <w:pPr>
                    <w:pStyle w:val="TableColumnHeading"/>
                    <w:jc w:val="left"/>
                    <w:rPr>
                      <w:color w:val="FFFFFF" w:themeColor="background1"/>
                    </w:rPr>
                  </w:pPr>
                </w:p>
              </w:tc>
              <w:tc>
                <w:tcPr>
                  <w:tcW w:w="823" w:type="pct"/>
                  <w:tcBorders>
                    <w:top w:val="single" w:sz="6" w:space="0" w:color="BFBFBF"/>
                    <w:bottom w:val="single" w:sz="6" w:space="0" w:color="BFBFBF"/>
                  </w:tcBorders>
                  <w:shd w:val="clear" w:color="auto" w:fill="B2D673" w:themeFill="accent3"/>
                </w:tcPr>
                <w:p w14:paraId="1EA39105" w14:textId="7B046D0C" w:rsidR="00BA2C53" w:rsidRDefault="00357AB3" w:rsidP="00BA2C53">
                  <w:pPr>
                    <w:pStyle w:val="TableColumnHeading"/>
                  </w:pPr>
                  <w:r>
                    <w:t>3-6</w:t>
                  </w:r>
                  <w:r w:rsidR="00BA2C53" w:rsidRPr="00052891">
                    <w:t xml:space="preserve"> </w:t>
                  </w:r>
                  <w:r w:rsidR="00804182">
                    <w:br/>
                  </w:r>
                  <w:r w:rsidR="00BA2C53" w:rsidRPr="00052891">
                    <w:t>months</w:t>
                  </w:r>
                </w:p>
              </w:tc>
              <w:tc>
                <w:tcPr>
                  <w:tcW w:w="476" w:type="pct"/>
                  <w:tcBorders>
                    <w:top w:val="single" w:sz="6" w:space="0" w:color="BFBFBF"/>
                    <w:bottom w:val="single" w:sz="6" w:space="0" w:color="BFBFBF"/>
                  </w:tcBorders>
                  <w:shd w:val="clear" w:color="auto" w:fill="B2D673" w:themeFill="accent3"/>
                </w:tcPr>
                <w:p w14:paraId="1EA39106" w14:textId="00352A34" w:rsidR="00BA2C53" w:rsidRDefault="00357AB3" w:rsidP="00BA2C53">
                  <w:pPr>
                    <w:pStyle w:val="TableColumnHeading"/>
                  </w:pPr>
                  <w:r>
                    <w:t>0-3</w:t>
                  </w:r>
                  <w:r w:rsidR="00BA2C53" w:rsidRPr="00052891">
                    <w:t xml:space="preserve"> months</w:t>
                  </w:r>
                </w:p>
              </w:tc>
              <w:tc>
                <w:tcPr>
                  <w:tcW w:w="476" w:type="pct"/>
                  <w:tcBorders>
                    <w:top w:val="single" w:sz="6" w:space="0" w:color="BFBFBF"/>
                    <w:bottom w:val="single" w:sz="6" w:space="0" w:color="BFBFBF"/>
                  </w:tcBorders>
                  <w:shd w:val="clear" w:color="auto" w:fill="D7E4F6" w:themeFill="accent5" w:themeFillTint="33"/>
                </w:tcPr>
                <w:p w14:paraId="1EA39107" w14:textId="162C51E6" w:rsidR="00BA2C53" w:rsidRDefault="00357AB3" w:rsidP="00BA2C53">
                  <w:pPr>
                    <w:pStyle w:val="TableColumnHeading"/>
                  </w:pPr>
                  <w:r>
                    <w:t>0</w:t>
                  </w:r>
                  <w:r>
                    <w:noBreakHyphen/>
                  </w:r>
                  <w:r w:rsidR="00BA2C53" w:rsidRPr="00052891">
                    <w:t>3 months</w:t>
                  </w:r>
                </w:p>
              </w:tc>
              <w:tc>
                <w:tcPr>
                  <w:tcW w:w="476" w:type="pct"/>
                  <w:tcBorders>
                    <w:top w:val="single" w:sz="6" w:space="0" w:color="BFBFBF"/>
                    <w:bottom w:val="single" w:sz="6" w:space="0" w:color="BFBFBF"/>
                  </w:tcBorders>
                  <w:shd w:val="clear" w:color="auto" w:fill="D7E4F6" w:themeFill="accent5" w:themeFillTint="33"/>
                </w:tcPr>
                <w:p w14:paraId="1EA39108" w14:textId="2B52E4A0" w:rsidR="00BA2C53" w:rsidRDefault="00357AB3" w:rsidP="00BA2C53">
                  <w:pPr>
                    <w:pStyle w:val="TableColumnHeading"/>
                  </w:pPr>
                  <w:r>
                    <w:t>3</w:t>
                  </w:r>
                  <w:r>
                    <w:noBreakHyphen/>
                  </w:r>
                  <w:r w:rsidR="00BA2C53" w:rsidRPr="00052891">
                    <w:t>6 months</w:t>
                  </w:r>
                </w:p>
              </w:tc>
              <w:tc>
                <w:tcPr>
                  <w:tcW w:w="473" w:type="pct"/>
                  <w:tcBorders>
                    <w:top w:val="single" w:sz="6" w:space="0" w:color="BFBFBF"/>
                    <w:bottom w:val="single" w:sz="6" w:space="0" w:color="BFBFBF"/>
                  </w:tcBorders>
                  <w:shd w:val="clear" w:color="auto" w:fill="D7E4F6" w:themeFill="accent5" w:themeFillTint="33"/>
                </w:tcPr>
                <w:p w14:paraId="1EA39109" w14:textId="73BF358E" w:rsidR="00BA2C53" w:rsidRDefault="00357AB3" w:rsidP="00BA2C53">
                  <w:pPr>
                    <w:pStyle w:val="TableColumnHeading"/>
                  </w:pPr>
                  <w:r>
                    <w:t>6</w:t>
                  </w:r>
                  <w:r>
                    <w:noBreakHyphen/>
                  </w:r>
                  <w:r w:rsidR="00BA2C53" w:rsidRPr="00052891">
                    <w:t>9 months</w:t>
                  </w:r>
                </w:p>
              </w:tc>
              <w:tc>
                <w:tcPr>
                  <w:tcW w:w="474" w:type="pct"/>
                  <w:tcBorders>
                    <w:top w:val="single" w:sz="6" w:space="0" w:color="BFBFBF"/>
                    <w:bottom w:val="single" w:sz="6" w:space="0" w:color="BFBFBF"/>
                  </w:tcBorders>
                  <w:shd w:val="clear" w:color="auto" w:fill="D7E4F6" w:themeFill="accent5" w:themeFillTint="33"/>
                </w:tcPr>
                <w:p w14:paraId="1EA3910A" w14:textId="78E70E66" w:rsidR="00BA2C53" w:rsidRDefault="00357AB3" w:rsidP="00BA2C53">
                  <w:pPr>
                    <w:pStyle w:val="TableColumnHeading"/>
                  </w:pPr>
                  <w:r>
                    <w:t>9</w:t>
                  </w:r>
                  <w:r>
                    <w:noBreakHyphen/>
                  </w:r>
                  <w:r w:rsidR="00BA2C53" w:rsidRPr="00052891">
                    <w:t>12 months</w:t>
                  </w:r>
                </w:p>
              </w:tc>
              <w:tc>
                <w:tcPr>
                  <w:tcW w:w="474" w:type="pct"/>
                  <w:tcBorders>
                    <w:top w:val="single" w:sz="6" w:space="0" w:color="BFBFBF"/>
                    <w:bottom w:val="single" w:sz="6" w:space="0" w:color="BFBFBF"/>
                  </w:tcBorders>
                  <w:shd w:val="clear" w:color="auto" w:fill="D7E4F6" w:themeFill="accent5" w:themeFillTint="33"/>
                  <w:tcMar>
                    <w:top w:w="28" w:type="dxa"/>
                  </w:tcMar>
                </w:tcPr>
                <w:p w14:paraId="1EA3910B" w14:textId="022E3DB1" w:rsidR="00BA2C53" w:rsidRDefault="00357AB3" w:rsidP="00BA2C53">
                  <w:pPr>
                    <w:pStyle w:val="TableColumnHeading"/>
                  </w:pPr>
                  <w:r>
                    <w:t>12</w:t>
                  </w:r>
                  <w:r>
                    <w:noBreakHyphen/>
                  </w:r>
                  <w:r w:rsidR="00BA2C53" w:rsidRPr="00052891">
                    <w:t>15 months</w:t>
                  </w:r>
                </w:p>
              </w:tc>
              <w:tc>
                <w:tcPr>
                  <w:tcW w:w="470" w:type="pct"/>
                  <w:tcBorders>
                    <w:top w:val="single" w:sz="6" w:space="0" w:color="BFBFBF"/>
                    <w:bottom w:val="single" w:sz="6" w:space="0" w:color="BFBFBF"/>
                  </w:tcBorders>
                  <w:shd w:val="clear" w:color="auto" w:fill="D7E4F6" w:themeFill="accent5" w:themeFillTint="33"/>
                  <w:tcMar>
                    <w:top w:w="28" w:type="dxa"/>
                  </w:tcMar>
                </w:tcPr>
                <w:p w14:paraId="1EA3910C" w14:textId="481082C0" w:rsidR="00BA2C53" w:rsidRDefault="00357AB3" w:rsidP="00BA2C53">
                  <w:pPr>
                    <w:pStyle w:val="TableColumnHeading"/>
                    <w:ind w:right="28"/>
                  </w:pPr>
                  <w:r>
                    <w:t>15</w:t>
                  </w:r>
                  <w:r>
                    <w:noBreakHyphen/>
                  </w:r>
                  <w:r w:rsidR="00BA2C53" w:rsidRPr="00052891">
                    <w:t>18 months</w:t>
                  </w:r>
                </w:p>
              </w:tc>
            </w:tr>
            <w:tr w:rsidR="00BA2C53" w14:paraId="1EA39117" w14:textId="77777777" w:rsidTr="00737FFE">
              <w:tc>
                <w:tcPr>
                  <w:tcW w:w="858" w:type="pct"/>
                  <w:tcBorders>
                    <w:top w:val="single" w:sz="6" w:space="0" w:color="BFBFBF"/>
                  </w:tcBorders>
                  <w:shd w:val="clear" w:color="auto" w:fill="808080" w:themeFill="background1" w:themeFillShade="80"/>
                </w:tcPr>
                <w:p w14:paraId="1EA3910E" w14:textId="77777777" w:rsidR="00BA2C53" w:rsidRPr="00737FFE" w:rsidRDefault="00BA2C53" w:rsidP="00BA2C53">
                  <w:pPr>
                    <w:pStyle w:val="TableBodyText"/>
                    <w:jc w:val="left"/>
                    <w:rPr>
                      <w:color w:val="FFFFFF" w:themeColor="background1"/>
                    </w:rPr>
                  </w:pPr>
                  <w:r w:rsidRPr="00737FFE">
                    <w:rPr>
                      <w:color w:val="FFFFFF" w:themeColor="background1"/>
                    </w:rPr>
                    <w:t>Mean control</w:t>
                  </w:r>
                </w:p>
              </w:tc>
              <w:tc>
                <w:tcPr>
                  <w:tcW w:w="823" w:type="pct"/>
                  <w:tcBorders>
                    <w:top w:val="single" w:sz="6" w:space="0" w:color="BFBFBF"/>
                  </w:tcBorders>
                  <w:shd w:val="clear" w:color="auto" w:fill="B2D673" w:themeFill="accent3"/>
                  <w:vAlign w:val="bottom"/>
                </w:tcPr>
                <w:p w14:paraId="1EA3910F" w14:textId="77777777" w:rsidR="00BA2C53" w:rsidRDefault="00BA2C53" w:rsidP="00BA2C53">
                  <w:pPr>
                    <w:pStyle w:val="TableBodyText"/>
                  </w:pPr>
                  <w:r w:rsidRPr="002837CA">
                    <w:t>1 265</w:t>
                  </w:r>
                </w:p>
              </w:tc>
              <w:tc>
                <w:tcPr>
                  <w:tcW w:w="476" w:type="pct"/>
                  <w:tcBorders>
                    <w:top w:val="single" w:sz="6" w:space="0" w:color="BFBFBF"/>
                  </w:tcBorders>
                  <w:shd w:val="clear" w:color="auto" w:fill="B2D673" w:themeFill="accent3"/>
                  <w:vAlign w:val="bottom"/>
                </w:tcPr>
                <w:p w14:paraId="1EA39110" w14:textId="77777777" w:rsidR="00BA2C53" w:rsidRDefault="00BA2C53" w:rsidP="00BA2C53">
                  <w:pPr>
                    <w:pStyle w:val="TableBodyText"/>
                  </w:pPr>
                  <w:r w:rsidRPr="002837CA">
                    <w:t>1 313</w:t>
                  </w:r>
                </w:p>
              </w:tc>
              <w:tc>
                <w:tcPr>
                  <w:tcW w:w="476" w:type="pct"/>
                  <w:tcBorders>
                    <w:top w:val="single" w:sz="6" w:space="0" w:color="BFBFBF"/>
                  </w:tcBorders>
                  <w:shd w:val="clear" w:color="auto" w:fill="D7E4F6" w:themeFill="accent5" w:themeFillTint="33"/>
                  <w:vAlign w:val="bottom"/>
                </w:tcPr>
                <w:p w14:paraId="1EA39111" w14:textId="77777777" w:rsidR="00BA2C53" w:rsidRDefault="00BA2C53" w:rsidP="00BA2C53">
                  <w:pPr>
                    <w:pStyle w:val="TableBodyText"/>
                  </w:pPr>
                  <w:r w:rsidRPr="002837CA">
                    <w:t>1 491</w:t>
                  </w:r>
                </w:p>
              </w:tc>
              <w:tc>
                <w:tcPr>
                  <w:tcW w:w="476" w:type="pct"/>
                  <w:tcBorders>
                    <w:top w:val="single" w:sz="6" w:space="0" w:color="BFBFBF"/>
                  </w:tcBorders>
                  <w:shd w:val="clear" w:color="auto" w:fill="D7E4F6" w:themeFill="accent5" w:themeFillTint="33"/>
                  <w:vAlign w:val="bottom"/>
                </w:tcPr>
                <w:p w14:paraId="1EA39112" w14:textId="77777777" w:rsidR="00BA2C53" w:rsidRDefault="00BA2C53" w:rsidP="00BA2C53">
                  <w:pPr>
                    <w:pStyle w:val="TableBodyText"/>
                  </w:pPr>
                  <w:r w:rsidRPr="002837CA">
                    <w:t>1 455</w:t>
                  </w:r>
                </w:p>
              </w:tc>
              <w:tc>
                <w:tcPr>
                  <w:tcW w:w="473" w:type="pct"/>
                  <w:tcBorders>
                    <w:top w:val="single" w:sz="6" w:space="0" w:color="BFBFBF"/>
                  </w:tcBorders>
                  <w:shd w:val="clear" w:color="auto" w:fill="D7E4F6" w:themeFill="accent5" w:themeFillTint="33"/>
                  <w:vAlign w:val="bottom"/>
                </w:tcPr>
                <w:p w14:paraId="1EA39113" w14:textId="77777777" w:rsidR="00BA2C53" w:rsidRDefault="00BA2C53" w:rsidP="00BA2C53">
                  <w:pPr>
                    <w:pStyle w:val="TableBodyText"/>
                  </w:pPr>
                  <w:r w:rsidRPr="002837CA">
                    <w:t>1 563</w:t>
                  </w:r>
                </w:p>
              </w:tc>
              <w:tc>
                <w:tcPr>
                  <w:tcW w:w="474" w:type="pct"/>
                  <w:tcBorders>
                    <w:top w:val="single" w:sz="6" w:space="0" w:color="BFBFBF"/>
                  </w:tcBorders>
                  <w:shd w:val="clear" w:color="auto" w:fill="D7E4F6" w:themeFill="accent5" w:themeFillTint="33"/>
                  <w:vAlign w:val="bottom"/>
                </w:tcPr>
                <w:p w14:paraId="1EA39114" w14:textId="77777777" w:rsidR="00BA2C53" w:rsidRDefault="00BA2C53" w:rsidP="00BA2C53">
                  <w:pPr>
                    <w:pStyle w:val="TableBodyText"/>
                  </w:pPr>
                  <w:r w:rsidRPr="002837CA">
                    <w:t>1 764</w:t>
                  </w:r>
                </w:p>
              </w:tc>
              <w:tc>
                <w:tcPr>
                  <w:tcW w:w="474" w:type="pct"/>
                  <w:tcBorders>
                    <w:top w:val="single" w:sz="6" w:space="0" w:color="BFBFBF"/>
                  </w:tcBorders>
                  <w:shd w:val="clear" w:color="auto" w:fill="D7E4F6" w:themeFill="accent5" w:themeFillTint="33"/>
                  <w:vAlign w:val="bottom"/>
                </w:tcPr>
                <w:p w14:paraId="1EA39115" w14:textId="77777777" w:rsidR="00BA2C53" w:rsidRDefault="00BA2C53" w:rsidP="00BA2C53">
                  <w:pPr>
                    <w:pStyle w:val="TableBodyText"/>
                  </w:pPr>
                  <w:r w:rsidRPr="002837CA">
                    <w:t>1 748</w:t>
                  </w:r>
                </w:p>
              </w:tc>
              <w:tc>
                <w:tcPr>
                  <w:tcW w:w="470" w:type="pct"/>
                  <w:tcBorders>
                    <w:top w:val="single" w:sz="6" w:space="0" w:color="BFBFBF"/>
                  </w:tcBorders>
                  <w:shd w:val="clear" w:color="auto" w:fill="D7E4F6" w:themeFill="accent5" w:themeFillTint="33"/>
                  <w:vAlign w:val="bottom"/>
                </w:tcPr>
                <w:p w14:paraId="1EA39116" w14:textId="77777777" w:rsidR="00BA2C53" w:rsidRDefault="00BA2C53" w:rsidP="00BA2C53">
                  <w:pPr>
                    <w:pStyle w:val="TableBodyText"/>
                  </w:pPr>
                  <w:r w:rsidRPr="002837CA">
                    <w:t>1 688</w:t>
                  </w:r>
                </w:p>
              </w:tc>
            </w:tr>
            <w:tr w:rsidR="00BA2C53" w14:paraId="1EA39121" w14:textId="77777777" w:rsidTr="00737FFE">
              <w:tc>
                <w:tcPr>
                  <w:tcW w:w="858" w:type="pct"/>
                  <w:shd w:val="clear" w:color="auto" w:fill="808080" w:themeFill="background1" w:themeFillShade="80"/>
                </w:tcPr>
                <w:p w14:paraId="1EA39118" w14:textId="77777777" w:rsidR="00BA2C53" w:rsidRPr="00737FFE" w:rsidRDefault="00BA2C53" w:rsidP="00BA2C53">
                  <w:pPr>
                    <w:pStyle w:val="TableBodyText"/>
                    <w:jc w:val="left"/>
                    <w:rPr>
                      <w:color w:val="FFFFFF" w:themeColor="background1"/>
                    </w:rPr>
                  </w:pPr>
                  <w:r w:rsidRPr="00737FFE">
                    <w:rPr>
                      <w:color w:val="FFFFFF" w:themeColor="background1"/>
                    </w:rPr>
                    <w:t>Mean intervention</w:t>
                  </w:r>
                </w:p>
              </w:tc>
              <w:tc>
                <w:tcPr>
                  <w:tcW w:w="823" w:type="pct"/>
                  <w:shd w:val="clear" w:color="auto" w:fill="B2D673" w:themeFill="accent3"/>
                  <w:vAlign w:val="bottom"/>
                </w:tcPr>
                <w:p w14:paraId="1EA39119" w14:textId="77777777" w:rsidR="00BA2C53" w:rsidRDefault="00BA2C53" w:rsidP="00BA2C53">
                  <w:pPr>
                    <w:pStyle w:val="TableBodyText"/>
                  </w:pPr>
                  <w:r w:rsidRPr="002837CA">
                    <w:t>1 517</w:t>
                  </w:r>
                </w:p>
              </w:tc>
              <w:tc>
                <w:tcPr>
                  <w:tcW w:w="476" w:type="pct"/>
                  <w:shd w:val="clear" w:color="auto" w:fill="B2D673" w:themeFill="accent3"/>
                  <w:vAlign w:val="bottom"/>
                </w:tcPr>
                <w:p w14:paraId="1EA3911A" w14:textId="77777777" w:rsidR="00BA2C53" w:rsidRDefault="00BA2C53" w:rsidP="00BA2C53">
                  <w:pPr>
                    <w:pStyle w:val="TableBodyText"/>
                  </w:pPr>
                  <w:r w:rsidRPr="002837CA">
                    <w:t>1 385</w:t>
                  </w:r>
                </w:p>
              </w:tc>
              <w:tc>
                <w:tcPr>
                  <w:tcW w:w="476" w:type="pct"/>
                  <w:shd w:val="clear" w:color="auto" w:fill="D7E4F6" w:themeFill="accent5" w:themeFillTint="33"/>
                  <w:vAlign w:val="bottom"/>
                </w:tcPr>
                <w:p w14:paraId="1EA3911B" w14:textId="77777777" w:rsidR="00BA2C53" w:rsidRDefault="00BA2C53" w:rsidP="00BA2C53">
                  <w:pPr>
                    <w:pStyle w:val="TableBodyText"/>
                  </w:pPr>
                  <w:r w:rsidRPr="002837CA">
                    <w:t>1 987</w:t>
                  </w:r>
                </w:p>
              </w:tc>
              <w:tc>
                <w:tcPr>
                  <w:tcW w:w="476" w:type="pct"/>
                  <w:shd w:val="clear" w:color="auto" w:fill="D7E4F6" w:themeFill="accent5" w:themeFillTint="33"/>
                  <w:vAlign w:val="bottom"/>
                </w:tcPr>
                <w:p w14:paraId="1EA3911C" w14:textId="77777777" w:rsidR="00BA2C53" w:rsidRDefault="00BA2C53" w:rsidP="00BA2C53">
                  <w:pPr>
                    <w:pStyle w:val="TableBodyText"/>
                  </w:pPr>
                  <w:r w:rsidRPr="002837CA">
                    <w:t>1 837</w:t>
                  </w:r>
                </w:p>
              </w:tc>
              <w:tc>
                <w:tcPr>
                  <w:tcW w:w="473" w:type="pct"/>
                  <w:shd w:val="clear" w:color="auto" w:fill="D7E4F6" w:themeFill="accent5" w:themeFillTint="33"/>
                  <w:vAlign w:val="bottom"/>
                </w:tcPr>
                <w:p w14:paraId="1EA3911D" w14:textId="77777777" w:rsidR="00BA2C53" w:rsidRDefault="00BA2C53" w:rsidP="00BA2C53">
                  <w:pPr>
                    <w:pStyle w:val="TableBodyText"/>
                  </w:pPr>
                  <w:r w:rsidRPr="002837CA">
                    <w:t>1 853</w:t>
                  </w:r>
                </w:p>
              </w:tc>
              <w:tc>
                <w:tcPr>
                  <w:tcW w:w="474" w:type="pct"/>
                  <w:shd w:val="clear" w:color="auto" w:fill="D7E4F6" w:themeFill="accent5" w:themeFillTint="33"/>
                  <w:vAlign w:val="bottom"/>
                </w:tcPr>
                <w:p w14:paraId="1EA3911E" w14:textId="77777777" w:rsidR="00BA2C53" w:rsidRDefault="00BA2C53" w:rsidP="00BA2C53">
                  <w:pPr>
                    <w:pStyle w:val="TableBodyText"/>
                  </w:pPr>
                  <w:r w:rsidRPr="002837CA">
                    <w:t>1 843</w:t>
                  </w:r>
                </w:p>
              </w:tc>
              <w:tc>
                <w:tcPr>
                  <w:tcW w:w="474" w:type="pct"/>
                  <w:shd w:val="clear" w:color="auto" w:fill="D7E4F6" w:themeFill="accent5" w:themeFillTint="33"/>
                  <w:vAlign w:val="bottom"/>
                </w:tcPr>
                <w:p w14:paraId="1EA3911F" w14:textId="77777777" w:rsidR="00BA2C53" w:rsidRDefault="00BA2C53" w:rsidP="00BA2C53">
                  <w:pPr>
                    <w:pStyle w:val="TableBodyText"/>
                  </w:pPr>
                  <w:r w:rsidRPr="002837CA">
                    <w:t>1 886</w:t>
                  </w:r>
                </w:p>
              </w:tc>
              <w:tc>
                <w:tcPr>
                  <w:tcW w:w="470" w:type="pct"/>
                  <w:shd w:val="clear" w:color="auto" w:fill="D7E4F6" w:themeFill="accent5" w:themeFillTint="33"/>
                  <w:vAlign w:val="bottom"/>
                </w:tcPr>
                <w:p w14:paraId="1EA39120" w14:textId="77777777" w:rsidR="00BA2C53" w:rsidRDefault="00BA2C53" w:rsidP="00BA2C53">
                  <w:pPr>
                    <w:pStyle w:val="TableBodyText"/>
                  </w:pPr>
                  <w:r w:rsidRPr="002837CA">
                    <w:t>1 787</w:t>
                  </w:r>
                </w:p>
              </w:tc>
            </w:tr>
            <w:tr w:rsidR="00BA2C53" w14:paraId="1EA3912B" w14:textId="77777777" w:rsidTr="00737FFE">
              <w:tc>
                <w:tcPr>
                  <w:tcW w:w="858" w:type="pct"/>
                  <w:tcBorders>
                    <w:bottom w:val="single" w:sz="6" w:space="0" w:color="BFBFBF"/>
                  </w:tcBorders>
                  <w:shd w:val="clear" w:color="auto" w:fill="808080" w:themeFill="background1" w:themeFillShade="80"/>
                </w:tcPr>
                <w:p w14:paraId="1EA39122" w14:textId="77777777" w:rsidR="00BA2C53" w:rsidRPr="00737FFE" w:rsidRDefault="00AE34C4" w:rsidP="00BA2C53">
                  <w:pPr>
                    <w:pStyle w:val="TableBodyText"/>
                    <w:jc w:val="left"/>
                    <w:rPr>
                      <w:color w:val="FFFFFF" w:themeColor="background1"/>
                    </w:rPr>
                  </w:pPr>
                  <w:r w:rsidRPr="00737FFE">
                    <w:rPr>
                      <w:color w:val="FFFFFF" w:themeColor="background1"/>
                    </w:rPr>
                    <w:t>Net cost</w:t>
                  </w:r>
                </w:p>
              </w:tc>
              <w:tc>
                <w:tcPr>
                  <w:tcW w:w="823" w:type="pct"/>
                  <w:tcBorders>
                    <w:bottom w:val="single" w:sz="6" w:space="0" w:color="BFBFBF"/>
                  </w:tcBorders>
                  <w:shd w:val="clear" w:color="auto" w:fill="B2D673" w:themeFill="accent3"/>
                  <w:vAlign w:val="bottom"/>
                </w:tcPr>
                <w:p w14:paraId="1EA39123" w14:textId="77777777" w:rsidR="00BA2C53" w:rsidRDefault="00BA2C53" w:rsidP="00BA2C53">
                  <w:pPr>
                    <w:pStyle w:val="TableBodyText"/>
                  </w:pPr>
                  <w:r w:rsidRPr="002837CA">
                    <w:t>252</w:t>
                  </w:r>
                  <w:r w:rsidRPr="00BA2C53">
                    <w:rPr>
                      <w:rStyle w:val="NoteLabel"/>
                    </w:rPr>
                    <w:t>a</w:t>
                  </w:r>
                </w:p>
              </w:tc>
              <w:tc>
                <w:tcPr>
                  <w:tcW w:w="476" w:type="pct"/>
                  <w:tcBorders>
                    <w:bottom w:val="single" w:sz="6" w:space="0" w:color="BFBFBF"/>
                  </w:tcBorders>
                  <w:shd w:val="clear" w:color="auto" w:fill="B2D673" w:themeFill="accent3"/>
                  <w:vAlign w:val="bottom"/>
                </w:tcPr>
                <w:p w14:paraId="1EA39124" w14:textId="77777777" w:rsidR="00BA2C53" w:rsidRDefault="00BA2C53" w:rsidP="00BA2C53">
                  <w:pPr>
                    <w:pStyle w:val="TableBodyText"/>
                  </w:pPr>
                  <w:r w:rsidRPr="002837CA">
                    <w:t>72</w:t>
                  </w:r>
                  <w:r w:rsidRPr="00BA2C53">
                    <w:rPr>
                      <w:rStyle w:val="NoteLabel"/>
                    </w:rPr>
                    <w:t>a</w:t>
                  </w:r>
                </w:p>
              </w:tc>
              <w:tc>
                <w:tcPr>
                  <w:tcW w:w="476" w:type="pct"/>
                  <w:tcBorders>
                    <w:bottom w:val="single" w:sz="6" w:space="0" w:color="BFBFBF"/>
                  </w:tcBorders>
                  <w:shd w:val="clear" w:color="auto" w:fill="D7E4F6" w:themeFill="accent5" w:themeFillTint="33"/>
                  <w:vAlign w:val="bottom"/>
                </w:tcPr>
                <w:p w14:paraId="1EA39125" w14:textId="77777777" w:rsidR="00BA2C53" w:rsidRDefault="00BA2C53" w:rsidP="00BA2C53">
                  <w:pPr>
                    <w:pStyle w:val="TableBodyText"/>
                  </w:pPr>
                  <w:r w:rsidRPr="002837CA">
                    <w:t>496</w:t>
                  </w:r>
                </w:p>
              </w:tc>
              <w:tc>
                <w:tcPr>
                  <w:tcW w:w="476" w:type="pct"/>
                  <w:tcBorders>
                    <w:bottom w:val="single" w:sz="6" w:space="0" w:color="BFBFBF"/>
                  </w:tcBorders>
                  <w:shd w:val="clear" w:color="auto" w:fill="D7E4F6" w:themeFill="accent5" w:themeFillTint="33"/>
                  <w:vAlign w:val="bottom"/>
                </w:tcPr>
                <w:p w14:paraId="1EA39126" w14:textId="77777777" w:rsidR="00BA2C53" w:rsidRDefault="00BA2C53" w:rsidP="00BA2C53">
                  <w:pPr>
                    <w:pStyle w:val="TableBodyText"/>
                  </w:pPr>
                  <w:r w:rsidRPr="002837CA">
                    <w:t>381</w:t>
                  </w:r>
                </w:p>
              </w:tc>
              <w:tc>
                <w:tcPr>
                  <w:tcW w:w="473" w:type="pct"/>
                  <w:tcBorders>
                    <w:bottom w:val="single" w:sz="6" w:space="0" w:color="BFBFBF"/>
                  </w:tcBorders>
                  <w:shd w:val="clear" w:color="auto" w:fill="D7E4F6" w:themeFill="accent5" w:themeFillTint="33"/>
                  <w:vAlign w:val="bottom"/>
                </w:tcPr>
                <w:p w14:paraId="1EA39127" w14:textId="77777777" w:rsidR="00BA2C53" w:rsidRDefault="00BA2C53" w:rsidP="00BA2C53">
                  <w:pPr>
                    <w:pStyle w:val="TableBodyText"/>
                  </w:pPr>
                  <w:r w:rsidRPr="002837CA">
                    <w:t>290</w:t>
                  </w:r>
                  <w:r w:rsidRPr="00BA2C53">
                    <w:rPr>
                      <w:rStyle w:val="NoteLabel"/>
                    </w:rPr>
                    <w:t>a</w:t>
                  </w:r>
                </w:p>
              </w:tc>
              <w:tc>
                <w:tcPr>
                  <w:tcW w:w="474" w:type="pct"/>
                  <w:tcBorders>
                    <w:bottom w:val="single" w:sz="6" w:space="0" w:color="BFBFBF"/>
                  </w:tcBorders>
                  <w:shd w:val="clear" w:color="auto" w:fill="D7E4F6" w:themeFill="accent5" w:themeFillTint="33"/>
                  <w:vAlign w:val="bottom"/>
                </w:tcPr>
                <w:p w14:paraId="1EA39128" w14:textId="77777777" w:rsidR="00BA2C53" w:rsidRDefault="00BA2C53" w:rsidP="00BA2C53">
                  <w:pPr>
                    <w:pStyle w:val="TableBodyText"/>
                  </w:pPr>
                  <w:r w:rsidRPr="002837CA">
                    <w:t>80</w:t>
                  </w:r>
                  <w:r w:rsidRPr="00BA2C53">
                    <w:rPr>
                      <w:rStyle w:val="NoteLabel"/>
                    </w:rPr>
                    <w:t>a</w:t>
                  </w:r>
                </w:p>
              </w:tc>
              <w:tc>
                <w:tcPr>
                  <w:tcW w:w="474" w:type="pct"/>
                  <w:tcBorders>
                    <w:bottom w:val="single" w:sz="6" w:space="0" w:color="BFBFBF"/>
                  </w:tcBorders>
                  <w:shd w:val="clear" w:color="auto" w:fill="D7E4F6" w:themeFill="accent5" w:themeFillTint="33"/>
                  <w:vAlign w:val="bottom"/>
                </w:tcPr>
                <w:p w14:paraId="1EA39129" w14:textId="77777777" w:rsidR="00BA2C53" w:rsidRDefault="00BA2C53" w:rsidP="00BA2C53">
                  <w:pPr>
                    <w:pStyle w:val="TableBodyText"/>
                  </w:pPr>
                  <w:r w:rsidRPr="002837CA">
                    <w:t>118</w:t>
                  </w:r>
                  <w:r w:rsidRPr="00BA2C53">
                    <w:rPr>
                      <w:rStyle w:val="NoteLabel"/>
                    </w:rPr>
                    <w:t>a</w:t>
                  </w:r>
                </w:p>
              </w:tc>
              <w:tc>
                <w:tcPr>
                  <w:tcW w:w="470" w:type="pct"/>
                  <w:tcBorders>
                    <w:bottom w:val="single" w:sz="6" w:space="0" w:color="BFBFBF"/>
                  </w:tcBorders>
                  <w:shd w:val="clear" w:color="auto" w:fill="D7E4F6" w:themeFill="accent5" w:themeFillTint="33"/>
                  <w:vAlign w:val="bottom"/>
                </w:tcPr>
                <w:p w14:paraId="1EA3912A" w14:textId="77777777" w:rsidR="00BA2C53" w:rsidRDefault="00BA2C53" w:rsidP="00BA2C53">
                  <w:pPr>
                    <w:pStyle w:val="TableBodyText"/>
                  </w:pPr>
                  <w:r w:rsidRPr="002837CA">
                    <w:t>99</w:t>
                  </w:r>
                  <w:r w:rsidRPr="00BA2C53">
                    <w:rPr>
                      <w:rStyle w:val="NoteLabel"/>
                    </w:rPr>
                    <w:t>a</w:t>
                  </w:r>
                </w:p>
              </w:tc>
            </w:tr>
          </w:tbl>
          <w:p w14:paraId="1EA3912C" w14:textId="77777777" w:rsidR="00BA2C53" w:rsidRDefault="00BA2C53" w:rsidP="004D0D4C">
            <w:pPr>
              <w:pStyle w:val="Box"/>
            </w:pPr>
          </w:p>
        </w:tc>
      </w:tr>
      <w:tr w:rsidR="00BA2C53" w14:paraId="1EA3912F" w14:textId="77777777" w:rsidTr="004D0D4C">
        <w:tc>
          <w:tcPr>
            <w:tcW w:w="5000" w:type="pct"/>
            <w:tcBorders>
              <w:top w:val="nil"/>
              <w:left w:val="nil"/>
              <w:bottom w:val="nil"/>
              <w:right w:val="nil"/>
            </w:tcBorders>
            <w:shd w:val="clear" w:color="auto" w:fill="auto"/>
          </w:tcPr>
          <w:p w14:paraId="1EA3912E" w14:textId="77777777" w:rsidR="00BA2C53" w:rsidRDefault="00BA2C53" w:rsidP="004D0D4C">
            <w:pPr>
              <w:pStyle w:val="Note"/>
              <w:rPr>
                <w:i/>
              </w:rPr>
            </w:pPr>
            <w:r w:rsidRPr="008E77FE">
              <w:rPr>
                <w:rStyle w:val="NoteLabel"/>
              </w:rPr>
              <w:t>a</w:t>
            </w:r>
            <w:r>
              <w:t xml:space="preserve"> </w:t>
            </w:r>
            <w:r w:rsidRPr="00BA2C53">
              <w:t>Not statistically significant at the 90 per cent level</w:t>
            </w:r>
            <w:r>
              <w:t>.</w:t>
            </w:r>
          </w:p>
        </w:tc>
      </w:tr>
      <w:tr w:rsidR="00BA2C53" w14:paraId="1EA39131" w14:textId="77777777" w:rsidTr="004D0D4C">
        <w:tc>
          <w:tcPr>
            <w:tcW w:w="5000" w:type="pct"/>
            <w:tcBorders>
              <w:top w:val="nil"/>
              <w:left w:val="nil"/>
              <w:bottom w:val="nil"/>
              <w:right w:val="nil"/>
            </w:tcBorders>
            <w:shd w:val="clear" w:color="auto" w:fill="auto"/>
          </w:tcPr>
          <w:p w14:paraId="1EA39130" w14:textId="7C48515F" w:rsidR="00BA2C53" w:rsidRDefault="00BA2C53" w:rsidP="004D0D4C">
            <w:pPr>
              <w:pStyle w:val="Source"/>
            </w:pPr>
            <w:r w:rsidRPr="00BA2C53">
              <w:rPr>
                <w:i/>
              </w:rPr>
              <w:t>Source</w:t>
            </w:r>
            <w:r w:rsidRPr="005534A3">
              <w:t>:</w:t>
            </w:r>
            <w:r w:rsidRPr="00BA2C53">
              <w:rPr>
                <w:i/>
              </w:rPr>
              <w:t xml:space="preserve"> </w:t>
            </w:r>
            <w:r w:rsidRPr="00BA2C53">
              <w:t>The Australian Government Department of Health and Ageing</w:t>
            </w:r>
            <w:r w:rsidR="005534A3">
              <w:rPr>
                <w:i/>
              </w:rPr>
              <w:t xml:space="preserve"> </w:t>
            </w:r>
            <w:r w:rsidR="00C65A42" w:rsidRPr="00C65A42">
              <w:rPr>
                <w:rFonts w:cs="Arial"/>
              </w:rPr>
              <w:t>(</w:t>
            </w:r>
            <w:r w:rsidR="00D54445">
              <w:rPr>
                <w:rFonts w:cs="Arial"/>
              </w:rPr>
              <w:t xml:space="preserve">DoHA </w:t>
            </w:r>
            <w:r w:rsidR="00C65A42" w:rsidRPr="00C65A42">
              <w:rPr>
                <w:rFonts w:cs="Arial"/>
              </w:rPr>
              <w:t>2007</w:t>
            </w:r>
            <w:r w:rsidR="00357AB3">
              <w:rPr>
                <w:rFonts w:cs="Arial"/>
              </w:rPr>
              <w:t>, p. 471</w:t>
            </w:r>
            <w:r w:rsidR="00C65A42" w:rsidRPr="00C65A42">
              <w:rPr>
                <w:rFonts w:cs="Arial"/>
              </w:rPr>
              <w:t>)</w:t>
            </w:r>
            <w:r>
              <w:rPr>
                <w:i/>
              </w:rPr>
              <w:t>.</w:t>
            </w:r>
          </w:p>
        </w:tc>
      </w:tr>
      <w:tr w:rsidR="00BA2C53" w14:paraId="1EA39133" w14:textId="77777777" w:rsidTr="004D0D4C">
        <w:tc>
          <w:tcPr>
            <w:tcW w:w="5000" w:type="pct"/>
            <w:tcBorders>
              <w:top w:val="nil"/>
              <w:left w:val="nil"/>
              <w:bottom w:val="single" w:sz="6" w:space="0" w:color="78A22F"/>
              <w:right w:val="nil"/>
            </w:tcBorders>
            <w:shd w:val="clear" w:color="auto" w:fill="auto"/>
          </w:tcPr>
          <w:p w14:paraId="1EA39132" w14:textId="77777777" w:rsidR="00BA2C53" w:rsidRDefault="00BA2C53" w:rsidP="004D0D4C">
            <w:pPr>
              <w:pStyle w:val="Box"/>
              <w:spacing w:before="0" w:line="120" w:lineRule="exact"/>
            </w:pPr>
          </w:p>
        </w:tc>
      </w:tr>
      <w:tr w:rsidR="00BA2C53" w:rsidRPr="000863A5" w14:paraId="1EA39135" w14:textId="77777777" w:rsidTr="004D0D4C">
        <w:tc>
          <w:tcPr>
            <w:tcW w:w="5000" w:type="pct"/>
            <w:tcBorders>
              <w:top w:val="single" w:sz="6" w:space="0" w:color="78A22F"/>
              <w:left w:val="nil"/>
              <w:bottom w:val="nil"/>
              <w:right w:val="nil"/>
            </w:tcBorders>
          </w:tcPr>
          <w:p w14:paraId="1EA39134" w14:textId="77777777" w:rsidR="00BA2C53" w:rsidRPr="00626D32" w:rsidRDefault="00BA2C53" w:rsidP="004D0D4C">
            <w:pPr>
              <w:pStyle w:val="BoxSpaceBelow"/>
            </w:pPr>
          </w:p>
        </w:tc>
      </w:tr>
    </w:tbl>
    <w:p w14:paraId="1EA39136" w14:textId="77777777" w:rsidR="002837CA" w:rsidRPr="002837CA" w:rsidRDefault="002837CA" w:rsidP="004D0D4C">
      <w:pPr>
        <w:pStyle w:val="BodyText"/>
      </w:pPr>
      <w:r w:rsidRPr="002837CA">
        <w:t>Building on the experience of the coordinated care trials, Brisbane North Primary Health Network and Metro North Hospital and Health Services (and their predecessors) have continued to seek opportunities to partner in the delivery of patient</w:t>
      </w:r>
      <w:r w:rsidRPr="002837CA">
        <w:noBreakHyphen/>
        <w:t>centred care (see Redcliffe trial below).</w:t>
      </w:r>
    </w:p>
    <w:p w14:paraId="1EA39137" w14:textId="77777777" w:rsidR="002837CA" w:rsidRPr="002837CA" w:rsidRDefault="002837CA" w:rsidP="004D0D4C">
      <w:pPr>
        <w:pStyle w:val="Heading3"/>
      </w:pPr>
      <w:r w:rsidRPr="002837CA">
        <w:t>GP Super Clinics</w:t>
      </w:r>
    </w:p>
    <w:p w14:paraId="1EA39138" w14:textId="77777777" w:rsidR="002837CA" w:rsidRPr="002837CA" w:rsidRDefault="00154E2D" w:rsidP="004D0D4C">
      <w:pPr>
        <w:pStyle w:val="BodyText"/>
      </w:pPr>
      <w:r>
        <w:t>The Australian G</w:t>
      </w:r>
      <w:r w:rsidR="002837CA" w:rsidRPr="002837CA">
        <w:t>overnment funded t</w:t>
      </w:r>
      <w:r w:rsidR="003442FE">
        <w:t xml:space="preserve">he establishment of </w:t>
      </w:r>
      <w:r w:rsidR="002837CA" w:rsidRPr="002837CA">
        <w:t xml:space="preserve">over 30 GP super clinics between 2007 and 2011. These clinics were intended to bring together a variety of health services including GPs, nursing, allied health, health education, specialists and other services in a single location. The objective was to deliver a more integrated health service for the convenience of patients. </w:t>
      </w:r>
    </w:p>
    <w:p w14:paraId="1EA39139" w14:textId="77777777" w:rsidR="002837CA" w:rsidRPr="002837CA" w:rsidRDefault="002837CA" w:rsidP="004D0D4C">
      <w:pPr>
        <w:pStyle w:val="BodyText"/>
      </w:pPr>
      <w:r w:rsidRPr="002837CA">
        <w:t>An evaluation of seven operational super clinics over the period 2007 and 2008 reported that 41 per</w:t>
      </w:r>
      <w:r w:rsidR="000039AE">
        <w:t> </w:t>
      </w:r>
      <w:r w:rsidRPr="002837CA">
        <w:t>cent</w:t>
      </w:r>
      <w:r w:rsidR="000039AE">
        <w:t xml:space="preserve"> of clinicians were GPs, 21 per </w:t>
      </w:r>
      <w:r w:rsidRPr="002837CA">
        <w:t>cent were nurses and the remaining 37 per cent were from a range of disciplines including psychologists, dieticians, physiotherapists and some specialists </w:t>
      </w:r>
      <w:r w:rsidR="00C65A42" w:rsidRPr="00C65A42">
        <w:rPr>
          <w:szCs w:val="24"/>
        </w:rPr>
        <w:t>(Consan Consulting 2012)</w:t>
      </w:r>
      <w:r w:rsidRPr="002837CA">
        <w:t xml:space="preserve">. Of the patients who were surveyed, </w:t>
      </w:r>
      <w:r w:rsidR="000039AE">
        <w:t>83 per </w:t>
      </w:r>
      <w:r w:rsidRPr="002837CA">
        <w:t xml:space="preserve">cent indicated that they attended the super clinics because of the ready access to a variety of health professionals. Two thirds of patients indicated that all aspects of their care were coordinated by the super clinics. </w:t>
      </w:r>
      <w:r w:rsidR="000039AE">
        <w:t>Similarly,</w:t>
      </w:r>
      <w:r w:rsidRPr="002837CA">
        <w:t xml:space="preserve"> two thirds of patients also reported that their clinician discussed their lifestyle, including by providing advice about how to better manage their health. This compares favourably with findings in another Australian survey related to the GP sector more broadly, in which only 13 per cent of patients reported receiving lifestyle advice from their GP in the previous twelve months </w:t>
      </w:r>
      <w:r w:rsidR="00C65A42" w:rsidRPr="00C65A42">
        <w:rPr>
          <w:szCs w:val="24"/>
        </w:rPr>
        <w:t>(Booth and Nowson 2010)</w:t>
      </w:r>
      <w:r w:rsidRPr="002837CA">
        <w:t xml:space="preserve">. However, it may be that the more favourable result for those GPs participating in the GP super clinics program reflects that they knew that they would be accountable under the program, including for providing lifestyle advice. </w:t>
      </w:r>
      <w:r w:rsidR="00746BDB">
        <w:t xml:space="preserve">The evaluation of the clinics did not discriminate between the experiences of patients with and without complex chronic conditions, </w:t>
      </w:r>
      <w:r w:rsidR="005C031E">
        <w:t>which mean</w:t>
      </w:r>
      <w:r w:rsidR="004B4167">
        <w:t>t</w:t>
      </w:r>
      <w:r w:rsidR="005C031E">
        <w:t xml:space="preserve"> it was unable to assess the impacts of clinics on </w:t>
      </w:r>
      <w:r w:rsidR="00C912C9">
        <w:t xml:space="preserve">people </w:t>
      </w:r>
      <w:r w:rsidR="005C031E">
        <w:t>who most need coordinated care</w:t>
      </w:r>
      <w:r w:rsidR="00C912C9">
        <w:t>.</w:t>
      </w:r>
    </w:p>
    <w:p w14:paraId="1EA3913A" w14:textId="77777777" w:rsidR="002837CA" w:rsidRPr="002837CA" w:rsidRDefault="002837CA" w:rsidP="004D0D4C">
      <w:pPr>
        <w:pStyle w:val="Heading3"/>
      </w:pPr>
      <w:r w:rsidRPr="002837CA">
        <w:t>The Diabetes Care Project (DCP) 2011</w:t>
      </w:r>
      <w:r w:rsidRPr="002837CA">
        <w:noBreakHyphen/>
        <w:t>2014</w:t>
      </w:r>
    </w:p>
    <w:p w14:paraId="1EA3913B" w14:textId="77777777" w:rsidR="002837CA" w:rsidRPr="002837CA" w:rsidRDefault="002837CA" w:rsidP="004D0D4C">
      <w:pPr>
        <w:pStyle w:val="BodyText"/>
      </w:pPr>
      <w:r w:rsidRPr="002837CA">
        <w:t xml:space="preserve">The DCP was a pilot of a new coordinated care approach to the management of people who already had diabetes. It was, at the time, the largest randomised controlled trial conducted in Australia </w:t>
      </w:r>
      <w:r w:rsidR="00F6095D" w:rsidRPr="00F6095D">
        <w:rPr>
          <w:szCs w:val="24"/>
        </w:rPr>
        <w:t>(DoH 2015b, p. 1)</w:t>
      </w:r>
      <w:r w:rsidRPr="002837CA">
        <w:t>. The DCP originated from recommendations for improved care of people with chronic health conditions by the National Health and Hospital Reform Commission (NHHRC) in 2009. It reflected the relatively poor management of diabetes under the conventional approaches used by GPs. For example, the relevant clinical guidelines were not followed in nearly 40 per cent of diabetes</w:t>
      </w:r>
      <w:r w:rsidRPr="002837CA">
        <w:noBreakHyphen/>
        <w:t xml:space="preserve">related encounters with clinicians </w:t>
      </w:r>
      <w:r w:rsidR="00F6095D" w:rsidRPr="00F6095D">
        <w:rPr>
          <w:szCs w:val="24"/>
        </w:rPr>
        <w:t>(DoH 2015b, p. 8)</w:t>
      </w:r>
      <w:r w:rsidRPr="002837CA">
        <w:t xml:space="preserve">. </w:t>
      </w:r>
    </w:p>
    <w:p w14:paraId="1EA3913C" w14:textId="77777777" w:rsidR="002837CA" w:rsidRPr="002837CA" w:rsidRDefault="002837CA" w:rsidP="004D0D4C">
      <w:pPr>
        <w:pStyle w:val="BodyText"/>
      </w:pPr>
      <w:r w:rsidRPr="002837CA">
        <w:t>The DCP included several new features for management of diabetes:</w:t>
      </w:r>
    </w:p>
    <w:p w14:paraId="1EA3913D" w14:textId="77777777" w:rsidR="002837CA" w:rsidRPr="002837CA" w:rsidRDefault="002837CA" w:rsidP="004D0D4C">
      <w:pPr>
        <w:pStyle w:val="BodyText"/>
        <w:numPr>
          <w:ilvl w:val="0"/>
          <w:numId w:val="28"/>
        </w:numPr>
        <w:ind w:left="426" w:hanging="371"/>
      </w:pPr>
      <w:r w:rsidRPr="002837CA">
        <w:t xml:space="preserve">use of an IT platform (cdmNet) for information sharing between GPs, allied professionals and patients, and for provision of regular updates to general practices on their performance </w:t>
      </w:r>
      <w:r w:rsidR="001E4340">
        <w:t>compared with their</w:t>
      </w:r>
      <w:r w:rsidRPr="002837CA">
        <w:t xml:space="preserve"> peers. This was accompanied by regular meetings between the primary care organisations and the participating general practices about ways to improve performance</w:t>
      </w:r>
    </w:p>
    <w:p w14:paraId="1EA3913E" w14:textId="77777777" w:rsidR="002837CA" w:rsidRPr="002837CA" w:rsidRDefault="002837CA" w:rsidP="004D0D4C">
      <w:pPr>
        <w:pStyle w:val="BodyText"/>
        <w:numPr>
          <w:ilvl w:val="0"/>
          <w:numId w:val="28"/>
        </w:numPr>
        <w:ind w:left="426" w:hanging="371"/>
      </w:pPr>
      <w:r w:rsidRPr="002837CA">
        <w:t>changes to funding arrangements. This involved three different streams of money. First, there was a move away from fee</w:t>
      </w:r>
      <w:r w:rsidRPr="002837CA">
        <w:noBreakHyphen/>
        <w:t>for</w:t>
      </w:r>
      <w:r w:rsidRPr="002837CA">
        <w:noBreakHyphen/>
        <w:t>service to a capitation payment available to participating general practices, taking into account variations in the expected costs of care across patients with different health</w:t>
      </w:r>
      <w:r w:rsidR="00C61AE2">
        <w:t xml:space="preserve"> </w:t>
      </w:r>
      <w:r w:rsidRPr="002837CA">
        <w:t>care needs. Second, general practices were given incentive payments for better outcomes for patients, including patient experience, patient adherence to the care plan, care plan completeness, accurate and timely data entr</w:t>
      </w:r>
      <w:r w:rsidR="00CA3567">
        <w:t>y, and glycosylated haemoglobin</w:t>
      </w:r>
      <w:r w:rsidRPr="002837CA">
        <w:t xml:space="preserve"> levels (</w:t>
      </w:r>
      <w:r w:rsidR="008C7FD7">
        <w:t>which measures average blood sugar levels over a period of weeks or months</w:t>
      </w:r>
      <w:r w:rsidRPr="002837CA">
        <w:t xml:space="preserve">). Third, practices were given funding for the costs of dedicated Care Facilitators </w:t>
      </w:r>
      <w:r w:rsidR="00F6095D" w:rsidRPr="00F6095D">
        <w:rPr>
          <w:szCs w:val="24"/>
        </w:rPr>
        <w:t>(DoH 2015b)</w:t>
      </w:r>
      <w:r w:rsidRPr="002837CA">
        <w:t>.</w:t>
      </w:r>
    </w:p>
    <w:p w14:paraId="1EA3913F" w14:textId="77777777" w:rsidR="002837CA" w:rsidRPr="002837CA" w:rsidRDefault="002837CA" w:rsidP="004D0D4C">
      <w:pPr>
        <w:pStyle w:val="BodyText"/>
      </w:pPr>
      <w:r w:rsidRPr="002837CA">
        <w:t>The randomised trial involved three general practice groups: one where only (i) was implemented (group 1), one where interventions (i) and (ii) occurred (group 2), and a control where all of the interventions were absent (group 3). The design of the program, the commissioning process for its participants and its independent evaluation followed best practice.</w:t>
      </w:r>
    </w:p>
    <w:p w14:paraId="1EA39140" w14:textId="77777777" w:rsidR="002837CA" w:rsidRPr="002837CA" w:rsidRDefault="002837CA" w:rsidP="004D0D4C">
      <w:pPr>
        <w:pStyle w:val="BodyText"/>
      </w:pPr>
      <w:r w:rsidRPr="002837CA">
        <w:t>However, the outcomes were relatively poor despite the strong conceptual basis for the program.</w:t>
      </w:r>
    </w:p>
    <w:p w14:paraId="1EA39141" w14:textId="77777777" w:rsidR="002837CA" w:rsidRPr="002837CA" w:rsidRDefault="002837CA" w:rsidP="004D0D4C">
      <w:pPr>
        <w:pStyle w:val="BodyText"/>
      </w:pPr>
      <w:r w:rsidRPr="002837CA">
        <w:t>Beyond greater take</w:t>
      </w:r>
      <w:r w:rsidR="00006334">
        <w:t xml:space="preserve"> </w:t>
      </w:r>
      <w:r w:rsidRPr="002837CA">
        <w:t xml:space="preserve">up of care planning (a process measure), there was no improvement in patient outcomes for group 1 compared with the control. Accordingly, sharing data and feedback without funding reform, did not have beneficial outcomes (in this </w:t>
      </w:r>
      <w:r w:rsidR="000A26D4">
        <w:t>instance</w:t>
      </w:r>
      <w:r w:rsidRPr="002837CA">
        <w:t xml:space="preserve"> at least).</w:t>
      </w:r>
    </w:p>
    <w:p w14:paraId="1EA39142" w14:textId="77777777" w:rsidR="002837CA" w:rsidRPr="002837CA" w:rsidRDefault="002837CA" w:rsidP="004D0D4C">
      <w:pPr>
        <w:pStyle w:val="BodyText"/>
      </w:pPr>
      <w:r w:rsidRPr="002837CA">
        <w:t xml:space="preserve">There were some beneficial effects for group 2 compared with the control (and group 1) across a range of measures, including lower </w:t>
      </w:r>
      <w:r w:rsidR="00CA3567">
        <w:t xml:space="preserve">glycated haemoglobin </w:t>
      </w:r>
      <w:r w:rsidRPr="002837CA">
        <w:t>levels — especially for those with particularly high initial levels. This indicates that changes to funding was needed, together with better information systems, in order to facilitate effective coordination of patient care. There were several other clinically</w:t>
      </w:r>
      <w:r w:rsidRPr="002837CA">
        <w:noBreakHyphen/>
        <w:t xml:space="preserve">positive outcomes, such as reduced waist circumference and depression rates. For example, the share of people with moderate to severe depression rates fell by 2 percentage points compared with the control </w:t>
      </w:r>
      <w:r w:rsidR="00F6095D" w:rsidRPr="00F6095D">
        <w:rPr>
          <w:szCs w:val="24"/>
        </w:rPr>
        <w:t>(DoH 2015b, p. 40)</w:t>
      </w:r>
      <w:r w:rsidRPr="002837CA">
        <w:t xml:space="preserve">. On the other hand, while statistically significant, the average waist circumference reduction was trivial, underlining the importance of concentrating on effect sizes rather than statistical significance. One other outcome was a reduction of hospitalisations and hospital stay durations, which indicates that some positive acute care outcomes can occur even in the absence of direct engagement with hospitals. </w:t>
      </w:r>
      <w:r w:rsidR="00636A86">
        <w:t>Nevertheless</w:t>
      </w:r>
      <w:r w:rsidRPr="002837CA">
        <w:t>, the reduction was modest, and the savings from reduced use of hospitals was offset by increased costs in prescribing, care facilitation, and GP use.</w:t>
      </w:r>
    </w:p>
    <w:p w14:paraId="1EA39143" w14:textId="77777777" w:rsidR="002837CA" w:rsidRPr="002837CA" w:rsidRDefault="002837CA" w:rsidP="004D0D4C">
      <w:pPr>
        <w:pStyle w:val="BodyText"/>
      </w:pPr>
      <w:r w:rsidRPr="002837CA">
        <w:t>Notwithstanding that one of the key goals of the trial was to encourage GPs to allocate more funding to people with more complex needs and high health risks (the basis for the capitation method used in the pilot), there was little or no relationship between resource allocation and patient health risks. This is surprising because hospital costs are particularly skewed, with just 5</w:t>
      </w:r>
      <w:r w:rsidR="00D31A92">
        <w:t> </w:t>
      </w:r>
      <w:r w:rsidRPr="002837CA">
        <w:t>per</w:t>
      </w:r>
      <w:r w:rsidR="00D31A92">
        <w:t> </w:t>
      </w:r>
      <w:r w:rsidRPr="002837CA">
        <w:t>cent of participants accounting for 62</w:t>
      </w:r>
      <w:r w:rsidR="00D31A92">
        <w:t> </w:t>
      </w:r>
      <w:r w:rsidRPr="002837CA">
        <w:t>per</w:t>
      </w:r>
      <w:r w:rsidR="00D31A92">
        <w:t> </w:t>
      </w:r>
      <w:r w:rsidRPr="002837CA">
        <w:t xml:space="preserve">cent of potentially avoidable hospitalisations. </w:t>
      </w:r>
    </w:p>
    <w:p w14:paraId="1EA39144" w14:textId="77777777" w:rsidR="002837CA" w:rsidRPr="002837CA" w:rsidRDefault="002837CA" w:rsidP="004D0D4C">
      <w:pPr>
        <w:pStyle w:val="BodyText"/>
      </w:pPr>
      <w:r w:rsidRPr="002837CA">
        <w:t>The evaluation concluded that:</w:t>
      </w:r>
    </w:p>
    <w:p w14:paraId="1EA39145" w14:textId="77777777" w:rsidR="002837CA" w:rsidRPr="002837CA" w:rsidRDefault="002837CA" w:rsidP="004D0D4C">
      <w:pPr>
        <w:pStyle w:val="Quote"/>
      </w:pPr>
      <w:r w:rsidRPr="002837CA">
        <w:t>Overall, there is no evidence to suggest that the Group 2 model of care would be cost</w:t>
      </w:r>
      <w:r w:rsidR="005534A3">
        <w:noBreakHyphen/>
      </w:r>
      <w:r w:rsidRPr="002837CA">
        <w:t>effective if adopted for longer, with large uncertainties regarding both the net cost and benefits of the intervention. … the best estimate of cost per QALY would be around $250,000. This is not considered cost</w:t>
      </w:r>
      <w:r w:rsidRPr="002837CA">
        <w:noBreakHyphen/>
        <w:t xml:space="preserve">effective. </w:t>
      </w:r>
      <w:r w:rsidR="00F6095D" w:rsidRPr="00F6095D">
        <w:rPr>
          <w:szCs w:val="24"/>
        </w:rPr>
        <w:t>(DoH 2015b, p. 53)</w:t>
      </w:r>
    </w:p>
    <w:p w14:paraId="1EA39146" w14:textId="77777777" w:rsidR="002837CA" w:rsidRPr="002837CA" w:rsidRDefault="002837CA" w:rsidP="004D0D4C">
      <w:pPr>
        <w:pStyle w:val="BodyText"/>
      </w:pPr>
      <w:r w:rsidRPr="002837CA">
        <w:t>Another commentary on the Diabetes Care Program emphasises a key theme:</w:t>
      </w:r>
    </w:p>
    <w:p w14:paraId="1EA39147" w14:textId="77777777" w:rsidR="002837CA" w:rsidRDefault="002837CA" w:rsidP="004D0D4C">
      <w:pPr>
        <w:pStyle w:val="Quote"/>
      </w:pPr>
      <w:r w:rsidRPr="002837CA">
        <w:t xml:space="preserve">In future programs, improved information sharing between primary and secondary care may help identify those most at risk of repeated hospitalisations and allow better targeting of resources to keep people well and reduce avoidable hospitalisations. </w:t>
      </w:r>
      <w:r w:rsidR="00C65A42" w:rsidRPr="00C65A42">
        <w:rPr>
          <w:szCs w:val="24"/>
        </w:rPr>
        <w:t>(Fountaine and Bennett 2016, p. 391)</w:t>
      </w:r>
    </w:p>
    <w:p w14:paraId="1EA39148" w14:textId="77777777" w:rsidR="00D649A0" w:rsidRPr="004E3B94" w:rsidRDefault="00D649A0" w:rsidP="00D649A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129"/>
      </w:tblGrid>
      <w:tr w:rsidR="00D649A0" w:rsidRPr="00E31256" w14:paraId="1EA3914B" w14:textId="77777777" w:rsidTr="00F576FE">
        <w:trPr>
          <w:tblHeader/>
        </w:trPr>
        <w:tc>
          <w:tcPr>
            <w:tcW w:w="5000" w:type="pct"/>
            <w:tcBorders>
              <w:top w:val="single" w:sz="4" w:space="0" w:color="265A9A" w:themeColor="accent2"/>
              <w:left w:val="nil"/>
              <w:bottom w:val="nil"/>
              <w:right w:val="nil"/>
            </w:tcBorders>
            <w:shd w:val="clear" w:color="auto" w:fill="F0F5FA"/>
            <w:tcMar>
              <w:left w:w="170" w:type="dxa"/>
              <w:right w:w="170" w:type="dxa"/>
            </w:tcMar>
          </w:tcPr>
          <w:p w14:paraId="1EA39149" w14:textId="77777777" w:rsidR="00D649A0" w:rsidRPr="00F576FE" w:rsidRDefault="00D649A0" w:rsidP="00CC0924">
            <w:pPr>
              <w:pStyle w:val="RecTitle"/>
              <w:spacing w:before="120"/>
              <w:rPr>
                <w:noProof/>
              </w:rPr>
            </w:pPr>
            <w:r w:rsidRPr="00F576FE">
              <w:t xml:space="preserve">conclusion </w:t>
            </w:r>
            <w:r w:rsidR="00C72E88" w:rsidRPr="00F576FE">
              <w:t>A.2</w:t>
            </w:r>
          </w:p>
          <w:p w14:paraId="1EA3914A" w14:textId="77777777" w:rsidR="00D649A0" w:rsidRPr="00F576FE" w:rsidRDefault="00D649A0" w:rsidP="00D649A0">
            <w:pPr>
              <w:pStyle w:val="Rec"/>
              <w:keepNext/>
            </w:pPr>
            <w:r w:rsidRPr="00F576FE">
              <w:t>The major Australian Government trials of integrated care have demonstrated some benefits, but none resulted in tangible cost savings or produced large benefits for patients. However, they provided valuable lessons, including the need for links to the state</w:t>
            </w:r>
            <w:r w:rsidRPr="00F576FE">
              <w:noBreakHyphen/>
              <w:t>run health care system and for targeting patients at high risk of hospitalisation or other costly interventions.</w:t>
            </w:r>
          </w:p>
        </w:tc>
      </w:tr>
      <w:tr w:rsidR="00D649A0" w14:paraId="1EA3914D" w14:textId="77777777" w:rsidTr="00F576FE">
        <w:tc>
          <w:tcPr>
            <w:tcW w:w="5000" w:type="pct"/>
            <w:tcBorders>
              <w:top w:val="nil"/>
              <w:left w:val="nil"/>
              <w:bottom w:val="single" w:sz="4" w:space="0" w:color="265A9A" w:themeColor="accent2"/>
              <w:right w:val="nil"/>
            </w:tcBorders>
            <w:shd w:val="clear" w:color="auto" w:fill="F0F5FA"/>
            <w:tcMar>
              <w:left w:w="170" w:type="dxa"/>
              <w:right w:w="170" w:type="dxa"/>
            </w:tcMar>
          </w:tcPr>
          <w:p w14:paraId="1EA3914C" w14:textId="77777777" w:rsidR="00D649A0" w:rsidRPr="00F576FE" w:rsidRDefault="00D649A0" w:rsidP="00F576FE">
            <w:pPr>
              <w:pStyle w:val="Space"/>
              <w:keepLines/>
            </w:pPr>
          </w:p>
        </w:tc>
      </w:tr>
      <w:tr w:rsidR="00D649A0" w:rsidRPr="000863A5" w14:paraId="1EA3914F" w14:textId="77777777" w:rsidTr="00F576FE">
        <w:tc>
          <w:tcPr>
            <w:tcW w:w="5000" w:type="pct"/>
            <w:tcBorders>
              <w:top w:val="single" w:sz="4" w:space="0" w:color="265A9A" w:themeColor="accent2"/>
              <w:left w:val="nil"/>
              <w:bottom w:val="nil"/>
              <w:right w:val="nil"/>
            </w:tcBorders>
            <w:tcMar>
              <w:left w:w="170" w:type="dxa"/>
              <w:right w:w="170" w:type="dxa"/>
            </w:tcMar>
          </w:tcPr>
          <w:p w14:paraId="1EA3914E" w14:textId="77777777" w:rsidR="00D649A0" w:rsidRPr="00626D32" w:rsidRDefault="00D649A0" w:rsidP="00CC0924">
            <w:pPr>
              <w:pStyle w:val="BoxSpaceBelow"/>
              <w:keepLines/>
            </w:pPr>
          </w:p>
        </w:tc>
      </w:tr>
    </w:tbl>
    <w:p w14:paraId="1EA39150" w14:textId="77777777" w:rsidR="002837CA" w:rsidRPr="002837CA" w:rsidRDefault="002837CA" w:rsidP="004D0D4C">
      <w:pPr>
        <w:pStyle w:val="Heading3"/>
      </w:pPr>
      <w:r w:rsidRPr="002837CA">
        <w:t>Health Care Homes</w:t>
      </w:r>
      <w:r w:rsidR="00A612B9">
        <w:t xml:space="preserve"> — an experiment </w:t>
      </w:r>
      <w:r w:rsidR="000B375B">
        <w:t>that needs some tinkering</w:t>
      </w:r>
    </w:p>
    <w:p w14:paraId="1EA39151" w14:textId="77777777" w:rsidR="00F0494E" w:rsidRDefault="002837CA" w:rsidP="004D0D4C">
      <w:pPr>
        <w:pStyle w:val="BodyText"/>
      </w:pPr>
      <w:r w:rsidRPr="002837CA">
        <w:t>Ten years after the publication of the evaluation of the coordinat</w:t>
      </w:r>
      <w:r w:rsidR="00154E2D">
        <w:t>ed care trials, the Australian G</w:t>
      </w:r>
      <w:r w:rsidRPr="002837CA">
        <w:t xml:space="preserve">overnment is to trial Health Care Homes </w:t>
      </w:r>
      <w:r w:rsidR="00025963">
        <w:t xml:space="preserve">(HCHs) </w:t>
      </w:r>
      <w:r w:rsidRPr="002837CA">
        <w:t>in ten Primary Health Network regions</w:t>
      </w:r>
      <w:r w:rsidR="002E5952">
        <w:t>. T</w:t>
      </w:r>
      <w:r w:rsidRPr="002837CA">
        <w:t xml:space="preserve">rials </w:t>
      </w:r>
      <w:r w:rsidR="002E5952">
        <w:t xml:space="preserve">involving </w:t>
      </w:r>
      <w:r w:rsidR="002E5952" w:rsidRPr="002E5952">
        <w:t xml:space="preserve">20 </w:t>
      </w:r>
      <w:r w:rsidR="0062092B">
        <w:t>g</w:t>
      </w:r>
      <w:r w:rsidR="0062092B" w:rsidRPr="0062092B">
        <w:t xml:space="preserve">eneral practices and Aboriginal Community Controlled Health Services </w:t>
      </w:r>
      <w:r w:rsidR="002E5952">
        <w:t xml:space="preserve">are due </w:t>
      </w:r>
      <w:r w:rsidR="002E5952" w:rsidRPr="002E5952">
        <w:t xml:space="preserve">to commence </w:t>
      </w:r>
      <w:r w:rsidR="0066533F">
        <w:t xml:space="preserve">in October 2017, followed by another </w:t>
      </w:r>
      <w:r w:rsidR="002E5952" w:rsidRPr="002E5952">
        <w:t xml:space="preserve">180 </w:t>
      </w:r>
      <w:r w:rsidR="0062092B">
        <w:t>practices</w:t>
      </w:r>
      <w:r w:rsidR="00F0494E">
        <w:t xml:space="preserve"> from 1 </w:t>
      </w:r>
      <w:r w:rsidR="002E5952" w:rsidRPr="002E5952">
        <w:t>December 2017</w:t>
      </w:r>
      <w:r w:rsidR="00F0494E">
        <w:t xml:space="preserve"> (Ref to DoH 2017 9 May)</w:t>
      </w:r>
      <w:r w:rsidR="002E5952" w:rsidRPr="002E5952">
        <w:t>.</w:t>
      </w:r>
      <w:r w:rsidR="00F0494E" w:rsidRPr="003D243B">
        <w:rPr>
          <w:rStyle w:val="FootnoteReference"/>
        </w:rPr>
        <w:footnoteReference w:id="52"/>
      </w:r>
    </w:p>
    <w:p w14:paraId="1EA39152" w14:textId="77777777" w:rsidR="002837CA" w:rsidRPr="002837CA" w:rsidRDefault="004250D9" w:rsidP="004D0D4C">
      <w:pPr>
        <w:pStyle w:val="BodyText"/>
      </w:pPr>
      <w:r>
        <w:t>The</w:t>
      </w:r>
      <w:r w:rsidR="002837CA" w:rsidRPr="002837CA">
        <w:t xml:space="preserve"> </w:t>
      </w:r>
      <w:r w:rsidR="00025963">
        <w:t xml:space="preserve">HCH </w:t>
      </w:r>
      <w:r w:rsidR="002837CA" w:rsidRPr="002837CA">
        <w:t xml:space="preserve">model for coordinating the care of people with chronic and complex health conditions was proposed for Australia by the National Health and Hospitals Reform Commission and more recently by the Primary Health Care Advisory Group. The ‘home’ in </w:t>
      </w:r>
      <w:r w:rsidR="00025963">
        <w:t>HCH</w:t>
      </w:r>
      <w:r w:rsidR="002837CA" w:rsidRPr="002837CA">
        <w:t>s is not intended to suggest a residential care setting, but rather is typically a general practice chosen by a person that provides or coordinates a suite of medical services, including ones tha</w:t>
      </w:r>
      <w:r w:rsidR="00040365">
        <w:t>t are outside the practice — a health care home</w:t>
      </w:r>
      <w:r w:rsidR="002837CA" w:rsidRPr="002837CA">
        <w:t xml:space="preserve"> for each person.</w:t>
      </w:r>
      <w:r w:rsidR="00001770">
        <w:t xml:space="preserve"> The concept </w:t>
      </w:r>
      <w:r w:rsidR="00040365">
        <w:t xml:space="preserve">originates from </w:t>
      </w:r>
      <w:r w:rsidR="00001770">
        <w:t>so</w:t>
      </w:r>
      <w:r w:rsidR="00001770">
        <w:noBreakHyphen/>
        <w:t>called ‘patient</w:t>
      </w:r>
      <w:r w:rsidR="00001770">
        <w:noBreakHyphen/>
        <w:t>centred medical homes’ that are now widely prevalent in the United States</w:t>
      </w:r>
      <w:r w:rsidR="00045816">
        <w:t xml:space="preserve">, </w:t>
      </w:r>
      <w:r w:rsidR="00040365">
        <w:t xml:space="preserve">and whose genesis can be dated back to the late 1960s in a </w:t>
      </w:r>
      <w:r w:rsidR="00A42A08">
        <w:t>paediatric</w:t>
      </w:r>
      <w:r w:rsidR="00040365">
        <w:t xml:space="preserve"> context</w:t>
      </w:r>
      <w:r w:rsidR="00045816">
        <w:t xml:space="preserve"> </w:t>
      </w:r>
      <w:r w:rsidR="00025963">
        <w:t>— again an indicator of the slow diffusion of good ideas</w:t>
      </w:r>
      <w:r w:rsidR="006209DD">
        <w:t xml:space="preserve"> </w:t>
      </w:r>
      <w:r w:rsidR="00C65A42" w:rsidRPr="00C65A42">
        <w:rPr>
          <w:szCs w:val="24"/>
        </w:rPr>
        <w:t>(Asarnow et al. 2017)</w:t>
      </w:r>
      <w:r w:rsidR="00045816">
        <w:t>.</w:t>
      </w:r>
      <w:r w:rsidR="00040365">
        <w:t xml:space="preserve"> </w:t>
      </w:r>
    </w:p>
    <w:p w14:paraId="1EA39153" w14:textId="77777777" w:rsidR="002837CA" w:rsidRPr="002837CA" w:rsidRDefault="002837CA" w:rsidP="004D0D4C">
      <w:pPr>
        <w:pStyle w:val="BodyText"/>
      </w:pPr>
      <w:r w:rsidRPr="002837CA">
        <w:t xml:space="preserve">As currently proposed, the </w:t>
      </w:r>
      <w:r w:rsidR="00025963">
        <w:t>HCH</w:t>
      </w:r>
      <w:r w:rsidRPr="002837CA">
        <w:t xml:space="preserve"> trials focus on the coordination of primary care rather than integrating primary care with hospital services. Its scope in terms of integrating across the different health care sectors is therefore comparable to that of the national coordinated care trials of the late 1990s and early 2000s. </w:t>
      </w:r>
    </w:p>
    <w:p w14:paraId="1EA39154" w14:textId="77777777" w:rsidR="002837CA" w:rsidRPr="002837CA" w:rsidRDefault="00025963" w:rsidP="004D0D4C">
      <w:pPr>
        <w:pStyle w:val="BodyText"/>
      </w:pPr>
      <w:r>
        <w:t>HCHs rely</w:t>
      </w:r>
      <w:r w:rsidR="002837CA" w:rsidRPr="002837CA">
        <w:t xml:space="preserve"> on Primary Health Networks</w:t>
      </w:r>
      <w:r w:rsidR="00B17FDA">
        <w:t xml:space="preserve">, whose resources will be augmented by </w:t>
      </w:r>
      <w:r w:rsidR="006209DD">
        <w:t>two full</w:t>
      </w:r>
      <w:r w:rsidR="006209DD">
        <w:noBreakHyphen/>
      </w:r>
      <w:r w:rsidR="002837CA" w:rsidRPr="002837CA">
        <w:t>time equivalent staff members</w:t>
      </w:r>
      <w:r w:rsidR="00B17FDA">
        <w:t xml:space="preserve"> for each network</w:t>
      </w:r>
      <w:r w:rsidR="002837CA" w:rsidRPr="002837CA">
        <w:t xml:space="preserve">. In return, Primary Health Networks have additional reporting requirements and </w:t>
      </w:r>
      <w:r w:rsidR="00F56845">
        <w:t>will need</w:t>
      </w:r>
      <w:r w:rsidR="002837CA" w:rsidRPr="002837CA">
        <w:t xml:space="preserve"> to redirect their existing budget to </w:t>
      </w:r>
      <w:r w:rsidR="00F56845">
        <w:t xml:space="preserve">meet any </w:t>
      </w:r>
      <w:r w:rsidR="002837CA" w:rsidRPr="002837CA">
        <w:t>fund</w:t>
      </w:r>
      <w:r w:rsidR="00F56845">
        <w:t>ing requirements of</w:t>
      </w:r>
      <w:r w:rsidR="002837CA" w:rsidRPr="002837CA">
        <w:t xml:space="preserve"> the </w:t>
      </w:r>
      <w:r w:rsidR="00B17FDA">
        <w:t>HCH</w:t>
      </w:r>
      <w:r w:rsidR="002837CA" w:rsidRPr="002837CA">
        <w:t xml:space="preserve"> initiative. </w:t>
      </w:r>
      <w:r>
        <w:t xml:space="preserve">The success of </w:t>
      </w:r>
      <w:r w:rsidR="00B17FDA">
        <w:t>HCH</w:t>
      </w:r>
      <w:r w:rsidR="002837CA" w:rsidRPr="002837CA">
        <w:t xml:space="preserve">s will therefore </w:t>
      </w:r>
      <w:r>
        <w:t xml:space="preserve">depend crucially on the resourcing of </w:t>
      </w:r>
      <w:r w:rsidR="002837CA" w:rsidRPr="002837CA">
        <w:t xml:space="preserve">PHNs </w:t>
      </w:r>
      <w:r>
        <w:t xml:space="preserve">and their capacity </w:t>
      </w:r>
      <w:r w:rsidR="002837CA" w:rsidRPr="002837CA">
        <w:t xml:space="preserve">to engage with </w:t>
      </w:r>
      <w:r w:rsidR="00F56845">
        <w:t xml:space="preserve">GPs, </w:t>
      </w:r>
      <w:r w:rsidR="002837CA" w:rsidRPr="002837CA">
        <w:t xml:space="preserve">hospitals and other state government services. Despite its limited resourcing, the </w:t>
      </w:r>
      <w:r w:rsidR="00B17FDA">
        <w:t>HCH</w:t>
      </w:r>
      <w:r w:rsidR="002837CA" w:rsidRPr="002837CA">
        <w:t xml:space="preserve"> project has an ambitious target. It aims to service up to 65 000 patients across ten PHN regions of Australia (implying an average of 650 patients in a PHN region). To put that in </w:t>
      </w:r>
      <w:r w:rsidR="000A26D4">
        <w:t>perspective</w:t>
      </w:r>
      <w:r w:rsidR="002837CA" w:rsidRPr="002837CA">
        <w:t>, an average of 650 patients is five to ten times more than the existing integrated care programs in Western Sydney and Redcliffe</w:t>
      </w:r>
      <w:r w:rsidR="00370B02">
        <w:t xml:space="preserve"> (discussed below)</w:t>
      </w:r>
      <w:r w:rsidR="002837CA" w:rsidRPr="002837CA">
        <w:t xml:space="preserve">, but without any significant additional resourcing. </w:t>
      </w:r>
    </w:p>
    <w:p w14:paraId="1EA39155" w14:textId="77777777" w:rsidR="002837CA" w:rsidRPr="002837CA" w:rsidRDefault="002837CA" w:rsidP="004D0D4C">
      <w:pPr>
        <w:pStyle w:val="BodyText"/>
      </w:pPr>
      <w:r w:rsidRPr="002837CA">
        <w:t xml:space="preserve">An innovative aspect to the </w:t>
      </w:r>
      <w:r w:rsidR="00315079">
        <w:t>HCH</w:t>
      </w:r>
      <w:r w:rsidRPr="002837CA">
        <w:t xml:space="preserve"> initiative is the trial of a bundled approach to funding. Remuneration of GPs is to involve a standard consultation fee for the initial assessment of a patient’s eligibility for enrolment with a </w:t>
      </w:r>
      <w:r w:rsidR="00315079">
        <w:t>HCH</w:t>
      </w:r>
      <w:r w:rsidRPr="002837CA">
        <w:t xml:space="preserve"> and a subsequent upfront payment to develop a patient care plan. </w:t>
      </w:r>
      <w:r w:rsidR="00315079">
        <w:t xml:space="preserve">The Australian Government will </w:t>
      </w:r>
      <w:r w:rsidR="00F56845">
        <w:t>then</w:t>
      </w:r>
      <w:r w:rsidR="00315079">
        <w:t xml:space="preserve"> make q</w:t>
      </w:r>
      <w:r w:rsidRPr="002837CA">
        <w:t xml:space="preserve">uarterly bundled payments </w:t>
      </w:r>
      <w:r w:rsidR="00315079">
        <w:t xml:space="preserve">to each HCH </w:t>
      </w:r>
      <w:r w:rsidRPr="002837CA">
        <w:t>to manage the patient’s care plan, including to deliver the GP services required by the patient and to coordinate the patient’s access to allied health professionals</w:t>
      </w:r>
      <w:r w:rsidR="00315079">
        <w:t xml:space="preserve"> and other services</w:t>
      </w:r>
      <w:r w:rsidRPr="002837CA">
        <w:t>. The provision of quarterly bundled funding wo</w:t>
      </w:r>
      <w:r w:rsidR="00031DB5">
        <w:t xml:space="preserve">uld replace traditional fees for </w:t>
      </w:r>
      <w:r w:rsidRPr="002837CA">
        <w:t xml:space="preserve">service, so that remuneration would no longer be linked to the number or type of GP consultations. This increases the incentive for GPs to minimise the cost of a patient’s care. At the same time, the GP bears the risk of any cost overrun caused by external factors, including the patient’s own noncompliance. </w:t>
      </w:r>
    </w:p>
    <w:p w14:paraId="1EA39156" w14:textId="77777777" w:rsidR="002837CA" w:rsidRPr="002837CA" w:rsidRDefault="002837CA" w:rsidP="004D0D4C">
      <w:pPr>
        <w:pStyle w:val="BodyText"/>
      </w:pPr>
      <w:r w:rsidRPr="002837CA">
        <w:t>Health Care Homes is only a trial, and any investment by GPs (or others) in a new system runs the risk of the program not being extended. Helping to add</w:t>
      </w:r>
      <w:r w:rsidR="00154E2D">
        <w:t>ress that risk, the Australian G</w:t>
      </w:r>
      <w:r w:rsidRPr="002837CA">
        <w:t>overnment is providing a $10 000 grant to each practice that participates in the trial. A strong commitment to rolling out an integrated, patient</w:t>
      </w:r>
      <w:r w:rsidR="00EB6BDE">
        <w:noBreakHyphen/>
      </w:r>
      <w:r w:rsidRPr="002837CA">
        <w:t xml:space="preserve">centred approach to care would also indicate to GPs that investment in change is worthwhile. </w:t>
      </w:r>
    </w:p>
    <w:p w14:paraId="1EA39157" w14:textId="77777777" w:rsidR="00EA1E27" w:rsidRDefault="002837CA" w:rsidP="004D0D4C">
      <w:pPr>
        <w:pStyle w:val="BodyText"/>
      </w:pPr>
      <w:r w:rsidRPr="002837CA">
        <w:t xml:space="preserve">There are </w:t>
      </w:r>
      <w:r w:rsidR="00EA1E27">
        <w:t>several</w:t>
      </w:r>
      <w:r w:rsidR="00CE3F36">
        <w:t xml:space="preserve"> </w:t>
      </w:r>
      <w:r w:rsidRPr="002837CA">
        <w:t>weaknesses in the current Health Care Homes initiative</w:t>
      </w:r>
      <w:r w:rsidR="00EA1E27">
        <w:t>, with scope to address these before the major rollout in late 2017</w:t>
      </w:r>
      <w:r w:rsidRPr="002837CA">
        <w:t xml:space="preserve">. </w:t>
      </w:r>
      <w:r w:rsidR="00C76679">
        <w:t>These</w:t>
      </w:r>
      <w:r w:rsidR="00DA1CE3">
        <w:t>, and their solutions,</w:t>
      </w:r>
      <w:r w:rsidR="00C76679">
        <w:t xml:space="preserve"> are discussed in chapter</w:t>
      </w:r>
      <w:r w:rsidR="009C49CA">
        <w:t> </w:t>
      </w:r>
      <w:r w:rsidR="006901A6">
        <w:t>6 (and summarised in conclusion 6.3)</w:t>
      </w:r>
      <w:r w:rsidR="00C76679">
        <w:t>.</w:t>
      </w:r>
    </w:p>
    <w:p w14:paraId="1EA39158" w14:textId="77777777" w:rsidR="002837CA" w:rsidRPr="002837CA" w:rsidRDefault="002837CA" w:rsidP="004D0D4C">
      <w:pPr>
        <w:pStyle w:val="Heading3"/>
      </w:pPr>
      <w:r w:rsidRPr="002837CA">
        <w:t>Coordinating a value</w:t>
      </w:r>
      <w:r w:rsidR="005534A3">
        <w:noBreakHyphen/>
      </w:r>
      <w:r w:rsidRPr="002837CA">
        <w:t>chain — organ donations in Australia</w:t>
      </w:r>
    </w:p>
    <w:p w14:paraId="1EA39159" w14:textId="77777777" w:rsidR="002837CA" w:rsidRPr="002837CA" w:rsidRDefault="002837CA" w:rsidP="004D0D4C">
      <w:pPr>
        <w:pStyle w:val="BodyText"/>
      </w:pPr>
      <w:r w:rsidRPr="002837CA">
        <w:t>Integration has largely been conceptualised as what happens at a local level in the relationships between clinicians and patients. However, there are other aspects of integration that involve coordination between geographically</w:t>
      </w:r>
      <w:r w:rsidRPr="002837CA">
        <w:noBreakHyphen/>
        <w:t xml:space="preserve">dispersed parts of the system. </w:t>
      </w:r>
    </w:p>
    <w:p w14:paraId="1EA3915A" w14:textId="77777777" w:rsidR="00CC5E0E" w:rsidRDefault="002837CA" w:rsidP="00CC5E0E">
      <w:pPr>
        <w:pStyle w:val="BodyText"/>
      </w:pPr>
      <w:r w:rsidRPr="002837CA">
        <w:t xml:space="preserve">A good exemplar is the supply chain for organ donations, which involves recruitment of donors, consent by a family for a donation to occur, organ removal and transport, organ matching to a recipient beyond geographic boundaries, protocols for requesting donations, and available specialists for transplanting. </w:t>
      </w:r>
      <w:r w:rsidR="000722FD">
        <w:t>While not ‘patient</w:t>
      </w:r>
      <w:r w:rsidR="000722FD">
        <w:noBreakHyphen/>
        <w:t>centred’ in a narrow sense, the experience of successful donor programs depend on engaging with individuals.</w:t>
      </w:r>
      <w:r w:rsidR="00807293" w:rsidRPr="003D243B">
        <w:rPr>
          <w:rStyle w:val="FootnoteReference"/>
        </w:rPr>
        <w:footnoteReference w:id="53"/>
      </w:r>
      <w:r w:rsidR="007F2E04">
        <w:t xml:space="preserve"> </w:t>
      </w:r>
      <w:r w:rsidRPr="002837CA">
        <w:t xml:space="preserve">Problems in any part of the supply chain can reduce the effective donation rate. </w:t>
      </w:r>
      <w:r w:rsidR="00CC5E0E">
        <w:t xml:space="preserve">The ageing of Australia’s population is also expected to place increasing pressure on the existing system. </w:t>
      </w:r>
    </w:p>
    <w:p w14:paraId="1EA3915B" w14:textId="39AD2A1C" w:rsidR="002837CA" w:rsidRPr="002837CA" w:rsidRDefault="002837CA" w:rsidP="004D0D4C">
      <w:pPr>
        <w:pStyle w:val="BodyText"/>
      </w:pPr>
      <w:r w:rsidRPr="002837CA">
        <w:t xml:space="preserve">In 2009, all jurisdictions agreed to a cooperative approach to organ donation, coordinated by a newly established body, the Australian Organ and Tissue Authority (AOTA). Prior to its establishment, deceased organ donation rates (donations where organs were retrieved and transplanted) were falling. </w:t>
      </w:r>
      <w:r w:rsidR="006705F0">
        <w:t xml:space="preserve">After </w:t>
      </w:r>
      <w:r w:rsidR="00DE0AF3">
        <w:t>commencement of</w:t>
      </w:r>
      <w:r w:rsidRPr="002837CA">
        <w:t xml:space="preserve"> the national reform program, Australia significantly improved its</w:t>
      </w:r>
      <w:r w:rsidR="00427F6A">
        <w:t xml:space="preserve"> deceased donation rate to 20.8 per </w:t>
      </w:r>
      <w:r w:rsidRPr="002837CA">
        <w:t xml:space="preserve">million persons in 2016, </w:t>
      </w:r>
      <w:r w:rsidR="00427F6A">
        <w:t>about</w:t>
      </w:r>
      <w:r w:rsidRPr="002837CA">
        <w:t xml:space="preserve"> 80</w:t>
      </w:r>
      <w:r w:rsidR="00427F6A">
        <w:t> </w:t>
      </w:r>
      <w:r w:rsidRPr="002837CA">
        <w:t>per</w:t>
      </w:r>
      <w:r w:rsidR="00427F6A">
        <w:t> </w:t>
      </w:r>
      <w:r w:rsidRPr="002837CA">
        <w:t xml:space="preserve">cent higher than the donation rate at the start of the national reform program in 2009 </w:t>
      </w:r>
      <w:r w:rsidR="00F6095D" w:rsidRPr="00F6095D">
        <w:rPr>
          <w:szCs w:val="24"/>
        </w:rPr>
        <w:t>(OTA 2017)</w:t>
      </w:r>
      <w:r w:rsidRPr="002837CA">
        <w:t xml:space="preserve">. Compared </w:t>
      </w:r>
      <w:r w:rsidR="001E4340">
        <w:t>with</w:t>
      </w:r>
      <w:r w:rsidRPr="002837CA">
        <w:t xml:space="preserve"> a counterfactual of no improvement in rates, rough estimates suggest that the policy init</w:t>
      </w:r>
      <w:r w:rsidR="005534A3">
        <w:t xml:space="preserve">iatives may have saved </w:t>
      </w:r>
      <w:r w:rsidR="00427F6A">
        <w:t>about</w:t>
      </w:r>
      <w:r w:rsidR="005534A3">
        <w:t xml:space="preserve"> 2</w:t>
      </w:r>
      <w:r w:rsidRPr="002837CA">
        <w:t>500 people’s lives from 2009</w:t>
      </w:r>
      <w:r w:rsidR="00D97711">
        <w:noBreakHyphen/>
        <w:t>2016.</w:t>
      </w:r>
    </w:p>
    <w:p w14:paraId="1EA3915D" w14:textId="3008D4D1" w:rsidR="002837CA" w:rsidRPr="002837CA" w:rsidRDefault="00137330" w:rsidP="004D0D4C">
      <w:pPr>
        <w:pStyle w:val="BodyText"/>
      </w:pPr>
      <w:r w:rsidRPr="002837CA">
        <w:t xml:space="preserve">Despite some concerns about AOTA’s governance arrangements and the accountability of states and hospitals </w:t>
      </w:r>
      <w:r w:rsidR="00E45613" w:rsidRPr="00E45613">
        <w:rPr>
          <w:szCs w:val="24"/>
        </w:rPr>
        <w:t>(EY 2015b)</w:t>
      </w:r>
      <w:r w:rsidRPr="002837CA">
        <w:t>, this national coordination model appears to have been very successful.</w:t>
      </w:r>
      <w:r w:rsidR="00D97711">
        <w:t xml:space="preserve"> </w:t>
      </w:r>
      <w:r w:rsidR="002837CA" w:rsidRPr="002837CA">
        <w:t>One jurisdiction has been particularly successful in pursuing the strategy. South Australia significantly improved effective donation rates to 23.4</w:t>
      </w:r>
      <w:r w:rsidR="00ED44D7">
        <w:t> </w:t>
      </w:r>
      <w:r w:rsidR="002837CA" w:rsidRPr="002837CA">
        <w:t>per</w:t>
      </w:r>
      <w:r w:rsidR="00ED44D7">
        <w:t> </w:t>
      </w:r>
      <w:r w:rsidR="002837CA" w:rsidRPr="002837CA">
        <w:t>million persons in 2016, 13 per cent higher than the average Australian rate. (Some of the smaller jurisdictions have sometimes recorded higher rates, but this reflects the impact of just a few additional deceased donors and could not be expected to be sustained.) If all jurisdictions were at th</w:t>
      </w:r>
      <w:r>
        <w:t xml:space="preserve">e South Australian rate in 2016, </w:t>
      </w:r>
      <w:r w:rsidR="002837CA" w:rsidRPr="002837CA">
        <w:t xml:space="preserve">this would save </w:t>
      </w:r>
      <w:r w:rsidR="00427F6A">
        <w:t>about</w:t>
      </w:r>
      <w:r w:rsidR="002837CA" w:rsidRPr="002837CA">
        <w:t xml:space="preserve"> 220 lives yearly. </w:t>
      </w:r>
    </w:p>
    <w:p w14:paraId="1EA3915E" w14:textId="77777777" w:rsidR="00137330" w:rsidRDefault="002837CA" w:rsidP="004D0D4C">
      <w:pPr>
        <w:pStyle w:val="BodyText"/>
      </w:pPr>
      <w:r w:rsidRPr="002837CA">
        <w:t>Notwithstanding AOTA’s successes, the effective coordination of an efficient supply chain for organ donation is unfinished business. There is likely scope for even higher rates through further policy changes, as many other countries have higher deceased donorship rates (with Spain being highest at 39.7</w:t>
      </w:r>
      <w:r w:rsidR="00ED44D7">
        <w:t> </w:t>
      </w:r>
      <w:r w:rsidRPr="002837CA">
        <w:t>per</w:t>
      </w:r>
      <w:r w:rsidR="00ED44D7">
        <w:t> </w:t>
      </w:r>
      <w:r w:rsidRPr="002837CA">
        <w:t xml:space="preserve">million in 2015). </w:t>
      </w:r>
    </w:p>
    <w:p w14:paraId="1EA3915F" w14:textId="77777777" w:rsidR="000722FD" w:rsidRDefault="002837CA" w:rsidP="004D0D4C">
      <w:pPr>
        <w:pStyle w:val="BodyText"/>
      </w:pPr>
      <w:r w:rsidRPr="002837CA">
        <w:t>There remain various generally agreed hospital</w:t>
      </w:r>
      <w:r w:rsidRPr="002837CA">
        <w:noBreakHyphen/>
        <w:t xml:space="preserve">centred approaches to increase rates, such as a greater focus on donation after brain death; better education and training of clinical staff; new methods for organ donation after circulatory death, more effective conversations with family members’ about organ donation; and better organ matching. Easier processes for registering consent and greater efforts to persuade people to be donors are other measures outside the hospital setting. All of these would be best progressed on a national basis. AOTA (2016) is pursuing some of these measures and its governance arrangements have been changed to improve its strategic focus. </w:t>
      </w:r>
    </w:p>
    <w:p w14:paraId="1EA39160" w14:textId="77777777" w:rsidR="002837CA" w:rsidRPr="002837CA" w:rsidRDefault="002837CA" w:rsidP="004D0D4C">
      <w:pPr>
        <w:pStyle w:val="BodyText"/>
      </w:pPr>
      <w:r w:rsidRPr="002837CA">
        <w:t xml:space="preserve">There are </w:t>
      </w:r>
      <w:r w:rsidR="007F2E04">
        <w:t xml:space="preserve">some </w:t>
      </w:r>
      <w:r w:rsidRPr="002837CA">
        <w:t>controversial suggestions to improve rates, such as presumed (or opt</w:t>
      </w:r>
      <w:r w:rsidR="005534A3">
        <w:noBreakHyphen/>
      </w:r>
      <w:r w:rsidRPr="002837CA">
        <w:t xml:space="preserve">out) consent; removal of a capacity for family members to veto a donor’s prior wishes; financial incentives to donate, and preference </w:t>
      </w:r>
      <w:r w:rsidR="00ED44D7">
        <w:t xml:space="preserve">for organ transplants </w:t>
      </w:r>
      <w:r w:rsidRPr="002837CA">
        <w:t xml:space="preserve">for recipients </w:t>
      </w:r>
      <w:r w:rsidR="007F2E04">
        <w:t xml:space="preserve">who </w:t>
      </w:r>
      <w:r w:rsidR="00ED44D7">
        <w:t xml:space="preserve">had previously registered as </w:t>
      </w:r>
      <w:r w:rsidRPr="002837CA">
        <w:t>willing don</w:t>
      </w:r>
      <w:r w:rsidR="00ED44D7">
        <w:t>ors</w:t>
      </w:r>
      <w:r w:rsidRPr="002837CA">
        <w:t xml:space="preserve"> </w:t>
      </w:r>
      <w:r w:rsidR="00C65A42" w:rsidRPr="00C65A42">
        <w:rPr>
          <w:szCs w:val="24"/>
        </w:rPr>
        <w:t>(Isdale and Savulescu 2015)</w:t>
      </w:r>
      <w:r w:rsidRPr="002837CA">
        <w:t xml:space="preserve">. </w:t>
      </w:r>
      <w:r w:rsidR="00137330">
        <w:t xml:space="preserve">While having some face validity, the evidence in favour of presumed consent is equivocal, while the other proposals involve several ethical concerns. </w:t>
      </w:r>
      <w:r w:rsidRPr="002837CA">
        <w:t xml:space="preserve">Most of these </w:t>
      </w:r>
      <w:r w:rsidR="00137330">
        <w:t xml:space="preserve">proposals </w:t>
      </w:r>
      <w:r w:rsidRPr="002837CA">
        <w:t xml:space="preserve">are not currently on the policy agenda, and would require strong favourable evidence to get there. </w:t>
      </w:r>
    </w:p>
    <w:p w14:paraId="1EA39161" w14:textId="77777777" w:rsidR="00390658" w:rsidRDefault="002837CA" w:rsidP="004D0D4C">
      <w:pPr>
        <w:pStyle w:val="BodyText"/>
      </w:pPr>
      <w:r w:rsidRPr="002837CA">
        <w:t xml:space="preserve">If, through nationally coordinated action, Australia achieved transplant rates equivalent to Spain, then a rough estimate is that this would equate to more than 1000 additional lives saved annually </w:t>
      </w:r>
      <w:r w:rsidR="00137330">
        <w:t>in Australia</w:t>
      </w:r>
      <w:r w:rsidRPr="002837CA">
        <w:t>.</w:t>
      </w:r>
      <w:r w:rsidR="00ED44D7" w:rsidRPr="003D243B">
        <w:rPr>
          <w:rStyle w:val="FootnoteReference"/>
        </w:rPr>
        <w:footnoteReference w:id="54"/>
      </w:r>
      <w:r w:rsidRPr="002837CA">
        <w:t xml:space="preserve"> </w:t>
      </w:r>
      <w:r w:rsidR="00813B64">
        <w:t xml:space="preserve">There would also be gains through lower disability rates (for instance through </w:t>
      </w:r>
      <w:r w:rsidR="00845C71">
        <w:t xml:space="preserve">the </w:t>
      </w:r>
      <w:r w:rsidR="00813B64">
        <w:t xml:space="preserve">preservation of people’s sight </w:t>
      </w:r>
      <w:r w:rsidR="00845C71">
        <w:t>by</w:t>
      </w:r>
      <w:r w:rsidR="00813B64">
        <w:t xml:space="preserve"> </w:t>
      </w:r>
      <w:r w:rsidR="00B375A5">
        <w:t>corneal transplants</w:t>
      </w:r>
      <w:r w:rsidR="00B206E8">
        <w:t xml:space="preserve">, </w:t>
      </w:r>
      <w:r w:rsidR="00B375A5">
        <w:t xml:space="preserve">which is a highly successful procedure). </w:t>
      </w:r>
    </w:p>
    <w:p w14:paraId="1EA39162" w14:textId="77777777" w:rsidR="002D1CA1" w:rsidRDefault="002D1CA1" w:rsidP="004D0D4C">
      <w:pPr>
        <w:pStyle w:val="BodyText"/>
      </w:pPr>
      <w:r>
        <w:t>There is some evidence that improved transplantation rates might reduce health care costs because while the initial clinical investment is costly, it avoids years of costly hospital treatment (</w:t>
      </w:r>
      <w:r w:rsidR="00D07D33">
        <w:t>most notably</w:t>
      </w:r>
      <w:r>
        <w:t xml:space="preserve">, </w:t>
      </w:r>
      <w:r w:rsidR="005853C6">
        <w:t xml:space="preserve">ongoing </w:t>
      </w:r>
      <w:r>
        <w:t>dialysis</w:t>
      </w:r>
      <w:r w:rsidR="00D07D33">
        <w:t xml:space="preserve"> for people experiencing kidney</w:t>
      </w:r>
      <w:r w:rsidR="005853C6">
        <w:t xml:space="preserve"> failure</w:t>
      </w:r>
      <w:r>
        <w:t>).</w:t>
      </w:r>
      <w:r w:rsidR="00A51194">
        <w:t xml:space="preserve"> </w:t>
      </w:r>
      <w:r w:rsidR="00B96321">
        <w:t xml:space="preserve">However, as in so many other evaluations of health care policies, the variation in the estimated costs and benefits of higher transplantation rates </w:t>
      </w:r>
      <w:r w:rsidR="00955CC5">
        <w:t>is</w:t>
      </w:r>
      <w:r w:rsidR="00B96321">
        <w:t xml:space="preserve"> high.</w:t>
      </w:r>
      <w:r w:rsidR="00B96321" w:rsidRPr="003D243B">
        <w:rPr>
          <w:rStyle w:val="FootnoteReference"/>
        </w:rPr>
        <w:footnoteReference w:id="55"/>
      </w:r>
      <w:r w:rsidR="00B96321">
        <w:t xml:space="preserve"> The</w:t>
      </w:r>
      <w:r w:rsidR="00250CF1">
        <w:t xml:space="preserve"> broader</w:t>
      </w:r>
      <w:r w:rsidR="00B96321">
        <w:t xml:space="preserve"> lesson for policymakers is to avoid optim</w:t>
      </w:r>
      <w:r w:rsidR="00E47853">
        <w:t xml:space="preserve">ism bias. Fortunately, all </w:t>
      </w:r>
      <w:r w:rsidR="00250CF1">
        <w:t>transplantation</w:t>
      </w:r>
      <w:r w:rsidR="00E47853">
        <w:t xml:space="preserve"> cost</w:t>
      </w:r>
      <w:r w:rsidR="00E47853">
        <w:noBreakHyphen/>
        <w:t xml:space="preserve">benefit analyses support the same policy direction, which is not true of </w:t>
      </w:r>
      <w:r w:rsidR="00250CF1">
        <w:t>many</w:t>
      </w:r>
      <w:r w:rsidR="00E47853">
        <w:t xml:space="preserve"> evalua</w:t>
      </w:r>
      <w:r w:rsidR="00250CF1">
        <w:t>tions of health care initiatives (as is apparent for some of the integrated care initiatives discussed above).</w:t>
      </w:r>
    </w:p>
    <w:p w14:paraId="1EA39163" w14:textId="288E02C5" w:rsidR="002837CA" w:rsidRDefault="001E34EA" w:rsidP="004D0D4C">
      <w:pPr>
        <w:pStyle w:val="BodyText"/>
      </w:pPr>
      <w:r>
        <w:t>While it might be difficult to quickly progress a best</w:t>
      </w:r>
      <w:r>
        <w:noBreakHyphen/>
        <w:t>practice</w:t>
      </w:r>
      <w:r w:rsidRPr="00AC5C42">
        <w:t xml:space="preserve"> </w:t>
      </w:r>
      <w:r>
        <w:t>integrated approach</w:t>
      </w:r>
      <w:r w:rsidRPr="00E85A3B">
        <w:t xml:space="preserve"> </w:t>
      </w:r>
      <w:r>
        <w:t>across all jurisdictions, the international evidence suggests that higher donation rates are a feasible target in Australia.</w:t>
      </w:r>
      <w:r w:rsidR="002D1CA1">
        <w:t xml:space="preserve"> </w:t>
      </w:r>
      <w:r>
        <w:t xml:space="preserve">This sounds </w:t>
      </w:r>
      <w:r w:rsidR="00F97ADC">
        <w:t>like a</w:t>
      </w:r>
      <w:r w:rsidR="00CC5E0E">
        <w:t xml:space="preserve"> narr</w:t>
      </w:r>
      <w:r>
        <w:t xml:space="preserve">ow area for health care reform, but </w:t>
      </w:r>
      <w:r w:rsidR="00CC5E0E">
        <w:t xml:space="preserve">the potential to save thousands of lives </w:t>
      </w:r>
      <w:r w:rsidR="00D97711">
        <w:t xml:space="preserve">annually </w:t>
      </w:r>
      <w:r w:rsidR="00CC5E0E">
        <w:t xml:space="preserve">is a rare opportunity. </w:t>
      </w:r>
    </w:p>
    <w:p w14:paraId="1EA39164" w14:textId="77777777" w:rsidR="00E544AC" w:rsidRPr="004E3B94" w:rsidRDefault="00E544AC" w:rsidP="00E544A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129"/>
      </w:tblGrid>
      <w:tr w:rsidR="00E544AC" w:rsidRPr="00E31256" w14:paraId="1EA39168" w14:textId="77777777" w:rsidTr="00F576FE">
        <w:trPr>
          <w:tblHeader/>
        </w:trPr>
        <w:tc>
          <w:tcPr>
            <w:tcW w:w="5000" w:type="pct"/>
            <w:tcBorders>
              <w:top w:val="single" w:sz="4" w:space="0" w:color="265A9A" w:themeColor="accent2"/>
              <w:left w:val="nil"/>
              <w:bottom w:val="nil"/>
              <w:right w:val="nil"/>
            </w:tcBorders>
            <w:shd w:val="clear" w:color="auto" w:fill="F0F5FA"/>
            <w:tcMar>
              <w:left w:w="170" w:type="dxa"/>
              <w:right w:w="170" w:type="dxa"/>
            </w:tcMar>
          </w:tcPr>
          <w:p w14:paraId="1EA39165" w14:textId="77777777" w:rsidR="00E544AC" w:rsidRPr="00F576FE" w:rsidRDefault="00E544AC" w:rsidP="00E47853">
            <w:pPr>
              <w:pStyle w:val="RecTitle"/>
              <w:spacing w:before="120"/>
              <w:rPr>
                <w:noProof/>
              </w:rPr>
            </w:pPr>
            <w:r w:rsidRPr="00F576FE">
              <w:t xml:space="preserve">conclusion </w:t>
            </w:r>
            <w:r w:rsidR="00C72E88" w:rsidRPr="00F576FE">
              <w:t>A.3</w:t>
            </w:r>
          </w:p>
          <w:p w14:paraId="1EA39166" w14:textId="77777777" w:rsidR="00E544AC" w:rsidRPr="00C1530E" w:rsidRDefault="00E544AC" w:rsidP="00944790">
            <w:pPr>
              <w:pStyle w:val="Rec"/>
            </w:pPr>
            <w:r w:rsidRPr="00C1530E">
              <w:t xml:space="preserve">Changes to Australia’s organ donation arrangements — largely a reflection of better coordination throughout all the stages needed to obtain a successful transplant — have substantially increased successful organ donations, and may have </w:t>
            </w:r>
            <w:r w:rsidR="005534A3" w:rsidRPr="00C1530E">
              <w:t xml:space="preserve">saved </w:t>
            </w:r>
            <w:r w:rsidR="00427F6A" w:rsidRPr="00C1530E">
              <w:t>about</w:t>
            </w:r>
            <w:r w:rsidR="005534A3" w:rsidRPr="00C1530E">
              <w:t xml:space="preserve"> 2</w:t>
            </w:r>
            <w:r w:rsidRPr="00C1530E">
              <w:t>500 people’s lives from 2009</w:t>
            </w:r>
            <w:r w:rsidR="005534A3" w:rsidRPr="00C1530E">
              <w:t>–</w:t>
            </w:r>
            <w:r w:rsidRPr="00C1530E">
              <w:t xml:space="preserve">2016. </w:t>
            </w:r>
          </w:p>
          <w:p w14:paraId="1EA39167" w14:textId="77777777" w:rsidR="00E544AC" w:rsidRPr="00F576FE" w:rsidRDefault="00E544AC" w:rsidP="00944790">
            <w:pPr>
              <w:pStyle w:val="Rec"/>
            </w:pPr>
            <w:r w:rsidRPr="00C1530E">
              <w:t xml:space="preserve">There are </w:t>
            </w:r>
            <w:r w:rsidR="00A35265" w:rsidRPr="00C1530E">
              <w:t>prospects</w:t>
            </w:r>
            <w:r w:rsidRPr="00C1530E">
              <w:t xml:space="preserve"> for </w:t>
            </w:r>
            <w:r w:rsidR="00A35265" w:rsidRPr="00C1530E">
              <w:t>further improvements in organ donation processes, with large benefits in reduced disability</w:t>
            </w:r>
            <w:r w:rsidR="0080456D" w:rsidRPr="00C1530E">
              <w:t xml:space="preserve"> and </w:t>
            </w:r>
            <w:r w:rsidR="00955CC5" w:rsidRPr="00C1530E">
              <w:t>premature deaths and</w:t>
            </w:r>
            <w:r w:rsidR="00A35265" w:rsidRPr="00C1530E">
              <w:t xml:space="preserve"> </w:t>
            </w:r>
            <w:r w:rsidR="0080456D" w:rsidRPr="00C1530E">
              <w:t>with</w:t>
            </w:r>
            <w:r w:rsidR="00A35265" w:rsidRPr="00C1530E">
              <w:t xml:space="preserve"> potential cost savings from reduced rates of dialysis and other ongoing hospitalisations of people with major organ damage.</w:t>
            </w:r>
          </w:p>
        </w:tc>
      </w:tr>
      <w:tr w:rsidR="00E544AC" w14:paraId="1EA3916A" w14:textId="77777777" w:rsidTr="00F576FE">
        <w:tc>
          <w:tcPr>
            <w:tcW w:w="5000" w:type="pct"/>
            <w:tcBorders>
              <w:top w:val="nil"/>
              <w:left w:val="nil"/>
              <w:bottom w:val="single" w:sz="4" w:space="0" w:color="265A9A" w:themeColor="accent2"/>
              <w:right w:val="nil"/>
            </w:tcBorders>
            <w:shd w:val="clear" w:color="auto" w:fill="F0F5FA"/>
            <w:tcMar>
              <w:left w:w="170" w:type="dxa"/>
              <w:right w:w="170" w:type="dxa"/>
            </w:tcMar>
          </w:tcPr>
          <w:p w14:paraId="1EA39169" w14:textId="77777777" w:rsidR="00E544AC" w:rsidRPr="00F576FE" w:rsidRDefault="00E544AC" w:rsidP="00F576FE">
            <w:pPr>
              <w:pStyle w:val="Space"/>
              <w:keepLines/>
            </w:pPr>
          </w:p>
        </w:tc>
      </w:tr>
      <w:tr w:rsidR="00E544AC" w:rsidRPr="000863A5" w14:paraId="1EA3916C" w14:textId="77777777" w:rsidTr="00F576FE">
        <w:tc>
          <w:tcPr>
            <w:tcW w:w="5000" w:type="pct"/>
            <w:tcBorders>
              <w:top w:val="single" w:sz="4" w:space="0" w:color="265A9A" w:themeColor="accent2"/>
              <w:left w:val="nil"/>
              <w:bottom w:val="nil"/>
              <w:right w:val="nil"/>
            </w:tcBorders>
            <w:tcMar>
              <w:left w:w="170" w:type="dxa"/>
              <w:right w:w="170" w:type="dxa"/>
            </w:tcMar>
          </w:tcPr>
          <w:p w14:paraId="1EA3916B" w14:textId="77777777" w:rsidR="00E544AC" w:rsidRPr="00626D32" w:rsidRDefault="00E544AC" w:rsidP="00E47853">
            <w:pPr>
              <w:pStyle w:val="BoxSpaceBelow"/>
              <w:keepLines/>
            </w:pPr>
          </w:p>
        </w:tc>
      </w:tr>
    </w:tbl>
    <w:p w14:paraId="1EA3916D" w14:textId="77777777" w:rsidR="002837CA" w:rsidRPr="002837CA" w:rsidRDefault="009C09EF" w:rsidP="002033FC">
      <w:pPr>
        <w:pStyle w:val="Heading2"/>
      </w:pPr>
      <w:bookmarkStart w:id="105" w:name="_Toc485912901"/>
      <w:bookmarkStart w:id="106" w:name="_Toc488929719"/>
      <w:bookmarkStart w:id="107" w:name="_Toc488930015"/>
      <w:bookmarkStart w:id="108" w:name="_Toc489250097"/>
      <w:r>
        <w:t>A</w:t>
      </w:r>
      <w:r w:rsidR="002837CA">
        <w:t>.4</w:t>
      </w:r>
      <w:r w:rsidR="002837CA" w:rsidRPr="002837CA">
        <w:tab/>
        <w:t>Victorian initiatives</w:t>
      </w:r>
      <w:bookmarkEnd w:id="105"/>
      <w:bookmarkEnd w:id="106"/>
      <w:bookmarkEnd w:id="107"/>
      <w:bookmarkEnd w:id="108"/>
    </w:p>
    <w:p w14:paraId="1EA3916E" w14:textId="77777777" w:rsidR="002837CA" w:rsidRPr="002837CA" w:rsidRDefault="002837CA" w:rsidP="002033FC">
      <w:pPr>
        <w:pStyle w:val="Heading3"/>
      </w:pPr>
      <w:r w:rsidRPr="002837CA">
        <w:t>Hospital Admission Risk Program</w:t>
      </w:r>
    </w:p>
    <w:p w14:paraId="1EA3916F" w14:textId="77777777" w:rsidR="002837CA" w:rsidRPr="002837CA" w:rsidRDefault="002837CA" w:rsidP="002033FC">
      <w:pPr>
        <w:pStyle w:val="BodyText"/>
      </w:pPr>
      <w:r w:rsidRPr="002837CA">
        <w:t xml:space="preserve">Victoria had the earliest </w:t>
      </w:r>
      <w:r w:rsidR="00BE3927">
        <w:t>effective</w:t>
      </w:r>
      <w:r w:rsidRPr="002837CA">
        <w:t xml:space="preserve"> experience in integrating health care services through its Hospital Admission Risk Program (HARP), now a component of the Health Independence Program. Victoria’s HARP program was developed in the late 1990s, drawing on the US Kaiser Permanente Chronic Care Framework and the Wagner Chronic Care model. It aims to reduce demand for hospital services through care coordination, self</w:t>
      </w:r>
      <w:r w:rsidRPr="002837CA">
        <w:noBreakHyphen/>
        <w:t>management support and specialist care of those with complex and chronic needs and who either frequently use hospitals or who are at risk of hospitalisation. However, the Commonwealth</w:t>
      </w:r>
      <w:r w:rsidRPr="002837CA">
        <w:noBreakHyphen/>
        <w:t>State divide in health funding has limited HARP’s lin</w:t>
      </w:r>
      <w:r w:rsidR="005534A3">
        <w:t>kages with GP</w:t>
      </w:r>
      <w:r w:rsidR="005534A3">
        <w:noBreakHyphen/>
      </w:r>
      <w:r w:rsidRPr="002837CA">
        <w:t>provided care, despite the essential role of GPs in early intervention and prevention of avoidable hospitalisation.</w:t>
      </w:r>
    </w:p>
    <w:p w14:paraId="1EA39170" w14:textId="60CFD582" w:rsidR="002837CA" w:rsidRPr="00F576FE" w:rsidRDefault="002837CA" w:rsidP="002033FC">
      <w:pPr>
        <w:pStyle w:val="BodyText"/>
        <w:rPr>
          <w:spacing w:val="-4"/>
        </w:rPr>
      </w:pPr>
      <w:r w:rsidRPr="00F576FE">
        <w:rPr>
          <w:spacing w:val="-4"/>
        </w:rPr>
        <w:t>An evaluation over 2004</w:t>
      </w:r>
      <w:r w:rsidRPr="00F576FE">
        <w:rPr>
          <w:spacing w:val="-4"/>
        </w:rPr>
        <w:noBreakHyphen/>
        <w:t>05 reported that the eighty HARP pilot projects resulted in 35 per cent fewer emergency department attendances, 52 per cent fewer emergency admissions and 41 per cent fewer days in hospital </w:t>
      </w:r>
      <w:r w:rsidR="00DA3429" w:rsidRPr="00F576FE">
        <w:rPr>
          <w:spacing w:val="-4"/>
          <w:szCs w:val="24"/>
        </w:rPr>
        <w:t>(Vic DHS 2006)</w:t>
      </w:r>
      <w:r w:rsidRPr="00F576FE">
        <w:rPr>
          <w:spacing w:val="-4"/>
        </w:rPr>
        <w:t>. With the support of Commonwealth funding, HARP was subsequently extended to the care of older people. An interim evaluation completed by the Victorian Department of Health and Human Services was also positive. The interim results were summarily reported in a final evaluation</w:t>
      </w:r>
      <w:r w:rsidR="00450E99" w:rsidRPr="00F576FE">
        <w:rPr>
          <w:spacing w:val="-4"/>
        </w:rPr>
        <w:t>. C</w:t>
      </w:r>
      <w:r w:rsidRPr="00F576FE">
        <w:rPr>
          <w:spacing w:val="-4"/>
        </w:rPr>
        <w:t xml:space="preserve">ompared </w:t>
      </w:r>
      <w:r w:rsidR="001E4340" w:rsidRPr="00F576FE">
        <w:rPr>
          <w:spacing w:val="-4"/>
        </w:rPr>
        <w:t>with</w:t>
      </w:r>
      <w:r w:rsidRPr="00F576FE">
        <w:rPr>
          <w:spacing w:val="-4"/>
        </w:rPr>
        <w:t xml:space="preserve"> the situation of participants before they entered the program, there was a 64</w:t>
      </w:r>
      <w:r w:rsidR="00450E99" w:rsidRPr="00F576FE">
        <w:rPr>
          <w:spacing w:val="-4"/>
        </w:rPr>
        <w:t> </w:t>
      </w:r>
      <w:r w:rsidRPr="00F576FE">
        <w:rPr>
          <w:spacing w:val="-4"/>
        </w:rPr>
        <w:t>per</w:t>
      </w:r>
      <w:r w:rsidR="00450E99" w:rsidRPr="00F576FE">
        <w:rPr>
          <w:spacing w:val="-4"/>
        </w:rPr>
        <w:t> </w:t>
      </w:r>
      <w:r w:rsidRPr="00F576FE">
        <w:rPr>
          <w:spacing w:val="-4"/>
        </w:rPr>
        <w:t>cent reduction in hospital separations, a 55</w:t>
      </w:r>
      <w:r w:rsidR="00393BE1" w:rsidRPr="00F576FE">
        <w:rPr>
          <w:spacing w:val="-4"/>
        </w:rPr>
        <w:t> </w:t>
      </w:r>
      <w:r w:rsidRPr="00F576FE">
        <w:rPr>
          <w:spacing w:val="-4"/>
        </w:rPr>
        <w:t>per</w:t>
      </w:r>
      <w:r w:rsidR="00393BE1" w:rsidRPr="00F576FE">
        <w:rPr>
          <w:spacing w:val="-4"/>
        </w:rPr>
        <w:t> </w:t>
      </w:r>
      <w:r w:rsidRPr="00F576FE">
        <w:rPr>
          <w:spacing w:val="-4"/>
        </w:rPr>
        <w:t>cent reduction in emergency department presentations and a 39</w:t>
      </w:r>
      <w:r w:rsidR="00450E99" w:rsidRPr="00F576FE">
        <w:rPr>
          <w:spacing w:val="-4"/>
        </w:rPr>
        <w:t> </w:t>
      </w:r>
      <w:r w:rsidRPr="00F576FE">
        <w:rPr>
          <w:spacing w:val="-4"/>
        </w:rPr>
        <w:t>per</w:t>
      </w:r>
      <w:r w:rsidR="00450E99" w:rsidRPr="00F576FE">
        <w:rPr>
          <w:spacing w:val="-4"/>
        </w:rPr>
        <w:t> </w:t>
      </w:r>
      <w:r w:rsidRPr="00F576FE">
        <w:rPr>
          <w:spacing w:val="-4"/>
        </w:rPr>
        <w:t>cent reduction in clients presenting to emergency after being discharged </w:t>
      </w:r>
      <w:r w:rsidR="00725CDA">
        <w:rPr>
          <w:spacing w:val="-4"/>
          <w:szCs w:val="24"/>
        </w:rPr>
        <w:t>(VicD</w:t>
      </w:r>
      <w:r w:rsidR="00DA3429" w:rsidRPr="00F576FE">
        <w:rPr>
          <w:spacing w:val="-4"/>
          <w:szCs w:val="24"/>
        </w:rPr>
        <w:t>HHS 2011)</w:t>
      </w:r>
      <w:r w:rsidRPr="00F576FE">
        <w:rPr>
          <w:spacing w:val="-4"/>
        </w:rPr>
        <w:t xml:space="preserve">. </w:t>
      </w:r>
    </w:p>
    <w:p w14:paraId="1EA39171" w14:textId="77777777" w:rsidR="00FA521F" w:rsidRPr="00F576FE" w:rsidRDefault="00FA521F" w:rsidP="002033FC">
      <w:pPr>
        <w:pStyle w:val="BodyText"/>
        <w:rPr>
          <w:spacing w:val="-4"/>
        </w:rPr>
      </w:pPr>
      <w:r w:rsidRPr="00F576FE">
        <w:rPr>
          <w:spacing w:val="-4"/>
        </w:rPr>
        <w:t xml:space="preserve">The </w:t>
      </w:r>
      <w:r w:rsidR="0067177C" w:rsidRPr="00F576FE">
        <w:rPr>
          <w:spacing w:val="-4"/>
        </w:rPr>
        <w:t xml:space="preserve">2006 </w:t>
      </w:r>
      <w:r w:rsidRPr="00F576FE">
        <w:rPr>
          <w:spacing w:val="-4"/>
        </w:rPr>
        <w:t>evaluation reports the HARP program cost $150 million over the initial four years, in order to serve 20 000 patients across 87 pilot projects. This implies a cost per patient of $1875 in 2005</w:t>
      </w:r>
      <w:r w:rsidRPr="00F576FE">
        <w:rPr>
          <w:spacing w:val="-4"/>
        </w:rPr>
        <w:noBreakHyphen/>
        <w:t xml:space="preserve">06 prices (or $2423 in 2016 prices). </w:t>
      </w:r>
      <w:r w:rsidR="0067177C" w:rsidRPr="00F576FE">
        <w:rPr>
          <w:spacing w:val="-4"/>
        </w:rPr>
        <w:t>Neither</w:t>
      </w:r>
      <w:r w:rsidRPr="00F576FE">
        <w:rPr>
          <w:spacing w:val="-4"/>
        </w:rPr>
        <w:t xml:space="preserve"> evaluation report</w:t>
      </w:r>
      <w:r w:rsidR="0067177C" w:rsidRPr="00F576FE">
        <w:rPr>
          <w:spacing w:val="-4"/>
        </w:rPr>
        <w:t>s</w:t>
      </w:r>
      <w:r w:rsidRPr="00F576FE">
        <w:rPr>
          <w:spacing w:val="-4"/>
        </w:rPr>
        <w:t xml:space="preserve"> the cost of averted hospitalisation, </w:t>
      </w:r>
      <w:r w:rsidR="005F0A02" w:rsidRPr="00F576FE">
        <w:rPr>
          <w:spacing w:val="-4"/>
        </w:rPr>
        <w:t>and so it is not clear that the program was cost</w:t>
      </w:r>
      <w:r w:rsidR="005F0A02" w:rsidRPr="00F576FE">
        <w:rPr>
          <w:spacing w:val="-4"/>
        </w:rPr>
        <w:noBreakHyphen/>
        <w:t>effective</w:t>
      </w:r>
      <w:r w:rsidR="007705AE" w:rsidRPr="00F576FE">
        <w:rPr>
          <w:spacing w:val="-4"/>
        </w:rPr>
        <w:t>.</w:t>
      </w:r>
      <w:r w:rsidRPr="00F576FE">
        <w:rPr>
          <w:spacing w:val="-4"/>
        </w:rPr>
        <w:t xml:space="preserve"> </w:t>
      </w:r>
    </w:p>
    <w:p w14:paraId="1EA39172" w14:textId="60FB8204" w:rsidR="002837CA" w:rsidRPr="00944790" w:rsidRDefault="002837CA" w:rsidP="002033FC">
      <w:pPr>
        <w:pStyle w:val="BodyText"/>
      </w:pPr>
      <w:r w:rsidRPr="00F576FE">
        <w:rPr>
          <w:spacing w:val="-4"/>
        </w:rPr>
        <w:t xml:space="preserve">Victoria commenced a roll out of HARP from the mid to late 2000s. The ongoing political commitment to this roll out is unclear and its </w:t>
      </w:r>
      <w:r w:rsidR="003A6FF6" w:rsidRPr="00F576FE">
        <w:rPr>
          <w:spacing w:val="-4"/>
        </w:rPr>
        <w:t xml:space="preserve">broader </w:t>
      </w:r>
      <w:r w:rsidRPr="00F576FE">
        <w:rPr>
          <w:spacing w:val="-4"/>
        </w:rPr>
        <w:t xml:space="preserve">impact </w:t>
      </w:r>
      <w:r w:rsidR="00AC3991">
        <w:rPr>
          <w:spacing w:val="-4"/>
        </w:rPr>
        <w:t>—</w:t>
      </w:r>
      <w:r w:rsidR="003A6FF6" w:rsidRPr="00F576FE">
        <w:rPr>
          <w:spacing w:val="-4"/>
        </w:rPr>
        <w:t xml:space="preserve"> and cost effectiveness </w:t>
      </w:r>
      <w:r w:rsidR="00AC3991">
        <w:rPr>
          <w:spacing w:val="-4"/>
        </w:rPr>
        <w:t>—</w:t>
      </w:r>
      <w:r w:rsidR="003A6FF6" w:rsidRPr="00F576FE">
        <w:rPr>
          <w:spacing w:val="-4"/>
        </w:rPr>
        <w:t xml:space="preserve"> </w:t>
      </w:r>
      <w:r w:rsidRPr="00F576FE">
        <w:rPr>
          <w:spacing w:val="-4"/>
        </w:rPr>
        <w:t xml:space="preserve">has not </w:t>
      </w:r>
      <w:r w:rsidRPr="00944790">
        <w:t xml:space="preserve">been the subject of any publicly available evaluations. There is evidence that compared </w:t>
      </w:r>
      <w:r w:rsidR="001E4340" w:rsidRPr="00944790">
        <w:t>with</w:t>
      </w:r>
      <w:r w:rsidRPr="00944790">
        <w:t xml:space="preserve"> other states, Victoria was treating a higher proportion of public hospital admissions in home in 2006</w:t>
      </w:r>
      <w:r w:rsidRPr="00944790">
        <w:noBreakHyphen/>
        <w:t>07 and this would reflect the impact of HARP (table </w:t>
      </w:r>
      <w:r w:rsidR="003A6FF6" w:rsidRPr="00944790">
        <w:t>A</w:t>
      </w:r>
      <w:r w:rsidRPr="00944790">
        <w:t>.3). HARP’s impact is otherwise not immediately evident in the state’s hospital statistics. For example, after taking into account socioeconomic status and remoteness, there is no discernible difference in the incidence of preventable hospital admissions in Victoria from that of other large states (figure </w:t>
      </w:r>
      <w:r w:rsidR="003A6FF6" w:rsidRPr="00944790">
        <w:t>A</w:t>
      </w:r>
      <w:r w:rsidRPr="00944790">
        <w:t>.1). Given that all jurisdictions run programs to reduce unwarranted hospitalisation, this is perhaps not surprising. Therefore</w:t>
      </w:r>
      <w:r w:rsidR="001B7E37" w:rsidRPr="00944790">
        <w:t>,</w:t>
      </w:r>
      <w:r w:rsidRPr="00944790">
        <w:t xml:space="preserve"> to adequately evaluate the impact of HARP in Victoria, more careful analysis is required.</w:t>
      </w:r>
      <w:r w:rsidR="006D2C1F" w:rsidRPr="00944790">
        <w:t xml:space="preserve"> </w:t>
      </w:r>
    </w:p>
    <w:p w14:paraId="1EA39173" w14:textId="77777777" w:rsidR="005D4A2E" w:rsidRDefault="005D4A2E" w:rsidP="0045253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9073"/>
      </w:tblGrid>
      <w:tr w:rsidR="005D4A2E" w14:paraId="1EA39176" w14:textId="77777777" w:rsidTr="00452532">
        <w:tc>
          <w:tcPr>
            <w:tcW w:w="5000" w:type="pct"/>
            <w:tcBorders>
              <w:top w:val="single" w:sz="6" w:space="0" w:color="78A22F"/>
              <w:left w:val="nil"/>
              <w:bottom w:val="nil"/>
              <w:right w:val="nil"/>
            </w:tcBorders>
            <w:shd w:val="clear" w:color="auto" w:fill="auto"/>
          </w:tcPr>
          <w:p w14:paraId="1EA39174" w14:textId="77777777" w:rsidR="005D4A2E" w:rsidRDefault="005D4A2E" w:rsidP="00452532">
            <w:pPr>
              <w:pStyle w:val="TableTitle"/>
            </w:pPr>
            <w:r w:rsidRPr="00944790">
              <w:rPr>
                <w:b w:val="0"/>
              </w:rPr>
              <w:t xml:space="preserve">Table </w:t>
            </w:r>
            <w:r w:rsidR="003A6FF6" w:rsidRPr="00944790">
              <w:rPr>
                <w:b w:val="0"/>
              </w:rPr>
              <w:t>A</w:t>
            </w:r>
            <w:r w:rsidR="00AF321D" w:rsidRPr="00944790">
              <w:rPr>
                <w:b w:val="0"/>
              </w:rPr>
              <w:t>.3</w:t>
            </w:r>
            <w:r>
              <w:tab/>
            </w:r>
            <w:r w:rsidR="00CC6DBD" w:rsidRPr="002837CA">
              <w:t>Public hospital admissions treated in the home</w:t>
            </w:r>
          </w:p>
          <w:p w14:paraId="1EA39175" w14:textId="77777777" w:rsidR="005D4A2E" w:rsidRPr="00784A05" w:rsidRDefault="00CC6DBD" w:rsidP="00452532">
            <w:pPr>
              <w:pStyle w:val="Subtitle"/>
            </w:pPr>
            <w:r w:rsidRPr="002837CA">
              <w:t>2006</w:t>
            </w:r>
            <w:r w:rsidRPr="002837CA">
              <w:noBreakHyphen/>
              <w:t>07</w:t>
            </w:r>
          </w:p>
        </w:tc>
      </w:tr>
      <w:tr w:rsidR="005D4A2E" w14:paraId="1EA391A4" w14:textId="77777777" w:rsidTr="00452532">
        <w:tc>
          <w:tcPr>
            <w:tcW w:w="5000" w:type="pct"/>
            <w:tcBorders>
              <w:top w:val="nil"/>
              <w:left w:val="nil"/>
              <w:bottom w:val="nil"/>
              <w:right w:val="nil"/>
            </w:tcBorders>
            <w:shd w:val="clear" w:color="auto" w:fill="auto"/>
          </w:tcPr>
          <w:tbl>
            <w:tblPr>
              <w:tblW w:w="8670" w:type="dxa"/>
              <w:tblCellMar>
                <w:top w:w="28" w:type="dxa"/>
                <w:left w:w="0" w:type="dxa"/>
                <w:right w:w="0" w:type="dxa"/>
              </w:tblCellMar>
              <w:tblLook w:val="0000" w:firstRow="0" w:lastRow="0" w:firstColumn="0" w:lastColumn="0" w:noHBand="0" w:noVBand="0"/>
            </w:tblPr>
            <w:tblGrid>
              <w:gridCol w:w="2129"/>
              <w:gridCol w:w="3139"/>
              <w:gridCol w:w="3402"/>
            </w:tblGrid>
            <w:tr w:rsidR="005D4A2E" w14:paraId="1EA3917A" w14:textId="77777777" w:rsidTr="005D4A2E">
              <w:trPr>
                <w:tblHeader/>
              </w:trPr>
              <w:tc>
                <w:tcPr>
                  <w:tcW w:w="1228" w:type="pct"/>
                  <w:tcBorders>
                    <w:top w:val="single" w:sz="6" w:space="0" w:color="BFBFBF"/>
                    <w:bottom w:val="single" w:sz="6" w:space="0" w:color="BFBFBF"/>
                  </w:tcBorders>
                  <w:shd w:val="clear" w:color="auto" w:fill="auto"/>
                  <w:tcMar>
                    <w:top w:w="28" w:type="dxa"/>
                  </w:tcMar>
                </w:tcPr>
                <w:p w14:paraId="1EA39177" w14:textId="77777777" w:rsidR="005D4A2E" w:rsidRDefault="005D4A2E" w:rsidP="00452532">
                  <w:pPr>
                    <w:pStyle w:val="TableColumnHeading"/>
                    <w:jc w:val="left"/>
                  </w:pPr>
                </w:p>
              </w:tc>
              <w:tc>
                <w:tcPr>
                  <w:tcW w:w="1810" w:type="pct"/>
                  <w:tcBorders>
                    <w:top w:val="single" w:sz="6" w:space="0" w:color="BFBFBF"/>
                    <w:bottom w:val="single" w:sz="6" w:space="0" w:color="BFBFBF"/>
                  </w:tcBorders>
                </w:tcPr>
                <w:p w14:paraId="1EA39178" w14:textId="77777777" w:rsidR="005D4A2E" w:rsidRDefault="00030119" w:rsidP="00452532">
                  <w:pPr>
                    <w:pStyle w:val="TableColumnHeading"/>
                  </w:pPr>
                  <w:r>
                    <w:t>Admissions</w:t>
                  </w:r>
                </w:p>
              </w:tc>
              <w:tc>
                <w:tcPr>
                  <w:tcW w:w="1962" w:type="pct"/>
                  <w:tcBorders>
                    <w:top w:val="single" w:sz="6" w:space="0" w:color="BFBFBF"/>
                    <w:bottom w:val="single" w:sz="6" w:space="0" w:color="BFBFBF"/>
                  </w:tcBorders>
                  <w:shd w:val="clear" w:color="auto" w:fill="auto"/>
                  <w:tcMar>
                    <w:top w:w="28" w:type="dxa"/>
                  </w:tcMar>
                </w:tcPr>
                <w:p w14:paraId="1EA39179" w14:textId="77777777" w:rsidR="005D4A2E" w:rsidRDefault="00030119" w:rsidP="00452532">
                  <w:pPr>
                    <w:pStyle w:val="TableColumnHeading"/>
                    <w:ind w:right="28"/>
                  </w:pPr>
                  <w:r>
                    <w:t>Share of admissions</w:t>
                  </w:r>
                </w:p>
              </w:tc>
            </w:tr>
            <w:tr w:rsidR="00030119" w14:paraId="1EA3917E" w14:textId="77777777" w:rsidTr="005D4A2E">
              <w:tc>
                <w:tcPr>
                  <w:tcW w:w="1228" w:type="pct"/>
                </w:tcPr>
                <w:p w14:paraId="1EA3917B" w14:textId="77777777" w:rsidR="00030119" w:rsidRPr="00094FE9" w:rsidRDefault="00030119" w:rsidP="00030119">
                  <w:pPr>
                    <w:pStyle w:val="TableUnitsRow"/>
                  </w:pPr>
                </w:p>
              </w:tc>
              <w:tc>
                <w:tcPr>
                  <w:tcW w:w="1810" w:type="pct"/>
                </w:tcPr>
                <w:p w14:paraId="1EA3917C" w14:textId="77777777" w:rsidR="00030119" w:rsidRDefault="00030119" w:rsidP="00030119">
                  <w:pPr>
                    <w:pStyle w:val="TableUnitsRow"/>
                  </w:pPr>
                  <w:r>
                    <w:t>Number</w:t>
                  </w:r>
                </w:p>
              </w:tc>
              <w:tc>
                <w:tcPr>
                  <w:tcW w:w="1962" w:type="pct"/>
                </w:tcPr>
                <w:p w14:paraId="1EA3917D" w14:textId="77777777" w:rsidR="00030119" w:rsidRDefault="00030119" w:rsidP="00030119">
                  <w:pPr>
                    <w:pStyle w:val="TableUnitsRow"/>
                  </w:pPr>
                  <w:r>
                    <w:t>%</w:t>
                  </w:r>
                </w:p>
              </w:tc>
            </w:tr>
            <w:tr w:rsidR="005D4A2E" w14:paraId="1EA39182" w14:textId="77777777" w:rsidTr="005D4A2E">
              <w:tc>
                <w:tcPr>
                  <w:tcW w:w="1228" w:type="pct"/>
                </w:tcPr>
                <w:p w14:paraId="1EA3917F" w14:textId="77777777" w:rsidR="005D4A2E" w:rsidRDefault="005D4A2E" w:rsidP="005D4A2E">
                  <w:pPr>
                    <w:pStyle w:val="TableBodyText"/>
                    <w:jc w:val="left"/>
                  </w:pPr>
                  <w:r w:rsidRPr="00094FE9">
                    <w:t>New South Wales</w:t>
                  </w:r>
                </w:p>
              </w:tc>
              <w:tc>
                <w:tcPr>
                  <w:tcW w:w="1810" w:type="pct"/>
                </w:tcPr>
                <w:p w14:paraId="1EA39180" w14:textId="77777777" w:rsidR="005D4A2E" w:rsidRDefault="005D4A2E" w:rsidP="005D4A2E">
                  <w:pPr>
                    <w:pStyle w:val="TableBodyText"/>
                  </w:pPr>
                  <w:r>
                    <w:t>12 </w:t>
                  </w:r>
                  <w:r w:rsidRPr="00471D37">
                    <w:t>000</w:t>
                  </w:r>
                </w:p>
              </w:tc>
              <w:tc>
                <w:tcPr>
                  <w:tcW w:w="1962" w:type="pct"/>
                </w:tcPr>
                <w:p w14:paraId="1EA39181" w14:textId="77777777" w:rsidR="005D4A2E" w:rsidRDefault="00AF7850" w:rsidP="005D4A2E">
                  <w:pPr>
                    <w:pStyle w:val="TableBodyText"/>
                    <w:ind w:right="28"/>
                  </w:pPr>
                  <w:r>
                    <w:t>0.8</w:t>
                  </w:r>
                </w:p>
              </w:tc>
            </w:tr>
            <w:tr w:rsidR="005D4A2E" w14:paraId="1EA39186" w14:textId="77777777" w:rsidTr="005D4A2E">
              <w:tc>
                <w:tcPr>
                  <w:tcW w:w="1228" w:type="pct"/>
                </w:tcPr>
                <w:p w14:paraId="1EA39183" w14:textId="77777777" w:rsidR="005D4A2E" w:rsidRDefault="005D4A2E" w:rsidP="005D4A2E">
                  <w:pPr>
                    <w:pStyle w:val="TableBodyText"/>
                    <w:jc w:val="left"/>
                  </w:pPr>
                  <w:r w:rsidRPr="00094FE9">
                    <w:t>Victoria</w:t>
                  </w:r>
                </w:p>
              </w:tc>
              <w:tc>
                <w:tcPr>
                  <w:tcW w:w="1810" w:type="pct"/>
                </w:tcPr>
                <w:p w14:paraId="1EA39184" w14:textId="77777777" w:rsidR="005D4A2E" w:rsidRDefault="005D4A2E" w:rsidP="005D4A2E">
                  <w:pPr>
                    <w:pStyle w:val="TableBodyText"/>
                  </w:pPr>
                  <w:r>
                    <w:t>40 </w:t>
                  </w:r>
                  <w:r w:rsidRPr="00471D37">
                    <w:t>866</w:t>
                  </w:r>
                </w:p>
              </w:tc>
              <w:tc>
                <w:tcPr>
                  <w:tcW w:w="1962" w:type="pct"/>
                </w:tcPr>
                <w:p w14:paraId="1EA39185" w14:textId="77777777" w:rsidR="005D4A2E" w:rsidRDefault="00AF7850" w:rsidP="005D4A2E">
                  <w:pPr>
                    <w:pStyle w:val="TableBodyText"/>
                    <w:ind w:right="28"/>
                  </w:pPr>
                  <w:r>
                    <w:t>3.11</w:t>
                  </w:r>
                </w:p>
              </w:tc>
            </w:tr>
            <w:tr w:rsidR="005D4A2E" w14:paraId="1EA3918A" w14:textId="77777777" w:rsidTr="005D4A2E">
              <w:tc>
                <w:tcPr>
                  <w:tcW w:w="1228" w:type="pct"/>
                </w:tcPr>
                <w:p w14:paraId="1EA39187" w14:textId="77777777" w:rsidR="005D4A2E" w:rsidRDefault="005D4A2E" w:rsidP="005D4A2E">
                  <w:pPr>
                    <w:pStyle w:val="TableBodyText"/>
                    <w:jc w:val="left"/>
                  </w:pPr>
                  <w:r w:rsidRPr="00094FE9">
                    <w:t>Queensland</w:t>
                  </w:r>
                </w:p>
              </w:tc>
              <w:tc>
                <w:tcPr>
                  <w:tcW w:w="1810" w:type="pct"/>
                </w:tcPr>
                <w:p w14:paraId="1EA39188" w14:textId="77777777" w:rsidR="005D4A2E" w:rsidRDefault="005D4A2E" w:rsidP="005D4A2E">
                  <w:pPr>
                    <w:pStyle w:val="TableBodyText"/>
                  </w:pPr>
                  <w:r>
                    <w:t>1 </w:t>
                  </w:r>
                  <w:r w:rsidRPr="00471D37">
                    <w:t>125</w:t>
                  </w:r>
                </w:p>
              </w:tc>
              <w:tc>
                <w:tcPr>
                  <w:tcW w:w="1962" w:type="pct"/>
                </w:tcPr>
                <w:p w14:paraId="1EA39189" w14:textId="77777777" w:rsidR="005D4A2E" w:rsidRDefault="00AF7850" w:rsidP="005D4A2E">
                  <w:pPr>
                    <w:pStyle w:val="TableBodyText"/>
                    <w:ind w:right="28"/>
                  </w:pPr>
                  <w:r>
                    <w:t>0.14</w:t>
                  </w:r>
                </w:p>
              </w:tc>
            </w:tr>
            <w:tr w:rsidR="005D4A2E" w14:paraId="1EA3918E" w14:textId="77777777" w:rsidTr="005D4A2E">
              <w:tc>
                <w:tcPr>
                  <w:tcW w:w="1228" w:type="pct"/>
                </w:tcPr>
                <w:p w14:paraId="1EA3918B" w14:textId="77777777" w:rsidR="005D4A2E" w:rsidRDefault="005D4A2E" w:rsidP="005D4A2E">
                  <w:pPr>
                    <w:pStyle w:val="TableBodyText"/>
                    <w:jc w:val="left"/>
                  </w:pPr>
                  <w:r w:rsidRPr="00094FE9">
                    <w:t>Western Australia</w:t>
                  </w:r>
                </w:p>
              </w:tc>
              <w:tc>
                <w:tcPr>
                  <w:tcW w:w="1810" w:type="pct"/>
                </w:tcPr>
                <w:p w14:paraId="1EA3918C" w14:textId="77777777" w:rsidR="005D4A2E" w:rsidRDefault="005D4A2E" w:rsidP="005D4A2E">
                  <w:pPr>
                    <w:pStyle w:val="TableBodyText"/>
                  </w:pPr>
                  <w:r>
                    <w:t>4 </w:t>
                  </w:r>
                  <w:r w:rsidRPr="00471D37">
                    <w:t>102</w:t>
                  </w:r>
                </w:p>
              </w:tc>
              <w:tc>
                <w:tcPr>
                  <w:tcW w:w="1962" w:type="pct"/>
                </w:tcPr>
                <w:p w14:paraId="1EA3918D" w14:textId="77777777" w:rsidR="005D4A2E" w:rsidRDefault="00AF7850" w:rsidP="005D4A2E">
                  <w:pPr>
                    <w:pStyle w:val="TableBodyText"/>
                    <w:ind w:right="28"/>
                  </w:pPr>
                  <w:r>
                    <w:t>0.91</w:t>
                  </w:r>
                </w:p>
              </w:tc>
            </w:tr>
            <w:tr w:rsidR="005D4A2E" w14:paraId="1EA39192" w14:textId="77777777" w:rsidTr="005D4A2E">
              <w:tc>
                <w:tcPr>
                  <w:tcW w:w="1228" w:type="pct"/>
                </w:tcPr>
                <w:p w14:paraId="1EA3918F" w14:textId="77777777" w:rsidR="005D4A2E" w:rsidRDefault="005D4A2E" w:rsidP="005D4A2E">
                  <w:pPr>
                    <w:pStyle w:val="TableBodyText"/>
                    <w:jc w:val="left"/>
                  </w:pPr>
                  <w:r w:rsidRPr="00094FE9">
                    <w:t>South Australia</w:t>
                  </w:r>
                </w:p>
              </w:tc>
              <w:tc>
                <w:tcPr>
                  <w:tcW w:w="1810" w:type="pct"/>
                </w:tcPr>
                <w:p w14:paraId="1EA39190" w14:textId="77777777" w:rsidR="005D4A2E" w:rsidRDefault="005D4A2E" w:rsidP="005D4A2E">
                  <w:pPr>
                    <w:pStyle w:val="TableBodyText"/>
                  </w:pPr>
                  <w:r>
                    <w:t>6 </w:t>
                  </w:r>
                  <w:r w:rsidRPr="00471D37">
                    <w:t>580</w:t>
                  </w:r>
                </w:p>
              </w:tc>
              <w:tc>
                <w:tcPr>
                  <w:tcW w:w="1962" w:type="pct"/>
                </w:tcPr>
                <w:p w14:paraId="1EA39191" w14:textId="77777777" w:rsidR="005D4A2E" w:rsidRDefault="00030119" w:rsidP="005D4A2E">
                  <w:pPr>
                    <w:pStyle w:val="TableBodyText"/>
                    <w:ind w:right="28"/>
                  </w:pPr>
                  <w:r>
                    <w:t>1.68</w:t>
                  </w:r>
                </w:p>
              </w:tc>
            </w:tr>
            <w:tr w:rsidR="005D4A2E" w14:paraId="1EA39196" w14:textId="77777777" w:rsidTr="005D4A2E">
              <w:tc>
                <w:tcPr>
                  <w:tcW w:w="1228" w:type="pct"/>
                </w:tcPr>
                <w:p w14:paraId="1EA39193" w14:textId="77777777" w:rsidR="005D4A2E" w:rsidRDefault="005D4A2E" w:rsidP="005D4A2E">
                  <w:pPr>
                    <w:pStyle w:val="TableBodyText"/>
                    <w:jc w:val="left"/>
                  </w:pPr>
                  <w:r w:rsidRPr="00094FE9">
                    <w:t>Tasmania</w:t>
                  </w:r>
                </w:p>
              </w:tc>
              <w:tc>
                <w:tcPr>
                  <w:tcW w:w="1810" w:type="pct"/>
                </w:tcPr>
                <w:p w14:paraId="1EA39194" w14:textId="77777777" w:rsidR="005D4A2E" w:rsidRDefault="005D4A2E" w:rsidP="005D4A2E">
                  <w:pPr>
                    <w:pStyle w:val="TableBodyText"/>
                  </w:pPr>
                  <w:r w:rsidRPr="00471D37">
                    <w:t>Not reported</w:t>
                  </w:r>
                </w:p>
              </w:tc>
              <w:tc>
                <w:tcPr>
                  <w:tcW w:w="1962" w:type="pct"/>
                </w:tcPr>
                <w:p w14:paraId="1EA39195" w14:textId="77777777" w:rsidR="005D4A2E" w:rsidRDefault="00030119" w:rsidP="005D4A2E">
                  <w:pPr>
                    <w:pStyle w:val="TableBodyText"/>
                    <w:ind w:right="28"/>
                  </w:pPr>
                  <w:r>
                    <w:t>Not reported</w:t>
                  </w:r>
                </w:p>
              </w:tc>
            </w:tr>
            <w:tr w:rsidR="005D4A2E" w14:paraId="1EA3919A" w14:textId="77777777" w:rsidTr="005D4A2E">
              <w:tc>
                <w:tcPr>
                  <w:tcW w:w="1228" w:type="pct"/>
                </w:tcPr>
                <w:p w14:paraId="1EA39197" w14:textId="77777777" w:rsidR="005D4A2E" w:rsidRDefault="005D4A2E" w:rsidP="005D4A2E">
                  <w:pPr>
                    <w:pStyle w:val="TableBodyText"/>
                    <w:jc w:val="left"/>
                  </w:pPr>
                  <w:r w:rsidRPr="00094FE9">
                    <w:t>ACT</w:t>
                  </w:r>
                </w:p>
              </w:tc>
              <w:tc>
                <w:tcPr>
                  <w:tcW w:w="1810" w:type="pct"/>
                </w:tcPr>
                <w:p w14:paraId="1EA39198" w14:textId="77777777" w:rsidR="005D4A2E" w:rsidRDefault="005D4A2E" w:rsidP="005D4A2E">
                  <w:pPr>
                    <w:pStyle w:val="TableBodyText"/>
                  </w:pPr>
                  <w:r w:rsidRPr="00471D37">
                    <w:t>9</w:t>
                  </w:r>
                  <w:r>
                    <w:t> </w:t>
                  </w:r>
                  <w:r w:rsidRPr="00471D37">
                    <w:t>222</w:t>
                  </w:r>
                </w:p>
              </w:tc>
              <w:tc>
                <w:tcPr>
                  <w:tcW w:w="1962" w:type="pct"/>
                </w:tcPr>
                <w:p w14:paraId="1EA39199" w14:textId="77777777" w:rsidR="005D4A2E" w:rsidRDefault="00030119" w:rsidP="005D4A2E">
                  <w:pPr>
                    <w:pStyle w:val="TableBodyText"/>
                    <w:ind w:right="28"/>
                  </w:pPr>
                  <w:r>
                    <w:t>1.22</w:t>
                  </w:r>
                </w:p>
              </w:tc>
            </w:tr>
            <w:tr w:rsidR="005D4A2E" w14:paraId="1EA3919E" w14:textId="77777777" w:rsidTr="005D4A2E">
              <w:tc>
                <w:tcPr>
                  <w:tcW w:w="1228" w:type="pct"/>
                </w:tcPr>
                <w:p w14:paraId="1EA3919B" w14:textId="77777777" w:rsidR="005D4A2E" w:rsidRDefault="005D4A2E" w:rsidP="005D4A2E">
                  <w:pPr>
                    <w:pStyle w:val="TableBodyText"/>
                    <w:jc w:val="left"/>
                  </w:pPr>
                  <w:r w:rsidRPr="00094FE9">
                    <w:t>Northern Territory</w:t>
                  </w:r>
                </w:p>
              </w:tc>
              <w:tc>
                <w:tcPr>
                  <w:tcW w:w="1810" w:type="pct"/>
                </w:tcPr>
                <w:p w14:paraId="1EA3919C" w14:textId="77777777" w:rsidR="005D4A2E" w:rsidRDefault="005D4A2E" w:rsidP="005D4A2E">
                  <w:pPr>
                    <w:pStyle w:val="TableBodyText"/>
                  </w:pPr>
                  <w:r w:rsidRPr="00471D37">
                    <w:t>599</w:t>
                  </w:r>
                </w:p>
              </w:tc>
              <w:tc>
                <w:tcPr>
                  <w:tcW w:w="1962" w:type="pct"/>
                </w:tcPr>
                <w:p w14:paraId="1EA3919D" w14:textId="77777777" w:rsidR="005D4A2E" w:rsidRDefault="00030119" w:rsidP="005D4A2E">
                  <w:pPr>
                    <w:pStyle w:val="TableBodyText"/>
                    <w:ind w:right="28"/>
                  </w:pPr>
                  <w:r>
                    <w:t>0.70</w:t>
                  </w:r>
                </w:p>
              </w:tc>
            </w:tr>
            <w:tr w:rsidR="005D4A2E" w14:paraId="1EA391A2" w14:textId="77777777" w:rsidTr="005D4A2E">
              <w:tc>
                <w:tcPr>
                  <w:tcW w:w="1228" w:type="pct"/>
                  <w:tcBorders>
                    <w:bottom w:val="single" w:sz="6" w:space="0" w:color="BFBFBF"/>
                  </w:tcBorders>
                  <w:shd w:val="clear" w:color="auto" w:fill="auto"/>
                </w:tcPr>
                <w:p w14:paraId="1EA3919F" w14:textId="77777777" w:rsidR="005D4A2E" w:rsidRDefault="005D4A2E" w:rsidP="005D4A2E">
                  <w:pPr>
                    <w:pStyle w:val="TableBodyText"/>
                    <w:jc w:val="left"/>
                  </w:pPr>
                  <w:r>
                    <w:t>Australia</w:t>
                  </w:r>
                  <w:r w:rsidRPr="005D4A2E">
                    <w:rPr>
                      <w:rStyle w:val="NoteLabel"/>
                    </w:rPr>
                    <w:t>a</w:t>
                  </w:r>
                </w:p>
              </w:tc>
              <w:tc>
                <w:tcPr>
                  <w:tcW w:w="1810" w:type="pct"/>
                  <w:tcBorders>
                    <w:bottom w:val="single" w:sz="6" w:space="0" w:color="BFBFBF"/>
                  </w:tcBorders>
                </w:tcPr>
                <w:p w14:paraId="1EA391A0" w14:textId="77777777" w:rsidR="005D4A2E" w:rsidRDefault="005D4A2E" w:rsidP="005D4A2E">
                  <w:pPr>
                    <w:pStyle w:val="TableBodyText"/>
                  </w:pPr>
                  <w:r>
                    <w:t>66 </w:t>
                  </w:r>
                  <w:r w:rsidRPr="00471D37">
                    <w:t>194</w:t>
                  </w:r>
                </w:p>
              </w:tc>
              <w:tc>
                <w:tcPr>
                  <w:tcW w:w="1962" w:type="pct"/>
                  <w:tcBorders>
                    <w:bottom w:val="single" w:sz="6" w:space="0" w:color="BFBFBF"/>
                  </w:tcBorders>
                  <w:shd w:val="clear" w:color="auto" w:fill="auto"/>
                </w:tcPr>
                <w:p w14:paraId="1EA391A1" w14:textId="77777777" w:rsidR="005D4A2E" w:rsidRDefault="00030119" w:rsidP="005D4A2E">
                  <w:pPr>
                    <w:pStyle w:val="TableBodyText"/>
                    <w:ind w:right="28"/>
                  </w:pPr>
                  <w:r>
                    <w:t>1.42</w:t>
                  </w:r>
                </w:p>
              </w:tc>
            </w:tr>
          </w:tbl>
          <w:p w14:paraId="1EA391A3" w14:textId="77777777" w:rsidR="005D4A2E" w:rsidRDefault="005D4A2E" w:rsidP="00452532">
            <w:pPr>
              <w:pStyle w:val="Box"/>
            </w:pPr>
          </w:p>
        </w:tc>
      </w:tr>
      <w:tr w:rsidR="005D4A2E" w14:paraId="1EA391A6" w14:textId="77777777" w:rsidTr="00452532">
        <w:tc>
          <w:tcPr>
            <w:tcW w:w="5000" w:type="pct"/>
            <w:tcBorders>
              <w:top w:val="nil"/>
              <w:left w:val="nil"/>
              <w:bottom w:val="nil"/>
              <w:right w:val="nil"/>
            </w:tcBorders>
            <w:shd w:val="clear" w:color="auto" w:fill="auto"/>
          </w:tcPr>
          <w:p w14:paraId="1EA391A5" w14:textId="77777777" w:rsidR="005D4A2E" w:rsidRDefault="005D4A2E" w:rsidP="00452532">
            <w:pPr>
              <w:pStyle w:val="Note"/>
              <w:rPr>
                <w:i/>
              </w:rPr>
            </w:pPr>
            <w:r w:rsidRPr="008E77FE">
              <w:rPr>
                <w:rStyle w:val="NoteLabel"/>
              </w:rPr>
              <w:t>a</w:t>
            </w:r>
            <w:r>
              <w:t xml:space="preserve"> </w:t>
            </w:r>
            <w:r w:rsidR="00030119" w:rsidRPr="002837CA">
              <w:t>Commission estimate</w:t>
            </w:r>
            <w:r>
              <w:t>.</w:t>
            </w:r>
          </w:p>
        </w:tc>
      </w:tr>
      <w:tr w:rsidR="005D4A2E" w14:paraId="1EA391A8" w14:textId="77777777" w:rsidTr="00452532">
        <w:tc>
          <w:tcPr>
            <w:tcW w:w="5000" w:type="pct"/>
            <w:tcBorders>
              <w:top w:val="nil"/>
              <w:left w:val="nil"/>
              <w:bottom w:val="nil"/>
              <w:right w:val="nil"/>
            </w:tcBorders>
            <w:shd w:val="clear" w:color="auto" w:fill="auto"/>
          </w:tcPr>
          <w:p w14:paraId="1EA391A7" w14:textId="122154F1" w:rsidR="005D4A2E" w:rsidRDefault="00030119" w:rsidP="00D54445">
            <w:pPr>
              <w:pStyle w:val="Source"/>
            </w:pPr>
            <w:r>
              <w:rPr>
                <w:i/>
              </w:rPr>
              <w:t>Sources</w:t>
            </w:r>
            <w:r w:rsidR="005D4A2E" w:rsidRPr="00167F06">
              <w:t xml:space="preserve">: </w:t>
            </w:r>
            <w:r w:rsidRPr="002837CA">
              <w:t>Audit Office of NSW </w:t>
            </w:r>
            <w:r w:rsidR="00C65A42" w:rsidRPr="00C65A42">
              <w:rPr>
                <w:rFonts w:cs="Arial"/>
              </w:rPr>
              <w:t>(2008)</w:t>
            </w:r>
            <w:r w:rsidRPr="002837CA">
              <w:t>, Australia</w:t>
            </w:r>
            <w:r w:rsidR="00D54445">
              <w:t>n</w:t>
            </w:r>
            <w:r w:rsidRPr="002837CA">
              <w:t xml:space="preserve"> Department of Health and Ageing </w:t>
            </w:r>
            <w:r w:rsidR="00C65A42" w:rsidRPr="00C65A42">
              <w:rPr>
                <w:rFonts w:cs="Arial"/>
              </w:rPr>
              <w:t>(</w:t>
            </w:r>
            <w:r w:rsidR="00D54445">
              <w:rPr>
                <w:rFonts w:cs="Arial"/>
              </w:rPr>
              <w:t xml:space="preserve">DoHA </w:t>
            </w:r>
            <w:r w:rsidR="00C65A42" w:rsidRPr="00C65A42">
              <w:rPr>
                <w:rFonts w:cs="Arial"/>
              </w:rPr>
              <w:t>2008)</w:t>
            </w:r>
            <w:r>
              <w:t>.</w:t>
            </w:r>
          </w:p>
        </w:tc>
      </w:tr>
      <w:tr w:rsidR="005D4A2E" w14:paraId="1EA391AA" w14:textId="77777777" w:rsidTr="00452532">
        <w:tc>
          <w:tcPr>
            <w:tcW w:w="5000" w:type="pct"/>
            <w:tcBorders>
              <w:top w:val="nil"/>
              <w:left w:val="nil"/>
              <w:bottom w:val="single" w:sz="6" w:space="0" w:color="78A22F"/>
              <w:right w:val="nil"/>
            </w:tcBorders>
            <w:shd w:val="clear" w:color="auto" w:fill="auto"/>
          </w:tcPr>
          <w:p w14:paraId="1EA391A9" w14:textId="77777777" w:rsidR="005D4A2E" w:rsidRDefault="005D4A2E" w:rsidP="00452532">
            <w:pPr>
              <w:pStyle w:val="Box"/>
              <w:spacing w:before="0" w:line="120" w:lineRule="exact"/>
            </w:pPr>
          </w:p>
        </w:tc>
      </w:tr>
      <w:tr w:rsidR="005D4A2E" w:rsidRPr="000863A5" w14:paraId="1EA391AC" w14:textId="77777777" w:rsidTr="00452532">
        <w:tc>
          <w:tcPr>
            <w:tcW w:w="5000" w:type="pct"/>
            <w:tcBorders>
              <w:top w:val="single" w:sz="6" w:space="0" w:color="78A22F"/>
              <w:left w:val="nil"/>
              <w:bottom w:val="nil"/>
              <w:right w:val="nil"/>
            </w:tcBorders>
          </w:tcPr>
          <w:p w14:paraId="1EA391AB" w14:textId="77777777" w:rsidR="005D4A2E" w:rsidRPr="00626D32" w:rsidRDefault="005D4A2E" w:rsidP="00452532">
            <w:pPr>
              <w:pStyle w:val="BoxSpaceBelow"/>
            </w:pPr>
          </w:p>
        </w:tc>
      </w:tr>
    </w:tbl>
    <w:p w14:paraId="1EA391AD" w14:textId="77777777" w:rsidR="00C72E88" w:rsidRPr="002837CA" w:rsidRDefault="00C72E88" w:rsidP="00C72E88">
      <w:pPr>
        <w:pStyle w:val="Heading3"/>
      </w:pPr>
      <w:r w:rsidRPr="002837CA">
        <w:t>Medibank’s CarePoint and CareCo</w:t>
      </w:r>
      <w:r>
        <w:t>mplete</w:t>
      </w:r>
    </w:p>
    <w:p w14:paraId="1EA391AE" w14:textId="77777777" w:rsidR="001B7E37" w:rsidRDefault="00C72E88" w:rsidP="00C72E88">
      <w:pPr>
        <w:pStyle w:val="BodyText"/>
      </w:pPr>
      <w:r w:rsidRPr="002837CA">
        <w:t xml:space="preserve">There have been </w:t>
      </w:r>
      <w:r>
        <w:t xml:space="preserve">several </w:t>
      </w:r>
      <w:r w:rsidRPr="002837CA">
        <w:t>recent trials of integrated care by private insurers, including Medibank’s CarePoint program in collaboration with the Victorian government (box </w:t>
      </w:r>
      <w:r>
        <w:t>4.1</w:t>
      </w:r>
      <w:r w:rsidRPr="002837CA">
        <w:t>). CarePoint provides holistic care to patients with complex, chronic conditions who do not require specialist oversight. Among other things, CarePoint includes a GP</w:t>
      </w:r>
      <w:r w:rsidRPr="002837CA">
        <w:noBreakHyphen/>
        <w:t>supervised care plan, an initial home visit to assess a patient’s home environment</w:t>
      </w:r>
      <w:r>
        <w:t>,</w:t>
      </w:r>
      <w:r w:rsidRPr="002837CA">
        <w:t xml:space="preserve"> and follow up phone calls and home visits as required to assist the patient to manage their health. The care plan includes measures to improve the safety of the patient’s home environment and to ensure the patient has adequate social support. A two</w:t>
      </w:r>
      <w:r>
        <w:noBreakHyphen/>
      </w:r>
      <w:r w:rsidRPr="002837CA">
        <w:t>year trial of CarePoint in Victoria concludes in June 2017, but the Commission has been advised that it is unlikely to be extended given the possibility for conflict with the recent Commonwealth Health Care Homes initiative. A trial of CarePoint is now also underway in partnersh</w:t>
      </w:r>
      <w:r w:rsidR="00DE0AF3">
        <w:t>ip with the Western Australian G</w:t>
      </w:r>
      <w:r w:rsidRPr="002837CA">
        <w:t>overnment.</w:t>
      </w:r>
    </w:p>
    <w:p w14:paraId="1EA391AF" w14:textId="77777777" w:rsidR="00C72E88" w:rsidRDefault="00C72E88" w:rsidP="00C72E88">
      <w:pPr>
        <w:pStyle w:val="BodyText"/>
      </w:pPr>
      <w:r w:rsidRPr="002837CA">
        <w:t xml:space="preserve">More broadly, CarePoint is one of three in a series of targeted initiatives in Medibank’s </w:t>
      </w:r>
      <w:r>
        <w:t>CareComplete</w:t>
      </w:r>
      <w:r w:rsidRPr="002837CA">
        <w:t xml:space="preserve"> program. CareFirst is an early intervention program that assists Medibank members to manage their health better. CarePoint targets those who require a GP to coordinate their care to reduce the risk of acute illness. CareTransition provides a specialist coordinated service to members who are discharged from hospital to assist them to avoid readmission</w:t>
      </w:r>
      <w:r>
        <w:t xml:space="preserve"> — who are</w:t>
      </w:r>
      <w:r w:rsidRPr="002837CA">
        <w:t xml:space="preserve"> the same target group as Victoria’s HARP. Medibank is operating </w:t>
      </w:r>
      <w:r>
        <w:t>CareComplete</w:t>
      </w:r>
      <w:r w:rsidRPr="002837CA">
        <w:t xml:space="preserve"> in all states other than the Northern Territory.</w:t>
      </w:r>
    </w:p>
    <w:p w14:paraId="1EA391B0" w14:textId="77777777" w:rsidR="001B7E37" w:rsidRDefault="001B7E37" w:rsidP="0045253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1B7E37" w14:paraId="1EA391B3" w14:textId="77777777" w:rsidTr="00452532">
        <w:trPr>
          <w:tblHeader/>
        </w:trPr>
        <w:tc>
          <w:tcPr>
            <w:tcW w:w="5000" w:type="pct"/>
            <w:tcBorders>
              <w:top w:val="single" w:sz="6" w:space="0" w:color="78A22F"/>
              <w:left w:val="nil"/>
              <w:bottom w:val="nil"/>
              <w:right w:val="nil"/>
            </w:tcBorders>
            <w:shd w:val="clear" w:color="auto" w:fill="auto"/>
          </w:tcPr>
          <w:p w14:paraId="1EA391B1" w14:textId="77777777" w:rsidR="001B7E37" w:rsidRDefault="001B7E37" w:rsidP="00452532">
            <w:pPr>
              <w:pStyle w:val="FigureTitle"/>
            </w:pPr>
            <w:r w:rsidRPr="00944790">
              <w:rPr>
                <w:b w:val="0"/>
              </w:rPr>
              <w:t xml:space="preserve">Figure </w:t>
            </w:r>
            <w:r w:rsidR="006A1EBC" w:rsidRPr="00944790">
              <w:rPr>
                <w:b w:val="0"/>
              </w:rPr>
              <w:t>A</w:t>
            </w:r>
            <w:r w:rsidR="004B6CC0" w:rsidRPr="00944790">
              <w:rPr>
                <w:b w:val="0"/>
              </w:rPr>
              <w:t>.1</w:t>
            </w:r>
            <w:r w:rsidRPr="00AF098D">
              <w:tab/>
            </w:r>
            <w:r w:rsidRPr="001B7E37">
              <w:t>Potentially avoidable hospitalisations in selected states</w:t>
            </w:r>
          </w:p>
          <w:p w14:paraId="1EA391B2" w14:textId="77777777" w:rsidR="001B7E37" w:rsidRPr="00176D3F" w:rsidRDefault="001B7E37" w:rsidP="00452532">
            <w:pPr>
              <w:pStyle w:val="Subtitle"/>
            </w:pPr>
            <w:r w:rsidRPr="002837CA">
              <w:t>2013</w:t>
            </w:r>
            <w:r w:rsidR="005534A3">
              <w:noBreakHyphen/>
            </w:r>
            <w:r w:rsidRPr="002837CA">
              <w:t>14</w:t>
            </w:r>
            <w:r w:rsidR="004B6CC0" w:rsidRPr="004B6CC0">
              <w:rPr>
                <w:rStyle w:val="NoteLabel"/>
              </w:rPr>
              <w:t>a</w:t>
            </w:r>
          </w:p>
        </w:tc>
      </w:tr>
      <w:tr w:rsidR="001B7E37" w14:paraId="1EA391B7" w14:textId="77777777" w:rsidTr="0045253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789"/>
            </w:tblGrid>
            <w:tr w:rsidR="001B7E37" w:rsidRPr="00B1465D" w14:paraId="1EA391B5" w14:textId="77777777" w:rsidTr="00452532">
              <w:trPr>
                <w:tblHeader/>
                <w:jc w:val="center"/>
              </w:trPr>
              <w:tc>
                <w:tcPr>
                  <w:tcW w:w="5000" w:type="pct"/>
                  <w:tcBorders>
                    <w:top w:val="nil"/>
                    <w:bottom w:val="nil"/>
                  </w:tcBorders>
                </w:tcPr>
                <w:p w14:paraId="1EA391B4" w14:textId="67C66733" w:rsidR="001B7E37" w:rsidRPr="00B1465D" w:rsidRDefault="00D1119B" w:rsidP="00452532">
                  <w:pPr>
                    <w:pStyle w:val="Figure"/>
                    <w:spacing w:before="60" w:after="60"/>
                    <w:rPr>
                      <w:rFonts w:ascii="Arial" w:hAnsi="Arial" w:cs="Arial"/>
                      <w:sz w:val="18"/>
                      <w:szCs w:val="18"/>
                    </w:rPr>
                  </w:pPr>
                  <w:r>
                    <w:rPr>
                      <w:noProof/>
                    </w:rPr>
                    <w:drawing>
                      <wp:inline distT="0" distB="0" distL="0" distR="0" wp14:anchorId="4171F3EE" wp14:editId="7946E4B5">
                        <wp:extent cx="5581015" cy="2950210"/>
                        <wp:effectExtent l="0" t="0" r="635" b="2540"/>
                        <wp:docPr id="1" name="Picture 1" descr="This figure depicts the variation in potentially preventable hospital admissions between hospitals in different region types (for example ‘Major cities – Medium SES’ and ‘Outer regional’) for New South Wales, Queensland, South Australia, Victoria and Western Australia. There is no discernible difference between Victoria and other major states in any of the region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81015" cy="2950210"/>
                                </a:xfrm>
                                <a:prstGeom prst="rect">
                                  <a:avLst/>
                                </a:prstGeom>
                              </pic:spPr>
                            </pic:pic>
                          </a:graphicData>
                        </a:graphic>
                      </wp:inline>
                    </w:drawing>
                  </w:r>
                </w:p>
              </w:tc>
            </w:tr>
          </w:tbl>
          <w:p w14:paraId="1EA391B6" w14:textId="77777777" w:rsidR="001B7E37" w:rsidRDefault="001B7E37" w:rsidP="00452532">
            <w:pPr>
              <w:pStyle w:val="Figure"/>
            </w:pPr>
          </w:p>
        </w:tc>
      </w:tr>
      <w:tr w:rsidR="001B7E37" w:rsidRPr="00176D3F" w14:paraId="1EA391B9" w14:textId="77777777" w:rsidTr="00452532">
        <w:tc>
          <w:tcPr>
            <w:tcW w:w="5000" w:type="pct"/>
            <w:tcBorders>
              <w:top w:val="nil"/>
              <w:left w:val="nil"/>
              <w:bottom w:val="nil"/>
              <w:right w:val="nil"/>
            </w:tcBorders>
            <w:shd w:val="clear" w:color="auto" w:fill="auto"/>
          </w:tcPr>
          <w:p w14:paraId="1EA391B8" w14:textId="66DE5689" w:rsidR="001B7E37" w:rsidRPr="00176D3F" w:rsidRDefault="001B7E37" w:rsidP="00452532">
            <w:pPr>
              <w:pStyle w:val="Note"/>
            </w:pPr>
            <w:r>
              <w:rPr>
                <w:rStyle w:val="NoteLabel"/>
              </w:rPr>
              <w:t>a</w:t>
            </w:r>
            <w:r>
              <w:t xml:space="preserve"> </w:t>
            </w:r>
            <w:r w:rsidRPr="002837CA">
              <w:t>This figure portrays the variation in potentially preventable hospitalisations between hospitals in selected states. The horizontal line in each coloured box is the median. The top and bottom of the box are the 25</w:t>
            </w:r>
            <w:r w:rsidRPr="002837CA">
              <w:rPr>
                <w:vertAlign w:val="superscript"/>
              </w:rPr>
              <w:t>th</w:t>
            </w:r>
            <w:r w:rsidRPr="002837CA">
              <w:t xml:space="preserve"> and 75</w:t>
            </w:r>
            <w:r w:rsidRPr="002837CA">
              <w:rPr>
                <w:vertAlign w:val="superscript"/>
              </w:rPr>
              <w:t>th</w:t>
            </w:r>
            <w:r w:rsidRPr="002837CA">
              <w:t xml:space="preserve"> percentiles. Remaining hospitals lie along the vertical lines except for outliers</w:t>
            </w:r>
            <w:r w:rsidR="00AC3991">
              <w:t>,</w:t>
            </w:r>
            <w:r w:rsidRPr="002837CA">
              <w:t xml:space="preserve"> which, where they exist, are depicted by black dots.</w:t>
            </w:r>
          </w:p>
        </w:tc>
      </w:tr>
      <w:tr w:rsidR="001B7E37" w:rsidRPr="00176D3F" w14:paraId="1EA391BB" w14:textId="77777777" w:rsidTr="00452532">
        <w:tc>
          <w:tcPr>
            <w:tcW w:w="5000" w:type="pct"/>
            <w:tcBorders>
              <w:top w:val="nil"/>
              <w:left w:val="nil"/>
              <w:bottom w:val="nil"/>
              <w:right w:val="nil"/>
            </w:tcBorders>
            <w:shd w:val="clear" w:color="auto" w:fill="auto"/>
          </w:tcPr>
          <w:p w14:paraId="1EA391BA" w14:textId="77777777" w:rsidR="001B7E37" w:rsidRPr="00176D3F" w:rsidRDefault="001B7E37" w:rsidP="00452532">
            <w:pPr>
              <w:pStyle w:val="Source"/>
            </w:pPr>
            <w:r>
              <w:rPr>
                <w:i/>
              </w:rPr>
              <w:t>S</w:t>
            </w:r>
            <w:r w:rsidRPr="00784A05">
              <w:rPr>
                <w:i/>
              </w:rPr>
              <w:t>ource</w:t>
            </w:r>
            <w:r w:rsidRPr="00176D3F">
              <w:t xml:space="preserve">: </w:t>
            </w:r>
            <w:r w:rsidRPr="002837CA">
              <w:t>MyHealthyCommunities</w:t>
            </w:r>
            <w:r>
              <w:t>.</w:t>
            </w:r>
          </w:p>
        </w:tc>
      </w:tr>
      <w:tr w:rsidR="001B7E37" w14:paraId="1EA391BD" w14:textId="77777777" w:rsidTr="00452532">
        <w:tc>
          <w:tcPr>
            <w:tcW w:w="5000" w:type="pct"/>
            <w:tcBorders>
              <w:top w:val="nil"/>
              <w:left w:val="nil"/>
              <w:bottom w:val="single" w:sz="6" w:space="0" w:color="78A22F"/>
              <w:right w:val="nil"/>
            </w:tcBorders>
            <w:shd w:val="clear" w:color="auto" w:fill="auto"/>
          </w:tcPr>
          <w:p w14:paraId="1EA391BC" w14:textId="77777777" w:rsidR="001B7E37" w:rsidRDefault="001B7E37" w:rsidP="00452532">
            <w:pPr>
              <w:pStyle w:val="Figurespace"/>
            </w:pPr>
          </w:p>
        </w:tc>
      </w:tr>
      <w:tr w:rsidR="001B7E37" w:rsidRPr="000863A5" w14:paraId="1EA391BF" w14:textId="77777777" w:rsidTr="00452532">
        <w:tc>
          <w:tcPr>
            <w:tcW w:w="5000" w:type="pct"/>
            <w:tcBorders>
              <w:top w:val="single" w:sz="6" w:space="0" w:color="78A22F"/>
              <w:left w:val="nil"/>
              <w:bottom w:val="nil"/>
              <w:right w:val="nil"/>
            </w:tcBorders>
          </w:tcPr>
          <w:p w14:paraId="1EA391BE" w14:textId="77777777" w:rsidR="001B7E37" w:rsidRPr="00626D32" w:rsidRDefault="001B7E37" w:rsidP="00452532">
            <w:pPr>
              <w:pStyle w:val="BoxSpaceBelow"/>
            </w:pPr>
          </w:p>
        </w:tc>
      </w:tr>
    </w:tbl>
    <w:p w14:paraId="1EA391C0" w14:textId="77777777" w:rsidR="002837CA" w:rsidRPr="002837CA" w:rsidRDefault="009C09EF" w:rsidP="00AF321D">
      <w:pPr>
        <w:pStyle w:val="Heading2"/>
      </w:pPr>
      <w:bookmarkStart w:id="109" w:name="_Toc485912902"/>
      <w:bookmarkStart w:id="110" w:name="_Toc488929720"/>
      <w:bookmarkStart w:id="111" w:name="_Toc488930016"/>
      <w:bookmarkStart w:id="112" w:name="_Toc489250098"/>
      <w:r>
        <w:t>A</w:t>
      </w:r>
      <w:r w:rsidR="002837CA">
        <w:t>.5</w:t>
      </w:r>
      <w:r w:rsidR="002837CA" w:rsidRPr="002837CA">
        <w:tab/>
        <w:t>New South Wales initiatives</w:t>
      </w:r>
      <w:bookmarkEnd w:id="109"/>
      <w:bookmarkEnd w:id="110"/>
      <w:bookmarkEnd w:id="111"/>
      <w:bookmarkEnd w:id="112"/>
    </w:p>
    <w:p w14:paraId="1EA391C1" w14:textId="77777777" w:rsidR="002837CA" w:rsidRPr="002837CA" w:rsidRDefault="002837CA" w:rsidP="00AF321D">
      <w:pPr>
        <w:pStyle w:val="Heading3"/>
      </w:pPr>
      <w:r w:rsidRPr="002837CA">
        <w:t>HealthOne</w:t>
      </w:r>
    </w:p>
    <w:p w14:paraId="1EA391C2" w14:textId="77777777" w:rsidR="002837CA" w:rsidRPr="002837CA" w:rsidRDefault="002837CA" w:rsidP="00AF321D">
      <w:pPr>
        <w:pStyle w:val="BodyText"/>
      </w:pPr>
      <w:r w:rsidRPr="002837CA">
        <w:t>From 2006</w:t>
      </w:r>
      <w:r w:rsidR="005534A3">
        <w:noBreakHyphen/>
      </w:r>
      <w:r w:rsidRPr="002837CA">
        <w:t>07, New South Wales has been funding the development of integrated HealthOne services for people with complex and chronic care needs. HealthOne began in Mount Druitt as a hub</w:t>
      </w:r>
      <w:r w:rsidRPr="002837CA">
        <w:noBreakHyphen/>
        <w:t>and</w:t>
      </w:r>
      <w:r w:rsidRPr="002837CA">
        <w:noBreakHyphen/>
        <w:t xml:space="preserve">spoke model of care operating around a </w:t>
      </w:r>
      <w:r w:rsidR="003E4E6A">
        <w:t>Community Health C</w:t>
      </w:r>
      <w:r w:rsidRPr="002837CA">
        <w:t xml:space="preserve">entre and coordinating the provision of a patient’s access to GP, hospital and other health services. General practice liaison nurses coordinate the health care services of the patient, and a case manager (usually a clinician and separate from the general practice liaison nurse) oversees the care of the patient. </w:t>
      </w:r>
    </w:p>
    <w:p w14:paraId="1EA391C3" w14:textId="77777777" w:rsidR="002837CA" w:rsidRPr="002837CA" w:rsidRDefault="002837CA" w:rsidP="00AF321D">
      <w:pPr>
        <w:pStyle w:val="BodyText"/>
      </w:pPr>
      <w:r w:rsidRPr="002837CA">
        <w:t>An evaluation of the Mt Druitt program by the Menzies Centre for Health Policy compared hospital utilisation in the twelve months before the program with the twelve months after for 125 people enrolled in the complex, aged and chronic care arm of the program. The evaluation found significant improvements. It found a 26 per cent</w:t>
      </w:r>
      <w:r w:rsidR="005534A3">
        <w:t xml:space="preserve"> </w:t>
      </w:r>
      <w:r w:rsidRPr="002837CA">
        <w:t>reduction in the number of emergency visits per patient (from 3.1 to 2.3), a 52 per cent reduction in the hours spent in emergency (from 12.5 to 6.6) and a 41 per cent reduction in the hours spent in hospital (from 6.3 to 3.7) </w:t>
      </w:r>
      <w:r w:rsidR="00C65A42" w:rsidRPr="00C65A42">
        <w:rPr>
          <w:szCs w:val="24"/>
        </w:rPr>
        <w:t>(McNab and Gillespie 2015)</w:t>
      </w:r>
      <w:r w:rsidRPr="002837CA">
        <w:t xml:space="preserve">. </w:t>
      </w:r>
    </w:p>
    <w:p w14:paraId="1EA391C4" w14:textId="5B2202CE" w:rsidR="00C54C14" w:rsidRPr="002837CA" w:rsidRDefault="00C54C14" w:rsidP="00AF321D">
      <w:pPr>
        <w:pStyle w:val="BodyText"/>
      </w:pPr>
      <w:r>
        <w:t xml:space="preserve">The evaluation reports capital development costs and the </w:t>
      </w:r>
      <w:r w:rsidR="004C6E28">
        <w:t xml:space="preserve">number and classification of </w:t>
      </w:r>
      <w:r>
        <w:t xml:space="preserve">personnel funded by the program, implying an annualised cost for Mt Druitt of </w:t>
      </w:r>
      <w:r w:rsidR="00427F6A">
        <w:t>about</w:t>
      </w:r>
      <w:r>
        <w:t xml:space="preserve"> $1.3 million. This includes the initial </w:t>
      </w:r>
      <w:r w:rsidR="004C6E28">
        <w:t>cost of extending and fitting out the ‘hub’ facilities located at the Mt Druitt Community Health Centre and a lease for the ‘spoke’ located at Wilmot</w:t>
      </w:r>
      <w:r>
        <w:t xml:space="preserve">. Given the program served 302 people enrolled in two separate </w:t>
      </w:r>
      <w:r w:rsidR="004C6E28">
        <w:t>arms</w:t>
      </w:r>
      <w:r>
        <w:t xml:space="preserve">, </w:t>
      </w:r>
      <w:r w:rsidR="004C6E28">
        <w:t>the program cost up to $1515</w:t>
      </w:r>
      <w:r w:rsidR="00AC3991">
        <w:t> </w:t>
      </w:r>
      <w:r w:rsidR="004C6E28">
        <w:t>per person in 2012</w:t>
      </w:r>
      <w:r w:rsidR="004C6E28">
        <w:noBreakHyphen/>
        <w:t>13 prices ($1616 in 2016 prices).</w:t>
      </w:r>
      <w:r w:rsidR="00947BA9">
        <w:t xml:space="preserve"> The evaluation does not report the cost of avoided hospitalisation and so does not </w:t>
      </w:r>
      <w:r w:rsidR="00EF02FD">
        <w:t xml:space="preserve">directly </w:t>
      </w:r>
      <w:r w:rsidR="00947BA9">
        <w:t xml:space="preserve">support an evaluation of the program’s cost effectiveness. </w:t>
      </w:r>
    </w:p>
    <w:p w14:paraId="1EA391C5" w14:textId="77777777" w:rsidR="002837CA" w:rsidRPr="002837CA" w:rsidRDefault="002837CA" w:rsidP="00AF321D">
      <w:pPr>
        <w:pStyle w:val="BodyText"/>
      </w:pPr>
      <w:r w:rsidRPr="002837CA">
        <w:t>HealthOne has now been operationalised through Local Hospital Networks at twenty</w:t>
      </w:r>
      <w:r w:rsidRPr="002837CA">
        <w:noBreakHyphen/>
        <w:t>five locations around New South Wales. The model of integration in the roll out of HealthOne includes the hub</w:t>
      </w:r>
      <w:r w:rsidRPr="002837CA">
        <w:noBreakHyphen/>
        <w:t>and</w:t>
      </w:r>
      <w:r w:rsidRPr="002837CA">
        <w:noBreakHyphen/>
        <w:t>spoke approach of Mt Druitt, and also includes a co</w:t>
      </w:r>
      <w:r w:rsidRPr="002837CA">
        <w:noBreakHyphen/>
        <w:t>location of services model and a virtual integration model in which separately located providers are linked by communication technologies. The impact of HealthOne outside of Mt Druitt has not yet been evaluated.</w:t>
      </w:r>
    </w:p>
    <w:p w14:paraId="1EA391C6" w14:textId="77777777" w:rsidR="002837CA" w:rsidRPr="002837CA" w:rsidRDefault="002837CA" w:rsidP="00AF321D">
      <w:pPr>
        <w:pStyle w:val="Heading3"/>
      </w:pPr>
      <w:r w:rsidRPr="002837CA">
        <w:t>Chronic Care for Aboriginal People</w:t>
      </w:r>
    </w:p>
    <w:p w14:paraId="1EA391C7" w14:textId="77777777" w:rsidR="002837CA" w:rsidRPr="002837CA" w:rsidRDefault="002837CA" w:rsidP="00AF321D">
      <w:pPr>
        <w:pStyle w:val="BodyText"/>
      </w:pPr>
      <w:r w:rsidRPr="002837CA">
        <w:t>The Chronic Care for Aboriginal People aims to improve the care of Aboriginal people with chronic and complex health conditions. The mode</w:t>
      </w:r>
      <w:r w:rsidR="00993404">
        <w:t>l of care was developed in 2008, drawing on</w:t>
      </w:r>
      <w:r w:rsidRPr="002837CA">
        <w:t xml:space="preserve"> previous initiatives and through extensive consultation. The model is informed by best practice in chronic disease management</w:t>
      </w:r>
      <w:r w:rsidR="00993404">
        <w:t>,</w:t>
      </w:r>
      <w:r w:rsidRPr="002837CA">
        <w:t xml:space="preserve"> coupled with greater cultural awareness, including the need for trust. A key aspect of the program has been the follow up of patients discharged from hospital within 48 hours. Preliminary evaluation indicated that follow u</w:t>
      </w:r>
      <w:r w:rsidR="00993404">
        <w:t>p within 48 </w:t>
      </w:r>
      <w:r w:rsidRPr="002837CA">
        <w:t>hours resulted in a 4 per cent reduction in readmission </w:t>
      </w:r>
      <w:r w:rsidR="00090650" w:rsidRPr="00090650">
        <w:rPr>
          <w:szCs w:val="24"/>
        </w:rPr>
        <w:t>(NSW ACI 2013)</w:t>
      </w:r>
      <w:r w:rsidRPr="002837CA">
        <w:t>. A more extensive evaluation by the University of Newcastle was to be delivered in mid</w:t>
      </w:r>
      <w:r w:rsidRPr="002837CA">
        <w:noBreakHyphen/>
        <w:t>2016, but the results of this evaluation are not yet publicly available </w:t>
      </w:r>
      <w:r w:rsidR="00D96FF6" w:rsidRPr="00D96FF6">
        <w:rPr>
          <w:szCs w:val="24"/>
        </w:rPr>
        <w:t>(NSW ACI 2016a)</w:t>
      </w:r>
      <w:r w:rsidRPr="002837CA">
        <w:t>.</w:t>
      </w:r>
    </w:p>
    <w:p w14:paraId="1EA391C8" w14:textId="77777777" w:rsidR="002837CA" w:rsidRPr="002837CA" w:rsidRDefault="002837CA" w:rsidP="00AF321D">
      <w:pPr>
        <w:pStyle w:val="Heading3"/>
      </w:pPr>
      <w:r w:rsidRPr="002837CA">
        <w:t>Hospital in the home programs</w:t>
      </w:r>
    </w:p>
    <w:p w14:paraId="1EA391C9" w14:textId="77777777" w:rsidR="002837CA" w:rsidRPr="002837CA" w:rsidRDefault="002837CA" w:rsidP="00AF321D">
      <w:pPr>
        <w:pStyle w:val="BodyText"/>
      </w:pPr>
      <w:r w:rsidRPr="002837CA">
        <w:t>The New South Wales Auditor General considered the impact of three out of hospital acute care programs being implemented in New South Wales in 2008 </w:t>
      </w:r>
      <w:r w:rsidR="00F65FF0" w:rsidRPr="00F65FF0">
        <w:rPr>
          <w:szCs w:val="24"/>
        </w:rPr>
        <w:t>(AONSW 2008)</w:t>
      </w:r>
      <w:r w:rsidRPr="002837CA">
        <w:t>. The three programs were the Community Acute/Post Acute Care program (for patients at risk of needing acute care), ComPacks (mainly targeting patients at risk of needing chronic care) and the Rehabilitation for Chronic Disease program (for patients with chronic conditions). Although constrained by a lack of reliable data, the Auditor General estimated that the pro</w:t>
      </w:r>
      <w:r w:rsidR="00827015">
        <w:t>grams could be saving up to $55 </w:t>
      </w:r>
      <w:r w:rsidRPr="002837CA">
        <w:t>million a year and freeing up 2 per cent of hospital beds. While there was evidence that access to emergency services had improved, there was insufficient evidence to attribute this to the out of hospital programs.</w:t>
      </w:r>
    </w:p>
    <w:p w14:paraId="1EA391CA" w14:textId="77777777" w:rsidR="002837CA" w:rsidRPr="002837CA" w:rsidRDefault="002837CA" w:rsidP="00AF321D">
      <w:pPr>
        <w:pStyle w:val="Heading3"/>
      </w:pPr>
      <w:r w:rsidRPr="002837CA">
        <w:t>NSW Health Chronic Disease Management program</w:t>
      </w:r>
    </w:p>
    <w:p w14:paraId="1EA391CB" w14:textId="77777777" w:rsidR="002837CA" w:rsidRPr="002837CA" w:rsidRDefault="002837CA" w:rsidP="00AF321D">
      <w:pPr>
        <w:pStyle w:val="BodyText"/>
      </w:pPr>
      <w:r w:rsidRPr="002837CA">
        <w:t xml:space="preserve">The Chronic Disease Management Program was implemented across all Local Hospital Networks (called Local Health Districts in New South Wales) between 2009 and 2015. The aim was to coordinate the care of patients with chronic and complex health conditions in order to provide them with better support and reduce their need for hospitalisation. </w:t>
      </w:r>
    </w:p>
    <w:p w14:paraId="1EA391CC" w14:textId="16F04890" w:rsidR="002837CA" w:rsidRPr="002837CA" w:rsidRDefault="002837CA" w:rsidP="00AF321D">
      <w:pPr>
        <w:pStyle w:val="BodyText"/>
      </w:pPr>
      <w:r w:rsidRPr="002837CA">
        <w:t>An independent evaluation of the program up until May 2014 found that care coordinators did little to liaise with GPs and that the program’s engagement with GPs otherwise remained low </w:t>
      </w:r>
      <w:r w:rsidR="00C65A42" w:rsidRPr="00C65A42">
        <w:rPr>
          <w:szCs w:val="24"/>
        </w:rPr>
        <w:t>(</w:t>
      </w:r>
      <w:r w:rsidR="00D46486">
        <w:rPr>
          <w:szCs w:val="24"/>
        </w:rPr>
        <w:t>G</w:t>
      </w:r>
      <w:r w:rsidR="005626C7">
        <w:rPr>
          <w:szCs w:val="24"/>
        </w:rPr>
        <w:t>IGH et al.</w:t>
      </w:r>
      <w:r w:rsidR="00C65A42" w:rsidRPr="00C65A42">
        <w:rPr>
          <w:szCs w:val="24"/>
        </w:rPr>
        <w:t> 2014)</w:t>
      </w:r>
      <w:r w:rsidRPr="002837CA">
        <w:t>. The evaluation considered health service utilisation of the participants in the program with a control group. Utilisation for both groups dropped sharply upon the commencement of the program, raising questions about the impact of other factors. Generally, utilisation rates of program participants remained higher than that of control participants throughout the period of analysis.</w:t>
      </w:r>
    </w:p>
    <w:p w14:paraId="1EA391CD" w14:textId="77777777" w:rsidR="002837CA" w:rsidRPr="002837CA" w:rsidRDefault="002837CA" w:rsidP="00AF321D">
      <w:pPr>
        <w:pStyle w:val="Heading3"/>
      </w:pPr>
      <w:r w:rsidRPr="002837CA">
        <w:t>Integrated care demonstrators</w:t>
      </w:r>
    </w:p>
    <w:p w14:paraId="1EA391CE" w14:textId="77777777" w:rsidR="002837CA" w:rsidRPr="002837CA" w:rsidRDefault="00993404" w:rsidP="00AF321D">
      <w:pPr>
        <w:pStyle w:val="BodyText"/>
      </w:pPr>
      <w:r>
        <w:t xml:space="preserve">The </w:t>
      </w:r>
      <w:r w:rsidR="002837CA" w:rsidRPr="002837CA">
        <w:t xml:space="preserve">New South Wales </w:t>
      </w:r>
      <w:r>
        <w:t xml:space="preserve">Government </w:t>
      </w:r>
      <w:r w:rsidR="002837CA" w:rsidRPr="002837CA">
        <w:t xml:space="preserve">is funding three integrated care demonstration projects in Western Sydney, Central Coast and Western New South Wales. </w:t>
      </w:r>
      <w:r>
        <w:t>The Government</w:t>
      </w:r>
      <w:r w:rsidR="002837CA" w:rsidRPr="002837CA">
        <w:t xml:space="preserve"> is otherwise funding seventeen smaller scale integrated care initiatives between 2014</w:t>
      </w:r>
      <w:r w:rsidR="005534A3">
        <w:noBreakHyphen/>
      </w:r>
      <w:r w:rsidR="002837CA" w:rsidRPr="002837CA">
        <w:t>15 and 2016</w:t>
      </w:r>
      <w:r w:rsidR="005534A3">
        <w:noBreakHyphen/>
      </w:r>
      <w:r w:rsidR="002837CA" w:rsidRPr="002837CA">
        <w:t>17 and is developing a statewide model for the local delivery of integrated care to people with complex, chronic health conditions.</w:t>
      </w:r>
    </w:p>
    <w:p w14:paraId="1EA391CF" w14:textId="77777777" w:rsidR="002837CA" w:rsidRPr="002837CA" w:rsidRDefault="00993404" w:rsidP="00AF321D">
      <w:pPr>
        <w:pStyle w:val="BodyText"/>
      </w:pPr>
      <w:r>
        <w:t>I</w:t>
      </w:r>
      <w:r w:rsidR="002837CA" w:rsidRPr="002837CA">
        <w:t>t is too early to evaluate the impacts of these projects</w:t>
      </w:r>
      <w:r>
        <w:t>,</w:t>
      </w:r>
      <w:r w:rsidR="002837CA" w:rsidRPr="002837CA">
        <w:t xml:space="preserve"> as most only just reached a stage of implementation in 2016. However, the Western Sydney Integrated Care Program builds on a pre</w:t>
      </w:r>
      <w:r w:rsidR="005534A3">
        <w:noBreakHyphen/>
      </w:r>
      <w:r w:rsidR="002837CA" w:rsidRPr="002837CA">
        <w:t>existing initiative by the Western Sydney Local Health District and the Western Sydney Primary Health Network (WentWest) and has therefore been the subject of some preliminary evaluations.</w:t>
      </w:r>
    </w:p>
    <w:p w14:paraId="1EA391D0" w14:textId="77777777" w:rsidR="002837CA" w:rsidRPr="002837CA" w:rsidRDefault="002837CA" w:rsidP="00AF321D">
      <w:pPr>
        <w:pStyle w:val="BodyText"/>
      </w:pPr>
      <w:r w:rsidRPr="002837CA">
        <w:t>The Western Sydney Integrated Care Program focuses on caring for patients at a higher risk of four complex, chronic conditions: congestive cardiac failure, coronary artery disease, chronic obstructive pulmonary disease</w:t>
      </w:r>
      <w:r w:rsidR="00993404">
        <w:t>,</w:t>
      </w:r>
      <w:r w:rsidRPr="002837CA">
        <w:t xml:space="preserve"> and diabetes. The Western Sydney model of patient</w:t>
      </w:r>
      <w:r w:rsidRPr="002837CA">
        <w:noBreakHyphen/>
        <w:t>centred care integrates acute care services with primary care services, including through the exchange of data under a single Linked Electronic Health Record system; agreed localised Health Pathways</w:t>
      </w:r>
      <w:r w:rsidRPr="003D243B">
        <w:rPr>
          <w:rStyle w:val="FootnoteReference"/>
        </w:rPr>
        <w:footnoteReference w:id="56"/>
      </w:r>
      <w:r w:rsidRPr="002837CA">
        <w:t xml:space="preserve"> and a specialist helpline for GPs. The diabetes program builds on earlier initiatives by the Local Health District and Primary Health Network</w:t>
      </w:r>
      <w:r w:rsidR="00993404">
        <w:t>,</w:t>
      </w:r>
      <w:r w:rsidRPr="002837CA">
        <w:t xml:space="preserve"> which included the provision of specialist case conferencing services to GPs and an inpatient diabetes management team at the Westmead Hospital. </w:t>
      </w:r>
    </w:p>
    <w:p w14:paraId="1EA391D1" w14:textId="77777777" w:rsidR="0007146F" w:rsidRDefault="002837CA" w:rsidP="00AF321D">
      <w:pPr>
        <w:pStyle w:val="BodyText"/>
      </w:pPr>
      <w:r w:rsidRPr="002837CA">
        <w:t>Preliminary evaluation of the Western Sydney diabetes initiative indicates that the average length of stay of diabetes surgical patients has fallen from being 3.5 days above the national benchmark in 2012 to 0.7 days below the benchmark in 2016 </w:t>
      </w:r>
      <w:r w:rsidR="009467E2" w:rsidRPr="009467E2">
        <w:rPr>
          <w:szCs w:val="24"/>
        </w:rPr>
        <w:t>(WSLHD and PHNWS 2016b)</w:t>
      </w:r>
      <w:r w:rsidRPr="002837CA">
        <w:t xml:space="preserve">. An audit of case conferencing services recorded significant </w:t>
      </w:r>
      <w:r w:rsidR="00D700CD">
        <w:t>improvements</w:t>
      </w:r>
      <w:r w:rsidRPr="002837CA">
        <w:t xml:space="preserve"> in </w:t>
      </w:r>
      <w:r w:rsidR="00D700CD">
        <w:t>patient outcomes (</w:t>
      </w:r>
      <w:r w:rsidR="00263731">
        <w:t xml:space="preserve">in </w:t>
      </w:r>
      <w:r w:rsidRPr="002837CA">
        <w:t>blood sugar levels</w:t>
      </w:r>
      <w:r w:rsidR="00D700CD">
        <w:t>,</w:t>
      </w:r>
      <w:r w:rsidR="00263731">
        <w:t xml:space="preserve"> </w:t>
      </w:r>
      <w:r w:rsidRPr="002837CA">
        <w:t xml:space="preserve">weight and </w:t>
      </w:r>
      <w:r w:rsidR="00263731">
        <w:t xml:space="preserve">in systolic </w:t>
      </w:r>
      <w:r w:rsidRPr="002837CA">
        <w:t>blood pressure)</w:t>
      </w:r>
      <w:r w:rsidR="00D700CD">
        <w:t> (table A.4)</w:t>
      </w:r>
      <w:r w:rsidR="00263731">
        <w:t>. It also</w:t>
      </w:r>
      <w:r w:rsidRPr="002837CA">
        <w:t xml:space="preserve"> found that 97 per cent of GPs reported greater confidence in managing diabetes. An initial evaluation reports that other aspects of the program may also be effective – cardiology patients referred to the newly formed rapid access cardiology clinic experience an average length of stay that is 1.2 days shorter than those not referred to the clinic </w:t>
      </w:r>
      <w:r w:rsidR="009467E2" w:rsidRPr="009467E2">
        <w:rPr>
          <w:szCs w:val="24"/>
        </w:rPr>
        <w:t>(WSLHD and PHNWS 2016a)</w:t>
      </w:r>
      <w:r w:rsidRPr="002837CA">
        <w:t xml:space="preserve">. </w:t>
      </w:r>
      <w:r w:rsidR="00B972E1">
        <w:t>Data prov</w:t>
      </w:r>
      <w:r w:rsidR="00827015">
        <w:t>ided to the Commission indicate</w:t>
      </w:r>
      <w:r w:rsidR="00B972E1">
        <w:t xml:space="preserve"> the diabetes integrated care program initially cost </w:t>
      </w:r>
      <w:r w:rsidR="00427F6A">
        <w:t>about</w:t>
      </w:r>
      <w:r w:rsidR="00B972E1">
        <w:t xml:space="preserve"> $1100 per patient (in 2016 prices), and that the cost of avoided hospitalisation is </w:t>
      </w:r>
      <w:r w:rsidR="00427F6A">
        <w:t>about</w:t>
      </w:r>
      <w:r w:rsidR="00B972E1">
        <w:t xml:space="preserve"> </w:t>
      </w:r>
      <w:r w:rsidR="00D94528">
        <w:t>ten times the cost of the program, or $11 400</w:t>
      </w:r>
      <w:r w:rsidR="00B972E1">
        <w:t xml:space="preserve"> per patient (in 2016 prices). Given that the reduction in hospital utilisation </w:t>
      </w:r>
      <w:r w:rsidR="00427F6A">
        <w:t>exceeded 10 per </w:t>
      </w:r>
      <w:r w:rsidR="00D94528">
        <w:t>cent (</w:t>
      </w:r>
      <w:r w:rsidR="00E504F0">
        <w:t>we estimate it t</w:t>
      </w:r>
      <w:r w:rsidR="00E659BA">
        <w:t>o be</w:t>
      </w:r>
      <w:r w:rsidR="00B972E1">
        <w:t xml:space="preserve"> </w:t>
      </w:r>
      <w:r w:rsidR="000039AE">
        <w:t>about</w:t>
      </w:r>
      <w:r w:rsidR="00B972E1">
        <w:t xml:space="preserve"> 45 per cent</w:t>
      </w:r>
      <w:r w:rsidR="00D94528">
        <w:t>)</w:t>
      </w:r>
      <w:r w:rsidR="00B972E1">
        <w:t>, the data indic</w:t>
      </w:r>
      <w:r w:rsidR="00151B33">
        <w:t>ate</w:t>
      </w:r>
      <w:r w:rsidR="00B972E1">
        <w:t xml:space="preserve"> that the program is cost effective. </w:t>
      </w:r>
      <w:r w:rsidR="001C0309">
        <w:t>A comparison with other diabetes integrated care projects indicates that the high degree of integration of GPs and hospital services in the Western Sydney Diabetes initiative is a necessary contributing factor to its cost</w:t>
      </w:r>
      <w:r w:rsidR="001C0309">
        <w:noBreakHyphen/>
        <w:t xml:space="preserve">effectiveness in improving patient health (table A.4). </w:t>
      </w:r>
    </w:p>
    <w:p w14:paraId="1EA391D2" w14:textId="77777777" w:rsidR="0007146F" w:rsidRDefault="0007146F">
      <w:r>
        <w:br w:type="page"/>
      </w: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9073"/>
      </w:tblGrid>
      <w:tr w:rsidR="001C0309" w:rsidRPr="002837CA" w14:paraId="1EA391D4" w14:textId="77777777" w:rsidTr="001C0309">
        <w:tc>
          <w:tcPr>
            <w:tcW w:w="5000" w:type="pct"/>
            <w:tcBorders>
              <w:top w:val="single" w:sz="6" w:space="0" w:color="78A22F"/>
              <w:left w:val="nil"/>
              <w:bottom w:val="nil"/>
              <w:right w:val="nil"/>
            </w:tcBorders>
            <w:shd w:val="clear" w:color="auto" w:fill="auto"/>
          </w:tcPr>
          <w:p w14:paraId="1EA391D3" w14:textId="77777777" w:rsidR="001C0309" w:rsidRPr="002837CA" w:rsidRDefault="001C0309" w:rsidP="00005180">
            <w:pPr>
              <w:pStyle w:val="TableTitle"/>
              <w:tabs>
                <w:tab w:val="left" w:pos="1354"/>
              </w:tabs>
              <w:spacing w:before="40" w:after="0"/>
              <w:ind w:left="1418" w:hanging="1418"/>
            </w:pPr>
            <w:r w:rsidRPr="00944790">
              <w:rPr>
                <w:b w:val="0"/>
              </w:rPr>
              <w:t>Table A.4</w:t>
            </w:r>
            <w:r w:rsidRPr="00AF098D">
              <w:tab/>
            </w:r>
            <w:r w:rsidRPr="00005180">
              <w:t>The degree of integration of GPs and hospital services in diabetes care in Australia</w:t>
            </w:r>
          </w:p>
        </w:tc>
      </w:tr>
      <w:tr w:rsidR="001C0309" w:rsidRPr="002837CA" w14:paraId="1EA391FE" w14:textId="77777777" w:rsidTr="001C0309">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025"/>
              <w:gridCol w:w="1673"/>
              <w:gridCol w:w="1689"/>
              <w:gridCol w:w="2370"/>
              <w:gridCol w:w="2032"/>
            </w:tblGrid>
            <w:tr w:rsidR="00F576FE" w:rsidRPr="002837CA" w14:paraId="1EA391D8" w14:textId="77777777" w:rsidTr="00F576FE">
              <w:trPr>
                <w:tblHeader/>
              </w:trPr>
              <w:tc>
                <w:tcPr>
                  <w:tcW w:w="1535" w:type="pct"/>
                  <w:gridSpan w:val="2"/>
                  <w:tcBorders>
                    <w:top w:val="single" w:sz="6" w:space="0" w:color="BFBFBF"/>
                    <w:bottom w:val="single" w:sz="6" w:space="0" w:color="BFBFBF"/>
                  </w:tcBorders>
                  <w:shd w:val="clear" w:color="auto" w:fill="auto"/>
                  <w:tcMar>
                    <w:top w:w="28" w:type="dxa"/>
                  </w:tcMar>
                </w:tcPr>
                <w:p w14:paraId="1EA391D5" w14:textId="77777777" w:rsidR="00F576FE" w:rsidRPr="002837CA" w:rsidRDefault="00F576FE" w:rsidP="001C0309">
                  <w:pPr>
                    <w:pStyle w:val="TableColumnHeading"/>
                    <w:jc w:val="center"/>
                  </w:pPr>
                  <w:r>
                    <w:t>Low integration</w:t>
                  </w:r>
                </w:p>
              </w:tc>
              <w:tc>
                <w:tcPr>
                  <w:tcW w:w="2309" w:type="pct"/>
                  <w:gridSpan w:val="2"/>
                  <w:tcBorders>
                    <w:top w:val="single" w:sz="6" w:space="0" w:color="BFBFBF"/>
                    <w:bottom w:val="single" w:sz="6" w:space="0" w:color="BFBFBF"/>
                  </w:tcBorders>
                </w:tcPr>
                <w:p w14:paraId="1EA391D6" w14:textId="77777777" w:rsidR="00F576FE" w:rsidRPr="00A54DEC" w:rsidRDefault="00F576FE" w:rsidP="00005180">
                  <w:pPr>
                    <w:pStyle w:val="TableColumnHeading"/>
                    <w:spacing w:before="0" w:after="0"/>
                    <w:jc w:val="center"/>
                    <w:rPr>
                      <w:sz w:val="28"/>
                      <w:szCs w:val="28"/>
                    </w:rPr>
                  </w:pPr>
                  <w:r>
                    <w:rPr>
                      <w:rFonts w:cs="Arial"/>
                      <w:sz w:val="28"/>
                      <w:szCs w:val="28"/>
                    </w:rPr>
                    <w:t>←                  →</w:t>
                  </w:r>
                </w:p>
              </w:tc>
              <w:tc>
                <w:tcPr>
                  <w:tcW w:w="1156" w:type="pct"/>
                  <w:tcBorders>
                    <w:top w:val="single" w:sz="6" w:space="0" w:color="BFBFBF"/>
                    <w:bottom w:val="single" w:sz="6" w:space="0" w:color="BFBFBF"/>
                  </w:tcBorders>
                  <w:shd w:val="clear" w:color="auto" w:fill="auto"/>
                  <w:tcMar>
                    <w:top w:w="28" w:type="dxa"/>
                  </w:tcMar>
                  <w:vAlign w:val="center"/>
                </w:tcPr>
                <w:p w14:paraId="1EA391D7" w14:textId="77777777" w:rsidR="00F576FE" w:rsidRPr="002837CA" w:rsidRDefault="00F576FE" w:rsidP="001C0309">
                  <w:pPr>
                    <w:pStyle w:val="TableColumnHeading"/>
                    <w:jc w:val="center"/>
                  </w:pPr>
                  <w:r>
                    <w:t>High integration</w:t>
                  </w:r>
                </w:p>
              </w:tc>
            </w:tr>
            <w:tr w:rsidR="001C0309" w:rsidRPr="002837CA" w14:paraId="1EA391DE" w14:textId="77777777" w:rsidTr="00005180">
              <w:trPr>
                <w:tblHeader/>
              </w:trPr>
              <w:tc>
                <w:tcPr>
                  <w:tcW w:w="583" w:type="pct"/>
                  <w:tcBorders>
                    <w:top w:val="single" w:sz="6" w:space="0" w:color="BFBFBF"/>
                    <w:bottom w:val="single" w:sz="6" w:space="0" w:color="BFBFBF"/>
                  </w:tcBorders>
                  <w:shd w:val="clear" w:color="auto" w:fill="auto"/>
                  <w:tcMar>
                    <w:top w:w="28" w:type="dxa"/>
                  </w:tcMar>
                </w:tcPr>
                <w:p w14:paraId="1EA391D9" w14:textId="77777777" w:rsidR="001C0309" w:rsidRPr="002837CA" w:rsidRDefault="001C0309" w:rsidP="001C0309">
                  <w:pPr>
                    <w:pStyle w:val="TableColumnHeading"/>
                    <w:jc w:val="left"/>
                  </w:pPr>
                </w:p>
              </w:tc>
              <w:tc>
                <w:tcPr>
                  <w:tcW w:w="952" w:type="pct"/>
                  <w:tcBorders>
                    <w:top w:val="single" w:sz="6" w:space="0" w:color="BFBFBF"/>
                    <w:bottom w:val="single" w:sz="6" w:space="0" w:color="BFBFBF"/>
                  </w:tcBorders>
                </w:tcPr>
                <w:p w14:paraId="1EA391DA" w14:textId="77777777" w:rsidR="001C0309" w:rsidRPr="002837CA" w:rsidRDefault="001C0309" w:rsidP="001C0309">
                  <w:pPr>
                    <w:pStyle w:val="TableColumnHeading"/>
                  </w:pPr>
                  <w:r w:rsidRPr="002837CA">
                    <w:t>GP coordinating care</w:t>
                  </w:r>
                </w:p>
              </w:tc>
              <w:tc>
                <w:tcPr>
                  <w:tcW w:w="961" w:type="pct"/>
                  <w:tcBorders>
                    <w:top w:val="single" w:sz="6" w:space="0" w:color="BFBFBF"/>
                    <w:bottom w:val="single" w:sz="6" w:space="0" w:color="BFBFBF"/>
                  </w:tcBorders>
                </w:tcPr>
                <w:p w14:paraId="1EA391DB" w14:textId="77777777" w:rsidR="001C0309" w:rsidRPr="002837CA" w:rsidRDefault="001C0309" w:rsidP="00005180">
                  <w:pPr>
                    <w:pStyle w:val="TableColumnHeading"/>
                    <w:spacing w:after="0"/>
                  </w:pPr>
                  <w:r w:rsidRPr="002837CA">
                    <w:t>Hospitals and GPs exchange information</w:t>
                  </w:r>
                </w:p>
              </w:tc>
              <w:tc>
                <w:tcPr>
                  <w:tcW w:w="1348" w:type="pct"/>
                  <w:tcBorders>
                    <w:top w:val="single" w:sz="6" w:space="0" w:color="BFBFBF"/>
                    <w:bottom w:val="single" w:sz="6" w:space="0" w:color="BFBFBF"/>
                  </w:tcBorders>
                  <w:shd w:val="clear" w:color="auto" w:fill="auto"/>
                  <w:tcMar>
                    <w:top w:w="28" w:type="dxa"/>
                  </w:tcMar>
                </w:tcPr>
                <w:p w14:paraId="1EA391DC" w14:textId="77777777" w:rsidR="001C0309" w:rsidRPr="002837CA" w:rsidRDefault="001C0309" w:rsidP="00005180">
                  <w:pPr>
                    <w:pStyle w:val="TableColumnHeading"/>
                    <w:spacing w:before="40" w:after="0"/>
                  </w:pPr>
                  <w:r w:rsidRPr="002837CA">
                    <w:t>Hospital specialists support GPs eg. case conferencing</w:t>
                  </w:r>
                  <w:r>
                    <w:t xml:space="preserve"> and health pathways</w:t>
                  </w:r>
                </w:p>
              </w:tc>
              <w:tc>
                <w:tcPr>
                  <w:tcW w:w="1156" w:type="pct"/>
                  <w:tcBorders>
                    <w:top w:val="single" w:sz="6" w:space="0" w:color="BFBFBF"/>
                    <w:bottom w:val="single" w:sz="6" w:space="0" w:color="BFBFBF"/>
                  </w:tcBorders>
                  <w:shd w:val="clear" w:color="auto" w:fill="auto"/>
                  <w:tcMar>
                    <w:top w:w="28" w:type="dxa"/>
                  </w:tcMar>
                </w:tcPr>
                <w:p w14:paraId="1EA391DD" w14:textId="77777777" w:rsidR="001C0309" w:rsidRPr="002837CA" w:rsidRDefault="001C0309" w:rsidP="00005180">
                  <w:pPr>
                    <w:pStyle w:val="TableColumnHeading"/>
                    <w:spacing w:after="0"/>
                  </w:pPr>
                  <w:r w:rsidRPr="002837CA">
                    <w:t>Hospital specialists</w:t>
                  </w:r>
                  <w:r>
                    <w:t xml:space="preserve">, </w:t>
                  </w:r>
                  <w:r w:rsidRPr="002837CA">
                    <w:t>GPs</w:t>
                  </w:r>
                  <w:r>
                    <w:t xml:space="preserve">, </w:t>
                  </w:r>
                  <w:r w:rsidRPr="002837CA">
                    <w:t xml:space="preserve">allied health </w:t>
                  </w:r>
                  <w:r>
                    <w:t>in a single team</w:t>
                  </w:r>
                </w:p>
              </w:tc>
            </w:tr>
            <w:tr w:rsidR="001C0309" w:rsidRPr="002837CA" w14:paraId="1EA391E4" w14:textId="77777777" w:rsidTr="00005180">
              <w:tc>
                <w:tcPr>
                  <w:tcW w:w="583" w:type="pct"/>
                  <w:tcBorders>
                    <w:top w:val="single" w:sz="6" w:space="0" w:color="BFBFBF"/>
                  </w:tcBorders>
                </w:tcPr>
                <w:p w14:paraId="1EA391DF" w14:textId="77777777" w:rsidR="001C0309" w:rsidRPr="002837CA" w:rsidRDefault="001C0309" w:rsidP="001C0309">
                  <w:pPr>
                    <w:pStyle w:val="TableBodyText"/>
                    <w:jc w:val="left"/>
                  </w:pPr>
                </w:p>
              </w:tc>
              <w:tc>
                <w:tcPr>
                  <w:tcW w:w="952" w:type="pct"/>
                  <w:tcBorders>
                    <w:top w:val="single" w:sz="6" w:space="0" w:color="BFBFBF"/>
                  </w:tcBorders>
                </w:tcPr>
                <w:p w14:paraId="1EA391E0" w14:textId="77777777" w:rsidR="001C0309" w:rsidRPr="002837CA" w:rsidRDefault="001C0309" w:rsidP="001C0309">
                  <w:pPr>
                    <w:pStyle w:val="TableBodyText"/>
                  </w:pPr>
                  <w:r w:rsidRPr="002837CA">
                    <w:t>The Diabetes Care Project</w:t>
                  </w:r>
                  <w:r>
                    <w:t>, 2011</w:t>
                  </w:r>
                  <w:r>
                    <w:noBreakHyphen/>
                    <w:t>14</w:t>
                  </w:r>
                </w:p>
              </w:tc>
              <w:tc>
                <w:tcPr>
                  <w:tcW w:w="961" w:type="pct"/>
                  <w:tcBorders>
                    <w:top w:val="single" w:sz="6" w:space="0" w:color="BFBFBF"/>
                  </w:tcBorders>
                </w:tcPr>
                <w:p w14:paraId="1EA391E1" w14:textId="77777777" w:rsidR="001C0309" w:rsidRPr="002837CA" w:rsidRDefault="001C0309" w:rsidP="001C0309">
                  <w:pPr>
                    <w:pStyle w:val="TableBodyText"/>
                  </w:pPr>
                  <w:r w:rsidRPr="002837CA">
                    <w:t>Redcliffe Integrated Chronic Disease Model of Care</w:t>
                  </w:r>
                  <w:r>
                    <w:t>, 2014</w:t>
                  </w:r>
                  <w:r>
                    <w:noBreakHyphen/>
                    <w:t>15</w:t>
                  </w:r>
                </w:p>
              </w:tc>
              <w:tc>
                <w:tcPr>
                  <w:tcW w:w="1348" w:type="pct"/>
                  <w:tcBorders>
                    <w:top w:val="single" w:sz="6" w:space="0" w:color="BFBFBF"/>
                  </w:tcBorders>
                </w:tcPr>
                <w:p w14:paraId="1EA391E2" w14:textId="77777777" w:rsidR="001C0309" w:rsidRPr="002837CA" w:rsidRDefault="001C0309" w:rsidP="001C0309">
                  <w:pPr>
                    <w:pStyle w:val="TableBodyText"/>
                  </w:pPr>
                  <w:r w:rsidRPr="002837CA">
                    <w:t>Western Sydney Diabetes Initiative</w:t>
                  </w:r>
                  <w:r>
                    <w:t>, 2012</w:t>
                  </w:r>
                  <w:r w:rsidR="009C49CA">
                    <w:t>–</w:t>
                  </w:r>
                  <w:r>
                    <w:t>16</w:t>
                  </w:r>
                  <w:r w:rsidRPr="00A54DEC">
                    <w:rPr>
                      <w:rStyle w:val="NoteLabel"/>
                    </w:rPr>
                    <w:t>c</w:t>
                  </w:r>
                </w:p>
              </w:tc>
              <w:tc>
                <w:tcPr>
                  <w:tcW w:w="1156" w:type="pct"/>
                  <w:tcBorders>
                    <w:top w:val="single" w:sz="6" w:space="0" w:color="BFBFBF"/>
                  </w:tcBorders>
                </w:tcPr>
                <w:p w14:paraId="1EA391E3" w14:textId="77777777" w:rsidR="001C0309" w:rsidRPr="002837CA" w:rsidRDefault="001C0309" w:rsidP="001C0309">
                  <w:pPr>
                    <w:pStyle w:val="TableBodyText"/>
                  </w:pPr>
                  <w:r w:rsidRPr="002837CA">
                    <w:t>Inala Chronic Disease Management Service</w:t>
                  </w:r>
                  <w:r>
                    <w:t>, 2007</w:t>
                  </w:r>
                  <w:r>
                    <w:noBreakHyphen/>
                    <w:t>08</w:t>
                  </w:r>
                </w:p>
              </w:tc>
            </w:tr>
            <w:tr w:rsidR="001C0309" w:rsidRPr="002837CA" w14:paraId="1EA391EC" w14:textId="77777777" w:rsidTr="00005180">
              <w:tc>
                <w:tcPr>
                  <w:tcW w:w="583" w:type="pct"/>
                </w:tcPr>
                <w:p w14:paraId="1EA391E5" w14:textId="77777777" w:rsidR="001C0309" w:rsidRPr="002837CA" w:rsidRDefault="001C0309" w:rsidP="001C0309">
                  <w:pPr>
                    <w:pStyle w:val="TableBodyText"/>
                    <w:jc w:val="left"/>
                  </w:pPr>
                  <w:r w:rsidRPr="002837CA">
                    <w:t>Details of program subject to impact analysis</w:t>
                  </w:r>
                </w:p>
              </w:tc>
              <w:tc>
                <w:tcPr>
                  <w:tcW w:w="952" w:type="pct"/>
                </w:tcPr>
                <w:p w14:paraId="1EA391E6" w14:textId="77777777" w:rsidR="001C0309" w:rsidRPr="002837CA" w:rsidRDefault="001C0309" w:rsidP="001C0309">
                  <w:pPr>
                    <w:pStyle w:val="TableBodyText"/>
                  </w:pPr>
                  <w:r w:rsidRPr="002837CA">
                    <w:t>Information sharing within primary sector</w:t>
                  </w:r>
                </w:p>
                <w:p w14:paraId="1EA391E7" w14:textId="77777777" w:rsidR="001C0309" w:rsidRPr="002837CA" w:rsidRDefault="001C0309" w:rsidP="001C0309">
                  <w:pPr>
                    <w:pStyle w:val="TableBodyText"/>
                  </w:pPr>
                  <w:r w:rsidRPr="002837CA">
                    <w:t>Replaced fee</w:t>
                  </w:r>
                  <w:r w:rsidR="009C49CA">
                    <w:noBreakHyphen/>
                  </w:r>
                  <w:r w:rsidRPr="002837CA">
                    <w:t>for</w:t>
                  </w:r>
                  <w:r w:rsidR="009C49CA">
                    <w:noBreakHyphen/>
                  </w:r>
                  <w:r w:rsidRPr="002837CA">
                    <w:t>service with blended payment comprised of capitation fee, performance fee plus cost of care facilitator</w:t>
                  </w:r>
                </w:p>
              </w:tc>
              <w:tc>
                <w:tcPr>
                  <w:tcW w:w="961" w:type="pct"/>
                </w:tcPr>
                <w:p w14:paraId="1EA391E8" w14:textId="77777777" w:rsidR="001C0309" w:rsidRPr="002837CA" w:rsidRDefault="001C0309" w:rsidP="001C0309">
                  <w:pPr>
                    <w:pStyle w:val="TableBodyText"/>
                  </w:pPr>
                  <w:r w:rsidRPr="002837CA">
                    <w:t>Information sharing between hospital and GPs</w:t>
                  </w:r>
                </w:p>
              </w:tc>
              <w:tc>
                <w:tcPr>
                  <w:tcW w:w="1348" w:type="pct"/>
                </w:tcPr>
                <w:p w14:paraId="1EA391E9" w14:textId="77777777" w:rsidR="001C0309" w:rsidRPr="002837CA" w:rsidRDefault="001C0309" w:rsidP="001C0309">
                  <w:pPr>
                    <w:pStyle w:val="TableBodyText"/>
                  </w:pPr>
                  <w:r w:rsidRPr="002837CA">
                    <w:t>Inpatient diabetes management service (including follow up post</w:t>
                  </w:r>
                  <w:r w:rsidRPr="002837CA">
                    <w:noBreakHyphen/>
                    <w:t>discharge)</w:t>
                  </w:r>
                </w:p>
                <w:p w14:paraId="1EA391EA" w14:textId="77777777" w:rsidR="001C0309" w:rsidRPr="002837CA" w:rsidRDefault="001C0309" w:rsidP="001C0309">
                  <w:pPr>
                    <w:pStyle w:val="TableBodyText"/>
                  </w:pPr>
                  <w:r w:rsidRPr="002837CA">
                    <w:t>Case conferencing of hospital specialist team with GPs</w:t>
                  </w:r>
                </w:p>
              </w:tc>
              <w:tc>
                <w:tcPr>
                  <w:tcW w:w="1156" w:type="pct"/>
                </w:tcPr>
                <w:p w14:paraId="1EA391EB" w14:textId="77777777" w:rsidR="001C0309" w:rsidRPr="002837CA" w:rsidRDefault="001C0309" w:rsidP="001C0309">
                  <w:pPr>
                    <w:pStyle w:val="TableBodyText"/>
                  </w:pPr>
                  <w:r w:rsidRPr="002837CA">
                    <w:t>Community</w:t>
                  </w:r>
                  <w:r>
                    <w:noBreakHyphen/>
                  </w:r>
                  <w:r w:rsidRPr="002837CA">
                    <w:t>based, multidisciplinary clinic, including a hospital endocrinologist, GPs with post graduate training in complex diabetes care &amp; allied health. Manage complex cases in partnership with patient’s GP</w:t>
                  </w:r>
                </w:p>
              </w:tc>
            </w:tr>
            <w:tr w:rsidR="001C0309" w:rsidRPr="002837CA" w14:paraId="1EA391FC" w14:textId="77777777" w:rsidTr="00005180">
              <w:tc>
                <w:tcPr>
                  <w:tcW w:w="583" w:type="pct"/>
                  <w:tcBorders>
                    <w:bottom w:val="single" w:sz="6" w:space="0" w:color="BFBFBF"/>
                  </w:tcBorders>
                  <w:shd w:val="clear" w:color="auto" w:fill="auto"/>
                </w:tcPr>
                <w:p w14:paraId="1EA391ED" w14:textId="77777777" w:rsidR="001C0309" w:rsidRPr="002837CA" w:rsidRDefault="001C0309" w:rsidP="001C0309">
                  <w:pPr>
                    <w:pStyle w:val="TableBodyText"/>
                    <w:jc w:val="left"/>
                  </w:pPr>
                  <w:r w:rsidRPr="002837CA">
                    <w:t>Impacts</w:t>
                  </w:r>
                  <w:r w:rsidRPr="00A54DEC">
                    <w:rPr>
                      <w:rStyle w:val="NoteLabel"/>
                    </w:rPr>
                    <w:t>a</w:t>
                  </w:r>
                </w:p>
              </w:tc>
              <w:tc>
                <w:tcPr>
                  <w:tcW w:w="952" w:type="pct"/>
                  <w:tcBorders>
                    <w:bottom w:val="single" w:sz="6" w:space="0" w:color="BFBFBF"/>
                  </w:tcBorders>
                </w:tcPr>
                <w:p w14:paraId="1EA391EE" w14:textId="77777777" w:rsidR="001C0309" w:rsidRPr="002837CA" w:rsidRDefault="001C0309" w:rsidP="001C0309">
                  <w:pPr>
                    <w:pStyle w:val="TableBodyText"/>
                  </w:pPr>
                  <w:r w:rsidRPr="002837CA">
                    <w:t>Hospitalisation (potentially preventable) reduced by a median of one day.</w:t>
                  </w:r>
                </w:p>
                <w:p w14:paraId="1EA391EF" w14:textId="77777777" w:rsidR="001C0309" w:rsidRPr="002837CA" w:rsidRDefault="001C0309" w:rsidP="001C0309">
                  <w:pPr>
                    <w:pStyle w:val="TableBodyText"/>
                  </w:pPr>
                  <w:r w:rsidRPr="002837CA">
                    <w:t>Blood sugar level reduced by 0.2 to 0.6</w:t>
                  </w:r>
                  <w:r w:rsidRPr="00A54DEC">
                    <w:rPr>
                      <w:rStyle w:val="NoteLabel"/>
                    </w:rPr>
                    <w:t>b</w:t>
                  </w:r>
                  <w:r w:rsidRPr="002837CA">
                    <w:t> per cent (HbA1c)</w:t>
                  </w:r>
                </w:p>
                <w:p w14:paraId="1EA391F0" w14:textId="77777777" w:rsidR="001C0309" w:rsidRPr="002837CA" w:rsidRDefault="001C0309" w:rsidP="001C0309">
                  <w:pPr>
                    <w:pStyle w:val="TableBodyText"/>
                  </w:pPr>
                </w:p>
              </w:tc>
              <w:tc>
                <w:tcPr>
                  <w:tcW w:w="961" w:type="pct"/>
                  <w:tcBorders>
                    <w:bottom w:val="single" w:sz="6" w:space="0" w:color="BFBFBF"/>
                  </w:tcBorders>
                </w:tcPr>
                <w:p w14:paraId="1EA391F1" w14:textId="77777777" w:rsidR="001C0309" w:rsidRPr="002837CA" w:rsidRDefault="001C0309" w:rsidP="001C0309">
                  <w:pPr>
                    <w:pStyle w:val="TableBodyText"/>
                  </w:pPr>
                  <w:r w:rsidRPr="002837CA">
                    <w:t xml:space="preserve">Hospital admissions </w:t>
                  </w:r>
                  <w:r>
                    <w:t>of diabetes patients not significantly affected. The lack of impact was attributed to the unintended focus on patients with gestational diabetes rather than on patients with lifestyle diabetes.</w:t>
                  </w:r>
                </w:p>
              </w:tc>
              <w:tc>
                <w:tcPr>
                  <w:tcW w:w="1348" w:type="pct"/>
                  <w:tcBorders>
                    <w:bottom w:val="single" w:sz="6" w:space="0" w:color="BFBFBF"/>
                  </w:tcBorders>
                  <w:shd w:val="clear" w:color="auto" w:fill="auto"/>
                </w:tcPr>
                <w:p w14:paraId="1EA391F2" w14:textId="77777777" w:rsidR="001C0309" w:rsidRPr="002837CA" w:rsidRDefault="001C0309" w:rsidP="001C0309">
                  <w:pPr>
                    <w:pStyle w:val="TableBodyText"/>
                  </w:pPr>
                  <w:r w:rsidRPr="002837CA">
                    <w:rPr>
                      <w:i/>
                    </w:rPr>
                    <w:t>Inpatient service impacts</w:t>
                  </w:r>
                  <w:r w:rsidRPr="002837CA">
                    <w:t>:</w:t>
                  </w:r>
                </w:p>
                <w:p w14:paraId="1EA391F3" w14:textId="77777777" w:rsidR="001C0309" w:rsidRPr="002837CA" w:rsidRDefault="001C0309" w:rsidP="001C0309">
                  <w:pPr>
                    <w:pStyle w:val="TableBodyText"/>
                  </w:pPr>
                  <w:r w:rsidRPr="002837CA">
                    <w:t xml:space="preserve">Hospitalisation: average length of stay of surgical patients reduced </w:t>
                  </w:r>
                  <w:r>
                    <w:t>from 3.5 days above national benchmark to 0.7 days below national benchmark</w:t>
                  </w:r>
                  <w:r w:rsidRPr="002837CA">
                    <w:t xml:space="preserve"> </w:t>
                  </w:r>
                </w:p>
                <w:p w14:paraId="1EA391F4" w14:textId="77777777" w:rsidR="001C0309" w:rsidRPr="002837CA" w:rsidRDefault="001C0309" w:rsidP="001C0309">
                  <w:pPr>
                    <w:pStyle w:val="TableBodyText"/>
                  </w:pPr>
                  <w:r w:rsidRPr="002837CA">
                    <w:rPr>
                      <w:i/>
                    </w:rPr>
                    <w:t>Case conferencing impacts</w:t>
                  </w:r>
                  <w:r w:rsidRPr="002837CA">
                    <w:t>:</w:t>
                  </w:r>
                </w:p>
                <w:p w14:paraId="1EA391F5" w14:textId="77777777" w:rsidR="001C0309" w:rsidRPr="002837CA" w:rsidRDefault="001C0309" w:rsidP="001C0309">
                  <w:pPr>
                    <w:pStyle w:val="TableBodyText"/>
                  </w:pPr>
                  <w:r w:rsidRPr="002837CA">
                    <w:t>Blood sugar level reduced by 0.9 per cent (HbA1c)</w:t>
                  </w:r>
                </w:p>
                <w:p w14:paraId="1EA391F6" w14:textId="77777777" w:rsidR="001C0309" w:rsidRPr="002837CA" w:rsidRDefault="001C0309" w:rsidP="001C0309">
                  <w:pPr>
                    <w:pStyle w:val="TableBodyText"/>
                  </w:pPr>
                  <w:r w:rsidRPr="002837CA">
                    <w:t>Average weight reduction of 1.9kg</w:t>
                  </w:r>
                </w:p>
                <w:p w14:paraId="1EA391F7" w14:textId="77777777" w:rsidR="001C0309" w:rsidRPr="002837CA" w:rsidRDefault="001C0309" w:rsidP="001C0309">
                  <w:pPr>
                    <w:pStyle w:val="TableBodyText"/>
                  </w:pPr>
                  <w:r w:rsidRPr="002837CA">
                    <w:t>Systolic blood pressure reduction of 6.45mmHg</w:t>
                  </w:r>
                </w:p>
                <w:p w14:paraId="1EA391F8" w14:textId="77777777" w:rsidR="001C0309" w:rsidRPr="002837CA" w:rsidRDefault="001C0309" w:rsidP="001C0309">
                  <w:pPr>
                    <w:pStyle w:val="TableBodyText"/>
                  </w:pPr>
                  <w:r w:rsidRPr="002837CA">
                    <w:t xml:space="preserve">97 per cent GPs reported increased confidence in managing diabetes </w:t>
                  </w:r>
                </w:p>
              </w:tc>
              <w:tc>
                <w:tcPr>
                  <w:tcW w:w="1156" w:type="pct"/>
                  <w:tcBorders>
                    <w:bottom w:val="single" w:sz="6" w:space="0" w:color="BFBFBF"/>
                  </w:tcBorders>
                  <w:shd w:val="clear" w:color="auto" w:fill="auto"/>
                </w:tcPr>
                <w:p w14:paraId="1EA391F9" w14:textId="77777777" w:rsidR="001C0309" w:rsidRPr="002837CA" w:rsidRDefault="001C0309" w:rsidP="001C0309">
                  <w:pPr>
                    <w:pStyle w:val="TableBodyText"/>
                  </w:pPr>
                  <w:r w:rsidRPr="002837CA">
                    <w:t>Hospitalisation rate for diabetes 46 per cent lower (hospitalisation rate of 0.19 for intervention group as opposed to 0.35 for control group)</w:t>
                  </w:r>
                </w:p>
                <w:p w14:paraId="1EA391FA" w14:textId="77777777" w:rsidR="001C0309" w:rsidRPr="002837CA" w:rsidRDefault="001C0309" w:rsidP="001C0309">
                  <w:pPr>
                    <w:pStyle w:val="TableBodyText"/>
                  </w:pPr>
                  <w:r w:rsidRPr="002837CA">
                    <w:t>Hospital cost: average cost per patient of diabetes related hospitalisation was 44% lower for intervention group ($1425 as opposed to $2527 for control group)</w:t>
                  </w:r>
                </w:p>
                <w:p w14:paraId="1EA391FB" w14:textId="77777777" w:rsidR="001C0309" w:rsidRPr="002837CA" w:rsidRDefault="001C0309" w:rsidP="001C0309">
                  <w:pPr>
                    <w:pStyle w:val="TableBodyText"/>
                  </w:pPr>
                </w:p>
              </w:tc>
            </w:tr>
          </w:tbl>
          <w:p w14:paraId="1EA391FD" w14:textId="77777777" w:rsidR="001C0309" w:rsidRPr="002837CA" w:rsidRDefault="001C0309" w:rsidP="001C0309">
            <w:pPr>
              <w:keepNext/>
              <w:spacing w:before="120" w:line="260" w:lineRule="atLeast"/>
              <w:jc w:val="both"/>
              <w:rPr>
                <w:rFonts w:ascii="Arial" w:hAnsi="Arial"/>
              </w:rPr>
            </w:pPr>
          </w:p>
        </w:tc>
      </w:tr>
      <w:tr w:rsidR="001C0309" w:rsidRPr="002837CA" w14:paraId="1EA39200" w14:textId="77777777" w:rsidTr="001C0309">
        <w:tc>
          <w:tcPr>
            <w:tcW w:w="5000" w:type="pct"/>
            <w:tcBorders>
              <w:top w:val="nil"/>
              <w:left w:val="nil"/>
              <w:bottom w:val="nil"/>
              <w:right w:val="nil"/>
            </w:tcBorders>
            <w:shd w:val="clear" w:color="auto" w:fill="auto"/>
          </w:tcPr>
          <w:p w14:paraId="1EA391FF" w14:textId="77777777" w:rsidR="001C0309" w:rsidRPr="002837CA" w:rsidRDefault="001C0309" w:rsidP="00005180">
            <w:pPr>
              <w:pStyle w:val="Source"/>
              <w:spacing w:before="40"/>
              <w:rPr>
                <w:i/>
              </w:rPr>
            </w:pPr>
            <w:r w:rsidRPr="002837CA">
              <w:rPr>
                <w:b/>
                <w:position w:val="6"/>
              </w:rPr>
              <w:t>a</w:t>
            </w:r>
            <w:r w:rsidRPr="002837CA">
              <w:t xml:space="preserve"> Statistically significant impacts. </w:t>
            </w:r>
            <w:r w:rsidRPr="002837CA">
              <w:rPr>
                <w:b/>
                <w:position w:val="6"/>
              </w:rPr>
              <w:t>b</w:t>
            </w:r>
            <w:r w:rsidRPr="002837CA">
              <w:t xml:space="preserve"> Reductions in blood sugar level were greater for people with a higher starting level. It was 0.2</w:t>
            </w:r>
            <w:r>
              <w:t>%</w:t>
            </w:r>
            <w:r w:rsidRPr="002837CA">
              <w:t xml:space="preserve"> on average, but up to 0.6</w:t>
            </w:r>
            <w:r>
              <w:t xml:space="preserve">% </w:t>
            </w:r>
            <w:r w:rsidRPr="002837CA">
              <w:t>for those with initial HbA1c levels greater than or equal to 10.0</w:t>
            </w:r>
            <w:r>
              <w:t>%</w:t>
            </w:r>
            <w:r w:rsidRPr="002837CA">
              <w:t xml:space="preserve">. </w:t>
            </w:r>
            <w:r w:rsidRPr="002837CA">
              <w:rPr>
                <w:b/>
                <w:position w:val="6"/>
              </w:rPr>
              <w:t>c</w:t>
            </w:r>
            <w:r w:rsidRPr="002837CA">
              <w:t xml:space="preserve"> The Western Sydney Diabetes Initiative also involves p</w:t>
            </w:r>
            <w:r>
              <w:t>revention, screening, education</w:t>
            </w:r>
            <w:r w:rsidRPr="002837CA">
              <w:t xml:space="preserve"> and </w:t>
            </w:r>
            <w:r>
              <w:t xml:space="preserve">a </w:t>
            </w:r>
            <w:r w:rsidRPr="002837CA">
              <w:t xml:space="preserve">greater role for </w:t>
            </w:r>
            <w:r>
              <w:t xml:space="preserve">the </w:t>
            </w:r>
            <w:r w:rsidRPr="002837CA">
              <w:t>diabetes outpatients clinic in complex case management.</w:t>
            </w:r>
          </w:p>
        </w:tc>
      </w:tr>
      <w:tr w:rsidR="00B10CFB" w14:paraId="1EA39202" w14:textId="77777777" w:rsidTr="002F121D">
        <w:tc>
          <w:tcPr>
            <w:tcW w:w="5000" w:type="pct"/>
            <w:tcBorders>
              <w:top w:val="nil"/>
              <w:left w:val="nil"/>
              <w:bottom w:val="nil"/>
              <w:right w:val="nil"/>
            </w:tcBorders>
            <w:shd w:val="clear" w:color="auto" w:fill="auto"/>
          </w:tcPr>
          <w:p w14:paraId="1EA39201" w14:textId="77777777" w:rsidR="00B10CFB" w:rsidRDefault="00B10CFB" w:rsidP="00005180">
            <w:pPr>
              <w:pStyle w:val="Source"/>
              <w:spacing w:before="40"/>
            </w:pPr>
            <w:r>
              <w:rPr>
                <w:i/>
              </w:rPr>
              <w:t>Sources</w:t>
            </w:r>
            <w:r w:rsidRPr="00167F06">
              <w:t xml:space="preserve">: </w:t>
            </w:r>
            <w:r w:rsidR="000A6D80">
              <w:t>DoH </w:t>
            </w:r>
            <w:r w:rsidR="00F6095D" w:rsidRPr="00F6095D">
              <w:rPr>
                <w:rFonts w:cs="Arial"/>
              </w:rPr>
              <w:t>(2015b)</w:t>
            </w:r>
            <w:r w:rsidR="00E561AF">
              <w:t>; Duke </w:t>
            </w:r>
            <w:r w:rsidR="00C65A42" w:rsidRPr="00C65A42">
              <w:rPr>
                <w:rFonts w:cs="Arial"/>
              </w:rPr>
              <w:t>(2015)</w:t>
            </w:r>
            <w:r w:rsidR="00E561AF">
              <w:t xml:space="preserve">; </w:t>
            </w:r>
            <w:r w:rsidR="006824C3">
              <w:t>Hollingworth et al. </w:t>
            </w:r>
            <w:r w:rsidR="00C65A42" w:rsidRPr="00C65A42">
              <w:rPr>
                <w:rFonts w:cs="Arial"/>
              </w:rPr>
              <w:t>(2017)</w:t>
            </w:r>
            <w:r w:rsidR="006824C3">
              <w:t xml:space="preserve">; </w:t>
            </w:r>
            <w:r w:rsidR="00E561AF">
              <w:t>Western Sydney Local Health District and PHN Western Sydney </w:t>
            </w:r>
            <w:r w:rsidR="00C65A42" w:rsidRPr="00C65A42">
              <w:rPr>
                <w:rFonts w:cs="Arial"/>
              </w:rPr>
              <w:t>(2016a)</w:t>
            </w:r>
            <w:r w:rsidR="006824C3">
              <w:t>; Zhang et al. </w:t>
            </w:r>
            <w:r w:rsidR="00C65A42" w:rsidRPr="00C65A42">
              <w:rPr>
                <w:rFonts w:cs="Arial"/>
              </w:rPr>
              <w:t>(2015)</w:t>
            </w:r>
            <w:r w:rsidR="00E561AF">
              <w:t>.</w:t>
            </w:r>
          </w:p>
        </w:tc>
      </w:tr>
      <w:tr w:rsidR="001C0309" w:rsidRPr="002837CA" w14:paraId="1EA39204" w14:textId="77777777" w:rsidTr="001C0309">
        <w:tc>
          <w:tcPr>
            <w:tcW w:w="5000" w:type="pct"/>
            <w:tcBorders>
              <w:top w:val="nil"/>
              <w:left w:val="nil"/>
              <w:bottom w:val="single" w:sz="6" w:space="0" w:color="78A22F"/>
              <w:right w:val="nil"/>
            </w:tcBorders>
            <w:shd w:val="clear" w:color="auto" w:fill="auto"/>
          </w:tcPr>
          <w:p w14:paraId="1EA39203" w14:textId="77777777" w:rsidR="001C0309" w:rsidRPr="002837CA" w:rsidRDefault="001C0309" w:rsidP="00F576FE">
            <w:pPr>
              <w:keepNext/>
              <w:spacing w:line="120" w:lineRule="exact"/>
              <w:jc w:val="both"/>
              <w:rPr>
                <w:rFonts w:ascii="Arial" w:hAnsi="Arial"/>
              </w:rPr>
            </w:pPr>
          </w:p>
        </w:tc>
      </w:tr>
      <w:tr w:rsidR="001C0309" w:rsidRPr="002837CA" w14:paraId="1EA39206" w14:textId="77777777" w:rsidTr="001C0309">
        <w:tc>
          <w:tcPr>
            <w:tcW w:w="5000" w:type="pct"/>
            <w:tcBorders>
              <w:top w:val="single" w:sz="6" w:space="0" w:color="78A22F"/>
              <w:left w:val="nil"/>
              <w:bottom w:val="nil"/>
              <w:right w:val="nil"/>
            </w:tcBorders>
          </w:tcPr>
          <w:p w14:paraId="1EA39205" w14:textId="77777777" w:rsidR="001C0309" w:rsidRPr="002837CA" w:rsidRDefault="001C0309" w:rsidP="001C0309">
            <w:pPr>
              <w:spacing w:before="60" w:after="60" w:line="80" w:lineRule="exact"/>
              <w:jc w:val="both"/>
              <w:rPr>
                <w:rFonts w:ascii="Arial" w:hAnsi="Arial"/>
                <w:sz w:val="14"/>
              </w:rPr>
            </w:pPr>
          </w:p>
        </w:tc>
      </w:tr>
    </w:tbl>
    <w:p w14:paraId="1EA39207" w14:textId="77777777" w:rsidR="002837CA" w:rsidRPr="002837CA" w:rsidRDefault="009C09EF" w:rsidP="00AF321D">
      <w:pPr>
        <w:pStyle w:val="Heading2"/>
      </w:pPr>
      <w:bookmarkStart w:id="113" w:name="_Toc485912903"/>
      <w:bookmarkStart w:id="114" w:name="_Toc488929721"/>
      <w:bookmarkStart w:id="115" w:name="_Toc488930017"/>
      <w:bookmarkStart w:id="116" w:name="_Toc489250099"/>
      <w:r>
        <w:t>A</w:t>
      </w:r>
      <w:r w:rsidR="002837CA">
        <w:t>.6</w:t>
      </w:r>
      <w:r w:rsidR="002837CA" w:rsidRPr="002837CA">
        <w:tab/>
        <w:t>Queensland initiatives</w:t>
      </w:r>
      <w:bookmarkEnd w:id="113"/>
      <w:bookmarkEnd w:id="114"/>
      <w:bookmarkEnd w:id="115"/>
      <w:bookmarkEnd w:id="116"/>
    </w:p>
    <w:p w14:paraId="1EA39208" w14:textId="77777777" w:rsidR="002837CA" w:rsidRPr="002837CA" w:rsidRDefault="002837CA" w:rsidP="00AF321D">
      <w:pPr>
        <w:pStyle w:val="Heading3"/>
      </w:pPr>
      <w:r w:rsidRPr="002837CA">
        <w:t>Inala Chronic Disease Management Service</w:t>
      </w:r>
    </w:p>
    <w:p w14:paraId="1EA39209" w14:textId="77777777" w:rsidR="007F7DA7" w:rsidRDefault="002837CA" w:rsidP="00AF321D">
      <w:pPr>
        <w:pStyle w:val="BodyText"/>
      </w:pPr>
      <w:r w:rsidRPr="002837CA">
        <w:t>The Inala Chronic Disease Management Service is a trial of integrated care in Brisbane South. Patients with complex type 2 diabetes are referred by their GP to the Inala Chronic Disease Management Service, a community</w:t>
      </w:r>
      <w:r w:rsidRPr="002837CA">
        <w:noBreakHyphen/>
        <w:t xml:space="preserve">based clinic, including an endocrinologist, GPs with post graduate training in complex diabetes care, diabetes nurse educators, </w:t>
      </w:r>
      <w:r w:rsidR="000C523E">
        <w:t xml:space="preserve">a </w:t>
      </w:r>
      <w:r w:rsidRPr="002837CA">
        <w:t>dietician, podiatrist and psychologist </w:t>
      </w:r>
      <w:r w:rsidR="00C65A42" w:rsidRPr="00C65A42">
        <w:rPr>
          <w:szCs w:val="24"/>
        </w:rPr>
        <w:t>(Askew et al. 2010)</w:t>
      </w:r>
      <w:r w:rsidRPr="002837CA">
        <w:t>. The clinic is</w:t>
      </w:r>
      <w:r w:rsidR="000C523E">
        <w:t xml:space="preserve"> an alternative to the hospital</w:t>
      </w:r>
      <w:r w:rsidR="000C523E">
        <w:noBreakHyphen/>
      </w:r>
      <w:r w:rsidRPr="002837CA">
        <w:t>based outpatient’s endocrinology clinic</w:t>
      </w:r>
      <w:r w:rsidR="003D2523">
        <w:t xml:space="preserve"> located in the state run Community Health Centre and operating in cooperation with the Princess Alexandra Hospital</w:t>
      </w:r>
      <w:r w:rsidRPr="002837CA">
        <w:t>.</w:t>
      </w:r>
      <w:r w:rsidR="007F7DA7">
        <w:t xml:space="preserve"> This is an unusually high degree of integration of GP and state based services in Australia’s experience of integrated care (table A.4).</w:t>
      </w:r>
      <w:r w:rsidRPr="002837CA">
        <w:t xml:space="preserve"> </w:t>
      </w:r>
    </w:p>
    <w:p w14:paraId="1EA3920A" w14:textId="77777777" w:rsidR="002837CA" w:rsidRPr="002837CA" w:rsidRDefault="000A11F2" w:rsidP="00AF321D">
      <w:pPr>
        <w:pStyle w:val="BodyText"/>
      </w:pPr>
      <w:r>
        <w:t>The multi</w:t>
      </w:r>
      <w:r w:rsidR="002837CA" w:rsidRPr="002837CA">
        <w:t xml:space="preserve">disciplinary clinic assesses </w:t>
      </w:r>
      <w:r w:rsidR="007F7DA7">
        <w:t>a</w:t>
      </w:r>
      <w:r w:rsidR="002837CA" w:rsidRPr="002837CA">
        <w:t xml:space="preserve"> patient, devises </w:t>
      </w:r>
      <w:r w:rsidR="007F7DA7">
        <w:t>the</w:t>
      </w:r>
      <w:r w:rsidR="002837CA" w:rsidRPr="002837CA">
        <w:t xml:space="preserve"> </w:t>
      </w:r>
      <w:r w:rsidR="007F7DA7">
        <w:t>patient’s</w:t>
      </w:r>
      <w:r w:rsidR="002837CA" w:rsidRPr="002837CA">
        <w:t xml:space="preserve"> management plan and manages the patient’s care with the aim of stabilising the patient’s condition as soon as possible and returning the patient to their own GP to continue managing their care. Where </w:t>
      </w:r>
      <w:r w:rsidR="00267AA0">
        <w:t>relevant</w:t>
      </w:r>
      <w:r w:rsidR="002837CA" w:rsidRPr="002837CA">
        <w:t>, the clinic encourages patients to participate in weight loss or other self</w:t>
      </w:r>
      <w:r w:rsidR="002837CA" w:rsidRPr="002837CA">
        <w:noBreakHyphen/>
        <w:t>management programs</w:t>
      </w:r>
      <w:r w:rsidR="00267AA0">
        <w:t>,</w:t>
      </w:r>
      <w:r w:rsidR="002837CA" w:rsidRPr="002837CA">
        <w:t xml:space="preserve"> which are managed at the </w:t>
      </w:r>
      <w:r w:rsidR="00D704CE">
        <w:t>Community Health Centre where the clinic is located</w:t>
      </w:r>
      <w:r w:rsidR="002837CA" w:rsidRPr="002837CA">
        <w:t>.</w:t>
      </w:r>
    </w:p>
    <w:p w14:paraId="1EA3920B" w14:textId="77777777" w:rsidR="002837CA" w:rsidRPr="002837CA" w:rsidRDefault="002837CA" w:rsidP="00AF321D">
      <w:pPr>
        <w:pStyle w:val="BodyText"/>
      </w:pPr>
      <w:r w:rsidRPr="002837CA">
        <w:t>A study found that two years after the trial had commenced, participants in the service were half as likely to be hospitalised for a potentially preventable diabetes</w:t>
      </w:r>
      <w:r w:rsidR="000C523E">
        <w:noBreakHyphen/>
      </w:r>
      <w:r w:rsidRPr="002837CA">
        <w:t>related diagnosis </w:t>
      </w:r>
      <w:r w:rsidR="00D700CD">
        <w:t>(table A.4) </w:t>
      </w:r>
      <w:r w:rsidR="00C65A42" w:rsidRPr="00C65A42">
        <w:rPr>
          <w:szCs w:val="24"/>
        </w:rPr>
        <w:t>(Hollingworth et al. 2017; Zhang et al. 2015)</w:t>
      </w:r>
      <w:r w:rsidRPr="002837CA">
        <w:t>. Based on that finding, Hollingworth et al. </w:t>
      </w:r>
      <w:r w:rsidR="00C65A42" w:rsidRPr="00C65A42">
        <w:t>(2017)</w:t>
      </w:r>
      <w:r w:rsidRPr="002837CA">
        <w:t xml:space="preserve"> estimate that achieving a similar impact across the whole nation could deliver a dividend of up to $132.5 million a year.</w:t>
      </w:r>
      <w:r w:rsidR="00E153F6">
        <w:t xml:space="preserve"> However, the study does not take into account the cost of the intervention – but only compares the hospitalisation costs of those in the treatment group with those in the control group.</w:t>
      </w:r>
    </w:p>
    <w:p w14:paraId="1EA3920C" w14:textId="77777777" w:rsidR="002837CA" w:rsidRPr="002837CA" w:rsidRDefault="002837CA" w:rsidP="00AF321D">
      <w:pPr>
        <w:pStyle w:val="Heading3"/>
      </w:pPr>
      <w:r w:rsidRPr="002837CA">
        <w:t>Redcliffe Integrated Chronic Disease Model of Care</w:t>
      </w:r>
    </w:p>
    <w:p w14:paraId="1EA3920D" w14:textId="77777777" w:rsidR="002837CA" w:rsidRPr="002837CA" w:rsidRDefault="002837CA" w:rsidP="00AF321D">
      <w:pPr>
        <w:pStyle w:val="BodyText"/>
      </w:pPr>
      <w:r w:rsidRPr="002837CA">
        <w:t>Building on the national coordinated care trials in Brisbane North in the late 1990s and early 2000s, the hospitals (now managed by Metro North Hospital and Health Services) and primary health coordinator (now Brisbane North Primary Health Network) have continued to pursue opportunities for integrating care across sectors. The Redcliffe Integrated Chronic Disease Model of Care is a recent trial, with the aim of developing an effective system that could be rolled out across the Metro North region </w:t>
      </w:r>
      <w:r w:rsidR="00C65A42" w:rsidRPr="00C65A42">
        <w:rPr>
          <w:szCs w:val="24"/>
        </w:rPr>
        <w:t>(Duke 2015)</w:t>
      </w:r>
      <w:r w:rsidRPr="002837CA">
        <w:t>. Over the twelve</w:t>
      </w:r>
      <w:r w:rsidRPr="002837CA">
        <w:noBreakHyphen/>
        <w:t xml:space="preserve">month period to February 2015, the trial enrolled </w:t>
      </w:r>
      <w:r w:rsidR="00151B33">
        <w:t>about</w:t>
      </w:r>
      <w:r w:rsidRPr="002837CA">
        <w:t xml:space="preserve"> 140 patients with complex and chronic conditions. The essence of the program has been to facilitate communication between private and public hospitals and GPs, including through joint case management and clinical handover upon hospital discharge. For example, the Redcliffe </w:t>
      </w:r>
      <w:r w:rsidR="00FD19CC">
        <w:t>H</w:t>
      </w:r>
      <w:r w:rsidRPr="002837CA">
        <w:t>ospital routinely provides GPs with a comprehensive record of their patient’s hospitalisation within 24 hours of discharge.</w:t>
      </w:r>
    </w:p>
    <w:p w14:paraId="1EA3920E" w14:textId="77777777" w:rsidR="002837CA" w:rsidRPr="002837CA" w:rsidRDefault="002837CA" w:rsidP="00AF321D">
      <w:pPr>
        <w:pStyle w:val="BodyText"/>
      </w:pPr>
      <w:r w:rsidRPr="002837CA">
        <w:t>A preliminary, internal evaluation of the program over the period February 2014 to February 2015 reported an overall improvement in quality of life for 83 per cent of participants and found that all participants were satisfied with the program </w:t>
      </w:r>
      <w:r w:rsidR="00C65A42" w:rsidRPr="00C65A42">
        <w:rPr>
          <w:szCs w:val="24"/>
        </w:rPr>
        <w:t>(Duke 2015)</w:t>
      </w:r>
      <w:r w:rsidRPr="002837CA">
        <w:t>. There was also evidence of reduced hospital utilisation, although the evaluation lacked a careful delineation of a control group. With this proviso in mind, the average length of stay in hospital of COPD patients was 32 per cent lower for participants than for all other patients on average and the average number of admissions of COPD patients was reduced by 27 per cent for participants, compared with a reduction of 2 per cent for all COPD patients. On the other hand, the average length of stay and readmission rates for patients with heart failure were above average for participants in the program – complicated by the deliberate selection of patients who were most at risk in the program. The diabetes component of the program achieved little change in hospital utilisation rates, attributed by the evaluation to its unintended focus on patients with gestational diabetes rather than on patients with lifestyle diabetes.</w:t>
      </w:r>
    </w:p>
    <w:p w14:paraId="1EA3920F" w14:textId="77777777" w:rsidR="002837CA" w:rsidRPr="002837CA" w:rsidRDefault="002837CA" w:rsidP="00AF321D">
      <w:pPr>
        <w:pStyle w:val="Heading3"/>
      </w:pPr>
      <w:r w:rsidRPr="002837CA">
        <w:t>Gold Coast coordinated care trial</w:t>
      </w:r>
    </w:p>
    <w:p w14:paraId="1EA39210" w14:textId="77777777" w:rsidR="002837CA" w:rsidRPr="002837CA" w:rsidRDefault="002837CA" w:rsidP="00AF321D">
      <w:pPr>
        <w:pStyle w:val="BodyText"/>
      </w:pPr>
      <w:r w:rsidRPr="002837CA">
        <w:t>The Gold Coast Hospital and Health Service, the principal provider of government health services in the Gold Coast region, commenced a two</w:t>
      </w:r>
      <w:r w:rsidRPr="002837CA">
        <w:noBreakHyphen/>
        <w:t>year trial of coordinated care in April 2016 </w:t>
      </w:r>
      <w:r w:rsidR="00C65A42" w:rsidRPr="00C65A42">
        <w:rPr>
          <w:szCs w:val="24"/>
        </w:rPr>
        <w:t>(Connor, Cooper and McMurray 2016)</w:t>
      </w:r>
      <w:r w:rsidRPr="002837CA">
        <w:t>. Judging by Australia’s earlier experience, a two</w:t>
      </w:r>
      <w:r w:rsidR="000C523E">
        <w:noBreakHyphen/>
      </w:r>
      <w:r w:rsidRPr="002837CA">
        <w:t xml:space="preserve">year trial is likely to be too short a period to support an effective evaluation. Like the coordinated care programs of Redcliffe and Western Sydney, the Gold Coast trial seeks to integrate patient care across all health sectors, including through the sharing of interoperable data between the hospitals and GPs. </w:t>
      </w:r>
    </w:p>
    <w:p w14:paraId="1EA39211" w14:textId="77777777" w:rsidR="002837CA" w:rsidRPr="002837CA" w:rsidRDefault="002837CA" w:rsidP="00AF321D">
      <w:pPr>
        <w:pStyle w:val="Heading3"/>
      </w:pPr>
      <w:r w:rsidRPr="002837CA">
        <w:t>Integrated Care Innovation Fund</w:t>
      </w:r>
    </w:p>
    <w:p w14:paraId="1EA39212" w14:textId="225331CA" w:rsidR="002837CA" w:rsidRPr="002837CA" w:rsidRDefault="002837CA" w:rsidP="00AF321D">
      <w:pPr>
        <w:pStyle w:val="BodyText"/>
      </w:pPr>
      <w:r w:rsidRPr="002837CA">
        <w:t xml:space="preserve">Another recent </w:t>
      </w:r>
      <w:r w:rsidR="00AC3991">
        <w:t>initiative is Queensland</w:t>
      </w:r>
      <w:r w:rsidRPr="002837CA">
        <w:t xml:space="preserve"> Health’s Integrated Care Innovation Fund, established in 2016 to invest in integration care initiatives </w:t>
      </w:r>
      <w:r w:rsidR="00A63220" w:rsidRPr="00A63220">
        <w:rPr>
          <w:szCs w:val="24"/>
        </w:rPr>
        <w:t>(Queensland Department of Health 2016b)</w:t>
      </w:r>
      <w:r w:rsidRPr="002837CA">
        <w:t xml:space="preserve">. Hospital and Health Services (Queensland’s Local Hospital Networks) have been asked to partner with their local Primary Health Networks and other community health providers to develop proposals for funding. Queensland’s requirement of a joint approach is an innovative advance on past approaches to governance. It internalises an integrated approach between hospital networks and </w:t>
      </w:r>
      <w:r w:rsidR="005D4C21">
        <w:t>Primary Health N</w:t>
      </w:r>
      <w:r w:rsidRPr="002837CA">
        <w:t xml:space="preserve">etworks in the governance of the trial rather than leaving that important relationship to be negotiated externally. This is an important first step toward a better governance model that fully integrates primary care with other services. </w:t>
      </w:r>
    </w:p>
    <w:p w14:paraId="1EA39213" w14:textId="77777777" w:rsidR="002837CA" w:rsidRPr="002837CA" w:rsidRDefault="009C09EF" w:rsidP="00AF321D">
      <w:pPr>
        <w:pStyle w:val="Heading2"/>
      </w:pPr>
      <w:bookmarkStart w:id="117" w:name="_Toc485912904"/>
      <w:bookmarkStart w:id="118" w:name="_Toc488929722"/>
      <w:bookmarkStart w:id="119" w:name="_Toc488930018"/>
      <w:bookmarkStart w:id="120" w:name="_Toc489250100"/>
      <w:r>
        <w:t>A</w:t>
      </w:r>
      <w:r w:rsidR="002837CA">
        <w:t>.7</w:t>
      </w:r>
      <w:r w:rsidR="002837CA" w:rsidRPr="002837CA">
        <w:tab/>
        <w:t>Initiatives in other Australian jurisdictions</w:t>
      </w:r>
      <w:bookmarkEnd w:id="117"/>
      <w:bookmarkEnd w:id="118"/>
      <w:bookmarkEnd w:id="119"/>
      <w:bookmarkEnd w:id="120"/>
    </w:p>
    <w:p w14:paraId="1EA39214" w14:textId="77777777" w:rsidR="002837CA" w:rsidRPr="00E9640C" w:rsidRDefault="002837CA" w:rsidP="00E9640C">
      <w:pPr>
        <w:pStyle w:val="BodyText"/>
        <w:spacing w:before="200"/>
        <w:rPr>
          <w:spacing w:val="-2"/>
        </w:rPr>
      </w:pPr>
      <w:r w:rsidRPr="00E9640C">
        <w:rPr>
          <w:spacing w:val="-2"/>
        </w:rPr>
        <w:t xml:space="preserve">In 2011, South Australia established GP Plus clinics to provide a wide range of services in one location, including the capacity for GPs to operate from the clinic. GP Plus services are </w:t>
      </w:r>
      <w:r w:rsidR="00DE0AF3" w:rsidRPr="00E9640C">
        <w:rPr>
          <w:spacing w:val="-2"/>
        </w:rPr>
        <w:t>an extension of the Australian G</w:t>
      </w:r>
      <w:r w:rsidRPr="00E9640C">
        <w:rPr>
          <w:spacing w:val="-2"/>
        </w:rPr>
        <w:t xml:space="preserve">overnment’s GP Super Clinics program and are managed by the Local Hospital Networks (called Local Health Networks in South Australia), creating the opportunity for an integrated approach to health service delivery. </w:t>
      </w:r>
    </w:p>
    <w:p w14:paraId="1EA39215" w14:textId="77777777" w:rsidR="002837CA" w:rsidRPr="00E9640C" w:rsidRDefault="002837CA" w:rsidP="00E9640C">
      <w:pPr>
        <w:pStyle w:val="BodyText"/>
        <w:spacing w:before="200"/>
        <w:rPr>
          <w:spacing w:val="-2"/>
        </w:rPr>
      </w:pPr>
      <w:r w:rsidRPr="00E9640C">
        <w:rPr>
          <w:spacing w:val="-2"/>
        </w:rPr>
        <w:t>In 2015, South Australia proposed taking a coordinated approach to managing chronic pain (as opposed to chronic, complex conditions). This initiative is under development.</w:t>
      </w:r>
    </w:p>
    <w:p w14:paraId="1EA39216" w14:textId="77777777" w:rsidR="002837CA" w:rsidRPr="00E9640C" w:rsidRDefault="002837CA" w:rsidP="00E9640C">
      <w:pPr>
        <w:pStyle w:val="BodyText"/>
        <w:spacing w:before="200"/>
        <w:rPr>
          <w:spacing w:val="-2"/>
        </w:rPr>
      </w:pPr>
      <w:r w:rsidRPr="00E9640C">
        <w:rPr>
          <w:spacing w:val="-2"/>
        </w:rPr>
        <w:t xml:space="preserve">In Western Australia, elements of </w:t>
      </w:r>
      <w:r w:rsidR="00220728" w:rsidRPr="00E9640C">
        <w:rPr>
          <w:spacing w:val="-2"/>
        </w:rPr>
        <w:t>a</w:t>
      </w:r>
      <w:r w:rsidRPr="00E9640C">
        <w:rPr>
          <w:spacing w:val="-2"/>
        </w:rPr>
        <w:t xml:space="preserve"> coordinated care approach were recommended in 2004 in the Report of the Health Reform Committee, including a system wide patient record system, evidence</w:t>
      </w:r>
      <w:r w:rsidRPr="00E9640C">
        <w:rPr>
          <w:spacing w:val="-2"/>
        </w:rPr>
        <w:noBreakHyphen/>
        <w:t>based clinical guidelines developed by collaborations of GPs and specialists with input from consumers, close coordination of GP and hospital care of patients, and funding reform. In 2011, Western Australia released a Primary Health Care Strategy with the ultimate aim of providing a seamless interface among primary care, hospital services and other health care services </w:t>
      </w:r>
      <w:r w:rsidR="00F6095D" w:rsidRPr="00E9640C">
        <w:rPr>
          <w:spacing w:val="-2"/>
          <w:szCs w:val="24"/>
        </w:rPr>
        <w:t>(WA DoH 2011)</w:t>
      </w:r>
      <w:r w:rsidRPr="00E9640C">
        <w:rPr>
          <w:spacing w:val="-2"/>
        </w:rPr>
        <w:t xml:space="preserve">. Despite little initial progress towards implementing the primary care strategy, the recently created </w:t>
      </w:r>
      <w:r w:rsidR="0007146F" w:rsidRPr="00E9640C">
        <w:rPr>
          <w:spacing w:val="-2"/>
        </w:rPr>
        <w:t xml:space="preserve">Western Australian </w:t>
      </w:r>
      <w:r w:rsidRPr="00E9640C">
        <w:rPr>
          <w:spacing w:val="-2"/>
        </w:rPr>
        <w:t>Primary Health Alliance, which oversees Western Australia’s three Primary Health Networks, is now exploring options for implementing an evidence</w:t>
      </w:r>
      <w:r w:rsidR="00360F6B" w:rsidRPr="00E9640C">
        <w:rPr>
          <w:spacing w:val="-2"/>
        </w:rPr>
        <w:noBreakHyphen/>
      </w:r>
      <w:r w:rsidRPr="00E9640C">
        <w:rPr>
          <w:spacing w:val="-2"/>
        </w:rPr>
        <w:t>based patient</w:t>
      </w:r>
      <w:r w:rsidR="00EB6BDE" w:rsidRPr="00E9640C">
        <w:rPr>
          <w:spacing w:val="-2"/>
        </w:rPr>
        <w:noBreakHyphen/>
      </w:r>
      <w:r w:rsidRPr="00E9640C">
        <w:rPr>
          <w:spacing w:val="-2"/>
        </w:rPr>
        <w:t>centred medical home model that is integrated within a broader patient</w:t>
      </w:r>
      <w:r w:rsidR="00EB6BDE" w:rsidRPr="00E9640C">
        <w:rPr>
          <w:spacing w:val="-2"/>
        </w:rPr>
        <w:noBreakHyphen/>
      </w:r>
      <w:r w:rsidRPr="00E9640C">
        <w:rPr>
          <w:spacing w:val="-2"/>
        </w:rPr>
        <w:t>centred health system </w:t>
      </w:r>
      <w:r w:rsidR="00934B40" w:rsidRPr="00E9640C">
        <w:rPr>
          <w:spacing w:val="-2"/>
          <w:szCs w:val="24"/>
        </w:rPr>
        <w:t>(WA DoH 2016; WA PHA 2016)</w:t>
      </w:r>
      <w:r w:rsidRPr="00E9640C">
        <w:rPr>
          <w:spacing w:val="-2"/>
        </w:rPr>
        <w:t xml:space="preserve">. </w:t>
      </w:r>
    </w:p>
    <w:p w14:paraId="1EA39217" w14:textId="77777777" w:rsidR="00AE0FD7" w:rsidRPr="00E9640C" w:rsidRDefault="00AE0FD7" w:rsidP="00E9640C">
      <w:pPr>
        <w:pStyle w:val="Heading2"/>
        <w:rPr>
          <w:spacing w:val="-2"/>
        </w:rPr>
      </w:pPr>
      <w:bookmarkStart w:id="121" w:name="_Toc485912905"/>
      <w:bookmarkStart w:id="122" w:name="_Toc488929723"/>
      <w:bookmarkStart w:id="123" w:name="_Toc488930019"/>
      <w:bookmarkStart w:id="124" w:name="_Toc489250101"/>
      <w:r w:rsidRPr="00E9640C">
        <w:rPr>
          <w:spacing w:val="-2"/>
        </w:rPr>
        <w:t>A.8</w:t>
      </w:r>
      <w:r w:rsidRPr="00E9640C">
        <w:rPr>
          <w:spacing w:val="-2"/>
        </w:rPr>
        <w:tab/>
        <w:t>What does the Australian evidence show?</w:t>
      </w:r>
      <w:bookmarkEnd w:id="121"/>
      <w:bookmarkEnd w:id="122"/>
      <w:bookmarkEnd w:id="123"/>
      <w:bookmarkEnd w:id="124"/>
    </w:p>
    <w:p w14:paraId="1EA39218" w14:textId="77777777" w:rsidR="00356DEF" w:rsidRPr="00E9640C" w:rsidRDefault="00AE0FD7" w:rsidP="00E9640C">
      <w:pPr>
        <w:spacing w:before="200" w:after="160" w:line="300" w:lineRule="atLeast"/>
        <w:jc w:val="both"/>
        <w:rPr>
          <w:spacing w:val="-2"/>
        </w:rPr>
      </w:pPr>
      <w:r w:rsidRPr="00E9640C">
        <w:rPr>
          <w:spacing w:val="-2"/>
        </w:rPr>
        <w:t xml:space="preserve">While Australia’s experience in integrated care </w:t>
      </w:r>
      <w:r w:rsidR="007E561F" w:rsidRPr="00E9640C">
        <w:rPr>
          <w:spacing w:val="-2"/>
        </w:rPr>
        <w:t xml:space="preserve">is not extensive, </w:t>
      </w:r>
      <w:r w:rsidR="005B1E78" w:rsidRPr="00E9640C">
        <w:rPr>
          <w:spacing w:val="-2"/>
        </w:rPr>
        <w:t>it</w:t>
      </w:r>
      <w:r w:rsidR="007E561F" w:rsidRPr="00E9640C">
        <w:rPr>
          <w:spacing w:val="-2"/>
        </w:rPr>
        <w:t xml:space="preserve"> is sufficient </w:t>
      </w:r>
      <w:r w:rsidR="005B1E78" w:rsidRPr="00E9640C">
        <w:rPr>
          <w:spacing w:val="-2"/>
        </w:rPr>
        <w:t xml:space="preserve">to affirm the international </w:t>
      </w:r>
      <w:r w:rsidR="007E561F" w:rsidRPr="00E9640C">
        <w:rPr>
          <w:spacing w:val="-2"/>
        </w:rPr>
        <w:t xml:space="preserve">evidence </w:t>
      </w:r>
      <w:r w:rsidR="005B1E78" w:rsidRPr="00E9640C">
        <w:rPr>
          <w:spacing w:val="-2"/>
        </w:rPr>
        <w:t>that</w:t>
      </w:r>
      <w:r w:rsidR="007E561F" w:rsidRPr="00E9640C">
        <w:rPr>
          <w:spacing w:val="-2"/>
        </w:rPr>
        <w:t xml:space="preserve"> integrating the provision of GP and hospital services</w:t>
      </w:r>
      <w:r w:rsidR="005B1E78" w:rsidRPr="00E9640C">
        <w:rPr>
          <w:spacing w:val="-2"/>
        </w:rPr>
        <w:t xml:space="preserve"> delivers better patient outcomes and at a lower cost (table A.</w:t>
      </w:r>
      <w:r w:rsidR="00730993" w:rsidRPr="00E9640C">
        <w:rPr>
          <w:spacing w:val="-2"/>
        </w:rPr>
        <w:t>5</w:t>
      </w:r>
      <w:r w:rsidR="005B1E78" w:rsidRPr="00E9640C">
        <w:rPr>
          <w:spacing w:val="-2"/>
        </w:rPr>
        <w:t>).</w:t>
      </w:r>
      <w:r w:rsidR="007E561F" w:rsidRPr="00E9640C">
        <w:rPr>
          <w:spacing w:val="-2"/>
        </w:rPr>
        <w:t xml:space="preserve"> </w:t>
      </w:r>
      <w:r w:rsidR="00356DEF" w:rsidRPr="00E9640C">
        <w:rPr>
          <w:spacing w:val="-2"/>
        </w:rPr>
        <w:t>In particular, the Australian experience indicates that both hospitals and GPs need to be part of an integrated health system for it to be cost</w:t>
      </w:r>
      <w:r w:rsidR="00356DEF" w:rsidRPr="00E9640C">
        <w:rPr>
          <w:spacing w:val="-2"/>
        </w:rPr>
        <w:noBreakHyphen/>
        <w:t xml:space="preserve">effective. </w:t>
      </w:r>
    </w:p>
    <w:p w14:paraId="1EA39219" w14:textId="783657AA" w:rsidR="002837CA" w:rsidRPr="00E9640C" w:rsidRDefault="007E561F" w:rsidP="00E9640C">
      <w:pPr>
        <w:spacing w:before="200" w:line="300" w:lineRule="atLeast"/>
        <w:jc w:val="both"/>
        <w:rPr>
          <w:spacing w:val="-2"/>
        </w:rPr>
      </w:pPr>
      <w:r w:rsidRPr="00E9640C">
        <w:rPr>
          <w:spacing w:val="-2"/>
        </w:rPr>
        <w:t xml:space="preserve">Australia’s experience indicates that </w:t>
      </w:r>
      <w:r w:rsidR="002070BC" w:rsidRPr="00E9640C">
        <w:rPr>
          <w:spacing w:val="-2"/>
        </w:rPr>
        <w:t xml:space="preserve">hospitals need to be part of an integrated approach </w:t>
      </w:r>
      <w:r w:rsidR="005B1E78" w:rsidRPr="00E9640C">
        <w:rPr>
          <w:spacing w:val="-2"/>
        </w:rPr>
        <w:t xml:space="preserve">to care </w:t>
      </w:r>
      <w:r w:rsidR="002070BC" w:rsidRPr="00E9640C">
        <w:rPr>
          <w:spacing w:val="-2"/>
        </w:rPr>
        <w:t xml:space="preserve">in order to achieve significant reductions in hospital utilisation. </w:t>
      </w:r>
      <w:r w:rsidR="005B1E78" w:rsidRPr="00E9640C">
        <w:rPr>
          <w:spacing w:val="-2"/>
        </w:rPr>
        <w:t>T</w:t>
      </w:r>
      <w:r w:rsidR="002070BC" w:rsidRPr="00E9640C">
        <w:rPr>
          <w:spacing w:val="-2"/>
        </w:rPr>
        <w:t xml:space="preserve">he </w:t>
      </w:r>
      <w:r w:rsidR="005B1E78" w:rsidRPr="00E9640C">
        <w:rPr>
          <w:spacing w:val="-2"/>
        </w:rPr>
        <w:t xml:space="preserve">evaluation of the </w:t>
      </w:r>
      <w:r w:rsidR="002070BC" w:rsidRPr="00E9640C">
        <w:rPr>
          <w:spacing w:val="-2"/>
        </w:rPr>
        <w:t xml:space="preserve">Diabetes Care Project </w:t>
      </w:r>
      <w:r w:rsidR="00D14A36" w:rsidRPr="00E9640C">
        <w:rPr>
          <w:spacing w:val="-2"/>
        </w:rPr>
        <w:t>concluded</w:t>
      </w:r>
      <w:r w:rsidR="005B1E78" w:rsidRPr="00E9640C">
        <w:rPr>
          <w:spacing w:val="-2"/>
        </w:rPr>
        <w:t xml:space="preserve"> that the project </w:t>
      </w:r>
      <w:r w:rsidR="002070BC" w:rsidRPr="00E9640C">
        <w:rPr>
          <w:spacing w:val="-2"/>
        </w:rPr>
        <w:t xml:space="preserve">was </w:t>
      </w:r>
      <w:r w:rsidR="005B1E78" w:rsidRPr="00E9640C">
        <w:rPr>
          <w:spacing w:val="-2"/>
        </w:rPr>
        <w:t>not</w:t>
      </w:r>
      <w:r w:rsidR="002070BC" w:rsidRPr="00E9640C">
        <w:rPr>
          <w:spacing w:val="-2"/>
        </w:rPr>
        <w:t xml:space="preserve"> effective at identifying </w:t>
      </w:r>
      <w:r w:rsidR="00231384" w:rsidRPr="00E9640C">
        <w:rPr>
          <w:spacing w:val="-2"/>
        </w:rPr>
        <w:t>patients at a high risk of hospitalisation</w:t>
      </w:r>
      <w:r w:rsidR="00975CD2" w:rsidRPr="00E9640C">
        <w:rPr>
          <w:spacing w:val="-2"/>
        </w:rPr>
        <w:t> </w:t>
      </w:r>
      <w:r w:rsidR="00F6095D" w:rsidRPr="00E9640C">
        <w:rPr>
          <w:spacing w:val="-2"/>
        </w:rPr>
        <w:t>(DoH 2015b, p. 53)</w:t>
      </w:r>
      <w:r w:rsidR="00C14CA7">
        <w:rPr>
          <w:spacing w:val="-2"/>
        </w:rPr>
        <w:t>. S</w:t>
      </w:r>
      <w:r w:rsidR="00975CD2" w:rsidRPr="00E9640C">
        <w:rPr>
          <w:spacing w:val="-2"/>
        </w:rPr>
        <w:t xml:space="preserve">ubsequent commentators </w:t>
      </w:r>
      <w:r w:rsidR="005B1E78" w:rsidRPr="00E9640C">
        <w:rPr>
          <w:spacing w:val="-2"/>
        </w:rPr>
        <w:t>recommended that close cooperation with the secondary care sector, aka hospitals, is required to allow better targeting of resources at people at greatest risk of hospitalisation</w:t>
      </w:r>
      <w:r w:rsidR="00975CD2" w:rsidRPr="00E9640C">
        <w:rPr>
          <w:spacing w:val="-2"/>
        </w:rPr>
        <w:t> </w:t>
      </w:r>
      <w:r w:rsidR="00C65A42" w:rsidRPr="00E9640C">
        <w:rPr>
          <w:spacing w:val="-2"/>
        </w:rPr>
        <w:t>(Fountaine and Bennett 2016, p. 391)</w:t>
      </w:r>
      <w:r w:rsidR="005B1E78" w:rsidRPr="00E9640C">
        <w:rPr>
          <w:spacing w:val="-2"/>
        </w:rPr>
        <w:t xml:space="preserve">. In </w:t>
      </w:r>
      <w:r w:rsidR="00356DEF" w:rsidRPr="00E9640C">
        <w:rPr>
          <w:spacing w:val="-2"/>
        </w:rPr>
        <w:t>support of that recommendation</w:t>
      </w:r>
      <w:r w:rsidR="005B1E78" w:rsidRPr="00E9640C">
        <w:rPr>
          <w:spacing w:val="-2"/>
        </w:rPr>
        <w:t>, h</w:t>
      </w:r>
      <w:r w:rsidR="00356DEF" w:rsidRPr="00E9640C">
        <w:rPr>
          <w:spacing w:val="-2"/>
        </w:rPr>
        <w:t xml:space="preserve">ospitals were at the core of </w:t>
      </w:r>
      <w:r w:rsidR="005B1E78" w:rsidRPr="00E9640C">
        <w:rPr>
          <w:spacing w:val="-2"/>
        </w:rPr>
        <w:t>each of the other projects reported in table A.</w:t>
      </w:r>
      <w:r w:rsidR="00730993" w:rsidRPr="00E9640C">
        <w:rPr>
          <w:spacing w:val="-2"/>
        </w:rPr>
        <w:t>5</w:t>
      </w:r>
      <w:r w:rsidR="005B1E78" w:rsidRPr="00E9640C">
        <w:rPr>
          <w:spacing w:val="-2"/>
        </w:rPr>
        <w:t xml:space="preserve"> </w:t>
      </w:r>
      <w:r w:rsidR="00356DEF" w:rsidRPr="00E9640C">
        <w:rPr>
          <w:spacing w:val="-2"/>
        </w:rPr>
        <w:t>and the impact on hospital utilisation is consistently more than double that of the Diabetes Care Project.</w:t>
      </w:r>
    </w:p>
    <w:p w14:paraId="1EA3921A" w14:textId="77777777" w:rsidR="005B1E78" w:rsidRDefault="00356DEF" w:rsidP="00E9640C">
      <w:pPr>
        <w:spacing w:before="240" w:line="300" w:lineRule="atLeast"/>
        <w:jc w:val="both"/>
      </w:pPr>
      <w:r w:rsidRPr="00E9640C">
        <w:rPr>
          <w:spacing w:val="-2"/>
        </w:rPr>
        <w:t>Australia’s experience also indicates that integration across GPs and the hospital sector is necessary to be cost</w:t>
      </w:r>
      <w:r w:rsidRPr="00E9640C">
        <w:rPr>
          <w:spacing w:val="-2"/>
        </w:rPr>
        <w:noBreakHyphen/>
        <w:t>effective. Despite achieving a 41 per cent reduction in hospital util</w:t>
      </w:r>
      <w:r w:rsidR="00827015" w:rsidRPr="00E9640C">
        <w:rPr>
          <w:spacing w:val="-2"/>
        </w:rPr>
        <w:t>isation, available data suggest</w:t>
      </w:r>
      <w:r w:rsidRPr="00E9640C">
        <w:rPr>
          <w:spacing w:val="-2"/>
        </w:rPr>
        <w:t xml:space="preserve"> that the cost of the HARP project is </w:t>
      </w:r>
      <w:r w:rsidR="008844B7" w:rsidRPr="00E9640C">
        <w:rPr>
          <w:spacing w:val="-2"/>
        </w:rPr>
        <w:t>about</w:t>
      </w:r>
      <w:r w:rsidRPr="00E9640C">
        <w:rPr>
          <w:spacing w:val="-2"/>
        </w:rPr>
        <w:t xml:space="preserve"> twice the cost of other projects</w:t>
      </w:r>
      <w:r w:rsidR="00D14A36" w:rsidRPr="00E9640C">
        <w:rPr>
          <w:spacing w:val="-2"/>
        </w:rPr>
        <w:t> (table A.</w:t>
      </w:r>
      <w:r w:rsidR="00730993" w:rsidRPr="00E9640C">
        <w:rPr>
          <w:spacing w:val="-2"/>
        </w:rPr>
        <w:t>5</w:t>
      </w:r>
      <w:r w:rsidR="00D14A36" w:rsidRPr="00E9640C">
        <w:rPr>
          <w:spacing w:val="-2"/>
        </w:rPr>
        <w:t>)</w:t>
      </w:r>
      <w:r w:rsidRPr="00E9640C">
        <w:rPr>
          <w:spacing w:val="-2"/>
        </w:rPr>
        <w:t>. Thus, despite the significant reduction in hospital cos</w:t>
      </w:r>
      <w:r w:rsidR="00827015" w:rsidRPr="00E9640C">
        <w:rPr>
          <w:spacing w:val="-2"/>
        </w:rPr>
        <w:t>ts, the available data indicate</w:t>
      </w:r>
      <w:r w:rsidRPr="00E9640C">
        <w:rPr>
          <w:spacing w:val="-2"/>
        </w:rPr>
        <w:t xml:space="preserve"> that the </w:t>
      </w:r>
      <w:r w:rsidR="00D14A36" w:rsidRPr="00E9640C">
        <w:rPr>
          <w:spacing w:val="-2"/>
        </w:rPr>
        <w:t>HARP project</w:t>
      </w:r>
      <w:r w:rsidRPr="00E9640C">
        <w:rPr>
          <w:spacing w:val="-2"/>
        </w:rPr>
        <w:t xml:space="preserve"> may not be cost effective</w:t>
      </w:r>
      <w:r w:rsidR="00DB5021" w:rsidRPr="00E9640C">
        <w:rPr>
          <w:spacing w:val="-2"/>
        </w:rPr>
        <w:t xml:space="preserve"> (the estimated dividend is negative in table A.</w:t>
      </w:r>
      <w:r w:rsidR="00730993" w:rsidRPr="00E9640C">
        <w:rPr>
          <w:spacing w:val="-2"/>
        </w:rPr>
        <w:t>5</w:t>
      </w:r>
      <w:r w:rsidR="00DB5021" w:rsidRPr="00E9640C">
        <w:rPr>
          <w:spacing w:val="-2"/>
        </w:rPr>
        <w:t>)</w:t>
      </w:r>
      <w:r w:rsidRPr="00E9640C">
        <w:rPr>
          <w:spacing w:val="-2"/>
        </w:rPr>
        <w:t>. Were the HARP project to have the capacity to integrate with GPs, the evidence from the other projects indicates that the project costs would be lowered and without compromising the project’s impact on hospital utilisation.</w:t>
      </w:r>
      <w:r>
        <w:t xml:space="preserve"> </w:t>
      </w:r>
    </w:p>
    <w:p w14:paraId="1EA3921B" w14:textId="77777777" w:rsidR="007E561F" w:rsidRPr="002837CA" w:rsidRDefault="007E561F" w:rsidP="00E9640C">
      <w:pPr>
        <w:pStyle w:val="BoxSpaceAbove"/>
        <w:spacing w:before="24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9073"/>
      </w:tblGrid>
      <w:tr w:rsidR="007E561F" w:rsidRPr="002837CA" w14:paraId="1EA3921D" w14:textId="77777777" w:rsidTr="007E561F">
        <w:tc>
          <w:tcPr>
            <w:tcW w:w="5000" w:type="pct"/>
            <w:tcBorders>
              <w:top w:val="single" w:sz="6" w:space="0" w:color="78A22F"/>
              <w:left w:val="nil"/>
              <w:bottom w:val="nil"/>
              <w:right w:val="nil"/>
            </w:tcBorders>
            <w:shd w:val="clear" w:color="auto" w:fill="auto"/>
          </w:tcPr>
          <w:p w14:paraId="1EA3921C" w14:textId="77777777" w:rsidR="007E561F" w:rsidRPr="00E9640C" w:rsidRDefault="007E561F" w:rsidP="00E9640C">
            <w:pPr>
              <w:pStyle w:val="TableTitle"/>
              <w:spacing w:after="0"/>
              <w:ind w:left="1418" w:hanging="1418"/>
              <w:rPr>
                <w:spacing w:val="-4"/>
              </w:rPr>
            </w:pPr>
            <w:r w:rsidRPr="00944790">
              <w:rPr>
                <w:b w:val="0"/>
              </w:rPr>
              <w:t>Table A.</w:t>
            </w:r>
            <w:r w:rsidR="00730993" w:rsidRPr="00944790">
              <w:rPr>
                <w:b w:val="0"/>
              </w:rPr>
              <w:t>5</w:t>
            </w:r>
            <w:r w:rsidRPr="00AF098D">
              <w:tab/>
            </w:r>
            <w:r w:rsidRPr="00E9640C">
              <w:rPr>
                <w:spacing w:val="-4"/>
              </w:rPr>
              <w:t xml:space="preserve">The net impact of Australian integrated care projects, </w:t>
            </w:r>
            <w:r w:rsidR="00E9640C">
              <w:rPr>
                <w:spacing w:val="-4"/>
              </w:rPr>
              <w:br/>
            </w:r>
            <w:r w:rsidRPr="00E9640C">
              <w:rPr>
                <w:spacing w:val="-4"/>
              </w:rPr>
              <w:t>2016 prices</w:t>
            </w:r>
          </w:p>
        </w:tc>
      </w:tr>
      <w:tr w:rsidR="007E561F" w:rsidRPr="002837CA" w14:paraId="1EA3925C" w14:textId="77777777" w:rsidTr="007E561F">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068"/>
              <w:gridCol w:w="540"/>
              <w:gridCol w:w="1233"/>
              <w:gridCol w:w="1260"/>
              <w:gridCol w:w="1231"/>
              <w:gridCol w:w="1231"/>
              <w:gridCol w:w="1226"/>
            </w:tblGrid>
            <w:tr w:rsidR="007E561F" w:rsidRPr="002837CA" w14:paraId="1EA39225" w14:textId="77777777" w:rsidTr="007E561F">
              <w:trPr>
                <w:tblHeader/>
              </w:trPr>
              <w:tc>
                <w:tcPr>
                  <w:tcW w:w="1190" w:type="pct"/>
                  <w:tcBorders>
                    <w:top w:val="single" w:sz="6" w:space="0" w:color="BFBFBF"/>
                    <w:bottom w:val="single" w:sz="6" w:space="0" w:color="BFBFBF"/>
                  </w:tcBorders>
                  <w:shd w:val="clear" w:color="auto" w:fill="auto"/>
                  <w:tcMar>
                    <w:top w:w="28" w:type="dxa"/>
                  </w:tcMar>
                </w:tcPr>
                <w:p w14:paraId="1EA3921E" w14:textId="77777777" w:rsidR="007E561F" w:rsidRPr="002837CA" w:rsidRDefault="007E561F" w:rsidP="007E561F">
                  <w:pPr>
                    <w:pStyle w:val="TableColumnHeading"/>
                    <w:jc w:val="left"/>
                  </w:pPr>
                </w:p>
              </w:tc>
              <w:tc>
                <w:tcPr>
                  <w:tcW w:w="241" w:type="pct"/>
                  <w:tcBorders>
                    <w:top w:val="single" w:sz="6" w:space="0" w:color="BFBFBF"/>
                    <w:bottom w:val="single" w:sz="6" w:space="0" w:color="BFBFBF"/>
                  </w:tcBorders>
                </w:tcPr>
                <w:p w14:paraId="1EA3921F" w14:textId="77777777" w:rsidR="007E561F" w:rsidRPr="002837CA" w:rsidRDefault="007E561F" w:rsidP="00E9640C">
                  <w:pPr>
                    <w:pStyle w:val="TableColumnHeading"/>
                    <w:spacing w:before="40" w:after="40"/>
                  </w:pPr>
                  <w:r w:rsidRPr="002837CA">
                    <w:t>Unit</w:t>
                  </w:r>
                </w:p>
              </w:tc>
              <w:tc>
                <w:tcPr>
                  <w:tcW w:w="715" w:type="pct"/>
                  <w:tcBorders>
                    <w:top w:val="single" w:sz="6" w:space="0" w:color="BFBFBF"/>
                    <w:bottom w:val="single" w:sz="6" w:space="0" w:color="BFBFBF"/>
                  </w:tcBorders>
                </w:tcPr>
                <w:p w14:paraId="1EA39220" w14:textId="77777777" w:rsidR="007E561F" w:rsidRPr="002837CA" w:rsidRDefault="007E561F" w:rsidP="00E9640C">
                  <w:pPr>
                    <w:pStyle w:val="TableColumnHeading"/>
                    <w:spacing w:before="40" w:after="40"/>
                  </w:pPr>
                  <w:r w:rsidRPr="002837CA">
                    <w:t>The Diabetes Care Project, 2011</w:t>
                  </w:r>
                  <w:r>
                    <w:t>–</w:t>
                  </w:r>
                  <w:r w:rsidRPr="002837CA">
                    <w:t>2014</w:t>
                  </w:r>
                </w:p>
              </w:tc>
              <w:tc>
                <w:tcPr>
                  <w:tcW w:w="715" w:type="pct"/>
                  <w:tcBorders>
                    <w:top w:val="single" w:sz="6" w:space="0" w:color="BFBFBF"/>
                    <w:bottom w:val="single" w:sz="6" w:space="0" w:color="BFBFBF"/>
                  </w:tcBorders>
                  <w:shd w:val="clear" w:color="auto" w:fill="auto"/>
                  <w:tcMar>
                    <w:top w:w="28" w:type="dxa"/>
                  </w:tcMar>
                </w:tcPr>
                <w:p w14:paraId="1EA39221" w14:textId="77777777" w:rsidR="007E561F" w:rsidRPr="002837CA" w:rsidRDefault="007E561F" w:rsidP="00E9640C">
                  <w:pPr>
                    <w:pStyle w:val="TableColumnHeading"/>
                    <w:spacing w:before="40" w:after="40"/>
                  </w:pPr>
                  <w:r w:rsidRPr="002837CA">
                    <w:t>HARP, 2004</w:t>
                  </w:r>
                  <w:r>
                    <w:noBreakHyphen/>
                  </w:r>
                  <w:r w:rsidRPr="002837CA">
                    <w:t>05</w:t>
                  </w:r>
                </w:p>
              </w:tc>
              <w:tc>
                <w:tcPr>
                  <w:tcW w:w="714" w:type="pct"/>
                  <w:tcBorders>
                    <w:top w:val="single" w:sz="6" w:space="0" w:color="BFBFBF"/>
                    <w:bottom w:val="single" w:sz="6" w:space="0" w:color="BFBFBF"/>
                  </w:tcBorders>
                </w:tcPr>
                <w:p w14:paraId="1EA39222" w14:textId="77777777" w:rsidR="007E561F" w:rsidRPr="002837CA" w:rsidRDefault="007E561F" w:rsidP="00E9640C">
                  <w:pPr>
                    <w:pStyle w:val="TableColumnHeading"/>
                    <w:spacing w:before="40" w:after="40"/>
                  </w:pPr>
                  <w:r w:rsidRPr="002837CA">
                    <w:t>Mt Druitt HealthOne, 2006</w:t>
                  </w:r>
                  <w:r>
                    <w:t>–</w:t>
                  </w:r>
                  <w:r w:rsidRPr="002837CA">
                    <w:t>2012</w:t>
                  </w:r>
                </w:p>
              </w:tc>
              <w:tc>
                <w:tcPr>
                  <w:tcW w:w="714" w:type="pct"/>
                  <w:tcBorders>
                    <w:top w:val="single" w:sz="6" w:space="0" w:color="BFBFBF"/>
                    <w:bottom w:val="single" w:sz="6" w:space="0" w:color="BFBFBF"/>
                  </w:tcBorders>
                </w:tcPr>
                <w:p w14:paraId="1EA39223" w14:textId="77777777" w:rsidR="007E561F" w:rsidRPr="002837CA" w:rsidRDefault="007E561F" w:rsidP="00E9640C">
                  <w:pPr>
                    <w:pStyle w:val="TableColumnHeading"/>
                    <w:spacing w:before="40" w:after="40"/>
                  </w:pPr>
                  <w:r w:rsidRPr="002837CA">
                    <w:t>Western Sydney Diabetes Initiative, 2012</w:t>
                  </w:r>
                  <w:r>
                    <w:t>–</w:t>
                  </w:r>
                  <w:r w:rsidRPr="002837CA">
                    <w:t>2016</w:t>
                  </w:r>
                  <w:r>
                    <w:rPr>
                      <w:b/>
                      <w:position w:val="6"/>
                    </w:rPr>
                    <w:t xml:space="preserve"> </w:t>
                  </w:r>
                  <w:r w:rsidRPr="002837CA">
                    <w:rPr>
                      <w:b/>
                      <w:position w:val="6"/>
                    </w:rPr>
                    <w:t>a</w:t>
                  </w:r>
                </w:p>
              </w:tc>
              <w:tc>
                <w:tcPr>
                  <w:tcW w:w="711" w:type="pct"/>
                  <w:tcBorders>
                    <w:top w:val="single" w:sz="6" w:space="0" w:color="BFBFBF"/>
                    <w:bottom w:val="single" w:sz="6" w:space="0" w:color="BFBFBF"/>
                  </w:tcBorders>
                  <w:shd w:val="clear" w:color="auto" w:fill="auto"/>
                  <w:tcMar>
                    <w:top w:w="28" w:type="dxa"/>
                  </w:tcMar>
                </w:tcPr>
                <w:p w14:paraId="1EA39224" w14:textId="77777777" w:rsidR="007E561F" w:rsidRPr="002837CA" w:rsidRDefault="007E561F" w:rsidP="00E9640C">
                  <w:pPr>
                    <w:pStyle w:val="TableColumnHeading"/>
                    <w:spacing w:before="40" w:after="40"/>
                  </w:pPr>
                  <w:r w:rsidRPr="002837CA">
                    <w:t>Inala Chronic Disease Management Service, 2007</w:t>
                  </w:r>
                  <w:r>
                    <w:t>–</w:t>
                  </w:r>
                  <w:r w:rsidRPr="002837CA">
                    <w:t>2008</w:t>
                  </w:r>
                </w:p>
              </w:tc>
            </w:tr>
            <w:tr w:rsidR="007E561F" w:rsidRPr="002837CA" w14:paraId="1EA39232" w14:textId="77777777" w:rsidTr="007E561F">
              <w:tc>
                <w:tcPr>
                  <w:tcW w:w="1190" w:type="pct"/>
                  <w:tcBorders>
                    <w:top w:val="single" w:sz="6" w:space="0" w:color="BFBFBF"/>
                  </w:tcBorders>
                </w:tcPr>
                <w:p w14:paraId="1EA39226" w14:textId="77777777" w:rsidR="007E561F" w:rsidRPr="002837CA" w:rsidRDefault="007E561F" w:rsidP="007E561F">
                  <w:pPr>
                    <w:pStyle w:val="TableBodyText"/>
                    <w:jc w:val="left"/>
                  </w:pPr>
                  <w:r>
                    <w:t>Degree of integration and cohort</w:t>
                  </w:r>
                  <w:r w:rsidR="00940B6B">
                    <w:t xml:space="preserve"> of patients targeted</w:t>
                  </w:r>
                </w:p>
              </w:tc>
              <w:tc>
                <w:tcPr>
                  <w:tcW w:w="241" w:type="pct"/>
                  <w:tcBorders>
                    <w:top w:val="single" w:sz="6" w:space="0" w:color="BFBFBF"/>
                  </w:tcBorders>
                </w:tcPr>
                <w:p w14:paraId="1EA39227" w14:textId="77777777" w:rsidR="007E561F" w:rsidRPr="002837CA" w:rsidRDefault="007E561F" w:rsidP="007E561F">
                  <w:pPr>
                    <w:pStyle w:val="TableBodyText"/>
                  </w:pPr>
                </w:p>
              </w:tc>
              <w:tc>
                <w:tcPr>
                  <w:tcW w:w="715" w:type="pct"/>
                  <w:tcBorders>
                    <w:top w:val="single" w:sz="6" w:space="0" w:color="BFBFBF"/>
                  </w:tcBorders>
                </w:tcPr>
                <w:p w14:paraId="1EA39228" w14:textId="77777777" w:rsidR="007E561F" w:rsidRPr="002837CA" w:rsidRDefault="007E561F" w:rsidP="007E561F">
                  <w:pPr>
                    <w:pStyle w:val="TableBodyText"/>
                  </w:pPr>
                  <w:r w:rsidRPr="002837CA">
                    <w:t>GP and allied health</w:t>
                  </w:r>
                </w:p>
                <w:p w14:paraId="1EA39229" w14:textId="77777777" w:rsidR="007E561F" w:rsidRPr="002837CA" w:rsidRDefault="007E561F" w:rsidP="007E561F">
                  <w:pPr>
                    <w:pStyle w:val="TableBodyText"/>
                  </w:pPr>
                  <w:r w:rsidRPr="002837CA">
                    <w:t>Patients with diabetes, particularly those with complex diabetes</w:t>
                  </w:r>
                </w:p>
              </w:tc>
              <w:tc>
                <w:tcPr>
                  <w:tcW w:w="715" w:type="pct"/>
                  <w:tcBorders>
                    <w:top w:val="single" w:sz="6" w:space="0" w:color="BFBFBF"/>
                  </w:tcBorders>
                </w:tcPr>
                <w:p w14:paraId="1EA3922A" w14:textId="77777777" w:rsidR="007E561F" w:rsidRPr="002837CA" w:rsidRDefault="007E561F" w:rsidP="007E561F">
                  <w:pPr>
                    <w:pStyle w:val="TableBodyText"/>
                  </w:pPr>
                  <w:r w:rsidRPr="002837CA">
                    <w:t xml:space="preserve">Hospital and community care </w:t>
                  </w:r>
                </w:p>
                <w:p w14:paraId="1EA3922B" w14:textId="77777777" w:rsidR="007E561F" w:rsidRPr="002837CA" w:rsidRDefault="007E561F" w:rsidP="007E561F">
                  <w:pPr>
                    <w:pStyle w:val="TableBodyText"/>
                  </w:pPr>
                  <w:r w:rsidRPr="002837CA">
                    <w:t>Patients at high risk of hospitalisation</w:t>
                  </w:r>
                </w:p>
              </w:tc>
              <w:tc>
                <w:tcPr>
                  <w:tcW w:w="714" w:type="pct"/>
                  <w:tcBorders>
                    <w:top w:val="single" w:sz="6" w:space="0" w:color="BFBFBF"/>
                  </w:tcBorders>
                </w:tcPr>
                <w:p w14:paraId="1EA3922C" w14:textId="77777777" w:rsidR="007E561F" w:rsidRPr="002837CA" w:rsidRDefault="007E561F" w:rsidP="007E561F">
                  <w:pPr>
                    <w:pStyle w:val="TableBodyText"/>
                  </w:pPr>
                  <w:r w:rsidRPr="002837CA">
                    <w:t>All sectors</w:t>
                  </w:r>
                </w:p>
                <w:p w14:paraId="1EA3922D" w14:textId="77777777" w:rsidR="007E561F" w:rsidRPr="002837CA" w:rsidRDefault="007E561F" w:rsidP="007E561F">
                  <w:pPr>
                    <w:pStyle w:val="TableBodyText"/>
                  </w:pPr>
                  <w:r w:rsidRPr="002837CA">
                    <w:t>Patients in need of complex, chronic and aged care</w:t>
                  </w:r>
                </w:p>
              </w:tc>
              <w:tc>
                <w:tcPr>
                  <w:tcW w:w="714" w:type="pct"/>
                  <w:tcBorders>
                    <w:top w:val="single" w:sz="6" w:space="0" w:color="BFBFBF"/>
                  </w:tcBorders>
                </w:tcPr>
                <w:p w14:paraId="1EA3922E" w14:textId="77777777" w:rsidR="007E561F" w:rsidRPr="002837CA" w:rsidRDefault="007E561F" w:rsidP="007E561F">
                  <w:pPr>
                    <w:pStyle w:val="TableBodyText"/>
                  </w:pPr>
                  <w:r w:rsidRPr="002837CA">
                    <w:t>All sectors</w:t>
                  </w:r>
                </w:p>
                <w:p w14:paraId="1EA3922F" w14:textId="77777777" w:rsidR="007E561F" w:rsidRPr="002837CA" w:rsidRDefault="007E561F" w:rsidP="007E561F">
                  <w:pPr>
                    <w:pStyle w:val="TableBodyText"/>
                  </w:pPr>
                  <w:r w:rsidRPr="002837CA">
                    <w:t>Patients admitted to hospital for diabetes related surgery</w:t>
                  </w:r>
                </w:p>
              </w:tc>
              <w:tc>
                <w:tcPr>
                  <w:tcW w:w="711" w:type="pct"/>
                  <w:tcBorders>
                    <w:top w:val="single" w:sz="6" w:space="0" w:color="BFBFBF"/>
                  </w:tcBorders>
                </w:tcPr>
                <w:p w14:paraId="1EA39230" w14:textId="77777777" w:rsidR="007E561F" w:rsidRPr="002837CA" w:rsidRDefault="007E561F" w:rsidP="007E561F">
                  <w:pPr>
                    <w:pStyle w:val="TableBodyText"/>
                  </w:pPr>
                  <w:r w:rsidRPr="002837CA">
                    <w:t>All sectors</w:t>
                  </w:r>
                </w:p>
                <w:p w14:paraId="1EA39231" w14:textId="77777777" w:rsidR="007E561F" w:rsidRPr="002837CA" w:rsidRDefault="007E561F" w:rsidP="007E561F">
                  <w:pPr>
                    <w:pStyle w:val="TableBodyText"/>
                  </w:pPr>
                  <w:r w:rsidRPr="002837CA">
                    <w:t>Patients with chronic and complex diabetes in need of acute care</w:t>
                  </w:r>
                </w:p>
              </w:tc>
            </w:tr>
            <w:tr w:rsidR="007E561F" w:rsidRPr="002837CA" w14:paraId="1EA3923A" w14:textId="77777777" w:rsidTr="007E561F">
              <w:tc>
                <w:tcPr>
                  <w:tcW w:w="1190" w:type="pct"/>
                </w:tcPr>
                <w:p w14:paraId="1EA39233" w14:textId="77777777" w:rsidR="007E561F" w:rsidRPr="002837CA" w:rsidRDefault="007E561F" w:rsidP="007E561F">
                  <w:pPr>
                    <w:pStyle w:val="TableBodyText"/>
                    <w:jc w:val="left"/>
                  </w:pPr>
                  <w:r>
                    <w:t>R</w:t>
                  </w:r>
                  <w:r w:rsidRPr="002837CA">
                    <w:t xml:space="preserve">ecurrent </w:t>
                  </w:r>
                  <w:r>
                    <w:t>hospital</w:t>
                  </w:r>
                  <w:r w:rsidRPr="002837CA">
                    <w:t xml:space="preserve"> </w:t>
                  </w:r>
                  <w:r>
                    <w:t>dividend</w:t>
                  </w:r>
                  <w:r>
                    <w:rPr>
                      <w:rStyle w:val="NoteLabel"/>
                    </w:rPr>
                    <w:t xml:space="preserve"> </w:t>
                  </w:r>
                  <w:r w:rsidRPr="009B62FE">
                    <w:rPr>
                      <w:rStyle w:val="NoteLabel"/>
                    </w:rPr>
                    <w:t>b</w:t>
                  </w:r>
                  <w:r>
                    <w:rPr>
                      <w:rStyle w:val="NoteLabel"/>
                    </w:rPr>
                    <w:t> c</w:t>
                  </w:r>
                </w:p>
              </w:tc>
              <w:tc>
                <w:tcPr>
                  <w:tcW w:w="241" w:type="pct"/>
                </w:tcPr>
                <w:p w14:paraId="1EA39234" w14:textId="77777777" w:rsidR="007E561F" w:rsidRPr="002837CA" w:rsidRDefault="007E561F" w:rsidP="007E561F">
                  <w:pPr>
                    <w:pStyle w:val="TableBodyText"/>
                  </w:pPr>
                  <w:r w:rsidRPr="002837CA">
                    <w:t>$ per client</w:t>
                  </w:r>
                </w:p>
              </w:tc>
              <w:tc>
                <w:tcPr>
                  <w:tcW w:w="715" w:type="pct"/>
                </w:tcPr>
                <w:p w14:paraId="1EA39235" w14:textId="77777777" w:rsidR="007E561F" w:rsidRPr="002837CA" w:rsidRDefault="007E561F" w:rsidP="007E561F">
                  <w:pPr>
                    <w:pStyle w:val="TableBodyText"/>
                  </w:pPr>
                  <w:r>
                    <w:noBreakHyphen/>
                    <w:t>118</w:t>
                  </w:r>
                </w:p>
              </w:tc>
              <w:tc>
                <w:tcPr>
                  <w:tcW w:w="715" w:type="pct"/>
                </w:tcPr>
                <w:p w14:paraId="1EA39236" w14:textId="77777777" w:rsidR="007E561F" w:rsidRPr="002837CA" w:rsidRDefault="007E561F" w:rsidP="007E561F">
                  <w:pPr>
                    <w:pStyle w:val="TableBodyText"/>
                  </w:pPr>
                  <w:r>
                    <w:noBreakHyphen/>
                  </w:r>
                  <w:r w:rsidRPr="002837CA">
                    <w:t>658</w:t>
                  </w:r>
                </w:p>
              </w:tc>
              <w:tc>
                <w:tcPr>
                  <w:tcW w:w="714" w:type="pct"/>
                </w:tcPr>
                <w:p w14:paraId="1EA39237" w14:textId="77777777" w:rsidR="007E561F" w:rsidRPr="002837CA" w:rsidRDefault="007E561F" w:rsidP="007E561F">
                  <w:pPr>
                    <w:pStyle w:val="TableBodyText"/>
                  </w:pPr>
                  <w:r w:rsidRPr="002837CA">
                    <w:t>160</w:t>
                  </w:r>
                </w:p>
              </w:tc>
              <w:tc>
                <w:tcPr>
                  <w:tcW w:w="714" w:type="pct"/>
                </w:tcPr>
                <w:p w14:paraId="1EA39238" w14:textId="77777777" w:rsidR="007E561F" w:rsidRPr="002837CA" w:rsidRDefault="007E561F" w:rsidP="007E561F">
                  <w:pPr>
                    <w:pStyle w:val="TableBodyText"/>
                  </w:pPr>
                  <w:r>
                    <w:t>4 </w:t>
                  </w:r>
                  <w:r w:rsidRPr="002837CA">
                    <w:t>0</w:t>
                  </w:r>
                  <w:r>
                    <w:t>07</w:t>
                  </w:r>
                </w:p>
              </w:tc>
              <w:tc>
                <w:tcPr>
                  <w:tcW w:w="711" w:type="pct"/>
                </w:tcPr>
                <w:p w14:paraId="1EA39239" w14:textId="77777777" w:rsidR="007E561F" w:rsidRPr="002837CA" w:rsidRDefault="007E561F" w:rsidP="007E561F">
                  <w:pPr>
                    <w:pStyle w:val="TableBodyText"/>
                  </w:pPr>
                  <w:r>
                    <w:t>2 496</w:t>
                  </w:r>
                </w:p>
              </w:tc>
            </w:tr>
            <w:tr w:rsidR="007E561F" w:rsidRPr="002837CA" w14:paraId="1EA39242" w14:textId="77777777" w:rsidTr="007E561F">
              <w:tc>
                <w:tcPr>
                  <w:tcW w:w="1190" w:type="pct"/>
                </w:tcPr>
                <w:p w14:paraId="1EA3923B" w14:textId="77777777" w:rsidR="007E561F" w:rsidRPr="002837CA" w:rsidRDefault="007E561F" w:rsidP="007E561F">
                  <w:pPr>
                    <w:pStyle w:val="TableBodyText"/>
                    <w:jc w:val="left"/>
                  </w:pPr>
                  <w:r w:rsidRPr="002837CA">
                    <w:t>Key factors</w:t>
                  </w:r>
                </w:p>
              </w:tc>
              <w:tc>
                <w:tcPr>
                  <w:tcW w:w="241" w:type="pct"/>
                </w:tcPr>
                <w:p w14:paraId="1EA3923C" w14:textId="77777777" w:rsidR="007E561F" w:rsidRPr="002837CA" w:rsidRDefault="007E561F" w:rsidP="007E561F">
                  <w:pPr>
                    <w:pStyle w:val="TableBodyText"/>
                  </w:pPr>
                </w:p>
              </w:tc>
              <w:tc>
                <w:tcPr>
                  <w:tcW w:w="715" w:type="pct"/>
                </w:tcPr>
                <w:p w14:paraId="1EA3923D" w14:textId="77777777" w:rsidR="007E561F" w:rsidRPr="002837CA" w:rsidRDefault="007E561F" w:rsidP="007E561F">
                  <w:pPr>
                    <w:pStyle w:val="TableBodyText"/>
                  </w:pPr>
                </w:p>
              </w:tc>
              <w:tc>
                <w:tcPr>
                  <w:tcW w:w="715" w:type="pct"/>
                </w:tcPr>
                <w:p w14:paraId="1EA3923E" w14:textId="77777777" w:rsidR="007E561F" w:rsidRPr="002837CA" w:rsidRDefault="007E561F" w:rsidP="007E561F">
                  <w:pPr>
                    <w:pStyle w:val="TableBodyText"/>
                  </w:pPr>
                </w:p>
              </w:tc>
              <w:tc>
                <w:tcPr>
                  <w:tcW w:w="714" w:type="pct"/>
                </w:tcPr>
                <w:p w14:paraId="1EA3923F" w14:textId="77777777" w:rsidR="007E561F" w:rsidRPr="002837CA" w:rsidRDefault="007E561F" w:rsidP="007E561F">
                  <w:pPr>
                    <w:pStyle w:val="TableBodyText"/>
                  </w:pPr>
                </w:p>
              </w:tc>
              <w:tc>
                <w:tcPr>
                  <w:tcW w:w="714" w:type="pct"/>
                </w:tcPr>
                <w:p w14:paraId="1EA39240" w14:textId="77777777" w:rsidR="007E561F" w:rsidRPr="002837CA" w:rsidRDefault="007E561F" w:rsidP="007E561F">
                  <w:pPr>
                    <w:pStyle w:val="TableBodyText"/>
                  </w:pPr>
                </w:p>
              </w:tc>
              <w:tc>
                <w:tcPr>
                  <w:tcW w:w="711" w:type="pct"/>
                </w:tcPr>
                <w:p w14:paraId="1EA39241" w14:textId="77777777" w:rsidR="007E561F" w:rsidRPr="002837CA" w:rsidRDefault="007E561F" w:rsidP="007E561F">
                  <w:pPr>
                    <w:pStyle w:val="TableBodyText"/>
                  </w:pPr>
                </w:p>
              </w:tc>
            </w:tr>
            <w:tr w:rsidR="007E561F" w:rsidRPr="002837CA" w14:paraId="1EA3924A" w14:textId="77777777" w:rsidTr="007E561F">
              <w:tc>
                <w:tcPr>
                  <w:tcW w:w="1190" w:type="pct"/>
                </w:tcPr>
                <w:p w14:paraId="1EA39243" w14:textId="77777777" w:rsidR="007E561F" w:rsidRDefault="007E561F" w:rsidP="007E561F">
                  <w:pPr>
                    <w:pStyle w:val="TableBodyText"/>
                    <w:jc w:val="left"/>
                  </w:pPr>
                  <w:r>
                    <w:t xml:space="preserve"> </w:t>
                  </w:r>
                  <w:r w:rsidRPr="002837CA">
                    <w:t xml:space="preserve">Cost of </w:t>
                  </w:r>
                  <w:r>
                    <w:t>project</w:t>
                  </w:r>
                  <w:r>
                    <w:rPr>
                      <w:rStyle w:val="NoteLabel"/>
                    </w:rPr>
                    <w:t xml:space="preserve"> d</w:t>
                  </w:r>
                </w:p>
              </w:tc>
              <w:tc>
                <w:tcPr>
                  <w:tcW w:w="241" w:type="pct"/>
                </w:tcPr>
                <w:p w14:paraId="1EA39244" w14:textId="77777777" w:rsidR="007E561F" w:rsidRPr="002837CA" w:rsidRDefault="007E561F" w:rsidP="007E561F">
                  <w:pPr>
                    <w:pStyle w:val="TableBodyText"/>
                  </w:pPr>
                  <w:r w:rsidRPr="002837CA">
                    <w:t>$ per client</w:t>
                  </w:r>
                </w:p>
              </w:tc>
              <w:tc>
                <w:tcPr>
                  <w:tcW w:w="715" w:type="pct"/>
                </w:tcPr>
                <w:p w14:paraId="1EA39245" w14:textId="77777777" w:rsidR="007E561F" w:rsidRDefault="007E561F" w:rsidP="007E561F">
                  <w:pPr>
                    <w:pStyle w:val="TableBodyText"/>
                  </w:pPr>
                  <w:r>
                    <w:t>845</w:t>
                  </w:r>
                </w:p>
              </w:tc>
              <w:tc>
                <w:tcPr>
                  <w:tcW w:w="715" w:type="pct"/>
                </w:tcPr>
                <w:p w14:paraId="1EA39246" w14:textId="77777777" w:rsidR="007E561F" w:rsidRDefault="007E561F" w:rsidP="007E561F">
                  <w:pPr>
                    <w:pStyle w:val="TableBodyText"/>
                  </w:pPr>
                  <w:r>
                    <w:t>2 423</w:t>
                  </w:r>
                </w:p>
              </w:tc>
              <w:tc>
                <w:tcPr>
                  <w:tcW w:w="714" w:type="pct"/>
                </w:tcPr>
                <w:p w14:paraId="1EA39247" w14:textId="77777777" w:rsidR="007E561F" w:rsidRDefault="007E561F" w:rsidP="007E561F">
                  <w:pPr>
                    <w:pStyle w:val="TableBodyText"/>
                  </w:pPr>
                  <w:r>
                    <w:t>1 616</w:t>
                  </w:r>
                </w:p>
              </w:tc>
              <w:tc>
                <w:tcPr>
                  <w:tcW w:w="714" w:type="pct"/>
                </w:tcPr>
                <w:p w14:paraId="1EA39248" w14:textId="77777777" w:rsidR="007E561F" w:rsidRDefault="007E561F" w:rsidP="007E561F">
                  <w:pPr>
                    <w:pStyle w:val="TableBodyText"/>
                  </w:pPr>
                  <w:r>
                    <w:t>1 101</w:t>
                  </w:r>
                </w:p>
              </w:tc>
              <w:tc>
                <w:tcPr>
                  <w:tcW w:w="711" w:type="pct"/>
                </w:tcPr>
                <w:p w14:paraId="1EA39249" w14:textId="77777777" w:rsidR="007E561F" w:rsidRDefault="007E561F" w:rsidP="007E561F">
                  <w:pPr>
                    <w:pStyle w:val="TableBodyText"/>
                  </w:pPr>
                  <w:r>
                    <w:t>1 358</w:t>
                  </w:r>
                </w:p>
              </w:tc>
            </w:tr>
            <w:tr w:rsidR="007E561F" w:rsidRPr="002837CA" w14:paraId="1EA39252" w14:textId="77777777" w:rsidTr="007E561F">
              <w:tc>
                <w:tcPr>
                  <w:tcW w:w="1190" w:type="pct"/>
                </w:tcPr>
                <w:p w14:paraId="1EA3924B" w14:textId="77777777" w:rsidR="007E561F" w:rsidRPr="002837CA" w:rsidRDefault="007E561F" w:rsidP="007E561F">
                  <w:pPr>
                    <w:pStyle w:val="TableBodyText"/>
                    <w:jc w:val="left"/>
                  </w:pPr>
                  <w:r>
                    <w:t>Cost of hospitalisation</w:t>
                  </w:r>
                  <w:r w:rsidRPr="009B62FE">
                    <w:rPr>
                      <w:rStyle w:val="NoteLabel"/>
                    </w:rPr>
                    <w:t xml:space="preserve"> </w:t>
                  </w:r>
                  <w:r>
                    <w:rPr>
                      <w:rStyle w:val="NoteLabel"/>
                    </w:rPr>
                    <w:t>e</w:t>
                  </w:r>
                </w:p>
              </w:tc>
              <w:tc>
                <w:tcPr>
                  <w:tcW w:w="241" w:type="pct"/>
                </w:tcPr>
                <w:p w14:paraId="1EA3924C" w14:textId="77777777" w:rsidR="007E561F" w:rsidRPr="002837CA" w:rsidRDefault="007E561F" w:rsidP="007E561F">
                  <w:pPr>
                    <w:pStyle w:val="TableBodyText"/>
                  </w:pPr>
                  <w:r w:rsidRPr="002837CA">
                    <w:t>$ per client</w:t>
                  </w:r>
                </w:p>
              </w:tc>
              <w:tc>
                <w:tcPr>
                  <w:tcW w:w="715" w:type="pct"/>
                </w:tcPr>
                <w:p w14:paraId="1EA3924D" w14:textId="77777777" w:rsidR="007E561F" w:rsidRDefault="007E561F" w:rsidP="007E561F">
                  <w:pPr>
                    <w:pStyle w:val="TableBodyText"/>
                  </w:pPr>
                  <w:r>
                    <w:t>4 303</w:t>
                  </w:r>
                </w:p>
              </w:tc>
              <w:tc>
                <w:tcPr>
                  <w:tcW w:w="715" w:type="pct"/>
                </w:tcPr>
                <w:p w14:paraId="1EA3924E" w14:textId="77777777" w:rsidR="007E561F" w:rsidRDefault="007E561F" w:rsidP="007E561F">
                  <w:pPr>
                    <w:pStyle w:val="TableBodyText"/>
                  </w:pPr>
                  <w:r>
                    <w:t>4 303</w:t>
                  </w:r>
                </w:p>
              </w:tc>
              <w:tc>
                <w:tcPr>
                  <w:tcW w:w="714" w:type="pct"/>
                </w:tcPr>
                <w:p w14:paraId="1EA3924F" w14:textId="77777777" w:rsidR="007E561F" w:rsidRDefault="007E561F" w:rsidP="007E561F">
                  <w:pPr>
                    <w:pStyle w:val="TableBodyText"/>
                  </w:pPr>
                  <w:r>
                    <w:t>4 303</w:t>
                  </w:r>
                </w:p>
              </w:tc>
              <w:tc>
                <w:tcPr>
                  <w:tcW w:w="714" w:type="pct"/>
                </w:tcPr>
                <w:p w14:paraId="1EA39250" w14:textId="77777777" w:rsidR="007E561F" w:rsidRDefault="007E561F" w:rsidP="007E561F">
                  <w:pPr>
                    <w:pStyle w:val="TableBodyText"/>
                  </w:pPr>
                  <w:r>
                    <w:t>11 432</w:t>
                  </w:r>
                </w:p>
              </w:tc>
              <w:tc>
                <w:tcPr>
                  <w:tcW w:w="711" w:type="pct"/>
                </w:tcPr>
                <w:p w14:paraId="1EA39251" w14:textId="77777777" w:rsidR="007E561F" w:rsidRDefault="007E561F" w:rsidP="007E561F">
                  <w:pPr>
                    <w:pStyle w:val="TableBodyText"/>
                  </w:pPr>
                  <w:r>
                    <w:t>8 432</w:t>
                  </w:r>
                </w:p>
              </w:tc>
            </w:tr>
            <w:tr w:rsidR="007E561F" w:rsidRPr="002837CA" w14:paraId="1EA3925A" w14:textId="77777777" w:rsidTr="007E561F">
              <w:tc>
                <w:tcPr>
                  <w:tcW w:w="1190" w:type="pct"/>
                  <w:tcBorders>
                    <w:bottom w:val="single" w:sz="6" w:space="0" w:color="BFBFBF"/>
                  </w:tcBorders>
                  <w:shd w:val="clear" w:color="auto" w:fill="auto"/>
                </w:tcPr>
                <w:p w14:paraId="1EA39253" w14:textId="77777777" w:rsidR="007E561F" w:rsidRPr="002837CA" w:rsidRDefault="007E561F" w:rsidP="007E561F">
                  <w:pPr>
                    <w:pStyle w:val="TableBodyText"/>
                    <w:jc w:val="left"/>
                  </w:pPr>
                  <w:r w:rsidRPr="002837CA">
                    <w:t>Impact on hospital</w:t>
                  </w:r>
                  <w:r>
                    <w:t>isation</w:t>
                  </w:r>
                  <w:r w:rsidRPr="009B62FE">
                    <w:rPr>
                      <w:rStyle w:val="NoteLabel"/>
                    </w:rPr>
                    <w:t xml:space="preserve"> </w:t>
                  </w:r>
                  <w:r>
                    <w:rPr>
                      <w:rStyle w:val="NoteLabel"/>
                    </w:rPr>
                    <w:t>f</w:t>
                  </w:r>
                </w:p>
              </w:tc>
              <w:tc>
                <w:tcPr>
                  <w:tcW w:w="241" w:type="pct"/>
                  <w:tcBorders>
                    <w:bottom w:val="single" w:sz="6" w:space="0" w:color="BFBFBF"/>
                  </w:tcBorders>
                </w:tcPr>
                <w:p w14:paraId="1EA39254" w14:textId="77777777" w:rsidR="007E561F" w:rsidRPr="002837CA" w:rsidRDefault="007E561F" w:rsidP="007E561F">
                  <w:pPr>
                    <w:pStyle w:val="TableBodyText"/>
                  </w:pPr>
                  <w:r>
                    <w:t>%</w:t>
                  </w:r>
                </w:p>
              </w:tc>
              <w:tc>
                <w:tcPr>
                  <w:tcW w:w="715" w:type="pct"/>
                  <w:tcBorders>
                    <w:bottom w:val="single" w:sz="6" w:space="0" w:color="BFBFBF"/>
                  </w:tcBorders>
                </w:tcPr>
                <w:p w14:paraId="1EA39255" w14:textId="77777777" w:rsidR="007E561F" w:rsidRPr="002837CA" w:rsidRDefault="007E561F" w:rsidP="007E561F">
                  <w:pPr>
                    <w:pStyle w:val="TableBodyText"/>
                  </w:pPr>
                  <w:r>
                    <w:noBreakHyphen/>
                    <w:t>17</w:t>
                  </w:r>
                </w:p>
              </w:tc>
              <w:tc>
                <w:tcPr>
                  <w:tcW w:w="715" w:type="pct"/>
                  <w:tcBorders>
                    <w:bottom w:val="single" w:sz="6" w:space="0" w:color="BFBFBF"/>
                  </w:tcBorders>
                  <w:shd w:val="clear" w:color="auto" w:fill="auto"/>
                </w:tcPr>
                <w:p w14:paraId="1EA39256" w14:textId="77777777" w:rsidR="007E561F" w:rsidRPr="002837CA" w:rsidRDefault="007E561F" w:rsidP="007E561F">
                  <w:pPr>
                    <w:pStyle w:val="TableBodyText"/>
                  </w:pPr>
                  <w:r>
                    <w:noBreakHyphen/>
                  </w:r>
                  <w:r w:rsidRPr="002837CA">
                    <w:t>41</w:t>
                  </w:r>
                </w:p>
              </w:tc>
              <w:tc>
                <w:tcPr>
                  <w:tcW w:w="714" w:type="pct"/>
                  <w:tcBorders>
                    <w:bottom w:val="single" w:sz="6" w:space="0" w:color="BFBFBF"/>
                  </w:tcBorders>
                </w:tcPr>
                <w:p w14:paraId="1EA39257" w14:textId="77777777" w:rsidR="007E561F" w:rsidRPr="002837CA" w:rsidRDefault="007E561F" w:rsidP="007E561F">
                  <w:pPr>
                    <w:pStyle w:val="TableBodyText"/>
                  </w:pPr>
                  <w:r>
                    <w:noBreakHyphen/>
                    <w:t>41</w:t>
                  </w:r>
                </w:p>
              </w:tc>
              <w:tc>
                <w:tcPr>
                  <w:tcW w:w="714" w:type="pct"/>
                  <w:tcBorders>
                    <w:bottom w:val="single" w:sz="6" w:space="0" w:color="BFBFBF"/>
                  </w:tcBorders>
                </w:tcPr>
                <w:p w14:paraId="1EA39258" w14:textId="77777777" w:rsidR="007E561F" w:rsidRPr="002837CA" w:rsidRDefault="007E561F" w:rsidP="007E561F">
                  <w:pPr>
                    <w:pStyle w:val="TableBodyText"/>
                  </w:pPr>
                  <w:r>
                    <w:noBreakHyphen/>
                    <w:t>45</w:t>
                  </w:r>
                </w:p>
              </w:tc>
              <w:tc>
                <w:tcPr>
                  <w:tcW w:w="711" w:type="pct"/>
                  <w:tcBorders>
                    <w:bottom w:val="single" w:sz="6" w:space="0" w:color="BFBFBF"/>
                  </w:tcBorders>
                  <w:shd w:val="clear" w:color="auto" w:fill="auto"/>
                </w:tcPr>
                <w:p w14:paraId="1EA39259" w14:textId="77777777" w:rsidR="007E561F" w:rsidRPr="002837CA" w:rsidRDefault="007E561F" w:rsidP="007E561F">
                  <w:pPr>
                    <w:pStyle w:val="TableBodyText"/>
                  </w:pPr>
                  <w:r>
                    <w:noBreakHyphen/>
                  </w:r>
                  <w:r w:rsidRPr="002837CA">
                    <w:t>4</w:t>
                  </w:r>
                  <w:r>
                    <w:t>6</w:t>
                  </w:r>
                </w:p>
              </w:tc>
            </w:tr>
          </w:tbl>
          <w:p w14:paraId="1EA3925B" w14:textId="77777777" w:rsidR="007E561F" w:rsidRPr="002837CA" w:rsidRDefault="007E561F" w:rsidP="007E561F">
            <w:pPr>
              <w:keepNext/>
              <w:spacing w:before="120" w:line="260" w:lineRule="atLeast"/>
              <w:jc w:val="both"/>
              <w:rPr>
                <w:rFonts w:ascii="Arial" w:hAnsi="Arial"/>
              </w:rPr>
            </w:pPr>
          </w:p>
        </w:tc>
      </w:tr>
      <w:tr w:rsidR="007E561F" w:rsidRPr="002837CA" w14:paraId="1EA3925E" w14:textId="77777777" w:rsidTr="007E561F">
        <w:tc>
          <w:tcPr>
            <w:tcW w:w="5000" w:type="pct"/>
            <w:tcBorders>
              <w:top w:val="nil"/>
              <w:left w:val="nil"/>
              <w:bottom w:val="nil"/>
              <w:right w:val="nil"/>
            </w:tcBorders>
            <w:shd w:val="clear" w:color="auto" w:fill="auto"/>
          </w:tcPr>
          <w:p w14:paraId="1EA3925D" w14:textId="77777777" w:rsidR="007E561F" w:rsidRPr="00E9640C" w:rsidRDefault="007E561F" w:rsidP="00D62401">
            <w:pPr>
              <w:pStyle w:val="Note"/>
              <w:rPr>
                <w:i/>
                <w:spacing w:val="-2"/>
              </w:rPr>
            </w:pPr>
            <w:r w:rsidRPr="00E9640C">
              <w:rPr>
                <w:rStyle w:val="NoteLabel"/>
                <w:spacing w:val="-2"/>
              </w:rPr>
              <w:t>a</w:t>
            </w:r>
            <w:r w:rsidRPr="00E9640C">
              <w:rPr>
                <w:spacing w:val="-2"/>
              </w:rPr>
              <w:t xml:space="preserve"> The estimated cost of the program is based on the cost of the current integrated diabetes care program</w:t>
            </w:r>
            <w:r w:rsidR="00006334" w:rsidRPr="00E9640C">
              <w:rPr>
                <w:spacing w:val="-2"/>
              </w:rPr>
              <w:t>,</w:t>
            </w:r>
            <w:r w:rsidRPr="00E9640C">
              <w:rPr>
                <w:spacing w:val="-2"/>
              </w:rPr>
              <w:t xml:space="preserve"> which is an expansion of the program in place in 2012–2013. Likewise, the estimated impact on capital outlay and workforce are based on data for the current program. </w:t>
            </w:r>
            <w:r w:rsidRPr="00E9640C">
              <w:rPr>
                <w:b/>
                <w:spacing w:val="-2"/>
                <w:position w:val="6"/>
              </w:rPr>
              <w:t>b</w:t>
            </w:r>
            <w:r w:rsidRPr="00E9640C">
              <w:rPr>
                <w:spacing w:val="-2"/>
              </w:rPr>
              <w:t xml:space="preserve"> Recurrent hospital dividend = (the cost per patient of hospitalisation * impact of project on hospitalisation) – (the cost per patient of project). </w:t>
            </w:r>
            <w:r w:rsidRPr="00E9640C">
              <w:rPr>
                <w:rStyle w:val="NoteLabel"/>
                <w:spacing w:val="-2"/>
              </w:rPr>
              <w:t>c</w:t>
            </w:r>
            <w:r w:rsidRPr="00E9640C">
              <w:rPr>
                <w:spacing w:val="-2"/>
              </w:rPr>
              <w:t xml:space="preserve"> There are significant savings in other sectors in some programs that are not included here. For example, the Inala program replaced GP care until the patient’s condition had been stabilised. However, these savings in GP costs are excluded to simplify the comparison across projects. </w:t>
            </w:r>
            <w:r w:rsidRPr="00E9640C">
              <w:rPr>
                <w:rStyle w:val="NoteLabel"/>
                <w:spacing w:val="-2"/>
              </w:rPr>
              <w:t>d</w:t>
            </w:r>
            <w:r w:rsidRPr="00E9640C">
              <w:rPr>
                <w:spacing w:val="-2"/>
              </w:rPr>
              <w:t xml:space="preserve"> The cost of the Inala project is assumed equal to the average cost of the two most similar projects – Western Sydney Diabetes Initiative and Mt Druitt HealthOne. Project costs are implied in all other studies. </w:t>
            </w:r>
            <w:r w:rsidRPr="00E9640C">
              <w:rPr>
                <w:rStyle w:val="NoteLabel"/>
                <w:spacing w:val="-2"/>
              </w:rPr>
              <w:t>e</w:t>
            </w:r>
            <w:r w:rsidRPr="00E9640C">
              <w:rPr>
                <w:spacing w:val="-2"/>
              </w:rPr>
              <w:t xml:space="preserve"> The costs of hospitalisation of clients in the HARP and Mt Druitt programs are assumed equal to that estimated in The Diabetes Care Project. All other studies estimate the cost of hospitalisation for their patient cohort. </w:t>
            </w:r>
            <w:r w:rsidRPr="00E9640C">
              <w:rPr>
                <w:rStyle w:val="NoteLabel"/>
                <w:spacing w:val="-2"/>
              </w:rPr>
              <w:t>f</w:t>
            </w:r>
            <w:r w:rsidRPr="00E9640C">
              <w:rPr>
                <w:spacing w:val="-2"/>
              </w:rPr>
              <w:t xml:space="preserve"> The impact on hospitalisation is</w:t>
            </w:r>
            <w:r w:rsidR="00D62401" w:rsidRPr="00E9640C">
              <w:rPr>
                <w:spacing w:val="-2"/>
              </w:rPr>
              <w:t xml:space="preserve"> reported for the HARP project.</w:t>
            </w:r>
          </w:p>
        </w:tc>
      </w:tr>
      <w:tr w:rsidR="00C94295" w14:paraId="1EA39260" w14:textId="77777777" w:rsidTr="002F121D">
        <w:tc>
          <w:tcPr>
            <w:tcW w:w="5000" w:type="pct"/>
            <w:tcBorders>
              <w:top w:val="nil"/>
              <w:left w:val="nil"/>
              <w:bottom w:val="nil"/>
              <w:right w:val="nil"/>
            </w:tcBorders>
            <w:shd w:val="clear" w:color="auto" w:fill="auto"/>
          </w:tcPr>
          <w:p w14:paraId="1EA3925F" w14:textId="77777777" w:rsidR="00C94295" w:rsidRPr="00E9640C" w:rsidRDefault="00C94295" w:rsidP="00E9640C">
            <w:pPr>
              <w:pStyle w:val="Source"/>
              <w:rPr>
                <w:spacing w:val="-2"/>
              </w:rPr>
            </w:pPr>
            <w:r w:rsidRPr="00E9640C">
              <w:rPr>
                <w:i/>
                <w:spacing w:val="-2"/>
              </w:rPr>
              <w:t>Sources</w:t>
            </w:r>
            <w:r w:rsidRPr="00E9640C">
              <w:rPr>
                <w:spacing w:val="-2"/>
              </w:rPr>
              <w:t xml:space="preserve">: </w:t>
            </w:r>
            <w:r w:rsidR="00F403D6" w:rsidRPr="00E9640C">
              <w:rPr>
                <w:spacing w:val="-2"/>
              </w:rPr>
              <w:t xml:space="preserve">Commission estimates based on </w:t>
            </w:r>
            <w:r w:rsidRPr="00E9640C">
              <w:rPr>
                <w:spacing w:val="-2"/>
              </w:rPr>
              <w:t>DoH </w:t>
            </w:r>
            <w:r w:rsidR="00F6095D" w:rsidRPr="00E9640C">
              <w:rPr>
                <w:rFonts w:cs="Arial"/>
                <w:spacing w:val="-2"/>
              </w:rPr>
              <w:t>(2015b)</w:t>
            </w:r>
            <w:r w:rsidRPr="00E9640C">
              <w:rPr>
                <w:spacing w:val="-2"/>
              </w:rPr>
              <w:t>; Duke </w:t>
            </w:r>
            <w:r w:rsidR="00C65A42" w:rsidRPr="00E9640C">
              <w:rPr>
                <w:rFonts w:cs="Arial"/>
                <w:spacing w:val="-2"/>
              </w:rPr>
              <w:t>(2015)</w:t>
            </w:r>
            <w:r w:rsidRPr="00E9640C">
              <w:rPr>
                <w:spacing w:val="-2"/>
              </w:rPr>
              <w:t>; Hollingworth et al. </w:t>
            </w:r>
            <w:r w:rsidR="00C65A42" w:rsidRPr="00E9640C">
              <w:rPr>
                <w:rFonts w:cs="Arial"/>
                <w:spacing w:val="-2"/>
              </w:rPr>
              <w:t>(2017)</w:t>
            </w:r>
            <w:r w:rsidRPr="00E9640C">
              <w:rPr>
                <w:spacing w:val="-2"/>
              </w:rPr>
              <w:t>; McNab and Gillespie </w:t>
            </w:r>
            <w:r w:rsidR="00C65A42" w:rsidRPr="00E9640C">
              <w:rPr>
                <w:rFonts w:cs="Arial"/>
                <w:spacing w:val="-2"/>
              </w:rPr>
              <w:t>(2015)</w:t>
            </w:r>
            <w:r w:rsidRPr="00E9640C">
              <w:rPr>
                <w:spacing w:val="-2"/>
              </w:rPr>
              <w:t>; Victorian Department of Health and Human Services </w:t>
            </w:r>
            <w:r w:rsidR="00C65A42" w:rsidRPr="00E9640C">
              <w:rPr>
                <w:rFonts w:cs="Arial"/>
                <w:spacing w:val="-2"/>
              </w:rPr>
              <w:t>(2011)</w:t>
            </w:r>
            <w:r w:rsidRPr="00E9640C">
              <w:rPr>
                <w:spacing w:val="-2"/>
              </w:rPr>
              <w:t>; Victorian Department of Human Services </w:t>
            </w:r>
            <w:r w:rsidR="00C65A42" w:rsidRPr="00E9640C">
              <w:rPr>
                <w:rFonts w:cs="Arial"/>
                <w:spacing w:val="-2"/>
              </w:rPr>
              <w:t>(2006)</w:t>
            </w:r>
            <w:r w:rsidRPr="00E9640C">
              <w:rPr>
                <w:spacing w:val="-2"/>
              </w:rPr>
              <w:t>; Western Sydney Local Health District and PHN Western Sydney </w:t>
            </w:r>
            <w:r w:rsidR="00C65A42" w:rsidRPr="00E9640C">
              <w:rPr>
                <w:rFonts w:cs="Arial"/>
                <w:spacing w:val="-2"/>
              </w:rPr>
              <w:t>(2016a)</w:t>
            </w:r>
            <w:r w:rsidRPr="00E9640C">
              <w:rPr>
                <w:spacing w:val="-2"/>
              </w:rPr>
              <w:t>; Zhang et al. </w:t>
            </w:r>
            <w:r w:rsidR="00C65A42" w:rsidRPr="00E9640C">
              <w:rPr>
                <w:rFonts w:cs="Arial"/>
                <w:spacing w:val="-2"/>
              </w:rPr>
              <w:t>(2015)</w:t>
            </w:r>
            <w:r w:rsidRPr="00E9640C">
              <w:rPr>
                <w:spacing w:val="-2"/>
              </w:rPr>
              <w:t xml:space="preserve">. </w:t>
            </w:r>
          </w:p>
        </w:tc>
      </w:tr>
      <w:tr w:rsidR="007E561F" w:rsidRPr="002837CA" w14:paraId="1EA39262" w14:textId="77777777" w:rsidTr="007E561F">
        <w:tc>
          <w:tcPr>
            <w:tcW w:w="5000" w:type="pct"/>
            <w:tcBorders>
              <w:top w:val="nil"/>
              <w:left w:val="nil"/>
              <w:bottom w:val="single" w:sz="6" w:space="0" w:color="78A22F"/>
              <w:right w:val="nil"/>
            </w:tcBorders>
            <w:shd w:val="clear" w:color="auto" w:fill="auto"/>
          </w:tcPr>
          <w:p w14:paraId="1EA39261" w14:textId="77777777" w:rsidR="007E561F" w:rsidRPr="002837CA" w:rsidRDefault="007E561F" w:rsidP="00E9640C">
            <w:pPr>
              <w:keepNext/>
              <w:spacing w:line="120" w:lineRule="exact"/>
              <w:jc w:val="both"/>
              <w:rPr>
                <w:rFonts w:ascii="Arial" w:hAnsi="Arial"/>
              </w:rPr>
            </w:pPr>
          </w:p>
        </w:tc>
      </w:tr>
      <w:tr w:rsidR="007E561F" w:rsidRPr="002837CA" w14:paraId="1EA39264" w14:textId="77777777" w:rsidTr="007E561F">
        <w:tc>
          <w:tcPr>
            <w:tcW w:w="5000" w:type="pct"/>
            <w:tcBorders>
              <w:top w:val="single" w:sz="6" w:space="0" w:color="78A22F"/>
              <w:left w:val="nil"/>
              <w:bottom w:val="nil"/>
              <w:right w:val="nil"/>
            </w:tcBorders>
          </w:tcPr>
          <w:p w14:paraId="1EA39263" w14:textId="77777777" w:rsidR="007E561F" w:rsidRPr="002837CA" w:rsidRDefault="007E561F" w:rsidP="007E561F">
            <w:pPr>
              <w:spacing w:before="60" w:after="60" w:line="80" w:lineRule="exact"/>
              <w:jc w:val="both"/>
              <w:rPr>
                <w:rFonts w:ascii="Arial" w:hAnsi="Arial"/>
                <w:sz w:val="14"/>
              </w:rPr>
            </w:pPr>
          </w:p>
        </w:tc>
      </w:tr>
    </w:tbl>
    <w:p w14:paraId="1EA39265" w14:textId="77777777" w:rsidR="00DC235D" w:rsidRPr="004E3B94" w:rsidRDefault="00DC235D" w:rsidP="00DC235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129"/>
      </w:tblGrid>
      <w:tr w:rsidR="00E9640C" w:rsidRPr="00E9640C" w14:paraId="1EA39268" w14:textId="77777777" w:rsidTr="00E9640C">
        <w:trPr>
          <w:tblHeader/>
        </w:trPr>
        <w:tc>
          <w:tcPr>
            <w:tcW w:w="5000" w:type="pct"/>
            <w:tcBorders>
              <w:top w:val="single" w:sz="4" w:space="0" w:color="265A9A" w:themeColor="accent2"/>
              <w:left w:val="nil"/>
              <w:bottom w:val="nil"/>
              <w:right w:val="nil"/>
            </w:tcBorders>
            <w:shd w:val="clear" w:color="auto" w:fill="F0F5FA"/>
            <w:tcMar>
              <w:left w:w="170" w:type="dxa"/>
              <w:right w:w="170" w:type="dxa"/>
            </w:tcMar>
          </w:tcPr>
          <w:p w14:paraId="1EA39266" w14:textId="77777777" w:rsidR="00DC235D" w:rsidRPr="00E9640C" w:rsidRDefault="00DC235D" w:rsidP="00514AC0">
            <w:pPr>
              <w:pStyle w:val="RecTitle"/>
              <w:spacing w:before="120"/>
              <w:rPr>
                <w:noProof/>
              </w:rPr>
            </w:pPr>
            <w:r w:rsidRPr="00E9640C">
              <w:t xml:space="preserve">conclusion </w:t>
            </w:r>
            <w:r w:rsidR="00BE6264" w:rsidRPr="00E9640C">
              <w:t>A.4</w:t>
            </w:r>
          </w:p>
          <w:p w14:paraId="1EA39267" w14:textId="3235B978" w:rsidR="00DC235D" w:rsidRPr="00E9640C" w:rsidRDefault="00940B6B" w:rsidP="00C14CA7">
            <w:pPr>
              <w:pStyle w:val="Rec"/>
              <w:keepNext/>
            </w:pPr>
            <w:r w:rsidRPr="00E9640C">
              <w:t>A</w:t>
            </w:r>
            <w:r w:rsidR="00A974B4" w:rsidRPr="00E9640C">
              <w:t>ustralia</w:t>
            </w:r>
            <w:r w:rsidRPr="00E9640C">
              <w:t xml:space="preserve">’s experience in integrated care </w:t>
            </w:r>
            <w:r w:rsidR="00A974B4" w:rsidRPr="00E9640C">
              <w:t>indicates that where there is a higher degree of integration across the primary care and hospital sectors</w:t>
            </w:r>
            <w:r w:rsidR="00C14CA7">
              <w:t>,</w:t>
            </w:r>
            <w:r w:rsidR="00A974B4" w:rsidRPr="00E9640C">
              <w:t xml:space="preserve"> there are larger impacts on the utilisation of health services and on the health of clients</w:t>
            </w:r>
            <w:r w:rsidR="00C14CA7">
              <w:t>,</w:t>
            </w:r>
            <w:r w:rsidR="00A974B4" w:rsidRPr="00E9640C">
              <w:t xml:space="preserve"> and</w:t>
            </w:r>
            <w:r w:rsidRPr="00E9640C">
              <w:t>/or</w:t>
            </w:r>
            <w:r w:rsidR="00A974B4" w:rsidRPr="00E9640C">
              <w:t xml:space="preserve"> the</w:t>
            </w:r>
            <w:r w:rsidRPr="00E9640C">
              <w:t>re is a reduction in health costs</w:t>
            </w:r>
            <w:r w:rsidR="00DC235D" w:rsidRPr="00E9640C">
              <w:t>.</w:t>
            </w:r>
          </w:p>
        </w:tc>
      </w:tr>
      <w:tr w:rsidR="00E9640C" w:rsidRPr="00E9640C" w14:paraId="1EA3926A" w14:textId="77777777" w:rsidTr="00E9640C">
        <w:tc>
          <w:tcPr>
            <w:tcW w:w="5000" w:type="pct"/>
            <w:tcBorders>
              <w:top w:val="nil"/>
              <w:left w:val="nil"/>
              <w:bottom w:val="single" w:sz="4" w:space="0" w:color="265A9A" w:themeColor="accent2"/>
              <w:right w:val="nil"/>
            </w:tcBorders>
            <w:shd w:val="clear" w:color="auto" w:fill="F0F5FA"/>
            <w:tcMar>
              <w:left w:w="170" w:type="dxa"/>
              <w:right w:w="170" w:type="dxa"/>
            </w:tcMar>
          </w:tcPr>
          <w:p w14:paraId="1EA39269" w14:textId="77777777" w:rsidR="00DC235D" w:rsidRPr="00E9640C" w:rsidRDefault="00DC235D" w:rsidP="00E9640C">
            <w:pPr>
              <w:pStyle w:val="Space"/>
              <w:keepLines/>
            </w:pPr>
          </w:p>
        </w:tc>
      </w:tr>
      <w:tr w:rsidR="00DC235D" w:rsidRPr="000863A5" w14:paraId="1EA3926C" w14:textId="77777777" w:rsidTr="00E9640C">
        <w:tc>
          <w:tcPr>
            <w:tcW w:w="5000" w:type="pct"/>
            <w:tcBorders>
              <w:top w:val="single" w:sz="4" w:space="0" w:color="265A9A" w:themeColor="accent2"/>
              <w:left w:val="nil"/>
              <w:bottom w:val="nil"/>
              <w:right w:val="nil"/>
            </w:tcBorders>
            <w:tcMar>
              <w:left w:w="170" w:type="dxa"/>
              <w:right w:w="170" w:type="dxa"/>
            </w:tcMar>
          </w:tcPr>
          <w:p w14:paraId="1EA3926B" w14:textId="77777777" w:rsidR="00DC235D" w:rsidRPr="00626D32" w:rsidRDefault="00DC235D" w:rsidP="00514AC0">
            <w:pPr>
              <w:pStyle w:val="BoxSpaceBelow"/>
              <w:keepLines/>
            </w:pPr>
          </w:p>
        </w:tc>
      </w:tr>
    </w:tbl>
    <w:p w14:paraId="1EA3926D" w14:textId="77777777" w:rsidR="002837CA" w:rsidRDefault="002837CA" w:rsidP="002837CA">
      <w:pPr>
        <w:spacing w:before="240" w:line="300" w:lineRule="atLeast"/>
        <w:jc w:val="both"/>
      </w:pPr>
    </w:p>
    <w:p w14:paraId="1EA3926E" w14:textId="77777777" w:rsidR="002837CA" w:rsidRPr="002837CA" w:rsidRDefault="002837CA" w:rsidP="002837CA">
      <w:pPr>
        <w:spacing w:before="240" w:line="300" w:lineRule="atLeast"/>
        <w:jc w:val="both"/>
        <w:sectPr w:rsidR="002837CA" w:rsidRPr="002837CA" w:rsidSect="00F576FE">
          <w:type w:val="oddPage"/>
          <w:pgSz w:w="11907" w:h="16840" w:code="9"/>
          <w:pgMar w:top="1985" w:right="1304" w:bottom="1418" w:left="1814" w:header="1701" w:footer="397" w:gutter="0"/>
          <w:pgNumType w:chapSep="period"/>
          <w:cols w:space="720"/>
          <w:docGrid w:linePitch="299"/>
        </w:sect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13721"/>
      </w:tblGrid>
      <w:tr w:rsidR="00565E48" w14:paraId="1EA39270" w14:textId="77777777" w:rsidTr="00515F19">
        <w:tc>
          <w:tcPr>
            <w:tcW w:w="5000" w:type="pct"/>
            <w:tcBorders>
              <w:top w:val="single" w:sz="4" w:space="0" w:color="78A22F" w:themeColor="accent1"/>
              <w:left w:val="nil"/>
              <w:bottom w:val="nil"/>
              <w:right w:val="nil"/>
            </w:tcBorders>
            <w:shd w:val="clear" w:color="auto" w:fill="auto"/>
          </w:tcPr>
          <w:p w14:paraId="1EA3926F" w14:textId="77777777" w:rsidR="00565E48" w:rsidRPr="00784A05" w:rsidRDefault="00565E48" w:rsidP="00515F19">
            <w:pPr>
              <w:pStyle w:val="TableTitle"/>
              <w:spacing w:after="0"/>
            </w:pPr>
            <w:r w:rsidRPr="00944790">
              <w:rPr>
                <w:b w:val="0"/>
              </w:rPr>
              <w:t xml:space="preserve">Table </w:t>
            </w:r>
            <w:r w:rsidR="001C0309" w:rsidRPr="00944790">
              <w:rPr>
                <w:b w:val="0"/>
              </w:rPr>
              <w:t>A</w:t>
            </w:r>
            <w:r w:rsidR="006A1F2C" w:rsidRPr="00944790">
              <w:rPr>
                <w:b w:val="0"/>
              </w:rPr>
              <w:t>.</w:t>
            </w:r>
            <w:r w:rsidR="00730993" w:rsidRPr="00944790">
              <w:rPr>
                <w:b w:val="0"/>
              </w:rPr>
              <w:t>6</w:t>
            </w:r>
            <w:r w:rsidRPr="00AF098D">
              <w:tab/>
            </w:r>
            <w:r w:rsidR="006A1F2C" w:rsidRPr="002837CA">
              <w:t xml:space="preserve">An overview of some current Australian integrated care </w:t>
            </w:r>
            <w:r w:rsidR="00AE0FD7">
              <w:t>projects</w:t>
            </w:r>
          </w:p>
        </w:tc>
      </w:tr>
      <w:tr w:rsidR="00565E48" w14:paraId="1EA392AA" w14:textId="77777777" w:rsidTr="00452532">
        <w:tc>
          <w:tcPr>
            <w:tcW w:w="5000" w:type="pct"/>
            <w:tcBorders>
              <w:top w:val="nil"/>
              <w:left w:val="nil"/>
              <w:bottom w:val="nil"/>
              <w:right w:val="nil"/>
            </w:tcBorders>
            <w:shd w:val="clear" w:color="auto" w:fill="auto"/>
          </w:tcPr>
          <w:tbl>
            <w:tblPr>
              <w:tblW w:w="13158" w:type="dxa"/>
              <w:tblCellMar>
                <w:top w:w="28" w:type="dxa"/>
                <w:left w:w="0" w:type="dxa"/>
                <w:right w:w="0" w:type="dxa"/>
              </w:tblCellMar>
              <w:tblLook w:val="0000" w:firstRow="0" w:lastRow="0" w:firstColumn="0" w:lastColumn="0" w:noHBand="0" w:noVBand="0"/>
            </w:tblPr>
            <w:tblGrid>
              <w:gridCol w:w="1133"/>
              <w:gridCol w:w="1987"/>
              <w:gridCol w:w="2124"/>
              <w:gridCol w:w="1984"/>
              <w:gridCol w:w="2037"/>
              <w:gridCol w:w="50"/>
              <w:gridCol w:w="1932"/>
              <w:gridCol w:w="1911"/>
            </w:tblGrid>
            <w:tr w:rsidR="002601A3" w14:paraId="1EA39278" w14:textId="77777777" w:rsidTr="00E9640C">
              <w:trPr>
                <w:tblHeader/>
              </w:trPr>
              <w:tc>
                <w:tcPr>
                  <w:tcW w:w="431" w:type="pct"/>
                  <w:tcBorders>
                    <w:top w:val="single" w:sz="6" w:space="0" w:color="BFBFBF"/>
                    <w:bottom w:val="single" w:sz="6" w:space="0" w:color="BFBFBF"/>
                  </w:tcBorders>
                  <w:shd w:val="clear" w:color="auto" w:fill="auto"/>
                  <w:tcMar>
                    <w:top w:w="28" w:type="dxa"/>
                  </w:tcMar>
                </w:tcPr>
                <w:p w14:paraId="1EA39271" w14:textId="77777777" w:rsidR="00565E48" w:rsidRPr="002336B5" w:rsidRDefault="00565E48" w:rsidP="00E9640C">
                  <w:pPr>
                    <w:pStyle w:val="TableBodyText"/>
                    <w:spacing w:after="0"/>
                    <w:jc w:val="left"/>
                  </w:pPr>
                </w:p>
              </w:tc>
              <w:tc>
                <w:tcPr>
                  <w:tcW w:w="755" w:type="pct"/>
                  <w:tcBorders>
                    <w:top w:val="single" w:sz="6" w:space="0" w:color="BFBFBF"/>
                    <w:bottom w:val="single" w:sz="6" w:space="0" w:color="BFBFBF"/>
                  </w:tcBorders>
                </w:tcPr>
                <w:p w14:paraId="1EA39272" w14:textId="77777777" w:rsidR="00565E48" w:rsidRPr="00E9640C" w:rsidRDefault="00565E48" w:rsidP="00E9640C">
                  <w:pPr>
                    <w:pStyle w:val="TableColumnHeading"/>
                    <w:spacing w:before="0" w:after="0"/>
                    <w:rPr>
                      <w:spacing w:val="-2"/>
                    </w:rPr>
                  </w:pPr>
                  <w:r w:rsidRPr="00E9640C">
                    <w:rPr>
                      <w:spacing w:val="-2"/>
                    </w:rPr>
                    <w:t>Health Care Homes</w:t>
                  </w:r>
                </w:p>
              </w:tc>
              <w:tc>
                <w:tcPr>
                  <w:tcW w:w="807" w:type="pct"/>
                  <w:tcBorders>
                    <w:top w:val="single" w:sz="6" w:space="0" w:color="BFBFBF"/>
                    <w:bottom w:val="single" w:sz="6" w:space="0" w:color="BFBFBF"/>
                  </w:tcBorders>
                </w:tcPr>
                <w:p w14:paraId="1EA39273" w14:textId="77777777" w:rsidR="00565E48" w:rsidRPr="00E9640C" w:rsidRDefault="00565E48" w:rsidP="00E9640C">
                  <w:pPr>
                    <w:pStyle w:val="TableColumnHeading"/>
                    <w:spacing w:before="0" w:after="0"/>
                    <w:rPr>
                      <w:spacing w:val="-2"/>
                    </w:rPr>
                  </w:pPr>
                  <w:r w:rsidRPr="00E9640C">
                    <w:rPr>
                      <w:spacing w:val="-2"/>
                    </w:rPr>
                    <w:t>HARP</w:t>
                  </w:r>
                </w:p>
              </w:tc>
              <w:tc>
                <w:tcPr>
                  <w:tcW w:w="754" w:type="pct"/>
                  <w:tcBorders>
                    <w:top w:val="single" w:sz="6" w:space="0" w:color="BFBFBF"/>
                    <w:bottom w:val="single" w:sz="6" w:space="0" w:color="BFBFBF"/>
                  </w:tcBorders>
                </w:tcPr>
                <w:p w14:paraId="1EA39274" w14:textId="77777777" w:rsidR="00565E48" w:rsidRPr="00E9640C" w:rsidRDefault="00565E48" w:rsidP="00E9640C">
                  <w:pPr>
                    <w:pStyle w:val="TableColumnHeading"/>
                    <w:spacing w:before="0" w:after="0"/>
                    <w:rPr>
                      <w:spacing w:val="-2"/>
                    </w:rPr>
                  </w:pPr>
                  <w:r w:rsidRPr="00E9640C">
                    <w:rPr>
                      <w:spacing w:val="-2"/>
                    </w:rPr>
                    <w:t>CarePoint, Victoria</w:t>
                  </w:r>
                </w:p>
              </w:tc>
              <w:tc>
                <w:tcPr>
                  <w:tcW w:w="774" w:type="pct"/>
                  <w:tcBorders>
                    <w:top w:val="single" w:sz="6" w:space="0" w:color="BFBFBF"/>
                    <w:bottom w:val="single" w:sz="6" w:space="0" w:color="BFBFBF"/>
                  </w:tcBorders>
                </w:tcPr>
                <w:p w14:paraId="1EA39275" w14:textId="77777777" w:rsidR="00565E48" w:rsidRPr="00E9640C" w:rsidRDefault="00565E48" w:rsidP="00E9640C">
                  <w:pPr>
                    <w:pStyle w:val="TableColumnHeading"/>
                    <w:spacing w:before="0" w:after="0"/>
                    <w:rPr>
                      <w:spacing w:val="-2"/>
                    </w:rPr>
                  </w:pPr>
                  <w:r w:rsidRPr="00E9640C">
                    <w:rPr>
                      <w:spacing w:val="-2"/>
                    </w:rPr>
                    <w:t xml:space="preserve">Western Sydney Integrated Care Demonstrator </w:t>
                  </w:r>
                </w:p>
              </w:tc>
              <w:tc>
                <w:tcPr>
                  <w:tcW w:w="753" w:type="pct"/>
                  <w:gridSpan w:val="2"/>
                  <w:tcBorders>
                    <w:top w:val="single" w:sz="6" w:space="0" w:color="BFBFBF"/>
                    <w:bottom w:val="single" w:sz="6" w:space="0" w:color="BFBFBF"/>
                  </w:tcBorders>
                  <w:shd w:val="clear" w:color="auto" w:fill="auto"/>
                  <w:tcMar>
                    <w:top w:w="28" w:type="dxa"/>
                  </w:tcMar>
                </w:tcPr>
                <w:p w14:paraId="1EA39276" w14:textId="77777777" w:rsidR="00565E48" w:rsidRPr="00E9640C" w:rsidRDefault="00565E48" w:rsidP="00E9640C">
                  <w:pPr>
                    <w:pStyle w:val="TableColumnHeading"/>
                    <w:spacing w:before="0" w:after="0"/>
                    <w:rPr>
                      <w:spacing w:val="-2"/>
                    </w:rPr>
                  </w:pPr>
                  <w:r w:rsidRPr="00E9640C">
                    <w:rPr>
                      <w:spacing w:val="-2"/>
                    </w:rPr>
                    <w:t>Redcliffe Integrated Chronic Disease Model of Care</w:t>
                  </w:r>
                </w:p>
              </w:tc>
              <w:tc>
                <w:tcPr>
                  <w:tcW w:w="726" w:type="pct"/>
                  <w:tcBorders>
                    <w:top w:val="single" w:sz="6" w:space="0" w:color="BFBFBF"/>
                    <w:bottom w:val="single" w:sz="6" w:space="0" w:color="BFBFBF"/>
                  </w:tcBorders>
                  <w:shd w:val="clear" w:color="auto" w:fill="auto"/>
                  <w:tcMar>
                    <w:top w:w="28" w:type="dxa"/>
                  </w:tcMar>
                </w:tcPr>
                <w:p w14:paraId="1EA39277" w14:textId="77777777" w:rsidR="00565E48" w:rsidRPr="00E9640C" w:rsidRDefault="00565E48" w:rsidP="00E9640C">
                  <w:pPr>
                    <w:pStyle w:val="TableColumnHeading"/>
                    <w:spacing w:before="0" w:after="0"/>
                    <w:rPr>
                      <w:spacing w:val="-2"/>
                    </w:rPr>
                  </w:pPr>
                  <w:r w:rsidRPr="00E9640C">
                    <w:rPr>
                      <w:spacing w:val="-2"/>
                    </w:rPr>
                    <w:t>Gold Coast Integrated Care Model</w:t>
                  </w:r>
                </w:p>
              </w:tc>
            </w:tr>
            <w:tr w:rsidR="002601A3" w14:paraId="1EA39280" w14:textId="77777777" w:rsidTr="00E9640C">
              <w:tc>
                <w:tcPr>
                  <w:tcW w:w="431" w:type="pct"/>
                  <w:tcBorders>
                    <w:top w:val="single" w:sz="6" w:space="0" w:color="BFBFBF"/>
                  </w:tcBorders>
                </w:tcPr>
                <w:p w14:paraId="1EA39279" w14:textId="77777777" w:rsidR="00565E48" w:rsidRPr="00E9640C" w:rsidRDefault="00565E48" w:rsidP="00E9640C">
                  <w:pPr>
                    <w:pStyle w:val="TableBodyText"/>
                    <w:spacing w:after="0" w:line="180" w:lineRule="atLeast"/>
                    <w:jc w:val="left"/>
                    <w:rPr>
                      <w:spacing w:val="-2"/>
                    </w:rPr>
                  </w:pPr>
                  <w:r w:rsidRPr="00E9640C">
                    <w:rPr>
                      <w:spacing w:val="-2"/>
                    </w:rPr>
                    <w:t>Run by</w:t>
                  </w:r>
                </w:p>
              </w:tc>
              <w:tc>
                <w:tcPr>
                  <w:tcW w:w="755" w:type="pct"/>
                  <w:tcBorders>
                    <w:top w:val="single" w:sz="6" w:space="0" w:color="BFBFBF"/>
                  </w:tcBorders>
                </w:tcPr>
                <w:p w14:paraId="1EA3927A" w14:textId="77777777" w:rsidR="00565E48" w:rsidRPr="00E9640C" w:rsidRDefault="00565E48" w:rsidP="00E9640C">
                  <w:pPr>
                    <w:pStyle w:val="TableBodyText"/>
                    <w:spacing w:after="0" w:line="180" w:lineRule="atLeast"/>
                    <w:rPr>
                      <w:spacing w:val="-2"/>
                    </w:rPr>
                  </w:pPr>
                  <w:r w:rsidRPr="00E9640C">
                    <w:rPr>
                      <w:spacing w:val="-2"/>
                    </w:rPr>
                    <w:t>Australian Department of Health through Primary Health Networks</w:t>
                  </w:r>
                </w:p>
              </w:tc>
              <w:tc>
                <w:tcPr>
                  <w:tcW w:w="807" w:type="pct"/>
                  <w:tcBorders>
                    <w:top w:val="single" w:sz="6" w:space="0" w:color="BFBFBF"/>
                  </w:tcBorders>
                </w:tcPr>
                <w:p w14:paraId="1EA3927B" w14:textId="77777777" w:rsidR="00565E48" w:rsidRPr="00E9640C" w:rsidRDefault="00565E48" w:rsidP="00E9640C">
                  <w:pPr>
                    <w:pStyle w:val="TableBodyText"/>
                    <w:spacing w:after="0" w:line="180" w:lineRule="atLeast"/>
                    <w:rPr>
                      <w:spacing w:val="-2"/>
                    </w:rPr>
                  </w:pPr>
                  <w:r w:rsidRPr="00E9640C">
                    <w:rPr>
                      <w:spacing w:val="-2"/>
                    </w:rPr>
                    <w:t>Victoria’s Health Department (VicHealth)</w:t>
                  </w:r>
                </w:p>
              </w:tc>
              <w:tc>
                <w:tcPr>
                  <w:tcW w:w="754" w:type="pct"/>
                  <w:tcBorders>
                    <w:top w:val="single" w:sz="6" w:space="0" w:color="BFBFBF"/>
                  </w:tcBorders>
                </w:tcPr>
                <w:p w14:paraId="1EA3927C" w14:textId="77777777" w:rsidR="00565E48" w:rsidRPr="00E9640C" w:rsidRDefault="00565E48" w:rsidP="00E9640C">
                  <w:pPr>
                    <w:pStyle w:val="TableBodyText"/>
                    <w:spacing w:after="0" w:line="180" w:lineRule="atLeast"/>
                    <w:rPr>
                      <w:spacing w:val="-2"/>
                    </w:rPr>
                  </w:pPr>
                  <w:r w:rsidRPr="00E9640C">
                    <w:rPr>
                      <w:spacing w:val="-2"/>
                    </w:rPr>
                    <w:t>Medibank and VicHealth</w:t>
                  </w:r>
                </w:p>
              </w:tc>
              <w:tc>
                <w:tcPr>
                  <w:tcW w:w="793" w:type="pct"/>
                  <w:gridSpan w:val="2"/>
                  <w:tcBorders>
                    <w:top w:val="single" w:sz="6" w:space="0" w:color="BFBFBF"/>
                  </w:tcBorders>
                </w:tcPr>
                <w:p w14:paraId="1EA3927D" w14:textId="77777777" w:rsidR="00565E48" w:rsidRPr="00E9640C" w:rsidRDefault="00565E48" w:rsidP="00E9640C">
                  <w:pPr>
                    <w:pStyle w:val="TableBodyText"/>
                    <w:spacing w:after="0" w:line="180" w:lineRule="atLeast"/>
                    <w:rPr>
                      <w:spacing w:val="-2"/>
                    </w:rPr>
                  </w:pPr>
                  <w:r w:rsidRPr="00E9640C">
                    <w:rPr>
                      <w:spacing w:val="-2"/>
                    </w:rPr>
                    <w:t>Western Sydney Local Health District (WSLHD) &amp; Western Sydney PHN</w:t>
                  </w:r>
                </w:p>
              </w:tc>
              <w:tc>
                <w:tcPr>
                  <w:tcW w:w="734" w:type="pct"/>
                  <w:tcBorders>
                    <w:top w:val="single" w:sz="6" w:space="0" w:color="BFBFBF"/>
                  </w:tcBorders>
                </w:tcPr>
                <w:p w14:paraId="1EA3927E" w14:textId="77777777" w:rsidR="00565E48" w:rsidRPr="00E9640C" w:rsidRDefault="00565E48" w:rsidP="00E9640C">
                  <w:pPr>
                    <w:pStyle w:val="TableBodyText"/>
                    <w:spacing w:after="0" w:line="180" w:lineRule="atLeast"/>
                    <w:rPr>
                      <w:spacing w:val="-2"/>
                    </w:rPr>
                  </w:pPr>
                  <w:r w:rsidRPr="00E9640C">
                    <w:rPr>
                      <w:spacing w:val="-2"/>
                    </w:rPr>
                    <w:t>Metro North Hospital and Health Services (HHS) and Brisbane North PHN</w:t>
                  </w:r>
                </w:p>
              </w:tc>
              <w:tc>
                <w:tcPr>
                  <w:tcW w:w="726" w:type="pct"/>
                  <w:tcBorders>
                    <w:top w:val="single" w:sz="6" w:space="0" w:color="BFBFBF"/>
                  </w:tcBorders>
                </w:tcPr>
                <w:p w14:paraId="1EA3927F" w14:textId="77777777" w:rsidR="00565E48" w:rsidRPr="00E9640C" w:rsidRDefault="00565E48" w:rsidP="00E9640C">
                  <w:pPr>
                    <w:pStyle w:val="TableBodyText"/>
                    <w:spacing w:after="0" w:line="180" w:lineRule="atLeast"/>
                    <w:rPr>
                      <w:spacing w:val="-2"/>
                    </w:rPr>
                  </w:pPr>
                  <w:r w:rsidRPr="00E9640C">
                    <w:rPr>
                      <w:spacing w:val="-2"/>
                    </w:rPr>
                    <w:t>Gold Coast Hospital and Health Services (GCHHS)</w:t>
                  </w:r>
                </w:p>
              </w:tc>
            </w:tr>
            <w:tr w:rsidR="002601A3" w14:paraId="1EA39288" w14:textId="77777777" w:rsidTr="00E9640C">
              <w:tc>
                <w:tcPr>
                  <w:tcW w:w="431" w:type="pct"/>
                </w:tcPr>
                <w:p w14:paraId="1EA39281" w14:textId="77777777" w:rsidR="00565E48" w:rsidRPr="00E9640C" w:rsidRDefault="00565E48" w:rsidP="00E9640C">
                  <w:pPr>
                    <w:pStyle w:val="TableBodyText"/>
                    <w:spacing w:after="0" w:line="180" w:lineRule="atLeast"/>
                    <w:jc w:val="left"/>
                    <w:rPr>
                      <w:spacing w:val="-2"/>
                    </w:rPr>
                  </w:pPr>
                  <w:r w:rsidRPr="00E9640C">
                    <w:rPr>
                      <w:spacing w:val="-2"/>
                    </w:rPr>
                    <w:t>Funded by</w:t>
                  </w:r>
                </w:p>
              </w:tc>
              <w:tc>
                <w:tcPr>
                  <w:tcW w:w="755" w:type="pct"/>
                </w:tcPr>
                <w:p w14:paraId="1EA39282" w14:textId="77777777" w:rsidR="00565E48" w:rsidRPr="00E9640C" w:rsidRDefault="00565E48" w:rsidP="00E9640C">
                  <w:pPr>
                    <w:pStyle w:val="TableBodyText"/>
                    <w:spacing w:after="0" w:line="180" w:lineRule="atLeast"/>
                    <w:rPr>
                      <w:spacing w:val="-2"/>
                    </w:rPr>
                  </w:pPr>
                  <w:r w:rsidRPr="00E9640C">
                    <w:rPr>
                      <w:spacing w:val="-2"/>
                    </w:rPr>
                    <w:t>Australian Department of Health</w:t>
                  </w:r>
                </w:p>
              </w:tc>
              <w:tc>
                <w:tcPr>
                  <w:tcW w:w="807" w:type="pct"/>
                </w:tcPr>
                <w:p w14:paraId="1EA39283" w14:textId="77777777" w:rsidR="00565E48" w:rsidRPr="00E9640C" w:rsidRDefault="00565E48" w:rsidP="00E9640C">
                  <w:pPr>
                    <w:pStyle w:val="TableBodyText"/>
                    <w:spacing w:after="0" w:line="180" w:lineRule="atLeast"/>
                    <w:rPr>
                      <w:spacing w:val="-2"/>
                    </w:rPr>
                  </w:pPr>
                  <w:r w:rsidRPr="00E9640C">
                    <w:rPr>
                      <w:spacing w:val="-2"/>
                    </w:rPr>
                    <w:t>VicHealth</w:t>
                  </w:r>
                </w:p>
              </w:tc>
              <w:tc>
                <w:tcPr>
                  <w:tcW w:w="754" w:type="pct"/>
                </w:tcPr>
                <w:p w14:paraId="1EA39284" w14:textId="77777777" w:rsidR="00565E48" w:rsidRPr="00E9640C" w:rsidRDefault="00565E48" w:rsidP="00E9640C">
                  <w:pPr>
                    <w:pStyle w:val="TableBodyText"/>
                    <w:spacing w:after="0" w:line="180" w:lineRule="atLeast"/>
                    <w:rPr>
                      <w:spacing w:val="-2"/>
                    </w:rPr>
                  </w:pPr>
                  <w:r w:rsidRPr="00E9640C">
                    <w:rPr>
                      <w:spacing w:val="-2"/>
                    </w:rPr>
                    <w:t>Medibank (50%) and VicHealth (50%)</w:t>
                  </w:r>
                </w:p>
              </w:tc>
              <w:tc>
                <w:tcPr>
                  <w:tcW w:w="793" w:type="pct"/>
                  <w:gridSpan w:val="2"/>
                </w:tcPr>
                <w:p w14:paraId="1EA39285" w14:textId="77777777" w:rsidR="00565E48" w:rsidRPr="00E9640C" w:rsidRDefault="00565E48" w:rsidP="00E9640C">
                  <w:pPr>
                    <w:pStyle w:val="TableBodyText"/>
                    <w:spacing w:after="0" w:line="180" w:lineRule="atLeast"/>
                    <w:rPr>
                      <w:spacing w:val="-2"/>
                    </w:rPr>
                  </w:pPr>
                  <w:r w:rsidRPr="00E9640C">
                    <w:rPr>
                      <w:spacing w:val="-2"/>
                    </w:rPr>
                    <w:t>NSW Health, WSLHD, Western Sydney PHN</w:t>
                  </w:r>
                </w:p>
              </w:tc>
              <w:tc>
                <w:tcPr>
                  <w:tcW w:w="734" w:type="pct"/>
                </w:tcPr>
                <w:p w14:paraId="1EA39286" w14:textId="77777777" w:rsidR="00565E48" w:rsidRPr="00E9640C" w:rsidRDefault="00565E48" w:rsidP="00E9640C">
                  <w:pPr>
                    <w:pStyle w:val="TableBodyText"/>
                    <w:spacing w:after="0" w:line="180" w:lineRule="atLeast"/>
                    <w:rPr>
                      <w:spacing w:val="-2"/>
                    </w:rPr>
                  </w:pPr>
                  <w:r w:rsidRPr="00E9640C">
                    <w:rPr>
                      <w:spacing w:val="-2"/>
                    </w:rPr>
                    <w:t>Queensland Department of Health</w:t>
                  </w:r>
                </w:p>
              </w:tc>
              <w:tc>
                <w:tcPr>
                  <w:tcW w:w="726" w:type="pct"/>
                </w:tcPr>
                <w:p w14:paraId="1EA39287" w14:textId="77777777" w:rsidR="00565E48" w:rsidRPr="00E9640C" w:rsidRDefault="00565E48" w:rsidP="00E9640C">
                  <w:pPr>
                    <w:pStyle w:val="TableBodyText"/>
                    <w:spacing w:after="0" w:line="180" w:lineRule="atLeast"/>
                    <w:rPr>
                      <w:spacing w:val="-2"/>
                    </w:rPr>
                  </w:pPr>
                  <w:r w:rsidRPr="00E9640C">
                    <w:rPr>
                      <w:spacing w:val="-2"/>
                    </w:rPr>
                    <w:t>Qld Health, GCHHS, Gold Coast PHN</w:t>
                  </w:r>
                </w:p>
              </w:tc>
            </w:tr>
            <w:tr w:rsidR="002601A3" w14:paraId="1EA39290" w14:textId="77777777" w:rsidTr="00E9640C">
              <w:tc>
                <w:tcPr>
                  <w:tcW w:w="431" w:type="pct"/>
                </w:tcPr>
                <w:p w14:paraId="1EA39289" w14:textId="77777777" w:rsidR="00565E48" w:rsidRPr="00E9640C" w:rsidRDefault="00565E48" w:rsidP="00E9640C">
                  <w:pPr>
                    <w:pStyle w:val="TableBodyText"/>
                    <w:spacing w:after="0" w:line="180" w:lineRule="atLeast"/>
                    <w:jc w:val="left"/>
                    <w:rPr>
                      <w:spacing w:val="-2"/>
                    </w:rPr>
                  </w:pPr>
                  <w:r w:rsidRPr="00E9640C">
                    <w:rPr>
                      <w:spacing w:val="-2"/>
                    </w:rPr>
                    <w:t>Objective</w:t>
                  </w:r>
                </w:p>
              </w:tc>
              <w:tc>
                <w:tcPr>
                  <w:tcW w:w="755" w:type="pct"/>
                </w:tcPr>
                <w:p w14:paraId="1EA3928A" w14:textId="77777777" w:rsidR="00565E48" w:rsidRPr="00E9640C" w:rsidRDefault="00565E48" w:rsidP="00E9640C">
                  <w:pPr>
                    <w:pStyle w:val="TableBodyText"/>
                    <w:spacing w:after="0" w:line="180" w:lineRule="atLeast"/>
                    <w:rPr>
                      <w:spacing w:val="-2"/>
                    </w:rPr>
                  </w:pPr>
                  <w:r w:rsidRPr="00E9640C">
                    <w:rPr>
                      <w:spacing w:val="-2"/>
                    </w:rPr>
                    <w:t>Coordinate care of individuals with complex and chronic conditions</w:t>
                  </w:r>
                </w:p>
              </w:tc>
              <w:tc>
                <w:tcPr>
                  <w:tcW w:w="807" w:type="pct"/>
                </w:tcPr>
                <w:p w14:paraId="1EA3928B" w14:textId="77777777" w:rsidR="00565E48" w:rsidRPr="00E9640C" w:rsidRDefault="00565E48" w:rsidP="00E9640C">
                  <w:pPr>
                    <w:pStyle w:val="TableBodyText"/>
                    <w:spacing w:after="0" w:line="180" w:lineRule="atLeast"/>
                    <w:rPr>
                      <w:spacing w:val="-2"/>
                    </w:rPr>
                  </w:pPr>
                  <w:r w:rsidRPr="00E9640C">
                    <w:rPr>
                      <w:spacing w:val="-2"/>
                    </w:rPr>
                    <w:t>Reduce hospitalisation of high risk patients</w:t>
                  </w:r>
                </w:p>
              </w:tc>
              <w:tc>
                <w:tcPr>
                  <w:tcW w:w="754" w:type="pct"/>
                </w:tcPr>
                <w:p w14:paraId="1EA3928C" w14:textId="77777777" w:rsidR="00565E48" w:rsidRPr="00E9640C" w:rsidRDefault="00565E48" w:rsidP="00E9640C">
                  <w:pPr>
                    <w:pStyle w:val="TableBodyText"/>
                    <w:spacing w:after="0" w:line="180" w:lineRule="atLeast"/>
                    <w:rPr>
                      <w:spacing w:val="-2"/>
                    </w:rPr>
                  </w:pPr>
                  <w:r w:rsidRPr="00E9640C">
                    <w:rPr>
                      <w:spacing w:val="-2"/>
                    </w:rPr>
                    <w:t>Avoid hospitalisation of those with complex health conditions</w:t>
                  </w:r>
                </w:p>
              </w:tc>
              <w:tc>
                <w:tcPr>
                  <w:tcW w:w="793" w:type="pct"/>
                  <w:gridSpan w:val="2"/>
                </w:tcPr>
                <w:p w14:paraId="1EA3928D" w14:textId="77777777" w:rsidR="00565E48" w:rsidRPr="00515F19" w:rsidRDefault="00565E48" w:rsidP="00E9640C">
                  <w:pPr>
                    <w:pStyle w:val="TableBodyText"/>
                    <w:spacing w:after="0" w:line="180" w:lineRule="atLeast"/>
                    <w:rPr>
                      <w:spacing w:val="-4"/>
                    </w:rPr>
                  </w:pPr>
                  <w:r w:rsidRPr="00515F19">
                    <w:rPr>
                      <w:spacing w:val="-4"/>
                    </w:rPr>
                    <w:t>Integrated approach to care</w:t>
                  </w:r>
                  <w:r w:rsidR="00360F6B" w:rsidRPr="00515F19">
                    <w:rPr>
                      <w:spacing w:val="-4"/>
                    </w:rPr>
                    <w:t>,</w:t>
                  </w:r>
                  <w:r w:rsidRPr="00515F19">
                    <w:rPr>
                      <w:spacing w:val="-4"/>
                    </w:rPr>
                    <w:t xml:space="preserve"> in order to maintain good health and prevent acute or chronic deterioration of the patient’s condition</w:t>
                  </w:r>
                </w:p>
              </w:tc>
              <w:tc>
                <w:tcPr>
                  <w:tcW w:w="734" w:type="pct"/>
                </w:tcPr>
                <w:p w14:paraId="1EA3928E" w14:textId="77777777" w:rsidR="00565E48" w:rsidRPr="00E9640C" w:rsidRDefault="00565E48" w:rsidP="00E9640C">
                  <w:pPr>
                    <w:pStyle w:val="TableBodyText"/>
                    <w:spacing w:after="0" w:line="180" w:lineRule="atLeast"/>
                    <w:rPr>
                      <w:spacing w:val="-2"/>
                    </w:rPr>
                  </w:pPr>
                  <w:r w:rsidRPr="00E9640C">
                    <w:rPr>
                      <w:spacing w:val="-2"/>
                    </w:rPr>
                    <w:t>Reduce hospitalisation costs through better chronic disease management</w:t>
                  </w:r>
                </w:p>
              </w:tc>
              <w:tc>
                <w:tcPr>
                  <w:tcW w:w="726" w:type="pct"/>
                </w:tcPr>
                <w:p w14:paraId="1EA3928F" w14:textId="77777777" w:rsidR="00565E48" w:rsidRPr="00E9640C" w:rsidRDefault="00565E48" w:rsidP="00E9640C">
                  <w:pPr>
                    <w:pStyle w:val="TableBodyText"/>
                    <w:spacing w:after="0" w:line="180" w:lineRule="atLeast"/>
                    <w:rPr>
                      <w:spacing w:val="-2"/>
                    </w:rPr>
                  </w:pPr>
                  <w:r w:rsidRPr="00E9640C">
                    <w:rPr>
                      <w:spacing w:val="-2"/>
                    </w:rPr>
                    <w:t>Coordinate primary, secondary and acute care to reduce emergency presentations and admissions</w:t>
                  </w:r>
                </w:p>
              </w:tc>
            </w:tr>
            <w:tr w:rsidR="002601A3" w14:paraId="1EA39298" w14:textId="77777777" w:rsidTr="00E9640C">
              <w:tc>
                <w:tcPr>
                  <w:tcW w:w="431" w:type="pct"/>
                </w:tcPr>
                <w:p w14:paraId="1EA39291" w14:textId="77777777" w:rsidR="004450F5" w:rsidRPr="00E9640C" w:rsidRDefault="004450F5" w:rsidP="00E9640C">
                  <w:pPr>
                    <w:pStyle w:val="TableBodyText"/>
                    <w:spacing w:after="0" w:line="180" w:lineRule="atLeast"/>
                    <w:jc w:val="left"/>
                    <w:rPr>
                      <w:spacing w:val="-2"/>
                    </w:rPr>
                  </w:pPr>
                  <w:r w:rsidRPr="00E9640C">
                    <w:rPr>
                      <w:spacing w:val="-2"/>
                    </w:rPr>
                    <w:t>Timeline</w:t>
                  </w:r>
                </w:p>
              </w:tc>
              <w:tc>
                <w:tcPr>
                  <w:tcW w:w="755" w:type="pct"/>
                </w:tcPr>
                <w:p w14:paraId="1EA39292" w14:textId="77777777" w:rsidR="004450F5" w:rsidRPr="00E9640C" w:rsidRDefault="004450F5" w:rsidP="00E9640C">
                  <w:pPr>
                    <w:pStyle w:val="TableBodyText"/>
                    <w:spacing w:after="0" w:line="180" w:lineRule="atLeast"/>
                    <w:rPr>
                      <w:spacing w:val="-2"/>
                    </w:rPr>
                  </w:pPr>
                  <w:r w:rsidRPr="00E9640C">
                    <w:rPr>
                      <w:spacing w:val="-2"/>
                    </w:rPr>
                    <w:t>Unde</w:t>
                  </w:r>
                  <w:r w:rsidR="00360F6B" w:rsidRPr="00E9640C">
                    <w:rPr>
                      <w:spacing w:val="-2"/>
                    </w:rPr>
                    <w:t>r development. Implement from 1 October</w:t>
                  </w:r>
                  <w:r w:rsidRPr="00E9640C">
                    <w:rPr>
                      <w:spacing w:val="-2"/>
                    </w:rPr>
                    <w:t xml:space="preserve"> 2017</w:t>
                  </w:r>
                </w:p>
              </w:tc>
              <w:tc>
                <w:tcPr>
                  <w:tcW w:w="807" w:type="pct"/>
                </w:tcPr>
                <w:p w14:paraId="1EA39293" w14:textId="77777777" w:rsidR="004450F5" w:rsidRPr="00E9640C" w:rsidRDefault="004450F5" w:rsidP="00E9640C">
                  <w:pPr>
                    <w:pStyle w:val="TableBodyText"/>
                    <w:spacing w:after="0" w:line="180" w:lineRule="atLeast"/>
                    <w:rPr>
                      <w:spacing w:val="-2"/>
                    </w:rPr>
                  </w:pPr>
                  <w:r w:rsidRPr="00E9640C">
                    <w:rPr>
                      <w:spacing w:val="-2"/>
                    </w:rPr>
                    <w:t>Developed in late 1990s.</w:t>
                  </w:r>
                  <w:r w:rsidR="005534A3" w:rsidRPr="00E9640C">
                    <w:rPr>
                      <w:spacing w:val="-2"/>
                    </w:rPr>
                    <w:t xml:space="preserve"> Piloted in two stages, in 2001</w:t>
                  </w:r>
                  <w:r w:rsidR="005534A3" w:rsidRPr="00E9640C">
                    <w:rPr>
                      <w:spacing w:val="-2"/>
                    </w:rPr>
                    <w:noBreakHyphen/>
                    <w:t>02 to 2004</w:t>
                  </w:r>
                  <w:r w:rsidR="005534A3" w:rsidRPr="00E9640C">
                    <w:rPr>
                      <w:spacing w:val="-2"/>
                    </w:rPr>
                    <w:noBreakHyphen/>
                    <w:t>05 and for older people in 2006</w:t>
                  </w:r>
                  <w:r w:rsidR="005534A3" w:rsidRPr="00E9640C">
                    <w:rPr>
                      <w:spacing w:val="-2"/>
                    </w:rPr>
                    <w:noBreakHyphen/>
                  </w:r>
                  <w:r w:rsidRPr="00E9640C">
                    <w:rPr>
                      <w:spacing w:val="-2"/>
                    </w:rPr>
                    <w:t>07 t</w:t>
                  </w:r>
                  <w:r w:rsidR="005534A3" w:rsidRPr="00E9640C">
                    <w:rPr>
                      <w:spacing w:val="-2"/>
                    </w:rPr>
                    <w:t>o 2009</w:t>
                  </w:r>
                  <w:r w:rsidR="005534A3" w:rsidRPr="00E9640C">
                    <w:rPr>
                      <w:spacing w:val="-2"/>
                    </w:rPr>
                    <w:noBreakHyphen/>
                  </w:r>
                  <w:r w:rsidRPr="00E9640C">
                    <w:rPr>
                      <w:spacing w:val="-2"/>
                    </w:rPr>
                    <w:t>10. Was then to be rolled out.</w:t>
                  </w:r>
                </w:p>
              </w:tc>
              <w:tc>
                <w:tcPr>
                  <w:tcW w:w="754" w:type="pct"/>
                </w:tcPr>
                <w:p w14:paraId="1EA39294" w14:textId="77777777" w:rsidR="004450F5" w:rsidRPr="00E9640C" w:rsidRDefault="004450F5" w:rsidP="00E9640C">
                  <w:pPr>
                    <w:pStyle w:val="TableBodyText"/>
                    <w:spacing w:after="0" w:line="180" w:lineRule="atLeast"/>
                    <w:rPr>
                      <w:spacing w:val="-2"/>
                    </w:rPr>
                  </w:pPr>
                  <w:r w:rsidRPr="00E9640C">
                    <w:rPr>
                      <w:spacing w:val="-2"/>
                    </w:rPr>
                    <w:t>Implement</w:t>
                  </w:r>
                  <w:r w:rsidR="00360F6B" w:rsidRPr="00E9640C">
                    <w:rPr>
                      <w:spacing w:val="-2"/>
                    </w:rPr>
                    <w:t>ed</w:t>
                  </w:r>
                  <w:r w:rsidRPr="00E9640C">
                    <w:rPr>
                      <w:spacing w:val="-2"/>
                    </w:rPr>
                    <w:t xml:space="preserve"> 30</w:t>
                  </w:r>
                  <w:r w:rsidR="009C49CA" w:rsidRPr="00E9640C">
                    <w:rPr>
                      <w:spacing w:val="-2"/>
                    </w:rPr>
                    <w:t> </w:t>
                  </w:r>
                  <w:r w:rsidRPr="00E9640C">
                    <w:rPr>
                      <w:spacing w:val="-2"/>
                    </w:rPr>
                    <w:t>June 2015 to 30</w:t>
                  </w:r>
                  <w:r w:rsidR="009C49CA" w:rsidRPr="00E9640C">
                    <w:rPr>
                      <w:spacing w:val="-2"/>
                    </w:rPr>
                    <w:t> </w:t>
                  </w:r>
                  <w:r w:rsidRPr="00E9640C">
                    <w:rPr>
                      <w:spacing w:val="-2"/>
                    </w:rPr>
                    <w:t>June 2017</w:t>
                  </w:r>
                </w:p>
              </w:tc>
              <w:tc>
                <w:tcPr>
                  <w:tcW w:w="793" w:type="pct"/>
                  <w:gridSpan w:val="2"/>
                </w:tcPr>
                <w:p w14:paraId="1EA39295" w14:textId="77777777" w:rsidR="004450F5" w:rsidRPr="00E9640C" w:rsidRDefault="005534A3" w:rsidP="00E9640C">
                  <w:pPr>
                    <w:pStyle w:val="TableBodyText"/>
                    <w:spacing w:after="0" w:line="180" w:lineRule="atLeast"/>
                    <w:rPr>
                      <w:spacing w:val="-2"/>
                    </w:rPr>
                  </w:pPr>
                  <w:r w:rsidRPr="00E9640C">
                    <w:rPr>
                      <w:spacing w:val="-2"/>
                    </w:rPr>
                    <w:t xml:space="preserve">Developed </w:t>
                  </w:r>
                  <w:r w:rsidR="00D5186A" w:rsidRPr="00E9640C">
                    <w:rPr>
                      <w:spacing w:val="-2"/>
                    </w:rPr>
                    <w:t xml:space="preserve">from 2012 and implemented from 2013. Under ongoing development and expansion in implementation. </w:t>
                  </w:r>
                </w:p>
              </w:tc>
              <w:tc>
                <w:tcPr>
                  <w:tcW w:w="734" w:type="pct"/>
                </w:tcPr>
                <w:p w14:paraId="1EA39296" w14:textId="77777777" w:rsidR="004450F5" w:rsidRPr="00E9640C" w:rsidRDefault="00770209" w:rsidP="00E9640C">
                  <w:pPr>
                    <w:pStyle w:val="TableBodyText"/>
                    <w:spacing w:after="0" w:line="180" w:lineRule="atLeast"/>
                    <w:rPr>
                      <w:spacing w:val="-2"/>
                    </w:rPr>
                  </w:pPr>
                  <w:r w:rsidRPr="00E9640C">
                    <w:rPr>
                      <w:spacing w:val="-2"/>
                    </w:rPr>
                    <w:t>Piloted in February 2014, implemented from March 2014. Evaluation period from February 2014 to February 2015.</w:t>
                  </w:r>
                </w:p>
              </w:tc>
              <w:tc>
                <w:tcPr>
                  <w:tcW w:w="726" w:type="pct"/>
                </w:tcPr>
                <w:p w14:paraId="1EA39297" w14:textId="77777777" w:rsidR="004450F5" w:rsidRPr="00E9640C" w:rsidRDefault="004450F5" w:rsidP="00E9640C">
                  <w:pPr>
                    <w:pStyle w:val="TableBodyText"/>
                    <w:spacing w:after="0" w:line="180" w:lineRule="atLeast"/>
                    <w:rPr>
                      <w:spacing w:val="-2"/>
                    </w:rPr>
                  </w:pPr>
                  <w:r w:rsidRPr="00E9640C">
                    <w:rPr>
                      <w:spacing w:val="-2"/>
                    </w:rPr>
                    <w:t>Under development. Implement from 1</w:t>
                  </w:r>
                  <w:r w:rsidR="005534A3" w:rsidRPr="00E9640C">
                    <w:rPr>
                      <w:spacing w:val="-2"/>
                    </w:rPr>
                    <w:t> </w:t>
                  </w:r>
                  <w:r w:rsidRPr="00E9640C">
                    <w:rPr>
                      <w:spacing w:val="-2"/>
                    </w:rPr>
                    <w:t>July 2017</w:t>
                  </w:r>
                </w:p>
              </w:tc>
            </w:tr>
            <w:tr w:rsidR="002336B5" w14:paraId="1EA392A0" w14:textId="77777777" w:rsidTr="00E9640C">
              <w:tc>
                <w:tcPr>
                  <w:tcW w:w="431" w:type="pct"/>
                  <w:tcBorders>
                    <w:bottom w:val="single" w:sz="6" w:space="0" w:color="BFBFBF"/>
                  </w:tcBorders>
                  <w:shd w:val="clear" w:color="auto" w:fill="auto"/>
                </w:tcPr>
                <w:p w14:paraId="1EA39299" w14:textId="77777777" w:rsidR="002336B5" w:rsidRPr="00E9640C" w:rsidRDefault="002336B5" w:rsidP="00E9640C">
                  <w:pPr>
                    <w:pStyle w:val="TableBodyText"/>
                    <w:spacing w:after="0" w:line="180" w:lineRule="atLeast"/>
                    <w:jc w:val="left"/>
                    <w:rPr>
                      <w:spacing w:val="-2"/>
                    </w:rPr>
                  </w:pPr>
                  <w:r w:rsidRPr="00E9640C">
                    <w:rPr>
                      <w:spacing w:val="-2"/>
                    </w:rPr>
                    <w:t>Patient participation</w:t>
                  </w:r>
                </w:p>
              </w:tc>
              <w:tc>
                <w:tcPr>
                  <w:tcW w:w="755" w:type="pct"/>
                  <w:tcBorders>
                    <w:bottom w:val="single" w:sz="6" w:space="0" w:color="BFBFBF"/>
                  </w:tcBorders>
                </w:tcPr>
                <w:p w14:paraId="1EA3929A" w14:textId="77777777" w:rsidR="002336B5" w:rsidRPr="00E9640C" w:rsidRDefault="002336B5" w:rsidP="00E9640C">
                  <w:pPr>
                    <w:pStyle w:val="TableBodyText"/>
                    <w:spacing w:after="0" w:line="180" w:lineRule="atLeast"/>
                    <w:rPr>
                      <w:spacing w:val="-2"/>
                    </w:rPr>
                  </w:pPr>
                  <w:r w:rsidRPr="00E9640C">
                    <w:rPr>
                      <w:spacing w:val="-2"/>
                    </w:rPr>
                    <w:t>Aiming for 65 000 patients</w:t>
                  </w:r>
                </w:p>
              </w:tc>
              <w:tc>
                <w:tcPr>
                  <w:tcW w:w="807" w:type="pct"/>
                  <w:tcBorders>
                    <w:bottom w:val="single" w:sz="6" w:space="0" w:color="BFBFBF"/>
                  </w:tcBorders>
                </w:tcPr>
                <w:p w14:paraId="1EA3929B" w14:textId="77777777" w:rsidR="002336B5" w:rsidRPr="00E9640C" w:rsidRDefault="002336B5" w:rsidP="00E9640C">
                  <w:pPr>
                    <w:pStyle w:val="TableBodyText"/>
                    <w:spacing w:after="0" w:line="180" w:lineRule="atLeast"/>
                    <w:rPr>
                      <w:spacing w:val="-2"/>
                    </w:rPr>
                  </w:pPr>
                  <w:r w:rsidRPr="00E9640C">
                    <w:rPr>
                      <w:spacing w:val="-2"/>
                    </w:rPr>
                    <w:t>Over 100 000 in first pilot stage</w:t>
                  </w:r>
                </w:p>
              </w:tc>
              <w:tc>
                <w:tcPr>
                  <w:tcW w:w="754" w:type="pct"/>
                  <w:tcBorders>
                    <w:bottom w:val="single" w:sz="6" w:space="0" w:color="BFBFBF"/>
                  </w:tcBorders>
                </w:tcPr>
                <w:p w14:paraId="1EA3929C" w14:textId="77777777" w:rsidR="002336B5" w:rsidRPr="00E9640C" w:rsidRDefault="002336B5" w:rsidP="00E9640C">
                  <w:pPr>
                    <w:pStyle w:val="TableBodyText"/>
                    <w:spacing w:after="0" w:line="180" w:lineRule="atLeast"/>
                    <w:rPr>
                      <w:spacing w:val="-2"/>
                    </w:rPr>
                  </w:pPr>
                  <w:r w:rsidRPr="00E9640C">
                    <w:rPr>
                      <w:spacing w:val="-2"/>
                    </w:rPr>
                    <w:t>1500 patients, half of whom are Medibank members</w:t>
                  </w:r>
                </w:p>
              </w:tc>
              <w:tc>
                <w:tcPr>
                  <w:tcW w:w="793" w:type="pct"/>
                  <w:gridSpan w:val="2"/>
                  <w:tcBorders>
                    <w:bottom w:val="single" w:sz="6" w:space="0" w:color="BFBFBF"/>
                  </w:tcBorders>
                </w:tcPr>
                <w:p w14:paraId="1EA3929D" w14:textId="77777777" w:rsidR="002336B5" w:rsidRPr="00E9640C" w:rsidRDefault="002336B5" w:rsidP="00E9640C">
                  <w:pPr>
                    <w:pStyle w:val="TableBodyText"/>
                    <w:spacing w:after="0" w:line="180" w:lineRule="atLeast"/>
                    <w:rPr>
                      <w:spacing w:val="-2"/>
                    </w:rPr>
                  </w:pPr>
                  <w:r w:rsidRPr="00E9640C">
                    <w:rPr>
                      <w:spacing w:val="-2"/>
                    </w:rPr>
                    <w:t xml:space="preserve">836 enrolled by </w:t>
                  </w:r>
                  <w:r w:rsidR="00360F6B" w:rsidRPr="00E9640C">
                    <w:rPr>
                      <w:spacing w:val="-2"/>
                    </w:rPr>
                    <w:t>November </w:t>
                  </w:r>
                  <w:r w:rsidRPr="00E9640C">
                    <w:rPr>
                      <w:spacing w:val="-2"/>
                    </w:rPr>
                    <w:t>2016</w:t>
                  </w:r>
                </w:p>
              </w:tc>
              <w:tc>
                <w:tcPr>
                  <w:tcW w:w="734" w:type="pct"/>
                  <w:tcBorders>
                    <w:bottom w:val="single" w:sz="6" w:space="0" w:color="BFBFBF"/>
                  </w:tcBorders>
                  <w:shd w:val="clear" w:color="auto" w:fill="auto"/>
                </w:tcPr>
                <w:p w14:paraId="1EA3929E" w14:textId="77777777" w:rsidR="002336B5" w:rsidRPr="00E9640C" w:rsidRDefault="002336B5" w:rsidP="00E9640C">
                  <w:pPr>
                    <w:pStyle w:val="TableBodyText"/>
                    <w:spacing w:after="0" w:line="180" w:lineRule="atLeast"/>
                    <w:rPr>
                      <w:spacing w:val="-2"/>
                    </w:rPr>
                  </w:pPr>
                  <w:r w:rsidRPr="00E9640C">
                    <w:rPr>
                      <w:spacing w:val="-2"/>
                    </w:rPr>
                    <w:t>144 recruited during 12 month period of evaluation</w:t>
                  </w:r>
                </w:p>
              </w:tc>
              <w:tc>
                <w:tcPr>
                  <w:tcW w:w="726" w:type="pct"/>
                  <w:tcBorders>
                    <w:bottom w:val="single" w:sz="6" w:space="0" w:color="BFBFBF"/>
                  </w:tcBorders>
                  <w:shd w:val="clear" w:color="auto" w:fill="auto"/>
                </w:tcPr>
                <w:p w14:paraId="1EA3929F" w14:textId="77777777" w:rsidR="002336B5" w:rsidRPr="00E9640C" w:rsidRDefault="002336B5" w:rsidP="00E9640C">
                  <w:pPr>
                    <w:pStyle w:val="TableBodyText"/>
                    <w:spacing w:after="0" w:line="180" w:lineRule="atLeast"/>
                    <w:rPr>
                      <w:spacing w:val="-2"/>
                    </w:rPr>
                  </w:pPr>
                  <w:r w:rsidRPr="00E9640C">
                    <w:rPr>
                      <w:spacing w:val="-2"/>
                    </w:rPr>
                    <w:t>Target population who utilise enrolled GP services and consent to sharing of information</w:t>
                  </w:r>
                </w:p>
              </w:tc>
            </w:tr>
            <w:tr w:rsidR="002601A3" w14:paraId="1EA392A8" w14:textId="77777777" w:rsidTr="00E9640C">
              <w:tc>
                <w:tcPr>
                  <w:tcW w:w="431" w:type="pct"/>
                  <w:tcBorders>
                    <w:bottom w:val="single" w:sz="6" w:space="0" w:color="BFBFBF"/>
                  </w:tcBorders>
                  <w:shd w:val="clear" w:color="auto" w:fill="auto"/>
                </w:tcPr>
                <w:p w14:paraId="1EA392A1" w14:textId="77777777" w:rsidR="006A1F2C" w:rsidRPr="002336B5" w:rsidRDefault="006A1F2C" w:rsidP="00E9640C">
                  <w:pPr>
                    <w:pStyle w:val="TableBodyText"/>
                    <w:spacing w:after="0" w:line="180" w:lineRule="atLeast"/>
                    <w:jc w:val="left"/>
                  </w:pPr>
                  <w:r w:rsidRPr="002336B5">
                    <w:t>Location</w:t>
                  </w:r>
                </w:p>
              </w:tc>
              <w:tc>
                <w:tcPr>
                  <w:tcW w:w="755" w:type="pct"/>
                  <w:tcBorders>
                    <w:bottom w:val="single" w:sz="6" w:space="0" w:color="BFBFBF"/>
                  </w:tcBorders>
                </w:tcPr>
                <w:p w14:paraId="1EA392A2" w14:textId="77777777" w:rsidR="006A1F2C" w:rsidRPr="002336B5" w:rsidRDefault="006A1F2C" w:rsidP="00E9640C">
                  <w:pPr>
                    <w:pStyle w:val="TableBodyText"/>
                    <w:spacing w:after="0" w:line="180" w:lineRule="atLeast"/>
                  </w:pPr>
                  <w:r w:rsidRPr="002336B5">
                    <w:t>Ten PHNs</w:t>
                  </w:r>
                </w:p>
              </w:tc>
              <w:tc>
                <w:tcPr>
                  <w:tcW w:w="807" w:type="pct"/>
                  <w:tcBorders>
                    <w:bottom w:val="single" w:sz="6" w:space="0" w:color="BFBFBF"/>
                  </w:tcBorders>
                </w:tcPr>
                <w:p w14:paraId="1EA392A3" w14:textId="77777777" w:rsidR="006A1F2C" w:rsidRPr="002336B5" w:rsidRDefault="006A1F2C" w:rsidP="00E9640C">
                  <w:pPr>
                    <w:pStyle w:val="TableBodyText"/>
                    <w:spacing w:after="0" w:line="180" w:lineRule="atLeast"/>
                  </w:pPr>
                  <w:r w:rsidRPr="002336B5">
                    <w:t>Across Victoria</w:t>
                  </w:r>
                </w:p>
              </w:tc>
              <w:tc>
                <w:tcPr>
                  <w:tcW w:w="754" w:type="pct"/>
                  <w:tcBorders>
                    <w:bottom w:val="single" w:sz="6" w:space="0" w:color="BFBFBF"/>
                  </w:tcBorders>
                </w:tcPr>
                <w:p w14:paraId="1EA392A4" w14:textId="77777777" w:rsidR="006A1F2C" w:rsidRPr="00515F19" w:rsidRDefault="006A1F2C" w:rsidP="00E9640C">
                  <w:pPr>
                    <w:pStyle w:val="TableBodyText"/>
                    <w:spacing w:after="0" w:line="180" w:lineRule="atLeast"/>
                    <w:rPr>
                      <w:spacing w:val="-2"/>
                      <w:sz w:val="19"/>
                      <w:szCs w:val="19"/>
                    </w:rPr>
                  </w:pPr>
                  <w:r w:rsidRPr="00515F19">
                    <w:rPr>
                      <w:spacing w:val="-2"/>
                      <w:sz w:val="19"/>
                      <w:szCs w:val="19"/>
                    </w:rPr>
                    <w:t xml:space="preserve">Mornington Peninsula, Frankston &amp; Eastern </w:t>
                  </w:r>
                  <w:r w:rsidRPr="00515F19">
                    <w:rPr>
                      <w:spacing w:val="-4"/>
                      <w:sz w:val="19"/>
                      <w:szCs w:val="19"/>
                    </w:rPr>
                    <w:t>Metropolitan</w:t>
                  </w:r>
                  <w:r w:rsidRPr="00515F19">
                    <w:rPr>
                      <w:spacing w:val="-2"/>
                      <w:sz w:val="19"/>
                      <w:szCs w:val="19"/>
                    </w:rPr>
                    <w:t xml:space="preserve"> Melbourne</w:t>
                  </w:r>
                </w:p>
              </w:tc>
              <w:tc>
                <w:tcPr>
                  <w:tcW w:w="793" w:type="pct"/>
                  <w:gridSpan w:val="2"/>
                  <w:tcBorders>
                    <w:bottom w:val="single" w:sz="6" w:space="0" w:color="BFBFBF"/>
                  </w:tcBorders>
                </w:tcPr>
                <w:p w14:paraId="1EA392A5" w14:textId="77777777" w:rsidR="006A1F2C" w:rsidRPr="00E9640C" w:rsidRDefault="006A1F2C" w:rsidP="00E9640C">
                  <w:pPr>
                    <w:pStyle w:val="TableBodyText"/>
                    <w:spacing w:after="0" w:line="180" w:lineRule="atLeast"/>
                    <w:rPr>
                      <w:spacing w:val="-2"/>
                    </w:rPr>
                  </w:pPr>
                  <w:r w:rsidRPr="00E9640C">
                    <w:rPr>
                      <w:spacing w:val="-2"/>
                    </w:rPr>
                    <w:t>Western Sydney</w:t>
                  </w:r>
                </w:p>
              </w:tc>
              <w:tc>
                <w:tcPr>
                  <w:tcW w:w="734" w:type="pct"/>
                  <w:tcBorders>
                    <w:bottom w:val="single" w:sz="6" w:space="0" w:color="BFBFBF"/>
                  </w:tcBorders>
                  <w:shd w:val="clear" w:color="auto" w:fill="auto"/>
                </w:tcPr>
                <w:p w14:paraId="1EA392A6" w14:textId="77777777" w:rsidR="006A1F2C" w:rsidRPr="002336B5" w:rsidRDefault="006A1F2C" w:rsidP="00E9640C">
                  <w:pPr>
                    <w:pStyle w:val="TableBodyText"/>
                    <w:spacing w:after="0" w:line="180" w:lineRule="atLeast"/>
                  </w:pPr>
                  <w:r w:rsidRPr="002336B5">
                    <w:t>Proximate to Redcliffe Hospital</w:t>
                  </w:r>
                </w:p>
              </w:tc>
              <w:tc>
                <w:tcPr>
                  <w:tcW w:w="726" w:type="pct"/>
                  <w:tcBorders>
                    <w:bottom w:val="single" w:sz="6" w:space="0" w:color="BFBFBF"/>
                  </w:tcBorders>
                  <w:shd w:val="clear" w:color="auto" w:fill="auto"/>
                </w:tcPr>
                <w:p w14:paraId="1EA392A7" w14:textId="77777777" w:rsidR="006A1F2C" w:rsidRPr="002336B5" w:rsidRDefault="006A1F2C" w:rsidP="00E9640C">
                  <w:pPr>
                    <w:pStyle w:val="TableBodyText"/>
                    <w:spacing w:after="0" w:line="180" w:lineRule="atLeast"/>
                  </w:pPr>
                  <w:r w:rsidRPr="002336B5">
                    <w:t>Gold Coast</w:t>
                  </w:r>
                </w:p>
              </w:tc>
            </w:tr>
          </w:tbl>
          <w:p w14:paraId="1EA392A9" w14:textId="77777777" w:rsidR="00565E48" w:rsidRDefault="00565E48" w:rsidP="00452532">
            <w:pPr>
              <w:pStyle w:val="Box"/>
            </w:pPr>
          </w:p>
        </w:tc>
      </w:tr>
      <w:tr w:rsidR="00565E48" w14:paraId="1EA392AC" w14:textId="77777777" w:rsidTr="00452532">
        <w:tc>
          <w:tcPr>
            <w:tcW w:w="5000" w:type="pct"/>
            <w:tcBorders>
              <w:top w:val="nil"/>
              <w:left w:val="nil"/>
              <w:bottom w:val="single" w:sz="6" w:space="0" w:color="78A22F"/>
              <w:right w:val="nil"/>
            </w:tcBorders>
            <w:shd w:val="clear" w:color="auto" w:fill="auto"/>
          </w:tcPr>
          <w:p w14:paraId="1EA392AB" w14:textId="77777777" w:rsidR="00565E48" w:rsidRDefault="00515F19" w:rsidP="00515F19">
            <w:pPr>
              <w:pStyle w:val="Continued"/>
            </w:pPr>
            <w:r>
              <w:t>Continued next page</w:t>
            </w:r>
          </w:p>
        </w:tc>
      </w:tr>
      <w:tr w:rsidR="00565E48" w:rsidRPr="000863A5" w14:paraId="1EA392AE" w14:textId="77777777" w:rsidTr="00452532">
        <w:tc>
          <w:tcPr>
            <w:tcW w:w="5000" w:type="pct"/>
            <w:tcBorders>
              <w:top w:val="single" w:sz="6" w:space="0" w:color="78A22F"/>
              <w:left w:val="nil"/>
              <w:bottom w:val="nil"/>
              <w:right w:val="nil"/>
            </w:tcBorders>
          </w:tcPr>
          <w:p w14:paraId="1EA392AD" w14:textId="77777777" w:rsidR="00565E48" w:rsidRPr="00626D32" w:rsidRDefault="00565E48" w:rsidP="00515F19">
            <w:pPr>
              <w:pStyle w:val="BoxSpaceBelow"/>
              <w:spacing w:before="0" w:after="0"/>
            </w:pPr>
          </w:p>
        </w:tc>
      </w:tr>
      <w:tr w:rsidR="00A50554" w14:paraId="1EA392B0" w14:textId="77777777" w:rsidTr="00452532">
        <w:tc>
          <w:tcPr>
            <w:tcW w:w="5000" w:type="pct"/>
            <w:tcBorders>
              <w:top w:val="single" w:sz="6" w:space="0" w:color="78A22F"/>
              <w:left w:val="nil"/>
              <w:bottom w:val="nil"/>
              <w:right w:val="nil"/>
            </w:tcBorders>
            <w:shd w:val="clear" w:color="auto" w:fill="auto"/>
          </w:tcPr>
          <w:p w14:paraId="1EA392AF" w14:textId="77777777" w:rsidR="00A50554" w:rsidRPr="00784A05" w:rsidRDefault="00A50554" w:rsidP="00515F19">
            <w:pPr>
              <w:pStyle w:val="TableTitle"/>
              <w:spacing w:before="0" w:after="0"/>
            </w:pPr>
            <w:r w:rsidRPr="00944790">
              <w:rPr>
                <w:b w:val="0"/>
              </w:rPr>
              <w:t xml:space="preserve">Table </w:t>
            </w:r>
            <w:r w:rsidR="0021342B" w:rsidRPr="00944790">
              <w:rPr>
                <w:b w:val="0"/>
              </w:rPr>
              <w:t>A</w:t>
            </w:r>
            <w:r w:rsidRPr="00944790">
              <w:rPr>
                <w:b w:val="0"/>
              </w:rPr>
              <w:t>.</w:t>
            </w:r>
            <w:r w:rsidR="00154E2D" w:rsidRPr="00944790">
              <w:rPr>
                <w:b w:val="0"/>
              </w:rPr>
              <w:t>6</w:t>
            </w:r>
            <w:r w:rsidRPr="00AF098D">
              <w:tab/>
            </w:r>
            <w:r>
              <w:t>(continued)</w:t>
            </w:r>
          </w:p>
        </w:tc>
      </w:tr>
      <w:tr w:rsidR="00A50554" w14:paraId="1EA392D3" w14:textId="77777777" w:rsidTr="00452532">
        <w:tc>
          <w:tcPr>
            <w:tcW w:w="5000" w:type="pct"/>
            <w:tcBorders>
              <w:top w:val="nil"/>
              <w:left w:val="nil"/>
              <w:bottom w:val="nil"/>
              <w:right w:val="nil"/>
            </w:tcBorders>
            <w:shd w:val="clear" w:color="auto" w:fill="auto"/>
          </w:tcPr>
          <w:tbl>
            <w:tblPr>
              <w:tblW w:w="13173" w:type="dxa"/>
              <w:tblCellMar>
                <w:top w:w="28" w:type="dxa"/>
                <w:left w:w="0" w:type="dxa"/>
                <w:right w:w="0" w:type="dxa"/>
              </w:tblCellMar>
              <w:tblLook w:val="0000" w:firstRow="0" w:lastRow="0" w:firstColumn="0" w:lastColumn="0" w:noHBand="0" w:noVBand="0"/>
            </w:tblPr>
            <w:tblGrid>
              <w:gridCol w:w="859"/>
              <w:gridCol w:w="293"/>
              <w:gridCol w:w="1867"/>
              <w:gridCol w:w="1603"/>
              <w:gridCol w:w="2186"/>
              <w:gridCol w:w="2307"/>
              <w:gridCol w:w="1801"/>
              <w:gridCol w:w="2257"/>
            </w:tblGrid>
            <w:tr w:rsidR="003D0804" w:rsidRPr="00515F19" w14:paraId="1EA392B8" w14:textId="77777777" w:rsidTr="00515F19">
              <w:trPr>
                <w:tblHeader/>
              </w:trPr>
              <w:tc>
                <w:tcPr>
                  <w:tcW w:w="435" w:type="pct"/>
                  <w:gridSpan w:val="2"/>
                  <w:tcBorders>
                    <w:top w:val="single" w:sz="6" w:space="0" w:color="BFBFBF"/>
                    <w:bottom w:val="single" w:sz="6" w:space="0" w:color="BFBFBF"/>
                  </w:tcBorders>
                  <w:shd w:val="clear" w:color="auto" w:fill="auto"/>
                  <w:tcMar>
                    <w:top w:w="28" w:type="dxa"/>
                  </w:tcMar>
                </w:tcPr>
                <w:p w14:paraId="1EA392B1" w14:textId="77777777" w:rsidR="00A50554" w:rsidRPr="00515F19" w:rsidRDefault="00A50554" w:rsidP="00515F19">
                  <w:pPr>
                    <w:pStyle w:val="TableColumnHeading"/>
                    <w:spacing w:before="0" w:after="0"/>
                    <w:jc w:val="left"/>
                    <w:rPr>
                      <w:spacing w:val="-4"/>
                    </w:rPr>
                  </w:pPr>
                </w:p>
              </w:tc>
              <w:tc>
                <w:tcPr>
                  <w:tcW w:w="708" w:type="pct"/>
                  <w:tcBorders>
                    <w:top w:val="single" w:sz="6" w:space="0" w:color="BFBFBF"/>
                    <w:bottom w:val="single" w:sz="6" w:space="0" w:color="BFBFBF"/>
                  </w:tcBorders>
                </w:tcPr>
                <w:p w14:paraId="1EA392B2" w14:textId="77777777" w:rsidR="00A50554" w:rsidRPr="00515F19" w:rsidRDefault="00A50554" w:rsidP="00515F19">
                  <w:pPr>
                    <w:pStyle w:val="TableColumnHeading"/>
                    <w:spacing w:before="0" w:after="0"/>
                    <w:rPr>
                      <w:spacing w:val="-4"/>
                    </w:rPr>
                  </w:pPr>
                  <w:r w:rsidRPr="00515F19">
                    <w:rPr>
                      <w:spacing w:val="-4"/>
                    </w:rPr>
                    <w:t>Health Care Homes</w:t>
                  </w:r>
                </w:p>
              </w:tc>
              <w:tc>
                <w:tcPr>
                  <w:tcW w:w="609" w:type="pct"/>
                  <w:tcBorders>
                    <w:top w:val="single" w:sz="6" w:space="0" w:color="BFBFBF"/>
                    <w:bottom w:val="single" w:sz="6" w:space="0" w:color="BFBFBF"/>
                  </w:tcBorders>
                </w:tcPr>
                <w:p w14:paraId="1EA392B3" w14:textId="77777777" w:rsidR="00A50554" w:rsidRPr="00515F19" w:rsidRDefault="00A50554" w:rsidP="00515F19">
                  <w:pPr>
                    <w:pStyle w:val="TableColumnHeading"/>
                    <w:spacing w:before="0" w:after="0"/>
                    <w:rPr>
                      <w:spacing w:val="-4"/>
                    </w:rPr>
                  </w:pPr>
                  <w:r w:rsidRPr="00515F19">
                    <w:rPr>
                      <w:spacing w:val="-4"/>
                    </w:rPr>
                    <w:t>HARP</w:t>
                  </w:r>
                </w:p>
              </w:tc>
              <w:tc>
                <w:tcPr>
                  <w:tcW w:w="830" w:type="pct"/>
                  <w:tcBorders>
                    <w:top w:val="single" w:sz="6" w:space="0" w:color="BFBFBF"/>
                    <w:bottom w:val="single" w:sz="6" w:space="0" w:color="BFBFBF"/>
                  </w:tcBorders>
                </w:tcPr>
                <w:p w14:paraId="1EA392B4" w14:textId="77777777" w:rsidR="00A50554" w:rsidRPr="00515F19" w:rsidRDefault="00A50554" w:rsidP="00515F19">
                  <w:pPr>
                    <w:pStyle w:val="TableColumnHeading"/>
                    <w:spacing w:before="0" w:after="0"/>
                    <w:rPr>
                      <w:spacing w:val="-4"/>
                    </w:rPr>
                  </w:pPr>
                  <w:r w:rsidRPr="00515F19">
                    <w:rPr>
                      <w:spacing w:val="-4"/>
                    </w:rPr>
                    <w:t>CarePoint, Victoria</w:t>
                  </w:r>
                </w:p>
              </w:tc>
              <w:tc>
                <w:tcPr>
                  <w:tcW w:w="876" w:type="pct"/>
                  <w:tcBorders>
                    <w:top w:val="single" w:sz="6" w:space="0" w:color="BFBFBF"/>
                    <w:bottom w:val="single" w:sz="6" w:space="0" w:color="BFBFBF"/>
                  </w:tcBorders>
                </w:tcPr>
                <w:p w14:paraId="1EA392B5" w14:textId="77777777" w:rsidR="00A50554" w:rsidRPr="00515F19" w:rsidRDefault="00A50554" w:rsidP="00515F19">
                  <w:pPr>
                    <w:pStyle w:val="TableColumnHeading"/>
                    <w:spacing w:before="0" w:after="0"/>
                    <w:rPr>
                      <w:spacing w:val="-4"/>
                    </w:rPr>
                  </w:pPr>
                  <w:r w:rsidRPr="00515F19">
                    <w:rPr>
                      <w:spacing w:val="-4"/>
                    </w:rPr>
                    <w:t xml:space="preserve">Western Sydney Integrated Care Demonstrator </w:t>
                  </w:r>
                </w:p>
              </w:tc>
              <w:tc>
                <w:tcPr>
                  <w:tcW w:w="684" w:type="pct"/>
                  <w:tcBorders>
                    <w:top w:val="single" w:sz="6" w:space="0" w:color="BFBFBF"/>
                    <w:bottom w:val="single" w:sz="6" w:space="0" w:color="BFBFBF"/>
                  </w:tcBorders>
                  <w:shd w:val="clear" w:color="auto" w:fill="auto"/>
                  <w:tcMar>
                    <w:top w:w="28" w:type="dxa"/>
                  </w:tcMar>
                </w:tcPr>
                <w:p w14:paraId="1EA392B6" w14:textId="77777777" w:rsidR="00A50554" w:rsidRPr="00515F19" w:rsidRDefault="00A50554" w:rsidP="00515F19">
                  <w:pPr>
                    <w:pStyle w:val="TableColumnHeading"/>
                    <w:spacing w:before="0" w:after="0"/>
                    <w:rPr>
                      <w:spacing w:val="-4"/>
                    </w:rPr>
                  </w:pPr>
                  <w:r w:rsidRPr="00515F19">
                    <w:rPr>
                      <w:spacing w:val="-4"/>
                    </w:rPr>
                    <w:t>Redcliffe Integrated Chronic Disease Model of Care</w:t>
                  </w:r>
                </w:p>
              </w:tc>
              <w:tc>
                <w:tcPr>
                  <w:tcW w:w="857" w:type="pct"/>
                  <w:tcBorders>
                    <w:top w:val="single" w:sz="6" w:space="0" w:color="BFBFBF"/>
                    <w:bottom w:val="single" w:sz="6" w:space="0" w:color="BFBFBF"/>
                  </w:tcBorders>
                  <w:shd w:val="clear" w:color="auto" w:fill="auto"/>
                  <w:tcMar>
                    <w:top w:w="28" w:type="dxa"/>
                  </w:tcMar>
                </w:tcPr>
                <w:p w14:paraId="1EA392B7" w14:textId="77777777" w:rsidR="00A50554" w:rsidRPr="00515F19" w:rsidRDefault="00A50554" w:rsidP="00515F19">
                  <w:pPr>
                    <w:pStyle w:val="TableColumnHeading"/>
                    <w:spacing w:before="0" w:after="0"/>
                    <w:ind w:right="28"/>
                    <w:rPr>
                      <w:spacing w:val="-4"/>
                    </w:rPr>
                  </w:pPr>
                  <w:r w:rsidRPr="00515F19">
                    <w:rPr>
                      <w:spacing w:val="-4"/>
                    </w:rPr>
                    <w:t>Gold Coast Integrated Care Model</w:t>
                  </w:r>
                </w:p>
              </w:tc>
            </w:tr>
            <w:tr w:rsidR="003D0804" w:rsidRPr="00515F19" w14:paraId="1EA392C0" w14:textId="77777777" w:rsidTr="00515F19">
              <w:tc>
                <w:tcPr>
                  <w:tcW w:w="435" w:type="pct"/>
                  <w:gridSpan w:val="2"/>
                  <w:tcBorders>
                    <w:top w:val="single" w:sz="6" w:space="0" w:color="BFBFBF"/>
                  </w:tcBorders>
                </w:tcPr>
                <w:p w14:paraId="1EA392B9" w14:textId="77777777" w:rsidR="00A50554" w:rsidRPr="00515F19" w:rsidRDefault="00A50554" w:rsidP="00515F19">
                  <w:pPr>
                    <w:pStyle w:val="TableBodyText"/>
                    <w:spacing w:after="0"/>
                    <w:jc w:val="left"/>
                    <w:rPr>
                      <w:spacing w:val="-4"/>
                    </w:rPr>
                  </w:pPr>
                  <w:r w:rsidRPr="00515F19">
                    <w:rPr>
                      <w:spacing w:val="-4"/>
                    </w:rPr>
                    <w:t>Target population</w:t>
                  </w:r>
                </w:p>
              </w:tc>
              <w:tc>
                <w:tcPr>
                  <w:tcW w:w="708" w:type="pct"/>
                  <w:tcBorders>
                    <w:top w:val="single" w:sz="6" w:space="0" w:color="BFBFBF"/>
                  </w:tcBorders>
                </w:tcPr>
                <w:p w14:paraId="1EA392BA" w14:textId="77777777" w:rsidR="00A50554" w:rsidRPr="00515F19" w:rsidRDefault="00A50554" w:rsidP="00515F19">
                  <w:pPr>
                    <w:pStyle w:val="TableBodyText"/>
                    <w:spacing w:after="0"/>
                    <w:rPr>
                      <w:spacing w:val="-4"/>
                    </w:rPr>
                  </w:pPr>
                  <w:r w:rsidRPr="00515F19">
                    <w:rPr>
                      <w:spacing w:val="-4"/>
                    </w:rPr>
                    <w:t>Patients with multiple complex and chronic conditions (about 20% of population)</w:t>
                  </w:r>
                </w:p>
              </w:tc>
              <w:tc>
                <w:tcPr>
                  <w:tcW w:w="609" w:type="pct"/>
                  <w:tcBorders>
                    <w:top w:val="single" w:sz="6" w:space="0" w:color="BFBFBF"/>
                  </w:tcBorders>
                </w:tcPr>
                <w:p w14:paraId="1EA392BB" w14:textId="77777777" w:rsidR="00A50554" w:rsidRPr="00515F19" w:rsidRDefault="00A50554" w:rsidP="00515F19">
                  <w:pPr>
                    <w:pStyle w:val="TableBodyText"/>
                    <w:spacing w:after="0"/>
                    <w:rPr>
                      <w:spacing w:val="-4"/>
                    </w:rPr>
                  </w:pPr>
                  <w:r w:rsidRPr="00515F19">
                    <w:rPr>
                      <w:spacing w:val="-4"/>
                    </w:rPr>
                    <w:t>Patients who frequently require hospital services or who are otherwise at high risk of hospitalisation</w:t>
                  </w:r>
                </w:p>
              </w:tc>
              <w:tc>
                <w:tcPr>
                  <w:tcW w:w="830" w:type="pct"/>
                  <w:tcBorders>
                    <w:top w:val="single" w:sz="6" w:space="0" w:color="BFBFBF"/>
                  </w:tcBorders>
                </w:tcPr>
                <w:p w14:paraId="1EA392BC" w14:textId="77777777" w:rsidR="00A50554" w:rsidRPr="00515F19" w:rsidRDefault="00A50554" w:rsidP="00515F19">
                  <w:pPr>
                    <w:pStyle w:val="TableBodyText"/>
                    <w:spacing w:after="0"/>
                    <w:rPr>
                      <w:spacing w:val="-4"/>
                    </w:rPr>
                  </w:pPr>
                  <w:r w:rsidRPr="00515F19">
                    <w:rPr>
                      <w:spacing w:val="-4"/>
                    </w:rPr>
                    <w:t>Patients with complex conditions who do not require specialist care</w:t>
                  </w:r>
                </w:p>
              </w:tc>
              <w:tc>
                <w:tcPr>
                  <w:tcW w:w="876" w:type="pct"/>
                  <w:tcBorders>
                    <w:top w:val="single" w:sz="6" w:space="0" w:color="BFBFBF"/>
                  </w:tcBorders>
                </w:tcPr>
                <w:p w14:paraId="1EA392BD" w14:textId="77777777" w:rsidR="00A50554" w:rsidRPr="00515F19" w:rsidRDefault="00A50554" w:rsidP="00515F19">
                  <w:pPr>
                    <w:pStyle w:val="TableBodyText"/>
                    <w:spacing w:after="0"/>
                    <w:rPr>
                      <w:spacing w:val="-4"/>
                    </w:rPr>
                  </w:pPr>
                  <w:r w:rsidRPr="00515F19">
                    <w:rPr>
                      <w:spacing w:val="-4"/>
                    </w:rPr>
                    <w:t>Patients with greater risk of congestive cardiac failure, coronary artery disease, chronic obstructive pulmonary disease and diabetes</w:t>
                  </w:r>
                </w:p>
              </w:tc>
              <w:tc>
                <w:tcPr>
                  <w:tcW w:w="684" w:type="pct"/>
                  <w:tcBorders>
                    <w:top w:val="single" w:sz="6" w:space="0" w:color="BFBFBF"/>
                  </w:tcBorders>
                </w:tcPr>
                <w:p w14:paraId="1EA392BE" w14:textId="77777777" w:rsidR="00A50554" w:rsidRPr="00515F19" w:rsidRDefault="00A50554" w:rsidP="00515F19">
                  <w:pPr>
                    <w:pStyle w:val="TableBodyText"/>
                    <w:spacing w:after="0"/>
                    <w:rPr>
                      <w:spacing w:val="-4"/>
                    </w:rPr>
                  </w:pPr>
                  <w:r w:rsidRPr="00515F19">
                    <w:rPr>
                      <w:spacing w:val="-4"/>
                    </w:rPr>
                    <w:t xml:space="preserve">Patients with multiple, complex chronic disease (admitted for </w:t>
                  </w:r>
                  <w:r w:rsidR="00DB5076" w:rsidRPr="00515F19">
                    <w:rPr>
                      <w:spacing w:val="-4"/>
                    </w:rPr>
                    <w:t>COPD</w:t>
                  </w:r>
                  <w:r w:rsidRPr="00515F19">
                    <w:rPr>
                      <w:spacing w:val="-4"/>
                    </w:rPr>
                    <w:t>, heart failure, diabetes or asthma)</w:t>
                  </w:r>
                </w:p>
              </w:tc>
              <w:tc>
                <w:tcPr>
                  <w:tcW w:w="857" w:type="pct"/>
                  <w:tcBorders>
                    <w:top w:val="single" w:sz="6" w:space="0" w:color="BFBFBF"/>
                  </w:tcBorders>
                </w:tcPr>
                <w:p w14:paraId="1EA392BF" w14:textId="77777777" w:rsidR="00A50554" w:rsidRPr="00515F19" w:rsidRDefault="001F7615" w:rsidP="00515F19">
                  <w:pPr>
                    <w:pStyle w:val="TableBodyText"/>
                    <w:spacing w:after="0"/>
                    <w:rPr>
                      <w:spacing w:val="-4"/>
                    </w:rPr>
                  </w:pPr>
                  <w:r w:rsidRPr="00515F19">
                    <w:rPr>
                      <w:spacing w:val="-4"/>
                    </w:rPr>
                    <w:t>Patients a</w:t>
                  </w:r>
                  <w:r w:rsidR="00A50554" w:rsidRPr="00515F19">
                    <w:rPr>
                      <w:spacing w:val="-4"/>
                    </w:rPr>
                    <w:t xml:space="preserve">t risk of high service utilisation or of poor outcomes </w:t>
                  </w:r>
                  <w:r w:rsidR="00006334" w:rsidRPr="00515F19">
                    <w:rPr>
                      <w:spacing w:val="-4"/>
                    </w:rPr>
                    <w:t>that</w:t>
                  </w:r>
                  <w:r w:rsidR="00A50554" w:rsidRPr="00515F19">
                    <w:rPr>
                      <w:spacing w:val="-4"/>
                    </w:rPr>
                    <w:t xml:space="preserve"> may be improved through better coordination</w:t>
                  </w:r>
                </w:p>
              </w:tc>
            </w:tr>
            <w:tr w:rsidR="003D0804" w:rsidRPr="00515F19" w14:paraId="1EA392C9" w14:textId="77777777" w:rsidTr="00515F19">
              <w:trPr>
                <w:trHeight w:val="973"/>
              </w:trPr>
              <w:tc>
                <w:tcPr>
                  <w:tcW w:w="435" w:type="pct"/>
                  <w:gridSpan w:val="2"/>
                </w:tcPr>
                <w:p w14:paraId="1EA392C1" w14:textId="77777777" w:rsidR="003D0804" w:rsidRPr="00515F19" w:rsidRDefault="003D0804" w:rsidP="00515F19">
                  <w:pPr>
                    <w:pStyle w:val="TableBodyText"/>
                    <w:spacing w:after="0"/>
                    <w:jc w:val="left"/>
                    <w:rPr>
                      <w:spacing w:val="-4"/>
                    </w:rPr>
                  </w:pPr>
                  <w:r w:rsidRPr="00515F19">
                    <w:rPr>
                      <w:spacing w:val="-4"/>
                    </w:rPr>
                    <w:t>GP participation</w:t>
                  </w:r>
                </w:p>
              </w:tc>
              <w:tc>
                <w:tcPr>
                  <w:tcW w:w="708" w:type="pct"/>
                </w:tcPr>
                <w:p w14:paraId="1EA392C2" w14:textId="77777777" w:rsidR="003D0804" w:rsidRPr="00515F19" w:rsidRDefault="003D0804" w:rsidP="00515F19">
                  <w:pPr>
                    <w:pStyle w:val="TableBodyText"/>
                    <w:spacing w:after="0"/>
                    <w:rPr>
                      <w:spacing w:val="-4"/>
                    </w:rPr>
                  </w:pPr>
                  <w:r w:rsidRPr="00515F19">
                    <w:rPr>
                      <w:spacing w:val="-4"/>
                    </w:rPr>
                    <w:t>Aiming for 200 practices</w:t>
                  </w:r>
                </w:p>
              </w:tc>
              <w:tc>
                <w:tcPr>
                  <w:tcW w:w="609" w:type="pct"/>
                </w:tcPr>
                <w:p w14:paraId="1EA392C3" w14:textId="77777777" w:rsidR="003D0804" w:rsidRPr="00515F19" w:rsidRDefault="003D0804" w:rsidP="00515F19">
                  <w:pPr>
                    <w:pStyle w:val="TableBodyText"/>
                    <w:spacing w:after="0"/>
                    <w:rPr>
                      <w:spacing w:val="-4"/>
                    </w:rPr>
                  </w:pPr>
                  <w:r w:rsidRPr="00515F19">
                    <w:rPr>
                      <w:spacing w:val="-4"/>
                    </w:rPr>
                    <w:t>Evaluation reported difficult to engage local GPs</w:t>
                  </w:r>
                </w:p>
              </w:tc>
              <w:tc>
                <w:tcPr>
                  <w:tcW w:w="830" w:type="pct"/>
                </w:tcPr>
                <w:p w14:paraId="1EA392C4" w14:textId="77777777" w:rsidR="003D0804" w:rsidRPr="00515F19" w:rsidRDefault="003D0804" w:rsidP="00515F19">
                  <w:pPr>
                    <w:pStyle w:val="TableBodyText"/>
                    <w:spacing w:after="0"/>
                    <w:rPr>
                      <w:spacing w:val="-4"/>
                    </w:rPr>
                  </w:pPr>
                  <w:r w:rsidRPr="00515F19">
                    <w:rPr>
                      <w:spacing w:val="-4"/>
                    </w:rPr>
                    <w:t>Over 500 GPs at 235 clinics, with the largest having between 10 and 20 participating patients</w:t>
                  </w:r>
                </w:p>
              </w:tc>
              <w:tc>
                <w:tcPr>
                  <w:tcW w:w="876" w:type="pct"/>
                </w:tcPr>
                <w:p w14:paraId="1EA392C5" w14:textId="77777777" w:rsidR="003D0804" w:rsidRPr="00515F19" w:rsidRDefault="003D0804" w:rsidP="00515F19">
                  <w:pPr>
                    <w:pStyle w:val="TableBodyText"/>
                    <w:spacing w:after="0"/>
                    <w:rPr>
                      <w:spacing w:val="-4"/>
                    </w:rPr>
                  </w:pPr>
                  <w:r w:rsidRPr="00515F19">
                    <w:rPr>
                      <w:spacing w:val="-4"/>
                    </w:rPr>
                    <w:t>204 GPs (and 60 practices) enrolled by Nov 2016</w:t>
                  </w:r>
                </w:p>
                <w:p w14:paraId="1EA392C6" w14:textId="77777777" w:rsidR="003D0804" w:rsidRPr="00515F19" w:rsidRDefault="003D0804" w:rsidP="00515F19">
                  <w:pPr>
                    <w:pStyle w:val="TableBodyText"/>
                    <w:spacing w:after="0"/>
                    <w:rPr>
                      <w:spacing w:val="-4"/>
                    </w:rPr>
                  </w:pPr>
                  <w:r w:rsidRPr="00515F19">
                    <w:rPr>
                      <w:spacing w:val="-4"/>
                    </w:rPr>
                    <w:t xml:space="preserve">(about 50% of local GPs) </w:t>
                  </w:r>
                </w:p>
              </w:tc>
              <w:tc>
                <w:tcPr>
                  <w:tcW w:w="684" w:type="pct"/>
                </w:tcPr>
                <w:p w14:paraId="1EA392C7" w14:textId="77777777" w:rsidR="003D0804" w:rsidRPr="00515F19" w:rsidRDefault="003D0804" w:rsidP="00515F19">
                  <w:pPr>
                    <w:pStyle w:val="TableBodyText"/>
                    <w:spacing w:after="0"/>
                    <w:rPr>
                      <w:spacing w:val="-4"/>
                    </w:rPr>
                  </w:pPr>
                  <w:r w:rsidRPr="00515F19">
                    <w:rPr>
                      <w:spacing w:val="-4"/>
                    </w:rPr>
                    <w:t>88 GPs from 50 local GP practices</w:t>
                  </w:r>
                </w:p>
              </w:tc>
              <w:tc>
                <w:tcPr>
                  <w:tcW w:w="857" w:type="pct"/>
                </w:tcPr>
                <w:p w14:paraId="1EA392C8" w14:textId="77777777" w:rsidR="003D0804" w:rsidRPr="00515F19" w:rsidRDefault="003D0804" w:rsidP="00515F19">
                  <w:pPr>
                    <w:pStyle w:val="TableBodyText"/>
                    <w:spacing w:after="0"/>
                    <w:rPr>
                      <w:spacing w:val="-4"/>
                    </w:rPr>
                  </w:pPr>
                  <w:r w:rsidRPr="00515F19">
                    <w:rPr>
                      <w:spacing w:val="-4"/>
                    </w:rPr>
                    <w:t xml:space="preserve">All 164 local GPs invited. 14 agreed to participate </w:t>
                  </w:r>
                </w:p>
              </w:tc>
            </w:tr>
            <w:tr w:rsidR="003D0804" w:rsidRPr="00515F19" w14:paraId="1EA392D1" w14:textId="77777777" w:rsidTr="00515F19">
              <w:tc>
                <w:tcPr>
                  <w:tcW w:w="323" w:type="pct"/>
                  <w:tcBorders>
                    <w:bottom w:val="single" w:sz="4" w:space="0" w:color="BFBFBF" w:themeColor="background2"/>
                  </w:tcBorders>
                </w:tcPr>
                <w:p w14:paraId="1EA392CA" w14:textId="77777777" w:rsidR="003D0804" w:rsidRPr="00515F19" w:rsidRDefault="003D0804" w:rsidP="00515F19">
                  <w:pPr>
                    <w:pStyle w:val="TableBodyText"/>
                    <w:spacing w:after="0"/>
                    <w:jc w:val="left"/>
                    <w:rPr>
                      <w:spacing w:val="-4"/>
                    </w:rPr>
                  </w:pPr>
                  <w:r w:rsidRPr="00515F19">
                    <w:rPr>
                      <w:spacing w:val="-4"/>
                    </w:rPr>
                    <w:t>Approach</w:t>
                  </w:r>
                </w:p>
              </w:tc>
              <w:tc>
                <w:tcPr>
                  <w:tcW w:w="821" w:type="pct"/>
                  <w:gridSpan w:val="2"/>
                  <w:tcBorders>
                    <w:bottom w:val="single" w:sz="4" w:space="0" w:color="BFBFBF" w:themeColor="background2"/>
                  </w:tcBorders>
                </w:tcPr>
                <w:p w14:paraId="1EA392CB" w14:textId="77777777" w:rsidR="003D0804" w:rsidRPr="00515F19" w:rsidRDefault="003D0804" w:rsidP="00515F19">
                  <w:pPr>
                    <w:pStyle w:val="TableBodyText"/>
                    <w:spacing w:after="0"/>
                    <w:rPr>
                      <w:spacing w:val="-4"/>
                    </w:rPr>
                  </w:pPr>
                  <w:r w:rsidRPr="00515F19">
                    <w:rPr>
                      <w:spacing w:val="-4"/>
                    </w:rPr>
                    <w:t>A bundled fee for GP services</w:t>
                  </w:r>
                  <w:r w:rsidR="001F7615" w:rsidRPr="00515F19">
                    <w:rPr>
                      <w:spacing w:val="-4"/>
                    </w:rPr>
                    <w:t xml:space="preserve"> (in place of</w:t>
                  </w:r>
                  <w:r w:rsidRPr="00515F19">
                    <w:rPr>
                      <w:spacing w:val="-4"/>
                    </w:rPr>
                    <w:t xml:space="preserve"> fee</w:t>
                  </w:r>
                  <w:r w:rsidRPr="00515F19">
                    <w:rPr>
                      <w:spacing w:val="-4"/>
                    </w:rPr>
                    <w:noBreakHyphen/>
                    <w:t>for</w:t>
                  </w:r>
                  <w:r w:rsidRPr="00515F19">
                    <w:rPr>
                      <w:spacing w:val="-4"/>
                    </w:rPr>
                    <w:noBreakHyphen/>
                    <w:t>service</w:t>
                  </w:r>
                  <w:r w:rsidR="001F7615" w:rsidRPr="00515F19">
                    <w:rPr>
                      <w:spacing w:val="-4"/>
                    </w:rPr>
                    <w:t>)</w:t>
                  </w:r>
                  <w:r w:rsidR="00360F6B" w:rsidRPr="00515F19">
                    <w:rPr>
                      <w:spacing w:val="-4"/>
                    </w:rPr>
                    <w:t>,</w:t>
                  </w:r>
                  <w:r w:rsidRPr="00515F19">
                    <w:rPr>
                      <w:spacing w:val="-4"/>
                    </w:rPr>
                    <w:t xml:space="preserve"> together with one</w:t>
                  </w:r>
                  <w:r w:rsidRPr="00515F19">
                    <w:rPr>
                      <w:spacing w:val="-4"/>
                    </w:rPr>
                    <w:noBreakHyphen/>
                    <w:t>off grant of $10 000. Eligibility for allied health services triggered by Health Care Home enrolment, but access to allied health care, specialists, diagnostic and imaging services funded through the MBS.</w:t>
                  </w:r>
                </w:p>
              </w:tc>
              <w:tc>
                <w:tcPr>
                  <w:tcW w:w="609" w:type="pct"/>
                  <w:tcBorders>
                    <w:bottom w:val="single" w:sz="4" w:space="0" w:color="BFBFBF" w:themeColor="background2"/>
                  </w:tcBorders>
                </w:tcPr>
                <w:p w14:paraId="1EA392CC" w14:textId="77777777" w:rsidR="003D0804" w:rsidRPr="00515F19" w:rsidRDefault="003D0804" w:rsidP="00515F19">
                  <w:pPr>
                    <w:pStyle w:val="TableBodyText"/>
                    <w:spacing w:after="0"/>
                    <w:rPr>
                      <w:spacing w:val="-4"/>
                    </w:rPr>
                  </w:pPr>
                  <w:r w:rsidRPr="00515F19">
                    <w:rPr>
                      <w:spacing w:val="-4"/>
                    </w:rPr>
                    <w:t>Care coordination, self</w:t>
                  </w:r>
                  <w:r w:rsidRPr="00515F19">
                    <w:rPr>
                      <w:spacing w:val="-4"/>
                    </w:rPr>
                    <w:noBreakHyphen/>
                    <w:t>management support and specialist care within the hospital and state government services sectors and involving GPs.</w:t>
                  </w:r>
                </w:p>
              </w:tc>
              <w:tc>
                <w:tcPr>
                  <w:tcW w:w="830" w:type="pct"/>
                  <w:tcBorders>
                    <w:bottom w:val="single" w:sz="4" w:space="0" w:color="BFBFBF" w:themeColor="background2"/>
                  </w:tcBorders>
                </w:tcPr>
                <w:p w14:paraId="1EA392CD" w14:textId="77777777" w:rsidR="003D0804" w:rsidRPr="00515F19" w:rsidRDefault="003D0804" w:rsidP="00515F19">
                  <w:pPr>
                    <w:pStyle w:val="TableBodyText"/>
                    <w:spacing w:after="0"/>
                    <w:rPr>
                      <w:spacing w:val="-4"/>
                    </w:rPr>
                  </w:pPr>
                  <w:r w:rsidRPr="00515F19">
                    <w:rPr>
                      <w:spacing w:val="-4"/>
                    </w:rPr>
                    <w:t>Home visit to assess condition and develop plan for integrated care in consultation with person. Monthly check</w:t>
                  </w:r>
                  <w:r w:rsidR="005534A3" w:rsidRPr="00515F19">
                    <w:rPr>
                      <w:spacing w:val="-4"/>
                    </w:rPr>
                    <w:noBreakHyphen/>
                  </w:r>
                  <w:r w:rsidRPr="00515F19">
                    <w:rPr>
                      <w:spacing w:val="-4"/>
                    </w:rPr>
                    <w:t>ups to ensure patient well informed and looked after holistically. Overseen by a GP. Facilities provided in the home to improve patient safety and independence. Other primary care services provided as needed.</w:t>
                  </w:r>
                </w:p>
              </w:tc>
              <w:tc>
                <w:tcPr>
                  <w:tcW w:w="876" w:type="pct"/>
                  <w:tcBorders>
                    <w:bottom w:val="single" w:sz="4" w:space="0" w:color="BFBFBF" w:themeColor="background2"/>
                  </w:tcBorders>
                </w:tcPr>
                <w:p w14:paraId="1EA392CE" w14:textId="77777777" w:rsidR="003D0804" w:rsidRPr="00515F19" w:rsidRDefault="003D0804" w:rsidP="00515F19">
                  <w:pPr>
                    <w:pStyle w:val="TableBodyText"/>
                    <w:spacing w:after="0"/>
                    <w:rPr>
                      <w:spacing w:val="-4"/>
                    </w:rPr>
                  </w:pPr>
                  <w:r w:rsidRPr="00515F19">
                    <w:rPr>
                      <w:spacing w:val="-4"/>
                    </w:rPr>
                    <w:t>Patient</w:t>
                  </w:r>
                  <w:r w:rsidRPr="00515F19">
                    <w:rPr>
                      <w:spacing w:val="-4"/>
                    </w:rPr>
                    <w:noBreakHyphen/>
                    <w:t>Centred Medical Home: Integrated Care Team comprised of care facilitator (registered nurse), primary care team, specialists, community based health</w:t>
                  </w:r>
                  <w:r w:rsidR="00C61AE2" w:rsidRPr="00515F19">
                    <w:rPr>
                      <w:spacing w:val="-4"/>
                    </w:rPr>
                    <w:t xml:space="preserve"> </w:t>
                  </w:r>
                  <w:r w:rsidRPr="00515F19">
                    <w:rPr>
                      <w:spacing w:val="-4"/>
                    </w:rPr>
                    <w:t>care providers. Hospital rapid access (RASS) clinics provide acute specialist services and bypass emergency. Initial and ongoing capacity development of medical team. GP phone line to hospital specialists. GP and specialist case conferencing.</w:t>
                  </w:r>
                </w:p>
              </w:tc>
              <w:tc>
                <w:tcPr>
                  <w:tcW w:w="684" w:type="pct"/>
                  <w:tcBorders>
                    <w:bottom w:val="single" w:sz="4" w:space="0" w:color="BFBFBF" w:themeColor="background2"/>
                  </w:tcBorders>
                </w:tcPr>
                <w:p w14:paraId="1EA392CF" w14:textId="77777777" w:rsidR="003D0804" w:rsidRPr="00515F19" w:rsidRDefault="003D0804" w:rsidP="00515F19">
                  <w:pPr>
                    <w:pStyle w:val="TableBodyText"/>
                    <w:spacing w:after="0"/>
                    <w:rPr>
                      <w:spacing w:val="-4"/>
                    </w:rPr>
                  </w:pPr>
                  <w:r w:rsidRPr="00515F19">
                    <w:rPr>
                      <w:spacing w:val="-4"/>
                    </w:rPr>
                    <w:t xml:space="preserve">Focuses on facilitating communication between service providers (particularly GPs and hospitals) including through improved joint case management and clinical handover. Patients are stratified by </w:t>
                  </w:r>
                  <w:r w:rsidR="00696A9B" w:rsidRPr="00515F19">
                    <w:rPr>
                      <w:spacing w:val="-4"/>
                    </w:rPr>
                    <w:t xml:space="preserve">a </w:t>
                  </w:r>
                  <w:r w:rsidRPr="00515F19">
                    <w:rPr>
                      <w:spacing w:val="-4"/>
                    </w:rPr>
                    <w:t xml:space="preserve">designated hospital nurse. </w:t>
                  </w:r>
                </w:p>
              </w:tc>
              <w:tc>
                <w:tcPr>
                  <w:tcW w:w="857" w:type="pct"/>
                  <w:tcBorders>
                    <w:bottom w:val="single" w:sz="4" w:space="0" w:color="BFBFBF" w:themeColor="background2"/>
                  </w:tcBorders>
                </w:tcPr>
                <w:p w14:paraId="1EA392D0" w14:textId="77777777" w:rsidR="003D0804" w:rsidRPr="00515F19" w:rsidRDefault="003D0804" w:rsidP="00515F19">
                  <w:pPr>
                    <w:pStyle w:val="TableBodyText"/>
                    <w:spacing w:after="0"/>
                    <w:rPr>
                      <w:spacing w:val="-4"/>
                    </w:rPr>
                  </w:pPr>
                  <w:r w:rsidRPr="00515F19">
                    <w:rPr>
                      <w:spacing w:val="-4"/>
                    </w:rPr>
                    <w:t xml:space="preserve">A Coordination Centre is run by GCHHS offsite from hospital. It provides rapid access to team of primary and specialist clinicians, including home care. ICT system shares patient data with all clinicians. Non clinical ‘Service Navigators’ provide liaison services. Care plans and decisions made with patients and family. Direct admission when needed, bypassing emergency. A series of protocols guide patient management. </w:t>
                  </w:r>
                </w:p>
              </w:tc>
            </w:tr>
          </w:tbl>
          <w:p w14:paraId="1EA392D2" w14:textId="77777777" w:rsidR="00A50554" w:rsidRPr="00515F19" w:rsidRDefault="00A50554" w:rsidP="00515F19">
            <w:pPr>
              <w:pStyle w:val="Box"/>
              <w:spacing w:before="0"/>
              <w:rPr>
                <w:spacing w:val="-4"/>
              </w:rPr>
            </w:pPr>
          </w:p>
        </w:tc>
      </w:tr>
      <w:tr w:rsidR="00292BEC" w14:paraId="1EA392D5" w14:textId="77777777" w:rsidTr="00452532">
        <w:tc>
          <w:tcPr>
            <w:tcW w:w="5000" w:type="pct"/>
            <w:tcBorders>
              <w:top w:val="nil"/>
              <w:left w:val="nil"/>
              <w:bottom w:val="nil"/>
              <w:right w:val="nil"/>
            </w:tcBorders>
            <w:shd w:val="clear" w:color="auto" w:fill="auto"/>
          </w:tcPr>
          <w:p w14:paraId="1EA392D4" w14:textId="77777777" w:rsidR="00292BEC" w:rsidRPr="00515F19" w:rsidRDefault="00292BEC" w:rsidP="00515F19">
            <w:pPr>
              <w:pStyle w:val="Source"/>
              <w:spacing w:before="0"/>
              <w:rPr>
                <w:spacing w:val="-4"/>
                <w:sz w:val="16"/>
                <w:szCs w:val="16"/>
              </w:rPr>
            </w:pPr>
            <w:r w:rsidRPr="00515F19">
              <w:rPr>
                <w:i/>
                <w:spacing w:val="-4"/>
                <w:sz w:val="16"/>
                <w:szCs w:val="16"/>
              </w:rPr>
              <w:t>Sources</w:t>
            </w:r>
            <w:r w:rsidRPr="00515F19">
              <w:rPr>
                <w:spacing w:val="-4"/>
                <w:sz w:val="16"/>
                <w:szCs w:val="16"/>
              </w:rPr>
              <w:t xml:space="preserve">: </w:t>
            </w:r>
            <w:r w:rsidR="0095242F" w:rsidRPr="00515F19">
              <w:rPr>
                <w:spacing w:val="-4"/>
                <w:sz w:val="16"/>
                <w:szCs w:val="16"/>
              </w:rPr>
              <w:t>Australian Government Department of Health </w:t>
            </w:r>
            <w:r w:rsidR="00F26CC2" w:rsidRPr="00515F19">
              <w:rPr>
                <w:rFonts w:cs="Arial"/>
                <w:spacing w:val="-4"/>
                <w:sz w:val="16"/>
                <w:szCs w:val="16"/>
              </w:rPr>
              <w:t>(2016d)</w:t>
            </w:r>
            <w:r w:rsidR="0095242F" w:rsidRPr="00515F19">
              <w:rPr>
                <w:spacing w:val="-4"/>
                <w:sz w:val="16"/>
                <w:szCs w:val="16"/>
              </w:rPr>
              <w:t xml:space="preserve">; </w:t>
            </w:r>
            <w:r w:rsidR="00943FEB" w:rsidRPr="00515F19">
              <w:rPr>
                <w:spacing w:val="-4"/>
                <w:sz w:val="16"/>
                <w:szCs w:val="16"/>
              </w:rPr>
              <w:t>R Bell and B Perry (Medibank Private, Melbourne, pers. comm., 29</w:t>
            </w:r>
            <w:r w:rsidR="009C49CA" w:rsidRPr="00515F19">
              <w:rPr>
                <w:spacing w:val="-4"/>
                <w:sz w:val="16"/>
                <w:szCs w:val="16"/>
              </w:rPr>
              <w:t> </w:t>
            </w:r>
            <w:r w:rsidR="00943FEB" w:rsidRPr="00515F19">
              <w:rPr>
                <w:spacing w:val="-4"/>
                <w:sz w:val="16"/>
                <w:szCs w:val="16"/>
              </w:rPr>
              <w:t xml:space="preserve">November 2016); </w:t>
            </w:r>
            <w:r w:rsidR="0095242F" w:rsidRPr="00515F19">
              <w:rPr>
                <w:spacing w:val="-4"/>
                <w:sz w:val="16"/>
                <w:szCs w:val="16"/>
              </w:rPr>
              <w:t>Connor, Cooper and McMurray </w:t>
            </w:r>
            <w:r w:rsidR="00C65A42" w:rsidRPr="00515F19">
              <w:rPr>
                <w:rFonts w:cs="Arial"/>
                <w:spacing w:val="-4"/>
                <w:sz w:val="16"/>
                <w:szCs w:val="16"/>
              </w:rPr>
              <w:t>(2016)</w:t>
            </w:r>
            <w:r w:rsidR="0095242F" w:rsidRPr="00515F19">
              <w:rPr>
                <w:spacing w:val="-4"/>
                <w:sz w:val="16"/>
                <w:szCs w:val="16"/>
              </w:rPr>
              <w:t>; Duke </w:t>
            </w:r>
            <w:r w:rsidR="00C65A42" w:rsidRPr="00515F19">
              <w:rPr>
                <w:rFonts w:cs="Arial"/>
                <w:spacing w:val="-4"/>
                <w:sz w:val="16"/>
                <w:szCs w:val="16"/>
              </w:rPr>
              <w:t>(2015)</w:t>
            </w:r>
            <w:r w:rsidR="0095242F" w:rsidRPr="00515F19">
              <w:rPr>
                <w:spacing w:val="-4"/>
                <w:sz w:val="16"/>
                <w:szCs w:val="16"/>
              </w:rPr>
              <w:t xml:space="preserve">; </w:t>
            </w:r>
            <w:r w:rsidR="00943FEB" w:rsidRPr="00515F19">
              <w:rPr>
                <w:spacing w:val="-4"/>
                <w:sz w:val="16"/>
                <w:szCs w:val="16"/>
              </w:rPr>
              <w:t>Victorian Department of Health and Human Services </w:t>
            </w:r>
            <w:r w:rsidR="00C65A42" w:rsidRPr="00515F19">
              <w:rPr>
                <w:rFonts w:cs="Arial"/>
                <w:spacing w:val="-4"/>
                <w:sz w:val="16"/>
                <w:szCs w:val="16"/>
              </w:rPr>
              <w:t>(2011)</w:t>
            </w:r>
            <w:r w:rsidR="00943FEB" w:rsidRPr="00515F19">
              <w:rPr>
                <w:spacing w:val="-4"/>
                <w:sz w:val="16"/>
                <w:szCs w:val="16"/>
              </w:rPr>
              <w:t>; Victorian Department of Human Services </w:t>
            </w:r>
            <w:r w:rsidR="00C65A42" w:rsidRPr="00515F19">
              <w:rPr>
                <w:rFonts w:cs="Arial"/>
                <w:spacing w:val="-4"/>
                <w:sz w:val="16"/>
                <w:szCs w:val="16"/>
              </w:rPr>
              <w:t>(2006)</w:t>
            </w:r>
            <w:r w:rsidR="00943FEB" w:rsidRPr="00515F19">
              <w:rPr>
                <w:spacing w:val="-4"/>
                <w:sz w:val="16"/>
                <w:szCs w:val="16"/>
              </w:rPr>
              <w:t xml:space="preserve">; </w:t>
            </w:r>
            <w:r w:rsidR="0095242F" w:rsidRPr="00515F19">
              <w:rPr>
                <w:spacing w:val="-4"/>
                <w:sz w:val="16"/>
                <w:szCs w:val="16"/>
              </w:rPr>
              <w:t>Western Sydney Local Health District and PHN Western Sydney </w:t>
            </w:r>
            <w:r w:rsidR="00C65A42" w:rsidRPr="00515F19">
              <w:rPr>
                <w:rFonts w:cs="Arial"/>
                <w:spacing w:val="-4"/>
                <w:sz w:val="16"/>
                <w:szCs w:val="16"/>
              </w:rPr>
              <w:t>(2016a)</w:t>
            </w:r>
            <w:r w:rsidR="00943FEB" w:rsidRPr="00515F19">
              <w:rPr>
                <w:spacing w:val="-4"/>
                <w:sz w:val="16"/>
                <w:szCs w:val="16"/>
              </w:rPr>
              <w:t>.</w:t>
            </w:r>
          </w:p>
        </w:tc>
      </w:tr>
      <w:tr w:rsidR="00292BEC" w:rsidRPr="000863A5" w14:paraId="1EA392D7" w14:textId="77777777" w:rsidTr="00452532">
        <w:tc>
          <w:tcPr>
            <w:tcW w:w="5000" w:type="pct"/>
            <w:tcBorders>
              <w:top w:val="single" w:sz="6" w:space="0" w:color="78A22F"/>
              <w:left w:val="nil"/>
              <w:bottom w:val="nil"/>
              <w:right w:val="nil"/>
            </w:tcBorders>
          </w:tcPr>
          <w:p w14:paraId="1EA392D6" w14:textId="77777777" w:rsidR="00292BEC" w:rsidRPr="00626D32" w:rsidRDefault="00292BEC" w:rsidP="00515F19">
            <w:pPr>
              <w:pStyle w:val="BoxSpaceBelow"/>
              <w:spacing w:before="0" w:after="0"/>
            </w:pPr>
          </w:p>
        </w:tc>
      </w:tr>
    </w:tbl>
    <w:p w14:paraId="1EA392D8" w14:textId="77777777" w:rsidR="002837CA" w:rsidRPr="002837CA" w:rsidRDefault="002837CA" w:rsidP="00515F19">
      <w:pPr>
        <w:spacing w:line="300" w:lineRule="atLeast"/>
        <w:jc w:val="both"/>
        <w:sectPr w:rsidR="002837CA" w:rsidRPr="002837CA" w:rsidSect="00E9640C">
          <w:headerReference w:type="even" r:id="rId42"/>
          <w:headerReference w:type="default" r:id="rId43"/>
          <w:footerReference w:type="even" r:id="rId44"/>
          <w:footerReference w:type="default" r:id="rId45"/>
          <w:pgSz w:w="16840" w:h="11907" w:orient="landscape" w:code="9"/>
          <w:pgMar w:top="1814" w:right="1985" w:bottom="1304" w:left="1418" w:header="1701" w:footer="567" w:gutter="0"/>
          <w:pgNumType w:chapSep="period"/>
          <w:cols w:space="720"/>
          <w:docGrid w:linePitch="299"/>
        </w:sectPr>
      </w:pPr>
    </w:p>
    <w:p w14:paraId="1EA392D9" w14:textId="77777777" w:rsidR="0012268A" w:rsidRDefault="009C09EF" w:rsidP="0012268A">
      <w:pPr>
        <w:pStyle w:val="Heading1"/>
        <w:spacing w:before="0"/>
      </w:pPr>
      <w:bookmarkStart w:id="125" w:name="_Toc488929724"/>
      <w:bookmarkStart w:id="126" w:name="_Toc489250102"/>
      <w:r>
        <w:t>B</w:t>
      </w:r>
      <w:r w:rsidR="0012268A">
        <w:tab/>
        <w:t>What does the international evidence show?</w:t>
      </w:r>
      <w:bookmarkEnd w:id="125"/>
      <w:bookmarkEnd w:id="126"/>
    </w:p>
    <w:p w14:paraId="1EA392DA" w14:textId="77777777" w:rsidR="0012268A" w:rsidRDefault="0012268A" w:rsidP="0012268A">
      <w:pPr>
        <w:pStyle w:val="BodyText"/>
      </w:pPr>
      <w:r>
        <w:t>Despite the gains from integrating care around the patient and the priority given to integrated, patient</w:t>
      </w:r>
      <w:r>
        <w:noBreakHyphen/>
        <w:t>centred care by leading reformers such as the United Kingdom and the United States, no entire country has yet negotiated the transition. Nevertheless, several sub</w:t>
      </w:r>
      <w:r>
        <w:noBreakHyphen/>
        <w:t>national organisations have successfully integrated their health system around the patient, including Kaiser Permanente, Intermountain and Veterans’ Affairs in the United States; Canterbury in New Zealand; Kinzigtal in Germany</w:t>
      </w:r>
      <w:r w:rsidRPr="00F72FDD">
        <w:t xml:space="preserve">; </w:t>
      </w:r>
      <w:r>
        <w:t xml:space="preserve">and </w:t>
      </w:r>
      <w:r w:rsidRPr="00F72FDD">
        <w:t>Jonkoping County Council in Sweden</w:t>
      </w:r>
      <w:r>
        <w:t xml:space="preserve">. </w:t>
      </w:r>
    </w:p>
    <w:p w14:paraId="1EA392DB" w14:textId="77777777" w:rsidR="0012268A" w:rsidRDefault="0012268A" w:rsidP="0012268A">
      <w:pPr>
        <w:pStyle w:val="BodyText"/>
      </w:pPr>
      <w:r>
        <w:t>These international models illustrate the various options for designing such systems and provide more comprehensive evidence about impacts than can be obtained from the more limited Australian experiences. Such integrated systems of care have led to strong gains in health outcomes for patients, reductions in costs and improvements in the patient’s experience of care. What has emerged from these efforts is a relatively recent body of research into the key elements of a successful transition pathway to an integrated, patient</w:t>
      </w:r>
      <w:r>
        <w:noBreakHyphen/>
        <w:t>centred health system, with immediate application to Australia.</w:t>
      </w:r>
    </w:p>
    <w:p w14:paraId="1EA392DC" w14:textId="77777777" w:rsidR="0012268A" w:rsidRDefault="0012268A" w:rsidP="0012268A">
      <w:pPr>
        <w:pStyle w:val="BodyText"/>
      </w:pPr>
      <w:r>
        <w:t>Because of the cultural and institutional similarities with Australia, the experience of Canterbury in New Zealand is of particular relevance to Australia. However, a more complete picture of integrated care is provided by also considering experiences in other nations.</w:t>
      </w:r>
    </w:p>
    <w:p w14:paraId="1EA392DD" w14:textId="77777777" w:rsidR="0012268A" w:rsidRDefault="009C09EF" w:rsidP="0012268A">
      <w:pPr>
        <w:pStyle w:val="Heading2"/>
      </w:pPr>
      <w:bookmarkStart w:id="127" w:name="_Toc485912907"/>
      <w:bookmarkStart w:id="128" w:name="_Toc488929725"/>
      <w:bookmarkStart w:id="129" w:name="_Toc488930021"/>
      <w:bookmarkStart w:id="130" w:name="_Toc489250103"/>
      <w:r>
        <w:t>B</w:t>
      </w:r>
      <w:r w:rsidR="0012268A">
        <w:t>.1</w:t>
      </w:r>
      <w:r w:rsidR="0012268A">
        <w:tab/>
        <w:t>Canterbury, New Zealand</w:t>
      </w:r>
      <w:bookmarkEnd w:id="127"/>
      <w:bookmarkEnd w:id="128"/>
      <w:bookmarkEnd w:id="129"/>
      <w:bookmarkEnd w:id="130"/>
    </w:p>
    <w:p w14:paraId="1EA392DE" w14:textId="77777777" w:rsidR="0012268A" w:rsidRDefault="0012268A" w:rsidP="004E0007">
      <w:pPr>
        <w:pStyle w:val="Heading3"/>
      </w:pPr>
      <w:r>
        <w:t>Background</w:t>
      </w:r>
    </w:p>
    <w:p w14:paraId="1EA392DF" w14:textId="77777777" w:rsidR="0012268A" w:rsidRDefault="0012268A" w:rsidP="0012268A">
      <w:pPr>
        <w:pStyle w:val="BodyText"/>
      </w:pPr>
      <w:r>
        <w:t>The Canterbury system in New Zealand is one of the world’s leading examples of how to transition from fragmented care to coordinated care </w:t>
      </w:r>
      <w:r w:rsidR="00C65A42" w:rsidRPr="00C65A42">
        <w:rPr>
          <w:szCs w:val="24"/>
        </w:rPr>
        <w:t>(Timmins and Ham 2013)</w:t>
      </w:r>
      <w:r>
        <w:t xml:space="preserve">. From 2006, Canterbury has been on a path of continuous innovation to achieve better outcomes for patients, including less waiting time, within a hard budget constraint. A key component has been the engagement of the entire health workforce in the process of identifying how to improve. Its innovations have included: </w:t>
      </w:r>
    </w:p>
    <w:p w14:paraId="1EA392E0" w14:textId="77777777" w:rsidR="0012268A" w:rsidRDefault="0012268A" w:rsidP="00EA3E6B">
      <w:pPr>
        <w:pStyle w:val="ListBullet"/>
      </w:pPr>
      <w:r>
        <w:t xml:space="preserve">HealthPathways </w:t>
      </w:r>
      <w:r w:rsidR="00006334">
        <w:t>that</w:t>
      </w:r>
      <w:r>
        <w:t xml:space="preserve"> set out for GPs the localised, best practice approach. </w:t>
      </w:r>
      <w:r w:rsidR="00EA3E6B">
        <w:t>They</w:t>
      </w:r>
      <w:r>
        <w:t xml:space="preserve"> are developed and maintained by GPs and hospital specialists in collaboration and are the default expectation for referrals, diagnostics and prescriptions. HealthPathways are also translated into simple terms for patients.</w:t>
      </w:r>
    </w:p>
    <w:p w14:paraId="1EA392E1" w14:textId="77777777" w:rsidR="0012268A" w:rsidRDefault="0012268A" w:rsidP="00EA3E6B">
      <w:pPr>
        <w:pStyle w:val="ListBullet"/>
      </w:pPr>
      <w:r>
        <w:t>an electronic request and referral system used by GPs that is based on agreed HealthPathways</w:t>
      </w:r>
    </w:p>
    <w:p w14:paraId="1EA392E2" w14:textId="77777777" w:rsidR="0012268A" w:rsidRDefault="0012268A" w:rsidP="00EA3E6B">
      <w:pPr>
        <w:pStyle w:val="ListBullet"/>
      </w:pPr>
      <w:r>
        <w:t>a data portal for sharing patient records between hospitals and GPs</w:t>
      </w:r>
    </w:p>
    <w:p w14:paraId="1EA392E3" w14:textId="77777777" w:rsidR="0012268A" w:rsidRDefault="0012268A" w:rsidP="00EA3E6B">
      <w:pPr>
        <w:pStyle w:val="ListBullet"/>
      </w:pPr>
      <w:r>
        <w:t>a specialist phone line for GPs to support them to manage more complex cases</w:t>
      </w:r>
    </w:p>
    <w:p w14:paraId="1EA392E4" w14:textId="77777777" w:rsidR="0012268A" w:rsidRDefault="0012268A" w:rsidP="00EA3E6B">
      <w:pPr>
        <w:pStyle w:val="ListBullet"/>
      </w:pPr>
      <w:r>
        <w:t>alliance contracting in place of fee</w:t>
      </w:r>
      <w:r>
        <w:noBreakHyphen/>
        <w:t>for</w:t>
      </w:r>
      <w:r>
        <w:noBreakHyphen/>
        <w:t>service for the commissioning of services by the District Health Board (estimated by the Board to have delivered several million dollars of savings since its introduction)</w:t>
      </w:r>
    </w:p>
    <w:p w14:paraId="1EA392E5" w14:textId="77777777" w:rsidR="0012268A" w:rsidRDefault="0012268A" w:rsidP="00EA3E6B">
      <w:pPr>
        <w:pStyle w:val="ListBullet"/>
      </w:pPr>
      <w:r>
        <w:t>teams of hospital specialists and staff to manage patients with specific chronic conditions, taking the pressure of the emergency department and extending care to patients outside of the hospital, both in their home and through the support of their GPs</w:t>
      </w:r>
    </w:p>
    <w:p w14:paraId="1EA392E6" w14:textId="77777777" w:rsidR="0012268A" w:rsidRDefault="0012268A" w:rsidP="00EA3E6B">
      <w:pPr>
        <w:pStyle w:val="ListBullet"/>
      </w:pPr>
      <w:r>
        <w:t>the local GP association built a 24</w:t>
      </w:r>
      <w:r>
        <w:noBreakHyphen/>
        <w:t xml:space="preserve">hour surgery and care facility, staffed mainly by GPs. The capacity of the clinic is supported by HealthPathways and by telephone access to hospital specialists. </w:t>
      </w:r>
    </w:p>
    <w:p w14:paraId="1EA392E7" w14:textId="2447D05D" w:rsidR="0012268A" w:rsidRDefault="0012268A" w:rsidP="0012268A">
      <w:pPr>
        <w:pStyle w:val="BodyText"/>
      </w:pPr>
      <w:r>
        <w:t xml:space="preserve">Given the similarities in institutional and cultural structures, the Canterbury example is also one of the most pertinent for Australia. In New Zealand, District Health Boards manage hospital and other government services in their region, similar in function to Local Hospital Networks in Australia. District Health Boards in New Zealand are on average responsible for a population of </w:t>
      </w:r>
      <w:r w:rsidR="008844B7">
        <w:t>about</w:t>
      </w:r>
      <w:r>
        <w:t xml:space="preserve"> 500</w:t>
      </w:r>
      <w:r w:rsidR="005534A3">
        <w:t> </w:t>
      </w:r>
      <w:r>
        <w:t>000, also comparable with the average size of the population served by Australia’s individual Local Hospital Networks. However, unlike Local Hospital Networks in Australia, District Health Boards also manage</w:t>
      </w:r>
      <w:r w:rsidR="005C3863">
        <w:t xml:space="preserve"> aged care and disability care.</w:t>
      </w:r>
    </w:p>
    <w:p w14:paraId="1EA392E8" w14:textId="0F3BFFE1" w:rsidR="0012268A" w:rsidRDefault="0012268A" w:rsidP="0012268A">
      <w:pPr>
        <w:pStyle w:val="BodyText"/>
      </w:pPr>
      <w:r>
        <w:t>As in Australia, private GPs in New Zealand provide the bulk of primary care, funded on a fee</w:t>
      </w:r>
      <w:r>
        <w:noBreakHyphen/>
        <w:t>for</w:t>
      </w:r>
      <w:r>
        <w:noBreakHyphen/>
        <w:t>service basis by the government, although New Zealanders make a larger co</w:t>
      </w:r>
      <w:r>
        <w:noBreakHyphen/>
        <w:t xml:space="preserve">contribution for GP services than Australians. </w:t>
      </w:r>
      <w:r w:rsidR="008844B7">
        <w:t>About</w:t>
      </w:r>
      <w:r>
        <w:t xml:space="preserve"> 30 per cent of New Zealanders are covered by private health insurance, </w:t>
      </w:r>
      <w:r w:rsidR="005C3863">
        <w:t xml:space="preserve">which is </w:t>
      </w:r>
      <w:r>
        <w:t xml:space="preserve">less than in Australia, but private health insurance in New Zealand can be comprehensive, covering primary and all other health services. </w:t>
      </w:r>
    </w:p>
    <w:p w14:paraId="1EA392E9" w14:textId="77777777" w:rsidR="0012268A" w:rsidRDefault="0012268A" w:rsidP="0012268A">
      <w:pPr>
        <w:pStyle w:val="Heading3"/>
      </w:pPr>
      <w:r>
        <w:t>Evidence</w:t>
      </w:r>
    </w:p>
    <w:p w14:paraId="1EA392EA" w14:textId="77777777" w:rsidR="0012268A" w:rsidRDefault="0012268A" w:rsidP="0012268A">
      <w:pPr>
        <w:pStyle w:val="BodyText"/>
      </w:pPr>
      <w:r>
        <w:t xml:space="preserve">The </w:t>
      </w:r>
      <w:r w:rsidRPr="00D748F7">
        <w:t xml:space="preserve">Canterbury </w:t>
      </w:r>
      <w:r>
        <w:t xml:space="preserve">experience was not implemented as a randomised control trial or with the intent of demonstrating its success. Its effectiveness must therefore be assessed by using a range of data sources. The evidence is: </w:t>
      </w:r>
    </w:p>
    <w:p w14:paraId="1EA392EB" w14:textId="6345EDBA" w:rsidR="0012268A" w:rsidRDefault="0012268A" w:rsidP="00EA3E6B">
      <w:pPr>
        <w:pStyle w:val="ListBullet"/>
      </w:pPr>
      <w:r>
        <w:t>the Canterbury District Health Board was in deficit in the early 2000s and was anticipating a serious deterioration in financial capacity. At that point, the Canterbury Board decided to change direction and launched its process of reform, focused on valuing the patient’s time. Ten years later, the Canterbury Board was highly rated by the Auditor General for its financial performance in 2011</w:t>
      </w:r>
      <w:r>
        <w:noBreakHyphen/>
        <w:t xml:space="preserve">12 </w:t>
      </w:r>
      <w:r w:rsidR="005C3863">
        <w:t>—</w:t>
      </w:r>
      <w:r>
        <w:t xml:space="preserve"> its financial systems were rated as ‘good’, it was one of two health boards with a ‘very good’ control environment and was one of the top 4 per cent of public entities with a ‘very good’ service performance </w:t>
      </w:r>
      <w:r w:rsidR="00C65A42" w:rsidRPr="00C65A42">
        <w:rPr>
          <w:szCs w:val="24"/>
        </w:rPr>
        <w:t>(New Zealand Controller and Auditor General 2013)</w:t>
      </w:r>
      <w:r>
        <w:t>.</w:t>
      </w:r>
    </w:p>
    <w:p w14:paraId="1EA392EC" w14:textId="77777777" w:rsidR="0012268A" w:rsidRDefault="0012268A" w:rsidP="00EA3E6B">
      <w:pPr>
        <w:pStyle w:val="ListBullet"/>
      </w:pPr>
      <w:r>
        <w:t>Because it aims to value patient time, the Canterbury Board measures saved patient days of waiting. Over the three years to 2013, the Canterbury Board estimates that HealthPathways and other measures have saved patients 1.5 million days of waiting.</w:t>
      </w:r>
    </w:p>
    <w:p w14:paraId="1EA392ED" w14:textId="77777777" w:rsidR="0012268A" w:rsidRDefault="0012268A" w:rsidP="00EA3E6B">
      <w:pPr>
        <w:pStyle w:val="ListBullet"/>
      </w:pPr>
      <w:r>
        <w:t xml:space="preserve">Prior to reform, Christchurch Hospital in Canterbury regularly reached maximum capacity and could not take more patients. </w:t>
      </w:r>
      <w:r w:rsidR="00DE0AF3">
        <w:t>Following the transition</w:t>
      </w:r>
      <w:r>
        <w:t xml:space="preserve"> to coordination of primary and hospital care, the hospital rarely reaches full capacity. For example, the daily occupancy rate in Christchurch Hospital in 2012 usually ranged between 75 and 95 per cent, rarely reaching 100 per cent.</w:t>
      </w:r>
    </w:p>
    <w:p w14:paraId="1EA392EE" w14:textId="77777777" w:rsidR="0012268A" w:rsidRDefault="0012268A" w:rsidP="00EA3E6B">
      <w:pPr>
        <w:pStyle w:val="ListBullet"/>
      </w:pPr>
      <w:r>
        <w:t>The acute, age</w:t>
      </w:r>
      <w:r>
        <w:noBreakHyphen/>
        <w:t xml:space="preserve">standardised hospital admission rate was </w:t>
      </w:r>
      <w:r w:rsidR="008844B7">
        <w:t>about</w:t>
      </w:r>
      <w:r>
        <w:t xml:space="preserve"> 20 per cent below the New Zealand average in 2006</w:t>
      </w:r>
      <w:r>
        <w:noBreakHyphen/>
        <w:t>07, reflecting earlier progress in the quality of primary care (table 1.1). Since then, coinciding with the ongoing transition to an integrated system of care around the patient, the rate has fallen further to be 30 per cent below the New Zealand average. In contrast, that of all other major district health boards (which have not transitioned to a system of patient</w:t>
      </w:r>
      <w:r>
        <w:noBreakHyphen/>
        <w:t>centred care) have remained relatively unchanged and have continued to exceed the national average.</w:t>
      </w:r>
    </w:p>
    <w:p w14:paraId="1EA392EF" w14:textId="77777777" w:rsidR="0012268A" w:rsidRDefault="0012268A" w:rsidP="0012268A">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2268A" w14:paraId="1EA392F2" w14:textId="77777777" w:rsidTr="00515F19">
        <w:tc>
          <w:tcPr>
            <w:tcW w:w="8789" w:type="dxa"/>
            <w:tcBorders>
              <w:top w:val="single" w:sz="6" w:space="0" w:color="78A22F"/>
              <w:left w:val="nil"/>
              <w:bottom w:val="nil"/>
              <w:right w:val="nil"/>
            </w:tcBorders>
            <w:shd w:val="clear" w:color="auto" w:fill="auto"/>
          </w:tcPr>
          <w:p w14:paraId="1EA392F0" w14:textId="77777777" w:rsidR="0012268A" w:rsidRDefault="0012268A" w:rsidP="00B97386">
            <w:pPr>
              <w:pStyle w:val="TableTitle"/>
            </w:pPr>
            <w:r w:rsidRPr="00944790">
              <w:rPr>
                <w:b w:val="0"/>
              </w:rPr>
              <w:t xml:space="preserve">Table </w:t>
            </w:r>
            <w:r w:rsidR="009C09EF" w:rsidRPr="00944790">
              <w:rPr>
                <w:b w:val="0"/>
              </w:rPr>
              <w:t>B</w:t>
            </w:r>
            <w:r w:rsidRPr="00944790">
              <w:rPr>
                <w:b w:val="0"/>
              </w:rPr>
              <w:t>.1</w:t>
            </w:r>
            <w:r w:rsidRPr="00AF098D">
              <w:tab/>
            </w:r>
            <w:r>
              <w:t>Age</w:t>
            </w:r>
            <w:r>
              <w:noBreakHyphen/>
              <w:t>standardised acute medical admissions per annum</w:t>
            </w:r>
          </w:p>
          <w:p w14:paraId="1EA392F1" w14:textId="77777777" w:rsidR="0012268A" w:rsidRPr="00784A05" w:rsidRDefault="0012268A" w:rsidP="00B97386">
            <w:pPr>
              <w:pStyle w:val="Subtitle"/>
            </w:pPr>
            <w:r>
              <w:t xml:space="preserve">Canterbury </w:t>
            </w:r>
            <w:r w:rsidR="00826A73">
              <w:t>District H</w:t>
            </w:r>
            <w:r>
              <w:t xml:space="preserve">ealth </w:t>
            </w:r>
            <w:r w:rsidR="00826A73">
              <w:t>B</w:t>
            </w:r>
            <w:r>
              <w:t>oard and New Zealand</w:t>
            </w:r>
          </w:p>
        </w:tc>
      </w:tr>
      <w:tr w:rsidR="0012268A" w14:paraId="1EA3931C" w14:textId="77777777" w:rsidTr="00515F19">
        <w:tc>
          <w:tcPr>
            <w:tcW w:w="8789"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122"/>
              <w:gridCol w:w="925"/>
              <w:gridCol w:w="925"/>
              <w:gridCol w:w="924"/>
              <w:gridCol w:w="924"/>
              <w:gridCol w:w="924"/>
              <w:gridCol w:w="924"/>
              <w:gridCol w:w="924"/>
              <w:gridCol w:w="913"/>
            </w:tblGrid>
            <w:tr w:rsidR="0012268A" w14:paraId="1EA392FC" w14:textId="77777777" w:rsidTr="00B97386">
              <w:trPr>
                <w:tblHeader/>
              </w:trPr>
              <w:tc>
                <w:tcPr>
                  <w:tcW w:w="659" w:type="pct"/>
                  <w:tcBorders>
                    <w:top w:val="single" w:sz="6" w:space="0" w:color="BFBFBF"/>
                    <w:bottom w:val="single" w:sz="6" w:space="0" w:color="BFBFBF"/>
                  </w:tcBorders>
                  <w:shd w:val="clear" w:color="auto" w:fill="auto"/>
                  <w:tcMar>
                    <w:top w:w="28" w:type="dxa"/>
                  </w:tcMar>
                </w:tcPr>
                <w:p w14:paraId="1EA392F3" w14:textId="77777777" w:rsidR="0012268A" w:rsidRDefault="0012268A" w:rsidP="00B97386">
                  <w:pPr>
                    <w:pStyle w:val="TableColumnHeading"/>
                    <w:jc w:val="left"/>
                  </w:pPr>
                </w:p>
              </w:tc>
              <w:tc>
                <w:tcPr>
                  <w:tcW w:w="544" w:type="pct"/>
                  <w:tcBorders>
                    <w:top w:val="single" w:sz="6" w:space="0" w:color="BFBFBF"/>
                    <w:bottom w:val="single" w:sz="6" w:space="0" w:color="BFBFBF"/>
                  </w:tcBorders>
                </w:tcPr>
                <w:p w14:paraId="1EA392F4" w14:textId="77777777" w:rsidR="0012268A" w:rsidRDefault="0012268A" w:rsidP="00B97386">
                  <w:pPr>
                    <w:pStyle w:val="TableColumnHeading"/>
                  </w:pPr>
                  <w:r>
                    <w:t>2006</w:t>
                  </w:r>
                  <w:r>
                    <w:noBreakHyphen/>
                    <w:t>07</w:t>
                  </w:r>
                </w:p>
              </w:tc>
              <w:tc>
                <w:tcPr>
                  <w:tcW w:w="544" w:type="pct"/>
                  <w:tcBorders>
                    <w:top w:val="single" w:sz="6" w:space="0" w:color="BFBFBF"/>
                    <w:bottom w:val="single" w:sz="6" w:space="0" w:color="BFBFBF"/>
                  </w:tcBorders>
                  <w:shd w:val="clear" w:color="auto" w:fill="auto"/>
                  <w:tcMar>
                    <w:top w:w="28" w:type="dxa"/>
                  </w:tcMar>
                </w:tcPr>
                <w:p w14:paraId="1EA392F5" w14:textId="77777777" w:rsidR="0012268A" w:rsidRDefault="0012268A" w:rsidP="00B97386">
                  <w:pPr>
                    <w:pStyle w:val="TableColumnHeading"/>
                  </w:pPr>
                  <w:r>
                    <w:t>2007</w:t>
                  </w:r>
                  <w:r>
                    <w:noBreakHyphen/>
                    <w:t>08</w:t>
                  </w:r>
                </w:p>
              </w:tc>
              <w:tc>
                <w:tcPr>
                  <w:tcW w:w="543" w:type="pct"/>
                  <w:tcBorders>
                    <w:top w:val="single" w:sz="6" w:space="0" w:color="BFBFBF"/>
                    <w:bottom w:val="single" w:sz="6" w:space="0" w:color="BFBFBF"/>
                  </w:tcBorders>
                </w:tcPr>
                <w:p w14:paraId="1EA392F6" w14:textId="77777777" w:rsidR="0012268A" w:rsidRDefault="0012268A" w:rsidP="00B97386">
                  <w:pPr>
                    <w:pStyle w:val="TableColumnHeading"/>
                    <w:ind w:right="28"/>
                  </w:pPr>
                  <w:r>
                    <w:t>2008</w:t>
                  </w:r>
                  <w:r>
                    <w:noBreakHyphen/>
                    <w:t>09</w:t>
                  </w:r>
                </w:p>
              </w:tc>
              <w:tc>
                <w:tcPr>
                  <w:tcW w:w="543" w:type="pct"/>
                  <w:tcBorders>
                    <w:top w:val="single" w:sz="6" w:space="0" w:color="BFBFBF"/>
                    <w:bottom w:val="single" w:sz="6" w:space="0" w:color="BFBFBF"/>
                  </w:tcBorders>
                </w:tcPr>
                <w:p w14:paraId="1EA392F7" w14:textId="77777777" w:rsidR="0012268A" w:rsidRDefault="0012268A" w:rsidP="00B97386">
                  <w:pPr>
                    <w:pStyle w:val="TableColumnHeading"/>
                    <w:ind w:right="28"/>
                  </w:pPr>
                  <w:r>
                    <w:t>2009</w:t>
                  </w:r>
                  <w:r>
                    <w:noBreakHyphen/>
                    <w:t>10</w:t>
                  </w:r>
                </w:p>
              </w:tc>
              <w:tc>
                <w:tcPr>
                  <w:tcW w:w="543" w:type="pct"/>
                  <w:tcBorders>
                    <w:top w:val="single" w:sz="6" w:space="0" w:color="BFBFBF"/>
                    <w:bottom w:val="single" w:sz="6" w:space="0" w:color="BFBFBF"/>
                  </w:tcBorders>
                </w:tcPr>
                <w:p w14:paraId="1EA392F8" w14:textId="77777777" w:rsidR="0012268A" w:rsidRDefault="0012268A" w:rsidP="00B97386">
                  <w:pPr>
                    <w:pStyle w:val="TableColumnHeading"/>
                    <w:ind w:right="28"/>
                  </w:pPr>
                  <w:r>
                    <w:t>2010</w:t>
                  </w:r>
                  <w:r>
                    <w:noBreakHyphen/>
                    <w:t>11</w:t>
                  </w:r>
                </w:p>
              </w:tc>
              <w:tc>
                <w:tcPr>
                  <w:tcW w:w="543" w:type="pct"/>
                  <w:tcBorders>
                    <w:top w:val="single" w:sz="6" w:space="0" w:color="BFBFBF"/>
                    <w:bottom w:val="single" w:sz="6" w:space="0" w:color="BFBFBF"/>
                  </w:tcBorders>
                </w:tcPr>
                <w:p w14:paraId="1EA392F9" w14:textId="77777777" w:rsidR="0012268A" w:rsidRDefault="0012268A" w:rsidP="00B97386">
                  <w:pPr>
                    <w:pStyle w:val="TableColumnHeading"/>
                    <w:ind w:right="28"/>
                  </w:pPr>
                  <w:r>
                    <w:t>2011</w:t>
                  </w:r>
                  <w:r>
                    <w:noBreakHyphen/>
                    <w:t>12</w:t>
                  </w:r>
                </w:p>
              </w:tc>
              <w:tc>
                <w:tcPr>
                  <w:tcW w:w="543" w:type="pct"/>
                  <w:tcBorders>
                    <w:top w:val="single" w:sz="6" w:space="0" w:color="BFBFBF"/>
                    <w:bottom w:val="single" w:sz="6" w:space="0" w:color="BFBFBF"/>
                  </w:tcBorders>
                </w:tcPr>
                <w:p w14:paraId="1EA392FA" w14:textId="77777777" w:rsidR="0012268A" w:rsidRDefault="0012268A" w:rsidP="00B97386">
                  <w:pPr>
                    <w:pStyle w:val="TableColumnHeading"/>
                    <w:ind w:right="28"/>
                  </w:pPr>
                  <w:r>
                    <w:t>2012</w:t>
                  </w:r>
                  <w:r>
                    <w:noBreakHyphen/>
                    <w:t>13</w:t>
                  </w:r>
                </w:p>
              </w:tc>
              <w:tc>
                <w:tcPr>
                  <w:tcW w:w="537" w:type="pct"/>
                  <w:tcBorders>
                    <w:top w:val="single" w:sz="6" w:space="0" w:color="BFBFBF"/>
                    <w:bottom w:val="single" w:sz="6" w:space="0" w:color="BFBFBF"/>
                  </w:tcBorders>
                  <w:shd w:val="clear" w:color="auto" w:fill="auto"/>
                  <w:tcMar>
                    <w:top w:w="28" w:type="dxa"/>
                  </w:tcMar>
                </w:tcPr>
                <w:p w14:paraId="1EA392FB" w14:textId="77777777" w:rsidR="0012268A" w:rsidRDefault="0012268A" w:rsidP="00B97386">
                  <w:pPr>
                    <w:pStyle w:val="TableColumnHeading"/>
                    <w:ind w:right="28"/>
                  </w:pPr>
                  <w:r>
                    <w:t>2013</w:t>
                  </w:r>
                  <w:r>
                    <w:noBreakHyphen/>
                    <w:t>14</w:t>
                  </w:r>
                </w:p>
              </w:tc>
            </w:tr>
            <w:tr w:rsidR="0012268A" w14:paraId="1EA39306" w14:textId="77777777" w:rsidTr="00B97386">
              <w:tc>
                <w:tcPr>
                  <w:tcW w:w="659" w:type="pct"/>
                  <w:tcBorders>
                    <w:top w:val="single" w:sz="6" w:space="0" w:color="BFBFBF"/>
                  </w:tcBorders>
                </w:tcPr>
                <w:p w14:paraId="1EA392FD" w14:textId="77777777" w:rsidR="0012268A" w:rsidRDefault="0012268A" w:rsidP="00B97386">
                  <w:pPr>
                    <w:pStyle w:val="TableUnitsRow"/>
                    <w:jc w:val="left"/>
                  </w:pPr>
                  <w:r>
                    <w:t>Canterbury</w:t>
                  </w:r>
                </w:p>
              </w:tc>
              <w:tc>
                <w:tcPr>
                  <w:tcW w:w="544" w:type="pct"/>
                  <w:tcBorders>
                    <w:top w:val="single" w:sz="6" w:space="0" w:color="BFBFBF"/>
                  </w:tcBorders>
                </w:tcPr>
                <w:p w14:paraId="1EA392FE" w14:textId="77777777" w:rsidR="0012268A" w:rsidRDefault="0012268A" w:rsidP="00B97386">
                  <w:pPr>
                    <w:pStyle w:val="TableUnitsRow"/>
                  </w:pPr>
                  <w:r>
                    <w:t>4</w:t>
                  </w:r>
                  <w:r w:rsidR="005534A3">
                    <w:t> </w:t>
                  </w:r>
                  <w:r>
                    <w:t>798</w:t>
                  </w:r>
                </w:p>
              </w:tc>
              <w:tc>
                <w:tcPr>
                  <w:tcW w:w="544" w:type="pct"/>
                  <w:tcBorders>
                    <w:top w:val="single" w:sz="6" w:space="0" w:color="BFBFBF"/>
                  </w:tcBorders>
                </w:tcPr>
                <w:p w14:paraId="1EA392FF" w14:textId="77777777" w:rsidR="0012268A" w:rsidRDefault="0012268A" w:rsidP="00B97386">
                  <w:pPr>
                    <w:pStyle w:val="TableUnitsRow"/>
                  </w:pPr>
                  <w:r>
                    <w:t>4</w:t>
                  </w:r>
                  <w:r w:rsidR="005534A3">
                    <w:t> </w:t>
                  </w:r>
                  <w:r>
                    <w:t>555</w:t>
                  </w:r>
                </w:p>
              </w:tc>
              <w:tc>
                <w:tcPr>
                  <w:tcW w:w="543" w:type="pct"/>
                  <w:tcBorders>
                    <w:top w:val="single" w:sz="6" w:space="0" w:color="BFBFBF"/>
                  </w:tcBorders>
                </w:tcPr>
                <w:p w14:paraId="1EA39300" w14:textId="77777777" w:rsidR="0012268A" w:rsidRDefault="0012268A" w:rsidP="00B97386">
                  <w:pPr>
                    <w:pStyle w:val="TableUnitsRow"/>
                    <w:ind w:right="28"/>
                  </w:pPr>
                  <w:r>
                    <w:t>4</w:t>
                  </w:r>
                  <w:r w:rsidR="005534A3">
                    <w:t> </w:t>
                  </w:r>
                  <w:r>
                    <w:t>757</w:t>
                  </w:r>
                </w:p>
              </w:tc>
              <w:tc>
                <w:tcPr>
                  <w:tcW w:w="543" w:type="pct"/>
                  <w:tcBorders>
                    <w:top w:val="single" w:sz="6" w:space="0" w:color="BFBFBF"/>
                  </w:tcBorders>
                </w:tcPr>
                <w:p w14:paraId="1EA39301" w14:textId="77777777" w:rsidR="0012268A" w:rsidRDefault="0012268A" w:rsidP="00B97386">
                  <w:pPr>
                    <w:pStyle w:val="TableUnitsRow"/>
                    <w:ind w:right="28"/>
                  </w:pPr>
                  <w:r>
                    <w:t>4</w:t>
                  </w:r>
                  <w:r w:rsidR="005534A3">
                    <w:t> </w:t>
                  </w:r>
                  <w:r>
                    <w:t>770</w:t>
                  </w:r>
                </w:p>
              </w:tc>
              <w:tc>
                <w:tcPr>
                  <w:tcW w:w="543" w:type="pct"/>
                  <w:tcBorders>
                    <w:top w:val="single" w:sz="6" w:space="0" w:color="BFBFBF"/>
                  </w:tcBorders>
                </w:tcPr>
                <w:p w14:paraId="1EA39302" w14:textId="77777777" w:rsidR="0012268A" w:rsidRDefault="0012268A" w:rsidP="00B97386">
                  <w:pPr>
                    <w:pStyle w:val="TableUnitsRow"/>
                    <w:ind w:right="28"/>
                  </w:pPr>
                  <w:r>
                    <w:t>5</w:t>
                  </w:r>
                  <w:r w:rsidR="005534A3">
                    <w:t> </w:t>
                  </w:r>
                  <w:r>
                    <w:t>017</w:t>
                  </w:r>
                </w:p>
              </w:tc>
              <w:tc>
                <w:tcPr>
                  <w:tcW w:w="543" w:type="pct"/>
                  <w:tcBorders>
                    <w:top w:val="single" w:sz="6" w:space="0" w:color="BFBFBF"/>
                  </w:tcBorders>
                </w:tcPr>
                <w:p w14:paraId="1EA39303" w14:textId="77777777" w:rsidR="0012268A" w:rsidRDefault="0012268A" w:rsidP="00B97386">
                  <w:pPr>
                    <w:pStyle w:val="TableUnitsRow"/>
                    <w:ind w:right="28"/>
                  </w:pPr>
                  <w:r>
                    <w:t>4</w:t>
                  </w:r>
                  <w:r w:rsidR="005534A3">
                    <w:t> </w:t>
                  </w:r>
                  <w:r>
                    <w:t>920</w:t>
                  </w:r>
                </w:p>
              </w:tc>
              <w:tc>
                <w:tcPr>
                  <w:tcW w:w="543" w:type="pct"/>
                  <w:tcBorders>
                    <w:top w:val="single" w:sz="6" w:space="0" w:color="BFBFBF"/>
                  </w:tcBorders>
                </w:tcPr>
                <w:p w14:paraId="1EA39304" w14:textId="77777777" w:rsidR="0012268A" w:rsidRDefault="0012268A" w:rsidP="00B97386">
                  <w:pPr>
                    <w:pStyle w:val="TableUnitsRow"/>
                    <w:ind w:right="28"/>
                  </w:pPr>
                  <w:r>
                    <w:t>4</w:t>
                  </w:r>
                  <w:r w:rsidR="005534A3">
                    <w:t> </w:t>
                  </w:r>
                  <w:r>
                    <w:t>947</w:t>
                  </w:r>
                </w:p>
              </w:tc>
              <w:tc>
                <w:tcPr>
                  <w:tcW w:w="537" w:type="pct"/>
                  <w:tcBorders>
                    <w:top w:val="single" w:sz="6" w:space="0" w:color="BFBFBF"/>
                  </w:tcBorders>
                </w:tcPr>
                <w:p w14:paraId="1EA39305" w14:textId="77777777" w:rsidR="0012268A" w:rsidRDefault="0012268A" w:rsidP="00B97386">
                  <w:pPr>
                    <w:pStyle w:val="TableUnitsRow"/>
                    <w:ind w:right="28"/>
                  </w:pPr>
                  <w:r>
                    <w:t>5</w:t>
                  </w:r>
                  <w:r w:rsidR="005534A3">
                    <w:t> </w:t>
                  </w:r>
                  <w:r>
                    <w:t>209</w:t>
                  </w:r>
                </w:p>
              </w:tc>
            </w:tr>
            <w:tr w:rsidR="0012268A" w14:paraId="1EA39310" w14:textId="77777777" w:rsidTr="00B97386">
              <w:tc>
                <w:tcPr>
                  <w:tcW w:w="659" w:type="pct"/>
                </w:tcPr>
                <w:p w14:paraId="1EA39307" w14:textId="77777777" w:rsidR="0012268A" w:rsidRDefault="0012268A" w:rsidP="00B97386">
                  <w:pPr>
                    <w:pStyle w:val="TableBodyText"/>
                    <w:jc w:val="left"/>
                  </w:pPr>
                  <w:r>
                    <w:t>NZ</w:t>
                  </w:r>
                </w:p>
              </w:tc>
              <w:tc>
                <w:tcPr>
                  <w:tcW w:w="544" w:type="pct"/>
                </w:tcPr>
                <w:p w14:paraId="1EA39308" w14:textId="77777777" w:rsidR="0012268A" w:rsidRDefault="0012268A" w:rsidP="00B97386">
                  <w:pPr>
                    <w:pStyle w:val="TableBodyText"/>
                  </w:pPr>
                  <w:r>
                    <w:t>5</w:t>
                  </w:r>
                  <w:r w:rsidR="005534A3">
                    <w:t> </w:t>
                  </w:r>
                  <w:r>
                    <w:t>813</w:t>
                  </w:r>
                </w:p>
              </w:tc>
              <w:tc>
                <w:tcPr>
                  <w:tcW w:w="544" w:type="pct"/>
                </w:tcPr>
                <w:p w14:paraId="1EA39309" w14:textId="77777777" w:rsidR="0012268A" w:rsidRDefault="0012268A" w:rsidP="00B97386">
                  <w:pPr>
                    <w:pStyle w:val="TableBodyText"/>
                  </w:pPr>
                  <w:r>
                    <w:t>5</w:t>
                  </w:r>
                  <w:r w:rsidR="005534A3">
                    <w:t> </w:t>
                  </w:r>
                  <w:r>
                    <w:t>829</w:t>
                  </w:r>
                </w:p>
              </w:tc>
              <w:tc>
                <w:tcPr>
                  <w:tcW w:w="543" w:type="pct"/>
                </w:tcPr>
                <w:p w14:paraId="1EA3930A" w14:textId="77777777" w:rsidR="0012268A" w:rsidRDefault="0012268A" w:rsidP="00B97386">
                  <w:pPr>
                    <w:pStyle w:val="TableBodyText"/>
                    <w:ind w:right="28"/>
                  </w:pPr>
                  <w:r>
                    <w:t>6</w:t>
                  </w:r>
                  <w:r w:rsidR="005534A3">
                    <w:t> </w:t>
                  </w:r>
                  <w:r>
                    <w:t>796</w:t>
                  </w:r>
                </w:p>
              </w:tc>
              <w:tc>
                <w:tcPr>
                  <w:tcW w:w="543" w:type="pct"/>
                </w:tcPr>
                <w:p w14:paraId="1EA3930B" w14:textId="77777777" w:rsidR="0012268A" w:rsidRDefault="0012268A" w:rsidP="00B97386">
                  <w:pPr>
                    <w:pStyle w:val="TableBodyText"/>
                    <w:ind w:right="28"/>
                  </w:pPr>
                  <w:r>
                    <w:t>6</w:t>
                  </w:r>
                  <w:r w:rsidR="005534A3">
                    <w:t> </w:t>
                  </w:r>
                  <w:r>
                    <w:t>865</w:t>
                  </w:r>
                </w:p>
              </w:tc>
              <w:tc>
                <w:tcPr>
                  <w:tcW w:w="543" w:type="pct"/>
                </w:tcPr>
                <w:p w14:paraId="1EA3930C" w14:textId="77777777" w:rsidR="0012268A" w:rsidRDefault="0012268A" w:rsidP="00B97386">
                  <w:pPr>
                    <w:pStyle w:val="TableBodyText"/>
                    <w:ind w:right="28"/>
                  </w:pPr>
                  <w:r>
                    <w:t>6</w:t>
                  </w:r>
                  <w:r w:rsidR="005534A3">
                    <w:t> </w:t>
                  </w:r>
                  <w:r>
                    <w:t>917</w:t>
                  </w:r>
                </w:p>
              </w:tc>
              <w:tc>
                <w:tcPr>
                  <w:tcW w:w="543" w:type="pct"/>
                </w:tcPr>
                <w:p w14:paraId="1EA3930D" w14:textId="77777777" w:rsidR="0012268A" w:rsidRDefault="0012268A" w:rsidP="00B97386">
                  <w:pPr>
                    <w:pStyle w:val="TableBodyText"/>
                    <w:ind w:right="28"/>
                  </w:pPr>
                  <w:r>
                    <w:t>7</w:t>
                  </w:r>
                  <w:r w:rsidR="005534A3">
                    <w:t> </w:t>
                  </w:r>
                  <w:r>
                    <w:t>197</w:t>
                  </w:r>
                </w:p>
              </w:tc>
              <w:tc>
                <w:tcPr>
                  <w:tcW w:w="543" w:type="pct"/>
                </w:tcPr>
                <w:p w14:paraId="1EA3930E" w14:textId="77777777" w:rsidR="0012268A" w:rsidRDefault="0012268A" w:rsidP="00B97386">
                  <w:pPr>
                    <w:pStyle w:val="TableBodyText"/>
                    <w:ind w:right="28"/>
                  </w:pPr>
                  <w:r>
                    <w:t>7</w:t>
                  </w:r>
                  <w:r w:rsidR="005534A3">
                    <w:t> </w:t>
                  </w:r>
                  <w:r>
                    <w:t>308</w:t>
                  </w:r>
                </w:p>
              </w:tc>
              <w:tc>
                <w:tcPr>
                  <w:tcW w:w="537" w:type="pct"/>
                </w:tcPr>
                <w:p w14:paraId="1EA3930F" w14:textId="77777777" w:rsidR="0012268A" w:rsidRDefault="0012268A" w:rsidP="00B97386">
                  <w:pPr>
                    <w:pStyle w:val="TableBodyText"/>
                    <w:ind w:right="28"/>
                  </w:pPr>
                  <w:r>
                    <w:t>7</w:t>
                  </w:r>
                  <w:r w:rsidR="005534A3">
                    <w:t> </w:t>
                  </w:r>
                  <w:r>
                    <w:t>426</w:t>
                  </w:r>
                </w:p>
              </w:tc>
            </w:tr>
            <w:tr w:rsidR="0012268A" w14:paraId="1EA3931A" w14:textId="77777777" w:rsidTr="00B97386">
              <w:tc>
                <w:tcPr>
                  <w:tcW w:w="659" w:type="pct"/>
                  <w:tcBorders>
                    <w:bottom w:val="single" w:sz="6" w:space="0" w:color="BFBFBF"/>
                  </w:tcBorders>
                  <w:shd w:val="clear" w:color="auto" w:fill="auto"/>
                </w:tcPr>
                <w:p w14:paraId="1EA39311" w14:textId="77777777" w:rsidR="0012268A" w:rsidRDefault="0012268A" w:rsidP="00B97386">
                  <w:pPr>
                    <w:pStyle w:val="TableBodyText"/>
                    <w:jc w:val="left"/>
                  </w:pPr>
                  <w:r>
                    <w:t>Ratio</w:t>
                  </w:r>
                  <w:r w:rsidRPr="008E77FE">
                    <w:rPr>
                      <w:rStyle w:val="NoteLabel"/>
                    </w:rPr>
                    <w:t xml:space="preserve"> a</w:t>
                  </w:r>
                </w:p>
              </w:tc>
              <w:tc>
                <w:tcPr>
                  <w:tcW w:w="544" w:type="pct"/>
                  <w:tcBorders>
                    <w:bottom w:val="single" w:sz="6" w:space="0" w:color="BFBFBF"/>
                  </w:tcBorders>
                </w:tcPr>
                <w:p w14:paraId="1EA39312" w14:textId="77777777" w:rsidR="0012268A" w:rsidRDefault="0012268A" w:rsidP="00B97386">
                  <w:pPr>
                    <w:pStyle w:val="TableBodyText"/>
                  </w:pPr>
                  <w:r w:rsidRPr="00296C0D">
                    <w:t>0.83</w:t>
                  </w:r>
                </w:p>
              </w:tc>
              <w:tc>
                <w:tcPr>
                  <w:tcW w:w="544" w:type="pct"/>
                  <w:tcBorders>
                    <w:bottom w:val="single" w:sz="6" w:space="0" w:color="BFBFBF"/>
                  </w:tcBorders>
                  <w:shd w:val="clear" w:color="auto" w:fill="auto"/>
                </w:tcPr>
                <w:p w14:paraId="1EA39313" w14:textId="77777777" w:rsidR="0012268A" w:rsidRDefault="0012268A" w:rsidP="00B97386">
                  <w:pPr>
                    <w:pStyle w:val="TableBodyText"/>
                  </w:pPr>
                  <w:r w:rsidRPr="00296C0D">
                    <w:t>0.78</w:t>
                  </w:r>
                </w:p>
              </w:tc>
              <w:tc>
                <w:tcPr>
                  <w:tcW w:w="543" w:type="pct"/>
                  <w:tcBorders>
                    <w:bottom w:val="single" w:sz="6" w:space="0" w:color="BFBFBF"/>
                  </w:tcBorders>
                </w:tcPr>
                <w:p w14:paraId="1EA39314" w14:textId="77777777" w:rsidR="0012268A" w:rsidRDefault="0012268A" w:rsidP="00B97386">
                  <w:pPr>
                    <w:pStyle w:val="TableBodyText"/>
                    <w:ind w:right="28"/>
                  </w:pPr>
                  <w:r w:rsidRPr="00296C0D">
                    <w:t>0.70</w:t>
                  </w:r>
                </w:p>
              </w:tc>
              <w:tc>
                <w:tcPr>
                  <w:tcW w:w="543" w:type="pct"/>
                  <w:tcBorders>
                    <w:bottom w:val="single" w:sz="6" w:space="0" w:color="BFBFBF"/>
                  </w:tcBorders>
                </w:tcPr>
                <w:p w14:paraId="1EA39315" w14:textId="77777777" w:rsidR="0012268A" w:rsidRDefault="0012268A" w:rsidP="00B97386">
                  <w:pPr>
                    <w:pStyle w:val="TableBodyText"/>
                    <w:ind w:right="28"/>
                  </w:pPr>
                  <w:r w:rsidRPr="00296C0D">
                    <w:t>0.69</w:t>
                  </w:r>
                </w:p>
              </w:tc>
              <w:tc>
                <w:tcPr>
                  <w:tcW w:w="543" w:type="pct"/>
                  <w:tcBorders>
                    <w:bottom w:val="single" w:sz="6" w:space="0" w:color="BFBFBF"/>
                  </w:tcBorders>
                </w:tcPr>
                <w:p w14:paraId="1EA39316" w14:textId="77777777" w:rsidR="0012268A" w:rsidRDefault="0012268A" w:rsidP="00B97386">
                  <w:pPr>
                    <w:pStyle w:val="TableBodyText"/>
                    <w:ind w:right="28"/>
                  </w:pPr>
                  <w:r w:rsidRPr="00296C0D">
                    <w:t>0.73</w:t>
                  </w:r>
                </w:p>
              </w:tc>
              <w:tc>
                <w:tcPr>
                  <w:tcW w:w="543" w:type="pct"/>
                  <w:tcBorders>
                    <w:bottom w:val="single" w:sz="6" w:space="0" w:color="BFBFBF"/>
                  </w:tcBorders>
                </w:tcPr>
                <w:p w14:paraId="1EA39317" w14:textId="77777777" w:rsidR="0012268A" w:rsidRDefault="0012268A" w:rsidP="00B97386">
                  <w:pPr>
                    <w:pStyle w:val="TableBodyText"/>
                    <w:ind w:right="28"/>
                  </w:pPr>
                  <w:r w:rsidRPr="00296C0D">
                    <w:t>0.68</w:t>
                  </w:r>
                </w:p>
              </w:tc>
              <w:tc>
                <w:tcPr>
                  <w:tcW w:w="543" w:type="pct"/>
                  <w:tcBorders>
                    <w:bottom w:val="single" w:sz="6" w:space="0" w:color="BFBFBF"/>
                  </w:tcBorders>
                </w:tcPr>
                <w:p w14:paraId="1EA39318" w14:textId="77777777" w:rsidR="0012268A" w:rsidRDefault="0012268A" w:rsidP="00B97386">
                  <w:pPr>
                    <w:pStyle w:val="TableBodyText"/>
                    <w:ind w:right="28"/>
                  </w:pPr>
                  <w:r w:rsidRPr="00296C0D">
                    <w:t>0.68</w:t>
                  </w:r>
                </w:p>
              </w:tc>
              <w:tc>
                <w:tcPr>
                  <w:tcW w:w="537" w:type="pct"/>
                  <w:tcBorders>
                    <w:bottom w:val="single" w:sz="6" w:space="0" w:color="BFBFBF"/>
                  </w:tcBorders>
                  <w:shd w:val="clear" w:color="auto" w:fill="auto"/>
                </w:tcPr>
                <w:p w14:paraId="1EA39319" w14:textId="77777777" w:rsidR="0012268A" w:rsidRDefault="0012268A" w:rsidP="00B97386">
                  <w:pPr>
                    <w:pStyle w:val="TableBodyText"/>
                    <w:ind w:right="28"/>
                  </w:pPr>
                  <w:r w:rsidRPr="00296C0D">
                    <w:t>0.70</w:t>
                  </w:r>
                </w:p>
              </w:tc>
            </w:tr>
          </w:tbl>
          <w:p w14:paraId="1EA3931B" w14:textId="77777777" w:rsidR="0012268A" w:rsidRDefault="0012268A" w:rsidP="00B97386">
            <w:pPr>
              <w:pStyle w:val="Box"/>
            </w:pPr>
          </w:p>
        </w:tc>
      </w:tr>
      <w:tr w:rsidR="0012268A" w14:paraId="1EA3931E" w14:textId="77777777" w:rsidTr="00515F19">
        <w:tc>
          <w:tcPr>
            <w:tcW w:w="8789" w:type="dxa"/>
            <w:tcBorders>
              <w:top w:val="nil"/>
              <w:left w:val="nil"/>
              <w:bottom w:val="nil"/>
              <w:right w:val="nil"/>
            </w:tcBorders>
            <w:shd w:val="clear" w:color="auto" w:fill="auto"/>
          </w:tcPr>
          <w:p w14:paraId="1EA3931D" w14:textId="77777777" w:rsidR="0012268A" w:rsidRDefault="0012268A" w:rsidP="00B97386">
            <w:pPr>
              <w:pStyle w:val="Note"/>
              <w:rPr>
                <w:i/>
              </w:rPr>
            </w:pPr>
            <w:r w:rsidRPr="008E77FE">
              <w:rPr>
                <w:rStyle w:val="NoteLabel"/>
              </w:rPr>
              <w:t>a</w:t>
            </w:r>
            <w:r>
              <w:t xml:space="preserve"> The ratio of acute medical admissions in Canterbury relative to New Zealand.</w:t>
            </w:r>
          </w:p>
        </w:tc>
      </w:tr>
      <w:tr w:rsidR="0012268A" w14:paraId="1EA39320" w14:textId="77777777" w:rsidTr="00515F19">
        <w:tc>
          <w:tcPr>
            <w:tcW w:w="8789" w:type="dxa"/>
            <w:tcBorders>
              <w:top w:val="nil"/>
              <w:left w:val="nil"/>
              <w:bottom w:val="nil"/>
              <w:right w:val="nil"/>
            </w:tcBorders>
            <w:shd w:val="clear" w:color="auto" w:fill="auto"/>
          </w:tcPr>
          <w:p w14:paraId="1EA3931F" w14:textId="77777777" w:rsidR="0012268A" w:rsidRDefault="0012268A" w:rsidP="00B97386">
            <w:pPr>
              <w:pStyle w:val="Source"/>
            </w:pPr>
            <w:r>
              <w:rPr>
                <w:i/>
              </w:rPr>
              <w:t>Source</w:t>
            </w:r>
            <w:r w:rsidRPr="00167F06">
              <w:t>:</w:t>
            </w:r>
            <w:r>
              <w:t xml:space="preserve"> Gullery and Hamilton </w:t>
            </w:r>
            <w:r w:rsidR="00C65A42" w:rsidRPr="00C65A42">
              <w:rPr>
                <w:rFonts w:cs="Arial"/>
              </w:rPr>
              <w:t>(2015)</w:t>
            </w:r>
            <w:r>
              <w:t>.</w:t>
            </w:r>
          </w:p>
        </w:tc>
      </w:tr>
      <w:tr w:rsidR="0012268A" w14:paraId="1EA39322" w14:textId="77777777" w:rsidTr="00515F19">
        <w:tc>
          <w:tcPr>
            <w:tcW w:w="8789" w:type="dxa"/>
            <w:tcBorders>
              <w:top w:val="nil"/>
              <w:left w:val="nil"/>
              <w:bottom w:val="single" w:sz="6" w:space="0" w:color="78A22F"/>
              <w:right w:val="nil"/>
            </w:tcBorders>
            <w:shd w:val="clear" w:color="auto" w:fill="auto"/>
          </w:tcPr>
          <w:p w14:paraId="1EA39321" w14:textId="77777777" w:rsidR="0012268A" w:rsidRDefault="0012268A" w:rsidP="00B97386">
            <w:pPr>
              <w:pStyle w:val="Box"/>
              <w:spacing w:before="0" w:line="120" w:lineRule="exact"/>
            </w:pPr>
          </w:p>
        </w:tc>
      </w:tr>
      <w:tr w:rsidR="0012268A" w:rsidRPr="000863A5" w14:paraId="1EA39324" w14:textId="77777777" w:rsidTr="00515F19">
        <w:tc>
          <w:tcPr>
            <w:tcW w:w="8789" w:type="dxa"/>
            <w:tcBorders>
              <w:top w:val="single" w:sz="6" w:space="0" w:color="78A22F"/>
              <w:left w:val="nil"/>
              <w:bottom w:val="nil"/>
              <w:right w:val="nil"/>
            </w:tcBorders>
          </w:tcPr>
          <w:p w14:paraId="1EA39323" w14:textId="77777777" w:rsidR="0012268A" w:rsidRPr="00626D32" w:rsidRDefault="0012268A" w:rsidP="00B97386">
            <w:pPr>
              <w:pStyle w:val="BoxSpaceBelow"/>
            </w:pPr>
          </w:p>
        </w:tc>
      </w:tr>
    </w:tbl>
    <w:p w14:paraId="1EA39325" w14:textId="77777777" w:rsidR="0012268A" w:rsidRDefault="0012268A" w:rsidP="00EA3E6B">
      <w:pPr>
        <w:pStyle w:val="ListBullet"/>
      </w:pPr>
      <w:r>
        <w:t>Canterbury is also a high performer relative to the 20 health boards of New Zealand in terms of acute medical length of stay and acute readmission rates. Canterbury’s performance has improved for this combination of indicators compared with the rest of New Zealand, indicating its programs have been successful at valuing patient time </w:t>
      </w:r>
      <w:r w:rsidR="00C65A42" w:rsidRPr="00C65A42">
        <w:rPr>
          <w:szCs w:val="24"/>
        </w:rPr>
        <w:t>(Timmins and Ham 2013)</w:t>
      </w:r>
      <w:r>
        <w:t>.</w:t>
      </w:r>
    </w:p>
    <w:p w14:paraId="1EA39326" w14:textId="77777777" w:rsidR="0012268A" w:rsidRDefault="0012268A" w:rsidP="00EA3E6B">
      <w:pPr>
        <w:pStyle w:val="ListBullet"/>
      </w:pPr>
      <w:r>
        <w:t xml:space="preserve">A comparison of Canterbury’s </w:t>
      </w:r>
      <w:r w:rsidR="008B75DE">
        <w:t>District Health B</w:t>
      </w:r>
      <w:r>
        <w:t>oard with the rest of New Zealand suggests that Canterbury’s acute care resources are more efficiently utilised. The level of access to arranged surgery has risen in Canterbury compared with the rest of New Zealand, while the relative level of hospital based resources devoted to acute medical conditions has declined </w:t>
      </w:r>
      <w:r w:rsidR="00C65A42" w:rsidRPr="00C65A42">
        <w:rPr>
          <w:szCs w:val="24"/>
        </w:rPr>
        <w:t>(Love 2013)</w:t>
      </w:r>
      <w:r>
        <w:t>. Difference</w:t>
      </w:r>
      <w:r>
        <w:noBreakHyphen/>
        <w:t>in</w:t>
      </w:r>
      <w:r>
        <w:noBreakHyphen/>
        <w:t>difference regression analysis supports the conclusion that Canterbury is performing fewer acute medical admissions, and for those it does perform they are of a higher level of acuity than the national average.</w:t>
      </w:r>
    </w:p>
    <w:p w14:paraId="1EA39327" w14:textId="77777777" w:rsidR="0012268A" w:rsidRDefault="0012268A" w:rsidP="00EA3E6B">
      <w:pPr>
        <w:pStyle w:val="ListBullet"/>
      </w:pPr>
      <w:r>
        <w:t>By 2013, the 24</w:t>
      </w:r>
      <w:r>
        <w:noBreakHyphen/>
        <w:t>hour GP surgery and care facility was seeing almost as many patients as the hospital’s emergency department, freeing up the hospital to focus on more complex procedures </w:t>
      </w:r>
      <w:r w:rsidR="00C65A42" w:rsidRPr="00C65A42">
        <w:rPr>
          <w:szCs w:val="24"/>
        </w:rPr>
        <w:t>(Timmins and Ham 2013, pp. 6, 28)</w:t>
      </w:r>
      <w:r>
        <w:t>.</w:t>
      </w:r>
    </w:p>
    <w:p w14:paraId="1EA39328" w14:textId="77777777" w:rsidR="0012268A" w:rsidRDefault="0012268A" w:rsidP="00EA3E6B">
      <w:pPr>
        <w:pStyle w:val="ListBullet"/>
      </w:pPr>
      <w:r>
        <w:t xml:space="preserve">While no formal attempt has been made to quantify the economic impacts, some estimates help to indicate some of the savings. For example, Canterbury’s reversal of its budget position from a deficit of 1 to 3 per cent to an underlying surplus of </w:t>
      </w:r>
      <w:r w:rsidR="008844B7">
        <w:t>about</w:t>
      </w:r>
      <w:r>
        <w:t xml:space="preserve"> 1 per cent could be worth up to 2 per cent of its annual turnover, or </w:t>
      </w:r>
      <w:r w:rsidR="008844B7">
        <w:t>approximately</w:t>
      </w:r>
      <w:r>
        <w:t xml:space="preserve"> $20 million in 2011</w:t>
      </w:r>
      <w:r>
        <w:noBreakHyphen/>
        <w:t>12. From another perspective, Canterbury’s health board budget allocation (a capitation based payment from the government) has grown at about 7 per cent a year while its expenditure has varied in real terms from 3 to 6 per cent a year </w:t>
      </w:r>
      <w:r w:rsidR="00C65A42" w:rsidRPr="00C65A42">
        <w:rPr>
          <w:szCs w:val="24"/>
        </w:rPr>
        <w:t>(Timmins and Ham 2013, pp. 30–31)</w:t>
      </w:r>
      <w:r>
        <w:t xml:space="preserve">. </w:t>
      </w:r>
    </w:p>
    <w:p w14:paraId="1EA39329" w14:textId="77777777" w:rsidR="0012268A" w:rsidRDefault="009C09EF" w:rsidP="0012268A">
      <w:pPr>
        <w:pStyle w:val="Heading2"/>
      </w:pPr>
      <w:bookmarkStart w:id="131" w:name="_Toc485912908"/>
      <w:bookmarkStart w:id="132" w:name="_Toc488929726"/>
      <w:bookmarkStart w:id="133" w:name="_Toc488930022"/>
      <w:bookmarkStart w:id="134" w:name="_Toc489250104"/>
      <w:r>
        <w:t>B</w:t>
      </w:r>
      <w:r w:rsidR="0012268A">
        <w:t>.2</w:t>
      </w:r>
      <w:r w:rsidR="0012268A">
        <w:tab/>
        <w:t>Kinzigtal, Germany</w:t>
      </w:r>
      <w:bookmarkEnd w:id="131"/>
      <w:bookmarkEnd w:id="132"/>
      <w:bookmarkEnd w:id="133"/>
      <w:bookmarkEnd w:id="134"/>
    </w:p>
    <w:p w14:paraId="1EA3932A" w14:textId="77777777" w:rsidR="0012268A" w:rsidRDefault="0012268A" w:rsidP="0012268A">
      <w:pPr>
        <w:pStyle w:val="Heading3"/>
      </w:pPr>
      <w:r>
        <w:t>Background</w:t>
      </w:r>
    </w:p>
    <w:p w14:paraId="1EA3932B" w14:textId="77777777" w:rsidR="0012268A" w:rsidRDefault="0012268A" w:rsidP="0012268A">
      <w:pPr>
        <w:pStyle w:val="BodyText"/>
      </w:pPr>
      <w:r>
        <w:t>Gesundes Kinzigtal Integrated Care (GKIC) is a for</w:t>
      </w:r>
      <w:r>
        <w:noBreakHyphen/>
        <w:t>profit joint venture between a network of local physicians (two</w:t>
      </w:r>
      <w:r w:rsidR="00B65008">
        <w:noBreakHyphen/>
      </w:r>
      <w:r>
        <w:t>thirds owner) and a German health care management company (one third owner). In 2006, GKIC initiated long</w:t>
      </w:r>
      <w:r>
        <w:noBreakHyphen/>
        <w:t>term contracts with two non</w:t>
      </w:r>
      <w:r>
        <w:noBreakHyphen/>
        <w:t>profit health funds to provide integrated health services to health fund members in the Kinzigtal region of south</w:t>
      </w:r>
      <w:r>
        <w:noBreakHyphen/>
        <w:t>west Germany.</w:t>
      </w:r>
    </w:p>
    <w:p w14:paraId="1EA3932C" w14:textId="1FD18DEC" w:rsidR="0012268A" w:rsidRDefault="0012268A" w:rsidP="0012268A">
      <w:pPr>
        <w:pStyle w:val="BodyText"/>
      </w:pPr>
      <w:r>
        <w:t>Germany’s health funds receive risk reinsurance equalisation payments from a national health fund based on the risk characteristics of those they insure, including for example morbidity, age and gender </w:t>
      </w:r>
      <w:r w:rsidR="00C65A42" w:rsidRPr="00C65A42">
        <w:rPr>
          <w:szCs w:val="24"/>
        </w:rPr>
        <w:t>(Hildebrandt et al. 2010)</w:t>
      </w:r>
      <w:r>
        <w:t>. Unlike Australian risk equalisation for private health insurance, these payments are ex</w:t>
      </w:r>
      <w:r>
        <w:noBreakHyphen/>
        <w:t>ante so that the health fund retains what it does</w:t>
      </w:r>
      <w:r w:rsidR="005534A3">
        <w:t xml:space="preserve"> not</w:t>
      </w:r>
      <w:r>
        <w:t xml:space="preserve"> spend (or runs a deficit if it overspends). Under their arrangement with</w:t>
      </w:r>
      <w:r w:rsidRPr="002D40E2">
        <w:t xml:space="preserve"> </w:t>
      </w:r>
      <w:r>
        <w:t>GKIC, the two Kinzigtal health funds pay fifty per cent of any unspent funds to GKIC. The health funds reserve the right to terminate the contract if the activities of GKIC lower the quality of its health care, cause membership to drop or cause the health funds to spend more than they are allocated by the central fund. Furthermore, patients retain their legal right to choose providers, whether or not they are party to the GKIC venture </w:t>
      </w:r>
      <w:r w:rsidR="00C65A42" w:rsidRPr="00C65A42">
        <w:rPr>
          <w:szCs w:val="24"/>
        </w:rPr>
        <w:t>(Hildebrandt, Schulte and Stunder 2012, p. 211)</w:t>
      </w:r>
      <w:r>
        <w:t>. There is</w:t>
      </w:r>
      <w:r w:rsidR="005C3863">
        <w:t>,</w:t>
      </w:r>
      <w:r>
        <w:t xml:space="preserve"> therefore</w:t>
      </w:r>
      <w:r w:rsidR="005C3863">
        <w:t>,</w:t>
      </w:r>
      <w:r>
        <w:t xml:space="preserve"> no gate</w:t>
      </w:r>
      <w:r>
        <w:noBreakHyphen/>
        <w:t xml:space="preserve">keeper element to the </w:t>
      </w:r>
      <w:r w:rsidR="005C3863">
        <w:t>arrangement</w:t>
      </w:r>
      <w:r>
        <w:t xml:space="preserve">. Patients retain freedom of choice of provider. </w:t>
      </w:r>
    </w:p>
    <w:p w14:paraId="1EA3932D" w14:textId="77777777" w:rsidR="0012268A" w:rsidRDefault="0012268A" w:rsidP="0012268A">
      <w:pPr>
        <w:pStyle w:val="BodyText"/>
      </w:pPr>
      <w:r>
        <w:t>GKIC have invested in the coordinated care of patients, particularly those with common chronic diseases that have a large effect on the health of patients and for which there are effective interventions available. Their program includes care plans agreed to with the patients, coordination of patient care, system</w:t>
      </w:r>
      <w:r>
        <w:noBreakHyphen/>
        <w:t>wide electronic health records, patient telemonitoring, health literacy training and targeted exercise programs </w:t>
      </w:r>
      <w:r w:rsidR="00C65A42" w:rsidRPr="00C65A42">
        <w:rPr>
          <w:szCs w:val="24"/>
        </w:rPr>
        <w:t>(Busse and Stahl 2014)</w:t>
      </w:r>
      <w:r>
        <w:t>. GKIC also achieved short</w:t>
      </w:r>
      <w:r>
        <w:noBreakHyphen/>
        <w:t>term budget gains by preferring generic drugs and buying pharmaceuticals in bulk to obtain discounts.</w:t>
      </w:r>
    </w:p>
    <w:p w14:paraId="1EA3932E" w14:textId="77777777" w:rsidR="0012268A" w:rsidRDefault="0012268A" w:rsidP="0012268A">
      <w:pPr>
        <w:pStyle w:val="Heading3"/>
      </w:pPr>
      <w:r>
        <w:t>Evidence</w:t>
      </w:r>
    </w:p>
    <w:p w14:paraId="1EA3932F" w14:textId="77777777" w:rsidR="0012268A" w:rsidRDefault="0012268A" w:rsidP="0012268A">
      <w:pPr>
        <w:pStyle w:val="BodyText"/>
      </w:pPr>
      <w:r>
        <w:t>The GKIC approach to health care has improved health outcomes, improved the efficiency of health care and people’s experience of care </w:t>
      </w:r>
      <w:r w:rsidR="00C65A42" w:rsidRPr="00C65A42">
        <w:rPr>
          <w:szCs w:val="24"/>
        </w:rPr>
        <w:t>(Alderwick, Ham and Buck 2015; Busse and Stahl 2014)</w:t>
      </w:r>
      <w:r>
        <w:t>. Mortality rates for those participating in the program are lower than non</w:t>
      </w:r>
      <w:r>
        <w:noBreakHyphen/>
        <w:t>participants </w:t>
      </w:r>
      <w:r w:rsidR="00C65A42" w:rsidRPr="00C65A42">
        <w:rPr>
          <w:szCs w:val="24"/>
        </w:rPr>
        <w:t>(Busse and Stahl 2014; Hildebrandt, Schulte and Stunder 2012)</w:t>
      </w:r>
      <w:r>
        <w:t>. For example, the mortality rate of those enrolled in the program was reduced by half after two and a half years in the program compared with those not enrolled </w:t>
      </w:r>
      <w:r w:rsidR="00C65A42" w:rsidRPr="00C65A42">
        <w:rPr>
          <w:szCs w:val="24"/>
        </w:rPr>
        <w:t>(Busse and Stahl 2014)</w:t>
      </w:r>
      <w:r>
        <w:t>.</w:t>
      </w:r>
      <w:r w:rsidRPr="003D243B">
        <w:rPr>
          <w:rStyle w:val="FootnoteReference"/>
        </w:rPr>
        <w:footnoteReference w:id="57"/>
      </w:r>
      <w:r>
        <w:t xml:space="preserve"> The rate of hospitalisation was 12 per cent lower for participating than non</w:t>
      </w:r>
      <w:r>
        <w:noBreakHyphen/>
        <w:t>participating physicians, and health outcomes were better. Patients with osteoporosis experienced a 1.9 per cent lower rate of fracture than comparable patients of nonparticipating physicians </w:t>
      </w:r>
      <w:r w:rsidR="00C65A42" w:rsidRPr="00C65A42">
        <w:rPr>
          <w:szCs w:val="24"/>
        </w:rPr>
        <w:t>(Hildebrandt, Schulte and Stunder 2012)</w:t>
      </w:r>
      <w:r>
        <w:t>. This was despite the fact that the program attracted sicker patients, indicated by a 0.25 per cent higher comorbidity Charlson score. Based on a survey of health care members in 2014, it was found that those who agreed on shared treatment goals achieved superior health outcomes to those that did not </w:t>
      </w:r>
      <w:r w:rsidR="00C65A42" w:rsidRPr="00C65A42">
        <w:rPr>
          <w:szCs w:val="24"/>
        </w:rPr>
        <w:t>(Struckmann, Boerma and van Ginneken 2015)</w:t>
      </w:r>
      <w:r>
        <w:t xml:space="preserve">. </w:t>
      </w:r>
    </w:p>
    <w:p w14:paraId="1EA39330" w14:textId="77777777" w:rsidR="0012268A" w:rsidRDefault="0012268A" w:rsidP="0012268A">
      <w:pPr>
        <w:pStyle w:val="BodyText"/>
      </w:pPr>
      <w:r>
        <w:t>There is evidence that the GKIC program also improves patient care. For example, the proportion of patients with heart failure who were given the recommended prescription drugs was 6.8 per cent higher under participating physicians than under non</w:t>
      </w:r>
      <w:r>
        <w:noBreakHyphen/>
        <w:t>participating physicians </w:t>
      </w:r>
      <w:r w:rsidR="00C65A42" w:rsidRPr="00C65A42">
        <w:rPr>
          <w:szCs w:val="24"/>
        </w:rPr>
        <w:t>(Hildebrandt, Schulte and Stunder 2012)</w:t>
      </w:r>
      <w:r>
        <w:t>. A broader, controlled study</w:t>
      </w:r>
      <w:r w:rsidRPr="0008264E">
        <w:t xml:space="preserve"> </w:t>
      </w:r>
      <w:r>
        <w:t>from 2005 to 2011, found improved clinical practices across four of five domains under the GKIC system (in the Kinzigtal region) compared with the rest of the state </w:t>
      </w:r>
      <w:r w:rsidR="00C65A42" w:rsidRPr="00C65A42">
        <w:rPr>
          <w:szCs w:val="24"/>
        </w:rPr>
        <w:t>(Schubert et al. 2016)</w:t>
      </w:r>
      <w:r>
        <w:t>. For example, patients with vascular dementia who were prescribed non</w:t>
      </w:r>
      <w:r>
        <w:noBreakHyphen/>
        <w:t>recommended drugs declined by 7 per cent in Kinzigtal, but only by 1.1 per cent in the control population. In one domain, clinical practice improved in both populations, but by slightly more in the control population.</w:t>
      </w:r>
      <w:r w:rsidRPr="003D243B">
        <w:rPr>
          <w:rStyle w:val="FootnoteReference"/>
        </w:rPr>
        <w:footnoteReference w:id="58"/>
      </w:r>
    </w:p>
    <w:p w14:paraId="1EA39331" w14:textId="42F00EF3" w:rsidR="0012268A" w:rsidRDefault="0012268A" w:rsidP="0012268A">
      <w:pPr>
        <w:pStyle w:val="BodyText"/>
      </w:pPr>
      <w:r>
        <w:t>Further, evidence indicates patient and provider satisfaction with the program. For example, almost all patients and 80 per</w:t>
      </w:r>
      <w:r w:rsidR="0025686D">
        <w:t> </w:t>
      </w:r>
      <w:r>
        <w:t>cent of providers would enrol in GKIC again </w:t>
      </w:r>
      <w:r w:rsidR="00C65A42" w:rsidRPr="00C65A42">
        <w:rPr>
          <w:szCs w:val="24"/>
        </w:rPr>
        <w:t>(Busse and Stahl 2014)</w:t>
      </w:r>
      <w:r>
        <w:t>. Similarly, in 2013 and 2015 patient surveys, over 90 per</w:t>
      </w:r>
      <w:r w:rsidR="0025686D">
        <w:t> </w:t>
      </w:r>
      <w:r>
        <w:t>cent of patients responded that they would recommend enrolment in the GKIC program to others, indicating a high level of members’ overall satisfaction </w:t>
      </w:r>
      <w:r w:rsidR="00C65A42" w:rsidRPr="00C65A42">
        <w:rPr>
          <w:szCs w:val="24"/>
        </w:rPr>
        <w:t>(Siegel and Stobel 2017)</w:t>
      </w:r>
      <w:r>
        <w:t>. Survey analysis suggests that the largest factor behind the high willingness to recommend the GKIC program was the patient perception of the quality of health care provided in the program.</w:t>
      </w:r>
    </w:p>
    <w:p w14:paraId="1EA39332" w14:textId="6E3A3CEE" w:rsidR="0012268A" w:rsidRDefault="0012268A" w:rsidP="0012268A">
      <w:pPr>
        <w:pStyle w:val="BodyText"/>
      </w:pPr>
      <w:r>
        <w:t>The approach also reduced costs. GKIC generated a saving of 16.9 per</w:t>
      </w:r>
      <w:r w:rsidR="0025686D">
        <w:t> </w:t>
      </w:r>
      <w:r>
        <w:t>cent between 2006 and 2010</w:t>
      </w:r>
      <w:r w:rsidR="005534A3">
        <w:t xml:space="preserve"> </w:t>
      </w:r>
      <w:r>
        <w:t xml:space="preserve">compared with a similar population in another region </w:t>
      </w:r>
      <w:r w:rsidR="00C65A42" w:rsidRPr="00C65A42">
        <w:rPr>
          <w:szCs w:val="24"/>
        </w:rPr>
        <w:t>(Hildebrandt, Schulte and Stunder 2012)</w:t>
      </w:r>
      <w:r>
        <w:t>. Much of this saving was achieved by lowering emergency hospital admissions. Emergency hospital admissions rose by 10.2 per</w:t>
      </w:r>
      <w:r w:rsidR="0025686D">
        <w:t> </w:t>
      </w:r>
      <w:r>
        <w:t>cent between 2005 and 2010 for patients in Kinzigtal, but rose by 33.1 per</w:t>
      </w:r>
      <w:r w:rsidR="0025686D">
        <w:t> </w:t>
      </w:r>
      <w:r>
        <w:t>cent in the comparable population. Similarly, a comparison of health costs in the Kinzigtal region under participating physicians with non</w:t>
      </w:r>
      <w:r>
        <w:noBreakHyphen/>
        <w:t>participating physicians, found that health costs rose by less in the group of participating physicians (by 7 per cent) than in the group not participating (by 19.3 per cent) </w:t>
      </w:r>
      <w:r w:rsidR="00C65A42" w:rsidRPr="00C65A42">
        <w:rPr>
          <w:szCs w:val="24"/>
        </w:rPr>
        <w:t>(Hildebrandt, Schulte and Stunder 2012)</w:t>
      </w:r>
      <w:r>
        <w:t xml:space="preserve">. Again, this was largely because of lower utilisation of hospital services. </w:t>
      </w:r>
    </w:p>
    <w:p w14:paraId="1EA39333" w14:textId="77777777" w:rsidR="0012268A" w:rsidRDefault="009C09EF" w:rsidP="0012268A">
      <w:pPr>
        <w:pStyle w:val="Heading2"/>
      </w:pPr>
      <w:bookmarkStart w:id="135" w:name="_Toc485912909"/>
      <w:bookmarkStart w:id="136" w:name="_Toc488929727"/>
      <w:bookmarkStart w:id="137" w:name="_Toc488930023"/>
      <w:bookmarkStart w:id="138" w:name="_Toc489250105"/>
      <w:r>
        <w:t>B</w:t>
      </w:r>
      <w:r w:rsidR="0012268A">
        <w:t>.3</w:t>
      </w:r>
      <w:r w:rsidR="0012268A">
        <w:tab/>
        <w:t>Intermountain Healthcare, United States of America</w:t>
      </w:r>
      <w:bookmarkEnd w:id="135"/>
      <w:bookmarkEnd w:id="136"/>
      <w:bookmarkEnd w:id="137"/>
      <w:bookmarkEnd w:id="138"/>
    </w:p>
    <w:p w14:paraId="1EA39334" w14:textId="77777777" w:rsidR="0012268A" w:rsidRPr="00D966DE" w:rsidRDefault="0012268A" w:rsidP="0012268A">
      <w:pPr>
        <w:pStyle w:val="Heading3"/>
      </w:pPr>
      <w:r w:rsidRPr="00D966DE">
        <w:t>Background</w:t>
      </w:r>
    </w:p>
    <w:p w14:paraId="1EA39335" w14:textId="32B0AB1B" w:rsidR="0012268A" w:rsidRDefault="0012268A" w:rsidP="0012268A">
      <w:pPr>
        <w:pStyle w:val="BodyText"/>
      </w:pPr>
      <w:r>
        <w:t>Intermountain Healthcare is a not</w:t>
      </w:r>
      <w:r>
        <w:noBreakHyphen/>
        <w:t>for</w:t>
      </w:r>
      <w:r>
        <w:noBreakHyphen/>
        <w:t>profit vertically</w:t>
      </w:r>
      <w:r>
        <w:noBreakHyphen/>
        <w:t xml:space="preserve">integrated health insurer and health provider that provides primary, secondary and tertiary health services to approximately </w:t>
      </w:r>
      <w:r w:rsidR="0083038E">
        <w:t>two</w:t>
      </w:r>
      <w:r>
        <w:t> million people living in Utah, Idaho and surrounding states. Intermountain</w:t>
      </w:r>
      <w:r w:rsidR="005534A3">
        <w:t xml:space="preserve"> directly employs 1</w:t>
      </w:r>
      <w:r>
        <w:t>350 physicians</w:t>
      </w:r>
      <w:r w:rsidR="002870A1">
        <w:t>. It</w:t>
      </w:r>
      <w:r>
        <w:t xml:space="preserve"> ha</w:t>
      </w:r>
      <w:r w:rsidR="005534A3">
        <w:t>s an agreement with a further 1</w:t>
      </w:r>
      <w:r>
        <w:t xml:space="preserve">200 other independent physicians </w:t>
      </w:r>
      <w:r w:rsidR="002870A1">
        <w:t>with whom it</w:t>
      </w:r>
      <w:r>
        <w:t xml:space="preserve"> share</w:t>
      </w:r>
      <w:r w:rsidR="002870A1">
        <w:t>s</w:t>
      </w:r>
      <w:r>
        <w:t xml:space="preserve"> any savings generated by a reduction in total costs providing patient satisfaction rises and quality measures improve. </w:t>
      </w:r>
    </w:p>
    <w:p w14:paraId="1EA39336" w14:textId="77777777" w:rsidR="0012268A" w:rsidRDefault="0012268A" w:rsidP="0012268A">
      <w:pPr>
        <w:pStyle w:val="BodyText"/>
      </w:pPr>
      <w:r>
        <w:t>Intermountain began as a system of fifteen hospitals in 1975, branching out into primary care delivery from 1982. Intermountain was established to serve its members by investing in new and better ways of delivering care. However, as a vertically</w:t>
      </w:r>
      <w:r>
        <w:noBreakHyphen/>
        <w:t>integrated provider, it was not keeping the returns from its investments because insurers would cut their payments (based on fee</w:t>
      </w:r>
      <w:r>
        <w:noBreakHyphen/>
        <w:t>for</w:t>
      </w:r>
      <w:r>
        <w:noBreakHyphen/>
        <w:t>service). Intermountain was bearing the cost of the investment and the insurer was keeping the returns. Intermountain therefore changed its model of service to include a health insurance arm from 1983, allowing it to invest in the health of its members and share in the returns.</w:t>
      </w:r>
    </w:p>
    <w:p w14:paraId="1EA39337" w14:textId="77777777" w:rsidR="0012268A" w:rsidRDefault="0012268A" w:rsidP="0012268A">
      <w:pPr>
        <w:pStyle w:val="BodyText"/>
      </w:pPr>
      <w:r>
        <w:t>From 1986, Intermountain restructured its hospital care around regions — testimony to the benefits of a regional approach (</w:t>
      </w:r>
      <w:r w:rsidR="00267AA0">
        <w:t>which has</w:t>
      </w:r>
      <w:r>
        <w:t xml:space="preserve"> relevance to Australia).</w:t>
      </w:r>
      <w:r w:rsidRPr="003D243B">
        <w:rPr>
          <w:rStyle w:val="FootnoteReference"/>
        </w:rPr>
        <w:footnoteReference w:id="59"/>
      </w:r>
      <w:r>
        <w:t xml:space="preserve"> In 1993, general practice physicians were given greater influence through the creation of a general practice organisation, the Intermountain Medical Group, which contributed to Intermountain HealthCare’s management team. Again, as in other approaches to integrated care, its model suggests the importance of promoting ‘buy</w:t>
      </w:r>
      <w:r w:rsidR="000D7464">
        <w:noBreakHyphen/>
      </w:r>
      <w:r>
        <w:t>in’ from general practice.</w:t>
      </w:r>
    </w:p>
    <w:p w14:paraId="1EA39338" w14:textId="77777777" w:rsidR="0012268A" w:rsidRDefault="0012268A" w:rsidP="0012268A">
      <w:pPr>
        <w:pStyle w:val="Heading3"/>
      </w:pPr>
      <w:r>
        <w:t>Evidence</w:t>
      </w:r>
    </w:p>
    <w:p w14:paraId="1EA39339" w14:textId="77777777" w:rsidR="0012268A" w:rsidRDefault="0012268A" w:rsidP="0012268A">
      <w:pPr>
        <w:pStyle w:val="BodyText"/>
      </w:pPr>
      <w:r w:rsidRPr="00A1536E">
        <w:rPr>
          <w:rStyle w:val="BodyTextChar"/>
        </w:rPr>
        <w:t>Intermountain has been recognised as one of the leading health care providers in the United States</w:t>
      </w:r>
      <w:r>
        <w:rPr>
          <w:rStyle w:val="BodyTextChar"/>
        </w:rPr>
        <w:t xml:space="preserve"> (Baker et al 2008). For example, Intermountain has been </w:t>
      </w:r>
      <w:r w:rsidRPr="00A1536E">
        <w:rPr>
          <w:rStyle w:val="BodyTextChar"/>
        </w:rPr>
        <w:t>consistently ranked</w:t>
      </w:r>
      <w:r>
        <w:rPr>
          <w:rStyle w:val="BodyTextChar"/>
        </w:rPr>
        <w:t xml:space="preserve"> as the leading</w:t>
      </w:r>
      <w:r w:rsidRPr="00A1536E">
        <w:rPr>
          <w:rStyle w:val="BodyTextChar"/>
        </w:rPr>
        <w:t xml:space="preserve"> integrated health system in a survey of regional, non</w:t>
      </w:r>
      <w:r w:rsidRPr="00A1536E">
        <w:rPr>
          <w:rStyle w:val="BodyTextChar"/>
        </w:rPr>
        <w:noBreakHyphen/>
        <w:t>speciality health</w:t>
      </w:r>
      <w:r w:rsidR="00C61AE2">
        <w:rPr>
          <w:rStyle w:val="BodyTextChar"/>
        </w:rPr>
        <w:t xml:space="preserve"> </w:t>
      </w:r>
      <w:r w:rsidRPr="00A1536E">
        <w:rPr>
          <w:rStyle w:val="BodyTextChar"/>
        </w:rPr>
        <w:t>care systems in the United States</w:t>
      </w:r>
      <w:r>
        <w:rPr>
          <w:rStyle w:val="BodyTextChar"/>
        </w:rPr>
        <w:t>. Its Latter</w:t>
      </w:r>
      <w:r>
        <w:rPr>
          <w:rStyle w:val="BodyTextChar"/>
        </w:rPr>
        <w:noBreakHyphen/>
        <w:t>Day Saints hospital has been recognised as one of America’s best hospitals in respiratory disorders, pulmonary medicine, endocrinology and diabetes care. It was also the first hospital in Utah to be</w:t>
      </w:r>
      <w:r w:rsidRPr="00A1536E">
        <w:rPr>
          <w:rStyle w:val="BodyTextChar"/>
        </w:rPr>
        <w:t xml:space="preserve"> given Magnet status, which is an international designation of nursing excellence</w:t>
      </w:r>
      <w:r>
        <w:rPr>
          <w:rStyle w:val="BodyTextChar"/>
        </w:rPr>
        <w:t xml:space="preserve"> and an indicator of staff morale</w:t>
      </w:r>
      <w:r>
        <w:t>.</w:t>
      </w:r>
    </w:p>
    <w:p w14:paraId="1EA3933A" w14:textId="77777777" w:rsidR="0012268A" w:rsidRDefault="0012268A" w:rsidP="0012268A">
      <w:pPr>
        <w:pStyle w:val="BodyText"/>
      </w:pPr>
      <w:r>
        <w:t>Intermountain standardised care procedures for the prescription of medicines for cardiac patients at discharge, raising the proportion of accurately treated patients from 57 per cent to over 98 per cent </w:t>
      </w:r>
      <w:r w:rsidR="00C65A42" w:rsidRPr="00C65A42">
        <w:rPr>
          <w:szCs w:val="24"/>
        </w:rPr>
        <w:t>(James and Poulsen 2016)</w:t>
      </w:r>
      <w:r>
        <w:t>. Flowing from this, mortality declined by over 450 deaths a year and hospitalisations declined by almost 900 cases a year.</w:t>
      </w:r>
    </w:p>
    <w:p w14:paraId="1EA3933B" w14:textId="77777777" w:rsidR="0012268A" w:rsidRDefault="0012268A" w:rsidP="0012268A">
      <w:pPr>
        <w:pStyle w:val="BodyText"/>
      </w:pPr>
      <w:r>
        <w:t>Intermountain also standardised the process for inducing women waiting to deliver, resulting in a reduction in induction rates from 29 per cent to 5 per cent between 2001 and 2003 (Baker et al 2006). This in turn significantly lowered the rates of unplanned Caesarean sections and otherwise reduced the costs by $400 per birth or by $10 million per year.</w:t>
      </w:r>
    </w:p>
    <w:p w14:paraId="1EA3933C" w14:textId="2E0EF07E" w:rsidR="0012268A" w:rsidRDefault="0012268A" w:rsidP="0012268A">
      <w:pPr>
        <w:pStyle w:val="BodyText"/>
      </w:pPr>
      <w:r>
        <w:t>Intermountain’s American Fork Hospital developed a non</w:t>
      </w:r>
      <w:r>
        <w:noBreakHyphen/>
        <w:t xml:space="preserve">invasive method for supporting the lungs of premature babies </w:t>
      </w:r>
      <w:r w:rsidR="00006334">
        <w:t>that</w:t>
      </w:r>
      <w:r>
        <w:t xml:space="preserve"> involved blowing pressurised air through the newborn’s nose instead of placing a breathing tube down their throat. This not only avoided the risk of significant complications, </w:t>
      </w:r>
      <w:r w:rsidR="00F654BE">
        <w:t xml:space="preserve">but also </w:t>
      </w:r>
      <w:r>
        <w:t>reduced the hospital’s operating costs for premature babies by $544 000 a year </w:t>
      </w:r>
      <w:r w:rsidR="00C65A42" w:rsidRPr="00C65A42">
        <w:rPr>
          <w:szCs w:val="24"/>
        </w:rPr>
        <w:t>(James and Poulsen 2016)</w:t>
      </w:r>
      <w:r>
        <w:t>. Extending this new method across Intermountain’s hospitals reduced hospital operating costs by well over $5 million a year.</w:t>
      </w:r>
    </w:p>
    <w:p w14:paraId="1EA3933D" w14:textId="02521903" w:rsidR="0012268A" w:rsidRDefault="0012268A" w:rsidP="0012268A">
      <w:pPr>
        <w:pStyle w:val="BodyText"/>
      </w:pPr>
      <w:r>
        <w:t xml:space="preserve">In 2003, clinicians introduced tighter glucose control of patients in intensive care units, </w:t>
      </w:r>
      <w:r w:rsidR="00F654BE">
        <w:t xml:space="preserve">reducing patient </w:t>
      </w:r>
      <w:r>
        <w:t xml:space="preserve">mortality rates in intensive care (Baker et al 2006). This and other initiatives </w:t>
      </w:r>
      <w:r w:rsidR="00F654BE">
        <w:t>have been</w:t>
      </w:r>
      <w:r>
        <w:t xml:space="preserve"> systematically rolled out across Intermountain’s providers with similar rates of success.</w:t>
      </w:r>
    </w:p>
    <w:p w14:paraId="1EA3933E" w14:textId="77777777" w:rsidR="0012268A" w:rsidRDefault="009C09EF" w:rsidP="0012268A">
      <w:pPr>
        <w:pStyle w:val="Heading2"/>
      </w:pPr>
      <w:bookmarkStart w:id="139" w:name="_Toc485912910"/>
      <w:bookmarkStart w:id="140" w:name="_Toc488929728"/>
      <w:bookmarkStart w:id="141" w:name="_Toc488930024"/>
      <w:bookmarkStart w:id="142" w:name="_Toc489250106"/>
      <w:r>
        <w:t>B</w:t>
      </w:r>
      <w:r w:rsidR="0012268A">
        <w:t>.4</w:t>
      </w:r>
      <w:r w:rsidR="0012268A">
        <w:tab/>
        <w:t>Kaiser Permanente, United States of America</w:t>
      </w:r>
      <w:bookmarkEnd w:id="139"/>
      <w:bookmarkEnd w:id="140"/>
      <w:bookmarkEnd w:id="141"/>
      <w:bookmarkEnd w:id="142"/>
    </w:p>
    <w:p w14:paraId="1EA3933F" w14:textId="77777777" w:rsidR="0012268A" w:rsidRPr="00D966DE" w:rsidRDefault="0012268A" w:rsidP="0012268A">
      <w:pPr>
        <w:pStyle w:val="Heading3"/>
      </w:pPr>
      <w:r w:rsidRPr="00D966DE">
        <w:t>Background</w:t>
      </w:r>
    </w:p>
    <w:p w14:paraId="1EA39340" w14:textId="77777777" w:rsidR="0012268A" w:rsidRDefault="0012268A" w:rsidP="0012268A">
      <w:pPr>
        <w:pStyle w:val="BodyText"/>
      </w:pPr>
      <w:r>
        <w:t>Like Intermountain, Kaiser Permanente is a not</w:t>
      </w:r>
      <w:r>
        <w:noBreakHyphen/>
        <w:t>for</w:t>
      </w:r>
      <w:r>
        <w:noBreakHyphen/>
        <w:t>profit vertically</w:t>
      </w:r>
      <w:r>
        <w:noBreakHyphen/>
        <w:t>integrated health insurer and health provider. It began in the 1930s, providing prepaid health care services to construction workers in California and now services 9.5 million members in eight regions of the United States </w:t>
      </w:r>
      <w:r w:rsidR="00C65A42" w:rsidRPr="00C65A42">
        <w:rPr>
          <w:szCs w:val="24"/>
        </w:rPr>
        <w:t>(Alderwick, Ham and Buck 2015)</w:t>
      </w:r>
      <w:r>
        <w:t>. Care is integrated inside and outside hospitals within each region, with specialists and general practitioners working together in multispecialty medical clinics (Curry and Ham 2010). A medical group in each region is paid a capitation payment to provide care for all Kaiser Permanente members in its region and has responsibility for the management, design and delivery of care in the region. Some of Kaiser Permanente’s medical groups directly provide medical services; others contract out the delivery of services (Curry and Ham 2010).</w:t>
      </w:r>
    </w:p>
    <w:p w14:paraId="1EA39341" w14:textId="77777777" w:rsidR="0012268A" w:rsidRDefault="0012268A" w:rsidP="0012268A">
      <w:pPr>
        <w:pStyle w:val="BodyText"/>
      </w:pPr>
      <w:r>
        <w:t>Integration of care at Kaiser Permanente is based on population risk stratification, investment in prevention, reliance on self</w:t>
      </w:r>
      <w:r>
        <w:noBreakHyphen/>
        <w:t xml:space="preserve">management, the use of care pathways to guide the management of common conditions, case management of those with complex conditions, sophisticated data technology and the pursuit of a target of zero unplanned hospital admissions. </w:t>
      </w:r>
    </w:p>
    <w:p w14:paraId="1EA39342" w14:textId="77777777" w:rsidR="0012268A" w:rsidRDefault="0012268A" w:rsidP="0012268A">
      <w:pPr>
        <w:pStyle w:val="Heading3"/>
      </w:pPr>
      <w:r>
        <w:t>Evidence</w:t>
      </w:r>
    </w:p>
    <w:p w14:paraId="1EA39343" w14:textId="3EE1EE89" w:rsidR="0012268A" w:rsidRDefault="0012268A" w:rsidP="0012268A">
      <w:pPr>
        <w:pStyle w:val="BodyText"/>
      </w:pPr>
      <w:r>
        <w:t>Kaiser Permanente has had considerable success in all areas of health. In the case of prevention, for example, Kaiser Permanente’s investment helped to lower the prevalence of smoking among its members by 25 per cent compared with a reduction of 7.5 per cent across California more generally </w:t>
      </w:r>
      <w:r w:rsidR="00C65A42" w:rsidRPr="00C65A42">
        <w:rPr>
          <w:szCs w:val="24"/>
        </w:rPr>
        <w:t>(Alderwick, Ham and Buck 2015)</w:t>
      </w:r>
      <w:r>
        <w:t>. Contributing to this achievement, a survey of adults in 2007 indicates that Kaiser Permanente provides easier access and a significantly stronger emphasis on case management and prevention than Californian practices more broadly </w:t>
      </w:r>
      <w:r w:rsidR="00C65A42" w:rsidRPr="00C65A42">
        <w:rPr>
          <w:szCs w:val="24"/>
        </w:rPr>
        <w:t>(McCarthy, Mueller and Wrenn 2009)</w:t>
      </w:r>
      <w:r>
        <w:t>. This and other investments in lifestyle improvements have resulted in significant health gains. For example, the relative risk of death within 90 days of a cardiac event was reduced by 89 per cent for patients enrolled in Kaiser Permanente’s cardiac rehabilitation program </w:t>
      </w:r>
      <w:r w:rsidR="00C65A42" w:rsidRPr="00C65A42">
        <w:rPr>
          <w:szCs w:val="24"/>
        </w:rPr>
        <w:t>(McCarthy, Mueller and Wrenn 2009)</w:t>
      </w:r>
      <w:r>
        <w:t xml:space="preserve">. This program included six months of intensive case management and the highest rates of screening in the United States in 2007. </w:t>
      </w:r>
    </w:p>
    <w:p w14:paraId="1EA39344" w14:textId="77777777" w:rsidR="0012268A" w:rsidRDefault="0012268A" w:rsidP="0012268A">
      <w:pPr>
        <w:pStyle w:val="BodyText"/>
      </w:pPr>
      <w:r>
        <w:t>Comparisons of Kaiser Permanente with other health care organisations is evidence of its high performance</w:t>
      </w:r>
      <w:r w:rsidR="009C49CA">
        <w:t xml:space="preserve"> </w:t>
      </w:r>
      <w:r w:rsidR="00C65A42" w:rsidRPr="00C65A42">
        <w:rPr>
          <w:szCs w:val="24"/>
        </w:rPr>
        <w:t>(Alderwick, Ham and Buck 2015)</w:t>
      </w:r>
      <w:r>
        <w:t xml:space="preserve">. Kaiser Permanente has consistently been one of the highest performers in the United States’ Healthcare Effectiveness Data and Information Set (HEDIS) measures. Kaiser Permanente also performs well in international comparisons. For example, </w:t>
      </w:r>
      <w:r w:rsidR="00201994">
        <w:t xml:space="preserve">the number of bed days for those aged 65 or more years </w:t>
      </w:r>
      <w:r>
        <w:t xml:space="preserve">in </w:t>
      </w:r>
      <w:r w:rsidR="00201994">
        <w:t>Kaiser Permanente</w:t>
      </w:r>
      <w:r>
        <w:t xml:space="preserve"> is less than a third of the </w:t>
      </w:r>
      <w:r w:rsidR="00201994">
        <w:t xml:space="preserve">UK’s </w:t>
      </w:r>
      <w:r>
        <w:t>NHS</w:t>
      </w:r>
      <w:r w:rsidR="00201994">
        <w:t>,</w:t>
      </w:r>
      <w:r>
        <w:t xml:space="preserve"> </w:t>
      </w:r>
      <w:r w:rsidR="00201994">
        <w:t xml:space="preserve">a reflection </w:t>
      </w:r>
      <w:r>
        <w:t>of more effective management of patients’ health </w:t>
      </w:r>
      <w:r w:rsidR="00C65A42" w:rsidRPr="00C65A42">
        <w:rPr>
          <w:szCs w:val="24"/>
        </w:rPr>
        <w:t>(Curry and Ham 2010; Ham et al. 2003)</w:t>
      </w:r>
      <w:r>
        <w:t>.</w:t>
      </w:r>
    </w:p>
    <w:p w14:paraId="1EA39345" w14:textId="77777777" w:rsidR="0012268A" w:rsidRDefault="009C09EF" w:rsidP="0012268A">
      <w:pPr>
        <w:pStyle w:val="Heading2"/>
      </w:pPr>
      <w:bookmarkStart w:id="143" w:name="_Toc485912911"/>
      <w:bookmarkStart w:id="144" w:name="_Toc488929729"/>
      <w:bookmarkStart w:id="145" w:name="_Toc488930025"/>
      <w:bookmarkStart w:id="146" w:name="_Toc489250107"/>
      <w:r>
        <w:t>B</w:t>
      </w:r>
      <w:r w:rsidR="0012268A">
        <w:t>.5</w:t>
      </w:r>
      <w:r w:rsidR="0012268A">
        <w:tab/>
        <w:t xml:space="preserve">Jonkoping County Council, </w:t>
      </w:r>
      <w:r w:rsidR="0012268A" w:rsidRPr="008D0BB6">
        <w:t>Sweden</w:t>
      </w:r>
      <w:bookmarkEnd w:id="143"/>
      <w:bookmarkEnd w:id="144"/>
      <w:bookmarkEnd w:id="145"/>
      <w:bookmarkEnd w:id="146"/>
    </w:p>
    <w:p w14:paraId="1EA39346" w14:textId="77777777" w:rsidR="0012268A" w:rsidRPr="00D966DE" w:rsidRDefault="0012268A" w:rsidP="0012268A">
      <w:pPr>
        <w:pStyle w:val="Heading3"/>
      </w:pPr>
      <w:r w:rsidRPr="00D966DE">
        <w:t>Background</w:t>
      </w:r>
    </w:p>
    <w:p w14:paraId="1EA39347" w14:textId="77777777" w:rsidR="0012268A" w:rsidRDefault="0012268A" w:rsidP="0012268A">
      <w:pPr>
        <w:pStyle w:val="BodyText"/>
      </w:pPr>
      <w:r>
        <w:t xml:space="preserve">Jonkoping County Council is an elected health authority in the Jonkoping region of southern Sweden. For over twenty years, it has sought to develop and provide an integrated system of quality care to the region’s population of </w:t>
      </w:r>
      <w:r w:rsidR="000039AE">
        <w:t>about</w:t>
      </w:r>
      <w:r>
        <w:t xml:space="preserve"> 350 000. It encourages a culture of innovation and patient</w:t>
      </w:r>
      <w:r>
        <w:noBreakHyphen/>
        <w:t>centred care among its staff and clinicians. It has achieved significant reductions in hospital admissions, in days spent in hospital and in waiting times for specialists </w:t>
      </w:r>
      <w:r w:rsidR="00C65A42" w:rsidRPr="00C65A42">
        <w:rPr>
          <w:szCs w:val="24"/>
        </w:rPr>
        <w:t>(Alderwick, Ham and Buck 2015; Baker et al. 2008)</w:t>
      </w:r>
      <w:r>
        <w:t>.</w:t>
      </w:r>
    </w:p>
    <w:p w14:paraId="1EA39348" w14:textId="77777777" w:rsidR="0012268A" w:rsidRDefault="0012268A" w:rsidP="0012268A">
      <w:pPr>
        <w:pStyle w:val="Heading3"/>
      </w:pPr>
      <w:r>
        <w:t>Evidence</w:t>
      </w:r>
    </w:p>
    <w:p w14:paraId="1EA39349" w14:textId="7C8E5F93" w:rsidR="0012268A" w:rsidRDefault="0012268A" w:rsidP="0012268A">
      <w:pPr>
        <w:pStyle w:val="BodyText"/>
      </w:pPr>
      <w:r>
        <w:t xml:space="preserve">A comparison of counties across Sweden’s select range of cost, outcome and patient experience indicators shows that Jonkoping substantially outperforms all other counties. </w:t>
      </w:r>
      <w:r w:rsidR="004E0007">
        <w:t>Where a lower number indicates</w:t>
      </w:r>
      <w:r>
        <w:t xml:space="preserve"> higher performance, Jonkoping’s score was below 50 and all other counties scored between 90 and 200</w:t>
      </w:r>
      <w:r w:rsidR="004E0007">
        <w:t>,</w:t>
      </w:r>
      <w:r>
        <w:t xml:space="preserve"> with 100 being the national average </w:t>
      </w:r>
      <w:r w:rsidR="00C65A42" w:rsidRPr="00C65A42">
        <w:rPr>
          <w:szCs w:val="24"/>
        </w:rPr>
        <w:t>(Baker et al. 2008)</w:t>
      </w:r>
      <w:r>
        <w:t>. While improving health outcomes, staff morale and patient satisfaction, Jonkoping County Council reported it had lowered its net costs by two per</w:t>
      </w:r>
      <w:r w:rsidR="0092391D">
        <w:t> </w:t>
      </w:r>
      <w:r>
        <w:t xml:space="preserve">cent. As an example of </w:t>
      </w:r>
      <w:r w:rsidR="006E6AE5">
        <w:t>its</w:t>
      </w:r>
      <w:r>
        <w:t xml:space="preserve"> success, Jonkoping brought together all providers to map and help improve processes for children with asthma. The number of children admitted to hospital with asthma subsequently dropped from 22 per 10 000 to 7 per 10 000. Jonkoping has also invested in </w:t>
      </w:r>
      <w:r w:rsidR="009D44FA">
        <w:t>preventative</w:t>
      </w:r>
      <w:r>
        <w:t xml:space="preserve"> care. For example, over a four</w:t>
      </w:r>
      <w:r>
        <w:noBreakHyphen/>
        <w:t>year program it raised the region’s rate of influenza vaccination by 30 per cent.</w:t>
      </w:r>
    </w:p>
    <w:p w14:paraId="1EA3934A" w14:textId="77777777" w:rsidR="0012268A" w:rsidRDefault="0012268A" w:rsidP="0012268A">
      <w:pPr>
        <w:pStyle w:val="BodyText"/>
      </w:pPr>
      <w:r>
        <w:t>The Institute for Healthcare Improvements rated Jonkoping County Council as the leading global performer in terms of clinical and financial outcomes compared with a range of other health systems, including several in the United States </w:t>
      </w:r>
      <w:r w:rsidR="00C65A42" w:rsidRPr="00C65A42">
        <w:rPr>
          <w:szCs w:val="24"/>
        </w:rPr>
        <w:t>(Baker et al. 2008)</w:t>
      </w:r>
      <w:r>
        <w:t xml:space="preserve">. </w:t>
      </w:r>
    </w:p>
    <w:p w14:paraId="1EA3934B" w14:textId="77777777" w:rsidR="00E6063C" w:rsidRDefault="00E6063C" w:rsidP="00E9640C">
      <w:pPr>
        <w:pStyle w:val="Heading1"/>
        <w:sectPr w:rsidR="00E6063C" w:rsidSect="00994C25">
          <w:headerReference w:type="even" r:id="rId46"/>
          <w:headerReference w:type="default" r:id="rId47"/>
          <w:footerReference w:type="even" r:id="rId48"/>
          <w:footerReference w:type="default" r:id="rId49"/>
          <w:pgSz w:w="11907" w:h="16840" w:code="9"/>
          <w:pgMar w:top="1985" w:right="1304" w:bottom="1247" w:left="1814" w:header="1701" w:footer="397" w:gutter="0"/>
          <w:pgNumType w:chapSep="period"/>
          <w:cols w:space="720"/>
        </w:sectPr>
      </w:pPr>
      <w:bookmarkStart w:id="149" w:name="_Toc488929730"/>
      <w:bookmarkStart w:id="150" w:name="_Toc489250108"/>
    </w:p>
    <w:p w14:paraId="1EA3934C" w14:textId="77777777" w:rsidR="008831B5" w:rsidRPr="00E9640C" w:rsidRDefault="008831B5" w:rsidP="00E9640C">
      <w:pPr>
        <w:pStyle w:val="Heading1"/>
      </w:pPr>
      <w:r w:rsidRPr="00E9640C">
        <w:t>C</w:t>
      </w:r>
      <w:r w:rsidRPr="00E9640C">
        <w:tab/>
        <w:t>Technology and the changing role of professions in integrated care: a case study of pharmacists</w:t>
      </w:r>
      <w:bookmarkEnd w:id="149"/>
      <w:bookmarkEnd w:id="150"/>
      <w:r w:rsidRPr="00E9640C">
        <w:t xml:space="preserve"> </w:t>
      </w:r>
    </w:p>
    <w:p w14:paraId="1EA3934D" w14:textId="77777777" w:rsidR="009B20FE" w:rsidRDefault="00A03E40" w:rsidP="00A03E40">
      <w:pPr>
        <w:pStyle w:val="BodyText"/>
      </w:pPr>
      <w:r w:rsidRPr="00F31E94">
        <w:t>The potential to use technology in new ways to provide government services is a cross cutting theme in this inquiry. In health</w:t>
      </w:r>
      <w:r w:rsidR="00923B4C">
        <w:t xml:space="preserve"> </w:t>
      </w:r>
      <w:r w:rsidRPr="00F31E94">
        <w:t>care, technology has always played a major role in providing new treatments</w:t>
      </w:r>
      <w:r>
        <w:t xml:space="preserve"> </w:t>
      </w:r>
      <w:r w:rsidR="007331A3">
        <w:t xml:space="preserve">and </w:t>
      </w:r>
      <w:r>
        <w:t>ways of providing care, but it has not diminished the overall demand for health care professionals.</w:t>
      </w:r>
      <w:r w:rsidRPr="003D243B">
        <w:rPr>
          <w:rStyle w:val="FootnoteReference"/>
        </w:rPr>
        <w:footnoteReference w:id="60"/>
      </w:r>
      <w:r>
        <w:t xml:space="preserve"> </w:t>
      </w:r>
    </w:p>
    <w:p w14:paraId="1EA3934E" w14:textId="77777777" w:rsidR="009D6360" w:rsidRDefault="00A03E40" w:rsidP="00A03E40">
      <w:pPr>
        <w:pStyle w:val="BodyText"/>
      </w:pPr>
      <w:r>
        <w:t xml:space="preserve">In part, this reflects that technologies are often used by clinicians rather than replacing them. Another factor has been that the large growth in the demand for health services has still enabled job growth even though technologies have reduced the needs for health professionals in some areas. Nevertheless, digital disruption and automation appears likely to </w:t>
      </w:r>
      <w:r w:rsidR="00F7615F">
        <w:t xml:space="preserve">result in </w:t>
      </w:r>
      <w:r>
        <w:t>job losses for some health professionals</w:t>
      </w:r>
      <w:r w:rsidR="007331A3">
        <w:t>,</w:t>
      </w:r>
      <w:r w:rsidR="007331A3" w:rsidRPr="007331A3">
        <w:t xml:space="preserve"> notwithstanding growth in the health care sector</w:t>
      </w:r>
      <w:r>
        <w:t xml:space="preserve">. This will occur wherever the technologies produce higher quality services for patients </w:t>
      </w:r>
      <w:r w:rsidR="00F7615F">
        <w:t>and</w:t>
      </w:r>
      <w:r>
        <w:t>/</w:t>
      </w:r>
      <w:r w:rsidR="00F7615F">
        <w:t xml:space="preserve">or </w:t>
      </w:r>
      <w:r>
        <w:t xml:space="preserve">are less costly — two beneficial outcomes for people. </w:t>
      </w:r>
    </w:p>
    <w:p w14:paraId="1EA3934F" w14:textId="77777777" w:rsidR="00FF500A" w:rsidRDefault="00FF500A" w:rsidP="00FF500A">
      <w:pPr>
        <w:pStyle w:val="BodyText"/>
      </w:pPr>
      <w:r>
        <w:t>This driver of change is accompanied by:</w:t>
      </w:r>
    </w:p>
    <w:p w14:paraId="1EA39350" w14:textId="77777777" w:rsidR="00FF500A" w:rsidRDefault="00FF500A" w:rsidP="00FF500A">
      <w:pPr>
        <w:pStyle w:val="ListBullet"/>
      </w:pPr>
      <w:r>
        <w:t>recognition of the importance of multidisciplinary teams in integrated care</w:t>
      </w:r>
    </w:p>
    <w:p w14:paraId="1EA39351" w14:textId="77777777" w:rsidR="00FF500A" w:rsidRDefault="00FF500A" w:rsidP="00FF500A">
      <w:pPr>
        <w:pStyle w:val="ListBullet"/>
      </w:pPr>
      <w:r>
        <w:t>the potential to widen the scope of practice of health professions that have hitherto been restricted from playing a more prominent role, especially where technologies can reduce any risks from widening their role (such as throu</w:t>
      </w:r>
      <w:r w:rsidR="00090993">
        <w:t>gh technology</w:t>
      </w:r>
      <w:r w:rsidR="00090993">
        <w:noBreakHyphen/>
        <w:t xml:space="preserve">assisted decision </w:t>
      </w:r>
      <w:r>
        <w:t>making)</w:t>
      </w:r>
    </w:p>
    <w:p w14:paraId="1EA39352" w14:textId="77777777" w:rsidR="00FF500A" w:rsidRDefault="00FF500A" w:rsidP="00FF500A">
      <w:pPr>
        <w:pStyle w:val="ListBullet"/>
      </w:pPr>
      <w:r>
        <w:t>cost and demand pressures in the health sector that encourage substitution from high to lower</w:t>
      </w:r>
      <w:r>
        <w:noBreakHyphen/>
        <w:t>cost professions. Australia’s ageing population and the growing prevalence of chronic conditions will, under the existing professional supply model, produce substantial cost pressures</w:t>
      </w:r>
      <w:r w:rsidR="00CA70E6">
        <w:t>. It</w:t>
      </w:r>
      <w:r>
        <w:t xml:space="preserve"> risks that some people, particularly in regional Australia, will be less able to access health care.</w:t>
      </w:r>
    </w:p>
    <w:p w14:paraId="1EA39353" w14:textId="77777777" w:rsidR="00FF500A" w:rsidRPr="00F31E94" w:rsidRDefault="00FF500A" w:rsidP="00FF500A">
      <w:pPr>
        <w:pStyle w:val="BodyText"/>
      </w:pPr>
      <w:r>
        <w:t xml:space="preserve">The biggest stumbling block for realising beneficial changes from restructuring the role of health occupations are habit and regulation, </w:t>
      </w:r>
      <w:r w:rsidR="00CA70E6">
        <w:t xml:space="preserve">both of </w:t>
      </w:r>
      <w:r>
        <w:t xml:space="preserve">which governments need to address. </w:t>
      </w:r>
    </w:p>
    <w:p w14:paraId="1EA39354" w14:textId="77777777" w:rsidR="00BF47BA" w:rsidRDefault="00FF500A" w:rsidP="00BF47BA">
      <w:pPr>
        <w:pStyle w:val="BodyText"/>
      </w:pPr>
      <w:r w:rsidRPr="00F31E94">
        <w:t xml:space="preserve">A starting point </w:t>
      </w:r>
      <w:r>
        <w:t>for reform i</w:t>
      </w:r>
      <w:r w:rsidRPr="00F31E94">
        <w:t>s the pharmacy profession</w:t>
      </w:r>
      <w:r>
        <w:t>, which has always played an idiosyncratic role in Australia’s health care system, and where the scope for transformation is now greatest. The oddity of pharmacy is that much of its services are currently provided in a retail setting (</w:t>
      </w:r>
      <w:r w:rsidR="00A27141">
        <w:t>often</w:t>
      </w:r>
      <w:r>
        <w:t xml:space="preserve"> referred to as ‘community’ pharmacy). </w:t>
      </w:r>
      <w:r w:rsidRPr="00F31E94">
        <w:t xml:space="preserve">As one </w:t>
      </w:r>
      <w:r>
        <w:t>party</w:t>
      </w:r>
      <w:r w:rsidRPr="00F31E94">
        <w:t xml:space="preserve"> put it to the Commission</w:t>
      </w:r>
      <w:r>
        <w:t xml:space="preserve"> in this inquiry</w:t>
      </w:r>
      <w:r w:rsidRPr="00F31E94">
        <w:t xml:space="preserve">, </w:t>
      </w:r>
      <w:r>
        <w:t xml:space="preserve">the availability of </w:t>
      </w:r>
      <w:r w:rsidRPr="00F31E94">
        <w:t>unproven (and sometimes harmful) medical products and confectionary at the front of the pharmacy is not reconcilable with an evidence based clinical function at the back.</w:t>
      </w:r>
      <w:r w:rsidRPr="003D243B">
        <w:rPr>
          <w:rStyle w:val="FootnoteReference"/>
        </w:rPr>
        <w:footnoteReference w:id="61"/>
      </w:r>
      <w:r>
        <w:t xml:space="preserve"> </w:t>
      </w:r>
    </w:p>
    <w:p w14:paraId="1EA39355" w14:textId="6E9F79FF" w:rsidR="00BF47BA" w:rsidRDefault="00BF47BA" w:rsidP="00BF47BA">
      <w:pPr>
        <w:pStyle w:val="BodyText"/>
      </w:pPr>
      <w:r>
        <w:t xml:space="preserve">The consumer advocacy group, CHOICE, </w:t>
      </w:r>
      <w:r w:rsidRPr="00EC1EDE">
        <w:t>commissioned a mystery shop</w:t>
      </w:r>
      <w:r>
        <w:t>ping survey</w:t>
      </w:r>
      <w:r w:rsidRPr="00EC1EDE">
        <w:t xml:space="preserve"> to </w:t>
      </w:r>
      <w:r>
        <w:t xml:space="preserve">assess the accuracy and quality of </w:t>
      </w:r>
      <w:r w:rsidRPr="00EC1EDE">
        <w:t>advice in 240 pharmacies across Australia</w:t>
      </w:r>
      <w:r>
        <w:t xml:space="preserve"> </w:t>
      </w:r>
      <w:r w:rsidRPr="00BF47BA">
        <w:rPr>
          <w:szCs w:val="24"/>
        </w:rPr>
        <w:t>(Bray 2017)</w:t>
      </w:r>
      <w:r>
        <w:t xml:space="preserve">. </w:t>
      </w:r>
      <w:r w:rsidRPr="00EC1EDE">
        <w:t>Each shopper approach</w:t>
      </w:r>
      <w:r>
        <w:t>ed</w:t>
      </w:r>
      <w:r w:rsidRPr="00EC1EDE">
        <w:t xml:space="preserve"> the prescription dispensing counter and ask</w:t>
      </w:r>
      <w:r>
        <w:t>ed</w:t>
      </w:r>
      <w:r w:rsidRPr="00EC1EDE">
        <w:t xml:space="preserve"> for advi</w:t>
      </w:r>
      <w:r w:rsidR="00B43429">
        <w:t>ce from a pharmacist, stating, ‘I’</w:t>
      </w:r>
      <w:r w:rsidRPr="00EC1EDE">
        <w:t>ve been feeling really stressed lately, is there something you can recommend?</w:t>
      </w:r>
      <w:r w:rsidR="00B43429">
        <w:t>’</w:t>
      </w:r>
      <w:r>
        <w:t xml:space="preserve"> In many cases, the advice was wrong or unsupported by any scientific evidence (though frequently, pharmacists inaccurately claimed that there was scientific evidence </w:t>
      </w:r>
      <w:r w:rsidR="00506DB9">
        <w:t xml:space="preserve">of </w:t>
      </w:r>
      <w:r>
        <w:t>therapeutic benefits</w:t>
      </w:r>
      <w:r w:rsidR="00987F85">
        <w:t>)</w:t>
      </w:r>
      <w:r>
        <w:t>.</w:t>
      </w:r>
    </w:p>
    <w:p w14:paraId="1EA39356" w14:textId="77777777" w:rsidR="00A807B6" w:rsidRPr="00F31E94" w:rsidRDefault="00FF500A" w:rsidP="00A807B6">
      <w:pPr>
        <w:pStyle w:val="BodyText"/>
      </w:pPr>
      <w:r w:rsidRPr="00F31E94">
        <w:t>No other clinician in the health system operates in a retail setting.</w:t>
      </w:r>
      <w:r>
        <w:t xml:space="preserve"> </w:t>
      </w:r>
      <w:r w:rsidR="00A807B6" w:rsidRPr="00F31E94">
        <w:t>GPs’ attitudes to pharmacy</w:t>
      </w:r>
      <w:r w:rsidR="00D133F6">
        <w:t xml:space="preserve"> reflects this</w:t>
      </w:r>
      <w:r w:rsidR="00A807B6" w:rsidRPr="00F31E94">
        <w:t>:</w:t>
      </w:r>
    </w:p>
    <w:p w14:paraId="1EA39357" w14:textId="77777777" w:rsidR="00A807B6" w:rsidRPr="00F31E94" w:rsidRDefault="00A807B6" w:rsidP="00A807B6">
      <w:pPr>
        <w:pStyle w:val="Quote"/>
      </w:pPr>
      <w:r w:rsidRPr="00F31E94">
        <w:t>GPs indicated that sources of distrust arose from questionable motivations of pharmacists or pharmacists from “chain” pharmacies. Similarly, professional respect between providers was important, with one study indicating that GPs were not interested in collaborating with pharmacists when the GPs were not confident in the pharmacists’ abilities. (Lipworth et al. 2013, p. 20)</w:t>
      </w:r>
    </w:p>
    <w:p w14:paraId="1EA39358" w14:textId="1554FB20" w:rsidR="002713A6" w:rsidRDefault="00FF500A" w:rsidP="00FF500A">
      <w:pPr>
        <w:pStyle w:val="BodyText"/>
      </w:pPr>
      <w:r>
        <w:t xml:space="preserve">Moreover, technology has crept up on the dispensing function of pharmacists. Few pharmacists now physically </w:t>
      </w:r>
      <w:r w:rsidRPr="004371FA">
        <w:t xml:space="preserve">combine or process </w:t>
      </w:r>
      <w:r>
        <w:t>pharmacologically</w:t>
      </w:r>
      <w:r>
        <w:noBreakHyphen/>
        <w:t>active</w:t>
      </w:r>
      <w:r w:rsidRPr="004371FA">
        <w:t xml:space="preserve"> ingredients </w:t>
      </w:r>
      <w:r>
        <w:t xml:space="preserve">(‘compounding’). In the retail </w:t>
      </w:r>
      <w:r w:rsidR="009A5C72">
        <w:t>setting</w:t>
      </w:r>
      <w:r>
        <w:t xml:space="preserve">, pharmacists typically physically select a </w:t>
      </w:r>
      <w:r w:rsidR="00651FC0">
        <w:t>pre-packaged</w:t>
      </w:r>
      <w:r>
        <w:t xml:space="preserve"> drug from a store in the pharmacy and label it — a manual task requiring no professional skills. </w:t>
      </w:r>
    </w:p>
    <w:p w14:paraId="1EA39359" w14:textId="77777777" w:rsidR="00F95A90" w:rsidRDefault="00F95A90" w:rsidP="00F95A90">
      <w:pPr>
        <w:pStyle w:val="BodyText"/>
      </w:pPr>
      <w:r>
        <w:t>A more recent development is machine</w:t>
      </w:r>
      <w:r w:rsidRPr="00F31E94">
        <w:t xml:space="preserve"> dispensing of drugs</w:t>
      </w:r>
      <w:r>
        <w:t xml:space="preserve"> — a proven technology, which challenges even the manual tasks performed by pharmacists </w:t>
      </w:r>
      <w:r w:rsidR="00D96FF6" w:rsidRPr="00D96FF6">
        <w:rPr>
          <w:szCs w:val="24"/>
        </w:rPr>
        <w:t>(DoH 2017c, p. 167)</w:t>
      </w:r>
      <w:r>
        <w:t>. Robotic dispensing involves fewer m</w:t>
      </w:r>
      <w:r w:rsidR="00E627E1">
        <w:t>e</w:t>
      </w:r>
      <w:r>
        <w:t xml:space="preserve">dication errors and </w:t>
      </w:r>
      <w:r w:rsidR="00816B54">
        <w:t xml:space="preserve">is </w:t>
      </w:r>
      <w:r>
        <w:t>more</w:t>
      </w:r>
      <w:r w:rsidR="00E627E1">
        <w:t xml:space="preserve"> productive, and </w:t>
      </w:r>
      <w:r w:rsidR="00506413">
        <w:t xml:space="preserve">has </w:t>
      </w:r>
      <w:r w:rsidR="00E627E1">
        <w:t>for a long time been in common use in hospitals around the world</w:t>
      </w:r>
      <w:r w:rsidR="008B09E2">
        <w:t xml:space="preserve"> </w:t>
      </w:r>
      <w:r w:rsidR="008B09E2" w:rsidRPr="008B09E2">
        <w:rPr>
          <w:szCs w:val="24"/>
        </w:rPr>
        <w:t>(for example, Beard and Smith 2013)</w:t>
      </w:r>
      <w:r w:rsidR="00353199">
        <w:t>.</w:t>
      </w:r>
      <w:r w:rsidR="00783AF9" w:rsidRPr="003D243B">
        <w:rPr>
          <w:rStyle w:val="FootnoteReference"/>
        </w:rPr>
        <w:footnoteReference w:id="62"/>
      </w:r>
      <w:r w:rsidR="000C04DF">
        <w:t xml:space="preserve"> </w:t>
      </w:r>
      <w:r w:rsidR="00506DB9">
        <w:t xml:space="preserve">It is </w:t>
      </w:r>
      <w:r w:rsidR="000C04DF">
        <w:t>already in use in some Australian pharmacies because of their capacity to improve the speed of dispensing and increase face</w:t>
      </w:r>
      <w:r w:rsidR="000C04DF">
        <w:noBreakHyphen/>
        <w:t>to</w:t>
      </w:r>
      <w:r w:rsidR="000C04DF">
        <w:noBreakHyphen/>
        <w:t>face contact with consumers</w:t>
      </w:r>
      <w:r w:rsidR="00444A14">
        <w:t xml:space="preserve"> </w:t>
      </w:r>
      <w:r w:rsidR="00444A14" w:rsidRPr="00444A14">
        <w:rPr>
          <w:szCs w:val="24"/>
        </w:rPr>
        <w:t>(Philpott 2016)</w:t>
      </w:r>
      <w:r w:rsidR="000C04DF">
        <w:t xml:space="preserve">. </w:t>
      </w:r>
    </w:p>
    <w:p w14:paraId="1EA3935A" w14:textId="77777777" w:rsidR="005F3EF8" w:rsidRDefault="00F95A90" w:rsidP="00FF500A">
      <w:pPr>
        <w:pStyle w:val="BodyText"/>
      </w:pPr>
      <w:r>
        <w:t>In addition, e</w:t>
      </w:r>
      <w:r>
        <w:noBreakHyphen/>
      </w:r>
      <w:r w:rsidR="00E627E1">
        <w:t>prescriptions</w:t>
      </w:r>
      <w:r>
        <w:t xml:space="preserve"> enable a clinician to provide a prescription to a pharmacy without the need for a paper script</w:t>
      </w:r>
      <w:r w:rsidR="00E627E1">
        <w:t>. Such e</w:t>
      </w:r>
      <w:r w:rsidR="00E627E1">
        <w:noBreakHyphen/>
      </w:r>
      <w:r w:rsidR="000C04DF">
        <w:t>scripts</w:t>
      </w:r>
      <w:r w:rsidR="00E627E1">
        <w:t xml:space="preserve"> could be sent to </w:t>
      </w:r>
      <w:r>
        <w:t xml:space="preserve">a robotic pharmacy instead of a </w:t>
      </w:r>
      <w:r w:rsidR="00E627E1">
        <w:t>pharmacist, so all aspects of the existing pharmacy become redundant.</w:t>
      </w:r>
      <w:r w:rsidR="00444A14">
        <w:t xml:space="preserve"> </w:t>
      </w:r>
      <w:r w:rsidR="00FF500A">
        <w:t>Information systems are better suited to patient</w:t>
      </w:r>
      <w:r w:rsidR="00FF500A">
        <w:noBreakHyphen/>
        <w:t xml:space="preserve">centred advice on medications — especially if </w:t>
      </w:r>
      <w:r w:rsidR="00C12F92">
        <w:t>they link</w:t>
      </w:r>
      <w:r w:rsidR="00FF500A">
        <w:t xml:space="preserve"> to data on a person’s My Health Record. </w:t>
      </w:r>
    </w:p>
    <w:p w14:paraId="1EA3935B" w14:textId="77777777" w:rsidR="00FF500A" w:rsidRDefault="00EF0CD2" w:rsidP="00FF500A">
      <w:pPr>
        <w:pStyle w:val="BodyText"/>
      </w:pPr>
      <w:r>
        <w:t xml:space="preserve">In a world where the physical aspects of dispensing are managed by machines, scripts are </w:t>
      </w:r>
      <w:r w:rsidR="005F3EF8">
        <w:t>transferred</w:t>
      </w:r>
      <w:r>
        <w:t xml:space="preserve"> to them electronically, and accurate advice is provided based on customer traits and medical evidence, the </w:t>
      </w:r>
      <w:r w:rsidR="005F3EF8" w:rsidRPr="00691EEC">
        <w:rPr>
          <w:i/>
        </w:rPr>
        <w:t>traditional</w:t>
      </w:r>
      <w:r>
        <w:t xml:space="preserve"> role of community pharmacy </w:t>
      </w:r>
      <w:r w:rsidR="00691EEC">
        <w:t>appears to be at risk</w:t>
      </w:r>
      <w:r>
        <w:t xml:space="preserve">. To the extent that a person needs to be involved to </w:t>
      </w:r>
      <w:r w:rsidR="005F3EF8">
        <w:t>supervise</w:t>
      </w:r>
      <w:r>
        <w:t xml:space="preserve"> this process and interact with the customer, </w:t>
      </w:r>
      <w:r w:rsidR="00FF500A">
        <w:t xml:space="preserve">trustworthiness, personability </w:t>
      </w:r>
      <w:r>
        <w:t>and empathy are the key skills</w:t>
      </w:r>
      <w:r w:rsidR="005E03C1">
        <w:t>,</w:t>
      </w:r>
      <w:r>
        <w:t xml:space="preserve"> not years of clinical training.</w:t>
      </w:r>
    </w:p>
    <w:p w14:paraId="1EA3935C" w14:textId="77777777" w:rsidR="00D512D0" w:rsidRDefault="005F3EF8" w:rsidP="00FF500A">
      <w:pPr>
        <w:pStyle w:val="BodyText"/>
      </w:pPr>
      <w:r>
        <w:t>Against that background, w</w:t>
      </w:r>
      <w:r w:rsidR="00FF500A">
        <w:t>hile the role of retail pharmacy in the health system has long been problematic, given recent developments, maintenance of the current model, is, or at least should be tenuous</w:t>
      </w:r>
      <w:r w:rsidR="00EF0CD2">
        <w:t>:</w:t>
      </w:r>
      <w:r w:rsidR="00FF500A">
        <w:t xml:space="preserve"> </w:t>
      </w:r>
    </w:p>
    <w:p w14:paraId="1EA3935D" w14:textId="77777777" w:rsidR="00D512D0" w:rsidRDefault="00D512D0" w:rsidP="00BC4163">
      <w:pPr>
        <w:pStyle w:val="Quote"/>
      </w:pPr>
      <w:r>
        <w:t>To date, most applications of this technology have been at the local level, such as hospital pharmacies or single-site community pharmacies. However, widespread implementation of a more centralized automated dispensing model, such as the ‘hub and spoke’ model currently being debated in the United Kingdom, could cause a ‘technology shock,’ delivering industry-wide efficiencies, improving medication accessibility and lowering costs to consumers and funding agencies. Some of pharmacists’ historical roles may be made redundant, and new roles may be created, decoupling pharmacists to a certain extent from the dispensing and supply process.</w:t>
      </w:r>
      <w:r w:rsidR="009A0C8F">
        <w:t xml:space="preserve"> </w:t>
      </w:r>
      <w:r w:rsidR="00BC4163" w:rsidRPr="00BC4163">
        <w:rPr>
          <w:szCs w:val="24"/>
        </w:rPr>
        <w:t>(Spinks et al. 2017, p. 394)</w:t>
      </w:r>
    </w:p>
    <w:p w14:paraId="1EA3935E" w14:textId="77777777" w:rsidR="00E973FC" w:rsidRDefault="00964FF2" w:rsidP="00FF500A">
      <w:pPr>
        <w:pStyle w:val="BodyText"/>
      </w:pPr>
      <w:r>
        <w:t>As has been observed in the United Kingdom, t</w:t>
      </w:r>
      <w:r w:rsidR="005E03C1">
        <w:t xml:space="preserve">his suggests a </w:t>
      </w:r>
      <w:r>
        <w:t xml:space="preserve">revolutionary </w:t>
      </w:r>
      <w:r w:rsidR="005E03C1">
        <w:t xml:space="preserve">change in the role of </w:t>
      </w:r>
      <w:r>
        <w:t xml:space="preserve">community </w:t>
      </w:r>
      <w:r w:rsidR="005E03C1">
        <w:t>pharmacy</w:t>
      </w:r>
      <w:r w:rsidR="00E973FC">
        <w:t>:</w:t>
      </w:r>
    </w:p>
    <w:p w14:paraId="1EA3935F" w14:textId="77777777" w:rsidR="00D512D0" w:rsidRDefault="00135CA6" w:rsidP="00DB1E89">
      <w:pPr>
        <w:pStyle w:val="Quote"/>
      </w:pPr>
      <w:r>
        <w:t>If there is to be widespread reform by 2020, community pharmacy requires a revolution rather than evolution. Any revolution in community pharmacy is likely to be precipitated by a massive divestment in prescription dispensing in order to release money to help fund growth of NHS integrated care organisations.</w:t>
      </w:r>
      <w:r w:rsidR="00E973FC">
        <w:t xml:space="preserve"> </w:t>
      </w:r>
      <w:r>
        <w:t>… With the use of new technologies, dispensing in the community could soon replicate the dispensing systems used in hospitals. Indeed, policymakers are pushing for the replication of hospital dispensing arrangements in the community and have been quietly preparing for factory</w:t>
      </w:r>
      <w:r>
        <w:noBreakHyphen/>
        <w:t xml:space="preserve">type dispensing pharmacy outlets. </w:t>
      </w:r>
      <w:r w:rsidR="000C50E0" w:rsidRPr="000C50E0">
        <w:rPr>
          <w:szCs w:val="24"/>
        </w:rPr>
        <w:t>(Baines 2015, p. 2)</w:t>
      </w:r>
    </w:p>
    <w:p w14:paraId="1EA39360" w14:textId="77777777" w:rsidR="00FF500A" w:rsidRDefault="00A27141" w:rsidP="00FF500A">
      <w:pPr>
        <w:pStyle w:val="BodyText"/>
      </w:pPr>
      <w:r>
        <w:t xml:space="preserve">In light of these factors, there are compelling grounds for policy change that goes well beyond those raised in the recent Australian Government review of pharmacy </w:t>
      </w:r>
      <w:r w:rsidR="00A205F0" w:rsidRPr="00A205F0">
        <w:rPr>
          <w:szCs w:val="24"/>
        </w:rPr>
        <w:t>(DoH 2017c)</w:t>
      </w:r>
      <w:r>
        <w:t xml:space="preserve">. </w:t>
      </w:r>
      <w:r w:rsidR="00FF500A">
        <w:t>There are several desirable directions for pharmacy:</w:t>
      </w:r>
    </w:p>
    <w:p w14:paraId="1EA39361" w14:textId="77777777" w:rsidR="00FF500A" w:rsidRDefault="00FF500A" w:rsidP="00FF500A">
      <w:pPr>
        <w:pStyle w:val="ListBullet"/>
        <w:numPr>
          <w:ilvl w:val="0"/>
          <w:numId w:val="40"/>
        </w:numPr>
        <w:ind w:left="709" w:hanging="634"/>
      </w:pPr>
      <w:r>
        <w:t xml:space="preserve">accept that the retail setting is not </w:t>
      </w:r>
      <w:r w:rsidR="00267AA0">
        <w:t>suitable</w:t>
      </w:r>
      <w:r>
        <w:t xml:space="preserve"> for a clinical role, and provides pharmacists with negligible capacity to apply their long</w:t>
      </w:r>
      <w:r>
        <w:noBreakHyphen/>
        <w:t>acquired skills</w:t>
      </w:r>
    </w:p>
    <w:p w14:paraId="1EA39362" w14:textId="77777777" w:rsidR="00FF500A" w:rsidRDefault="00FF500A" w:rsidP="00FF500A">
      <w:pPr>
        <w:pStyle w:val="ListBullet"/>
        <w:numPr>
          <w:ilvl w:val="0"/>
          <w:numId w:val="40"/>
        </w:numPr>
        <w:ind w:left="709" w:hanging="634"/>
      </w:pPr>
      <w:r>
        <w:t>give wider scope for pharmacists to play a role in multi</w:t>
      </w:r>
      <w:r w:rsidR="00A27141">
        <w:t>di</w:t>
      </w:r>
      <w:r>
        <w:t>sciplinary care for those people whose medication needs are complex</w:t>
      </w:r>
    </w:p>
    <w:p w14:paraId="1EA39363" w14:textId="77777777" w:rsidR="00FF500A" w:rsidRDefault="00FF500A" w:rsidP="00FF500A">
      <w:pPr>
        <w:pStyle w:val="ListBullet"/>
        <w:numPr>
          <w:ilvl w:val="0"/>
          <w:numId w:val="40"/>
        </w:numPr>
        <w:ind w:left="709" w:hanging="634"/>
      </w:pPr>
      <w:r>
        <w:t>accept that the manual dispensing function of pharmacists is no longer sensibly performed by highly</w:t>
      </w:r>
      <w:r w:rsidR="00C12F92">
        <w:noBreakHyphen/>
      </w:r>
      <w:r>
        <w:t>skilled professions, and move to automation and</w:t>
      </w:r>
      <w:r w:rsidR="00135CA6">
        <w:t>, where needed,</w:t>
      </w:r>
      <w:r>
        <w:t xml:space="preserve"> supervision by people whose prime skills are social in nature. In regional areas, this would improve access to pharmaceuticals, as no highly–trained pharmacist would be required (either locally or through telehealth)</w:t>
      </w:r>
    </w:p>
    <w:p w14:paraId="1EA39364" w14:textId="77777777" w:rsidR="00FF500A" w:rsidRDefault="00FF500A" w:rsidP="00FF500A">
      <w:pPr>
        <w:pStyle w:val="ListBullet"/>
        <w:numPr>
          <w:ilvl w:val="0"/>
          <w:numId w:val="40"/>
        </w:numPr>
        <w:ind w:left="709" w:hanging="634"/>
      </w:pPr>
      <w:r>
        <w:t>recognise that, like nurse practitioners, there may be scope for pharmacists to perform roles outside their current scope of practice.</w:t>
      </w:r>
    </w:p>
    <w:p w14:paraId="1EA39365" w14:textId="77777777" w:rsidR="00FF500A" w:rsidRDefault="00FF500A" w:rsidP="00FF500A">
      <w:pPr>
        <w:pStyle w:val="BodyText"/>
      </w:pPr>
      <w:r>
        <w:t xml:space="preserve">Currently there is little government awareness of the </w:t>
      </w:r>
      <w:r w:rsidR="00267AA0">
        <w:t>unsuitability</w:t>
      </w:r>
      <w:r>
        <w:t xml:space="preserve"> of the retail model for provision of clinical services, and the capacity to bypass pharmacists for manual dispensing ((i) and (iv)). Indeed, the Australian Government is spending more (some $210 million over the forward estimates) given a lower than anticipated number of scripts filled by pharmacists. This funding would not be required under a different technological solution to dispensing because the efficient cost would be considerably lower than current margins require.</w:t>
      </w:r>
      <w:r w:rsidRPr="003D243B">
        <w:rPr>
          <w:rStyle w:val="FootnoteReference"/>
        </w:rPr>
        <w:footnoteReference w:id="63"/>
      </w:r>
      <w:r>
        <w:t xml:space="preserve"> </w:t>
      </w:r>
    </w:p>
    <w:p w14:paraId="1EA39366" w14:textId="77777777" w:rsidR="00E76EDD" w:rsidRDefault="00FF500A" w:rsidP="00FF500A">
      <w:pPr>
        <w:pStyle w:val="BodyText"/>
      </w:pPr>
      <w:r>
        <w:t xml:space="preserve">Functions (ii) and (iv) </w:t>
      </w:r>
      <w:r w:rsidRPr="00D16D2B">
        <w:rPr>
          <w:i/>
        </w:rPr>
        <w:t>have</w:t>
      </w:r>
      <w:r>
        <w:t xml:space="preserve"> been recognised as legitimate principles in the Australian Government’s 2017</w:t>
      </w:r>
      <w:r>
        <w:noBreakHyphen/>
        <w:t xml:space="preserve">18 Budget, which has expanded the role of pharmacists in medication management in the community, including a clinical role in Health Care Homes. The Government has committed $600 million over three years for this initiative. </w:t>
      </w:r>
      <w:r w:rsidR="00E76EDD">
        <w:t>The recent Australian Government pharmacy review has also recognised the desirability of a changing role:</w:t>
      </w:r>
    </w:p>
    <w:p w14:paraId="1EA39367" w14:textId="77777777" w:rsidR="00E76EDD" w:rsidRDefault="00E76EDD" w:rsidP="00E76EDD">
      <w:pPr>
        <w:pStyle w:val="Quote"/>
      </w:pPr>
      <w:r>
        <w:t xml:space="preserve">It is known that, with the rise of chronic conditions such as obesity, asthma, hypertension and diabetes, there will be a need for a greater focus on integrated, rather than episodic, care. It is also known that, while the Australian Government has a role to play, the pharmacy sector must take a shared responsibility for its own future if the system is to remain sustainable. </w:t>
      </w:r>
      <w:r w:rsidR="00D96FF6" w:rsidRPr="00D96FF6">
        <w:rPr>
          <w:szCs w:val="24"/>
        </w:rPr>
        <w:t>(DoH 2017c, p. 3)</w:t>
      </w:r>
    </w:p>
    <w:p w14:paraId="1EA39368" w14:textId="77777777" w:rsidR="00266E7E" w:rsidRDefault="00FF500A" w:rsidP="00FF500A">
      <w:pPr>
        <w:pStyle w:val="BodyText"/>
      </w:pPr>
      <w:r>
        <w:t xml:space="preserve">However, it is not clear that many pharmacists will be required to serve such a clinical function, and accordingly whether expenditure of this magnitude could be justified. Currently, there are about 20 000 pharmacists performing some kind of clinical function (largely in a retail setting). </w:t>
      </w:r>
      <w:r w:rsidR="009A5C72">
        <w:t>In a multidisciplinary model of care, i</w:t>
      </w:r>
      <w:r>
        <w:t>t is hard to foresee the need for even one pharmacist per general practice</w:t>
      </w:r>
      <w:r w:rsidR="009A5C72">
        <w:t xml:space="preserve"> (and there are only approximately 6 100 general practices)</w:t>
      </w:r>
      <w:r>
        <w:t>. This is because the number of people who have chronic and complex chronic conditions where medication advice is critical is, in own right, unlikely to be great</w:t>
      </w:r>
      <w:r w:rsidR="00F77473">
        <w:t>. P</w:t>
      </w:r>
      <w:r>
        <w:t xml:space="preserve">harmacists are currently often not </w:t>
      </w:r>
      <w:r w:rsidR="00F77473">
        <w:t>recognised as important participants</w:t>
      </w:r>
      <w:r>
        <w:t xml:space="preserve"> </w:t>
      </w:r>
      <w:r w:rsidR="00F77473">
        <w:t>in</w:t>
      </w:r>
      <w:r>
        <w:t xml:space="preserve"> multidisciplinary teams. Given developments in e</w:t>
      </w:r>
      <w:r w:rsidR="00144A1A">
        <w:t>H</w:t>
      </w:r>
      <w:r>
        <w:t xml:space="preserve">ealth and artificial intelligence, their role in that context is likely to diminish further. Even where medication advice is required, such advice will typically only be needed sporadically. </w:t>
      </w:r>
    </w:p>
    <w:p w14:paraId="1EA39369" w14:textId="77777777" w:rsidR="00FF500A" w:rsidRDefault="00FF500A" w:rsidP="00FF500A">
      <w:pPr>
        <w:pStyle w:val="BodyText"/>
      </w:pPr>
      <w:r>
        <w:t>There may be justification for pharmacists in a peripatetic role — visiting nursing homes and people in their own homes where medication management is crucial. But even here, given the support that information systems can increasingly provide, it is not clear that this function could not be provided by lower</w:t>
      </w:r>
      <w:r>
        <w:noBreakHyphen/>
        <w:t>cost allied health professionals, such as</w:t>
      </w:r>
      <w:r w:rsidR="0064268D">
        <w:t xml:space="preserve"> nurses (who already do this</w:t>
      </w:r>
      <w:r>
        <w:t>). In a model that did not give them preferment, the role of pharmacists in a clinical activities would therefor</w:t>
      </w:r>
      <w:r w:rsidR="00266E7E">
        <w:t>e be a niche one.</w:t>
      </w:r>
    </w:p>
    <w:p w14:paraId="1EA3936A" w14:textId="77777777" w:rsidR="00FF500A" w:rsidRDefault="00FF500A" w:rsidP="00FF500A">
      <w:pPr>
        <w:pStyle w:val="BodyText"/>
      </w:pPr>
      <w:r>
        <w:t>It is improbable that much can be done in the short term, recognising that the Sixth Community Pharmacy Agreement will run until 30 June 2020, while the Australian Government has committed funding to new roles for pharmacists over the next three years as part of the 2017</w:t>
      </w:r>
      <w:r>
        <w:noBreakHyphen/>
        <w:t>18 budget. However, some work can begin now:</w:t>
      </w:r>
    </w:p>
    <w:p w14:paraId="1EA3936B" w14:textId="77777777" w:rsidR="00FF500A" w:rsidRDefault="00FF500A" w:rsidP="00FF500A">
      <w:pPr>
        <w:pStyle w:val="ListBullet"/>
      </w:pPr>
      <w:r>
        <w:t xml:space="preserve">the impacts and cost-effectiveness of the role of pharmacists in multidisciplinary teams can be assessed as part of </w:t>
      </w:r>
      <w:r w:rsidR="00F77473">
        <w:t xml:space="preserve">the </w:t>
      </w:r>
      <w:r>
        <w:t xml:space="preserve">evaluation of Health </w:t>
      </w:r>
      <w:r w:rsidR="00F80681">
        <w:t>C</w:t>
      </w:r>
      <w:r>
        <w:t xml:space="preserve">are Homes, as well as the likely total number of pharmacists required were the Health </w:t>
      </w:r>
      <w:r w:rsidR="00BF0D64">
        <w:t xml:space="preserve">Care </w:t>
      </w:r>
      <w:r>
        <w:t>Home model (in the adapted version that we recommend) to become the de facto model for primary care</w:t>
      </w:r>
    </w:p>
    <w:p w14:paraId="1EA3936C" w14:textId="77777777" w:rsidR="00FF500A" w:rsidRDefault="00FF500A" w:rsidP="00FF500A">
      <w:pPr>
        <w:pStyle w:val="ListBullet"/>
      </w:pPr>
      <w:r>
        <w:t xml:space="preserve">adaptation of training content for pharmacists to ensure it is compatible with </w:t>
      </w:r>
      <w:r w:rsidR="00F77473">
        <w:t xml:space="preserve">their </w:t>
      </w:r>
      <w:r>
        <w:t xml:space="preserve">new role and, similarly development of </w:t>
      </w:r>
      <w:r w:rsidR="00F33914">
        <w:t xml:space="preserve">a </w:t>
      </w:r>
      <w:r>
        <w:t>VET qualification that would be needed for those people who would oversee robotic dispensing</w:t>
      </w:r>
    </w:p>
    <w:p w14:paraId="1EA3936D" w14:textId="77777777" w:rsidR="00FF500A" w:rsidRDefault="00FF500A" w:rsidP="00FF500A">
      <w:pPr>
        <w:pStyle w:val="ListBullet"/>
      </w:pPr>
      <w:r>
        <w:t xml:space="preserve">signalling to the relevant departments of pharmacy in Australian universities that the likely demand for pharmacists will dramatically fall. </w:t>
      </w:r>
      <w:r w:rsidR="00DE0AF3">
        <w:t>As</w:t>
      </w:r>
      <w:r>
        <w:t xml:space="preserve"> the industry structure is a creature of government, it has a responsibility not to train a group of people whose long</w:t>
      </w:r>
      <w:r>
        <w:noBreakHyphen/>
        <w:t>term economic and professional prospects in that occupation will be poor. This problem is all the more severe because so many pharmacists are relatively young, so that the natural process of attrition through the retirement of older pharmacists will not quickly reduce supply by much. Even if governments do not envision changes to the pharmacy model over the medium term (which would represent a lost opportunity), failure to stem supply now, would still doom thousands of pharmacists to job vulnerability when aged 45</w:t>
      </w:r>
      <w:r>
        <w:noBreakHyphen/>
        <w:t>55 years —</w:t>
      </w:r>
      <w:r w:rsidR="00324D17">
        <w:t xml:space="preserve"> </w:t>
      </w:r>
      <w:r>
        <w:t>ages that do not sit well with easy transitions to other occupations</w:t>
      </w:r>
    </w:p>
    <w:p w14:paraId="1EA3936E" w14:textId="77777777" w:rsidR="00FF500A" w:rsidRDefault="00F33914" w:rsidP="00FF500A">
      <w:pPr>
        <w:pStyle w:val="ListBullet"/>
      </w:pPr>
      <w:r>
        <w:t>t</w:t>
      </w:r>
      <w:r w:rsidRPr="00F31E94">
        <w:t xml:space="preserve">rials </w:t>
      </w:r>
      <w:r w:rsidR="00FF500A" w:rsidRPr="00F31E94">
        <w:t xml:space="preserve">in regional areas </w:t>
      </w:r>
      <w:r w:rsidR="00FF500A">
        <w:t>with machine dispensing supervised by non</w:t>
      </w:r>
      <w:r w:rsidR="00FF500A">
        <w:noBreakHyphen/>
        <w:t xml:space="preserve">pharmacists </w:t>
      </w:r>
      <w:r w:rsidR="00FF500A" w:rsidRPr="00F31E94">
        <w:t>would be a starting point given the high level of needs in those areas</w:t>
      </w:r>
      <w:r w:rsidR="00FF500A">
        <w:t>.</w:t>
      </w:r>
    </w:p>
    <w:p w14:paraId="1EA3936F" w14:textId="77777777" w:rsidR="00E76EDD" w:rsidRDefault="00FF500A" w:rsidP="00FF500A">
      <w:pPr>
        <w:pStyle w:val="BodyText"/>
      </w:pPr>
      <w:r>
        <w:t xml:space="preserve">There is another trajectory for pharmacy that would leave its current retail form largely intact, with the addition of some clinical functions. If the </w:t>
      </w:r>
      <w:r w:rsidR="00D133F6">
        <w:t xml:space="preserve">Australian Government maintains the </w:t>
      </w:r>
      <w:r>
        <w:t>retail model, it is very hard to argue for the preservation of the current antiquated anticompetitive regulations that pervade the industry, such as ownership restrictions</w:t>
      </w:r>
      <w:r w:rsidR="00F33914">
        <w:t xml:space="preserve"> </w:t>
      </w:r>
      <w:r>
        <w:t>(</w:t>
      </w:r>
      <w:r w:rsidR="00685D27">
        <w:t>appendix B</w:t>
      </w:r>
      <w:r>
        <w:t>). But there is an opportunity to move away from a pharmacy model in which</w:t>
      </w:r>
      <w:r w:rsidR="00C83F6C">
        <w:t xml:space="preserve"> </w:t>
      </w:r>
      <w:r w:rsidR="002B4EC4" w:rsidRPr="002B4EC4">
        <w:t xml:space="preserve">competition </w:t>
      </w:r>
      <w:r w:rsidR="00C83F6C">
        <w:t>reform is the imperative</w:t>
      </w:r>
      <w:r>
        <w:t>.</w:t>
      </w:r>
    </w:p>
    <w:p w14:paraId="1EA39370" w14:textId="77777777" w:rsidR="00CF785F" w:rsidRDefault="00CF785F">
      <w:pPr>
        <w:rPr>
          <w:b/>
        </w:rPr>
        <w:sectPr w:rsidR="00CF785F" w:rsidSect="00E6063C">
          <w:type w:val="oddPage"/>
          <w:pgSz w:w="11907" w:h="16840" w:code="9"/>
          <w:pgMar w:top="1985" w:right="1304" w:bottom="1247" w:left="1814" w:header="1701" w:footer="397" w:gutter="0"/>
          <w:pgNumType w:chapSep="period"/>
          <w:cols w:space="720"/>
        </w:sectPr>
      </w:pPr>
    </w:p>
    <w:p w14:paraId="1EA39371" w14:textId="77777777" w:rsidR="008831B5" w:rsidRDefault="00D92A3D" w:rsidP="00D92A3D">
      <w:pPr>
        <w:pStyle w:val="Heading1"/>
      </w:pPr>
      <w:bookmarkStart w:id="151" w:name="_Toc488929731"/>
      <w:bookmarkStart w:id="152" w:name="_Toc489250109"/>
      <w:r w:rsidRPr="00D92A3D">
        <w:t>D</w:t>
      </w:r>
      <w:r>
        <w:tab/>
        <w:t>Preventative Health</w:t>
      </w:r>
      <w:bookmarkEnd w:id="151"/>
      <w:bookmarkEnd w:id="152"/>
    </w:p>
    <w:p w14:paraId="1EA39372" w14:textId="77777777" w:rsidR="005D488F" w:rsidRDefault="00ED7677" w:rsidP="005D488F">
      <w:pPr>
        <w:pStyle w:val="Heading2"/>
      </w:pPr>
      <w:bookmarkStart w:id="153" w:name="_Toc488929732"/>
      <w:bookmarkStart w:id="154" w:name="_Toc488930028"/>
      <w:bookmarkStart w:id="155" w:name="_Toc489250110"/>
      <w:r>
        <w:t>D</w:t>
      </w:r>
      <w:r w:rsidR="005D488F">
        <w:t>.</w:t>
      </w:r>
      <w:r>
        <w:rPr>
          <w:noProof/>
        </w:rPr>
        <w:t>1</w:t>
      </w:r>
      <w:r w:rsidR="005D488F">
        <w:tab/>
        <w:t>Introduction</w:t>
      </w:r>
      <w:bookmarkEnd w:id="153"/>
      <w:bookmarkEnd w:id="154"/>
      <w:bookmarkEnd w:id="155"/>
    </w:p>
    <w:p w14:paraId="1EA39373" w14:textId="77777777" w:rsidR="00DF5CA6" w:rsidRDefault="009D44FA" w:rsidP="00660A77">
      <w:pPr>
        <w:pStyle w:val="BodyText"/>
      </w:pPr>
      <w:r>
        <w:t>Preventative</w:t>
      </w:r>
      <w:r w:rsidR="00FC6BCE">
        <w:t xml:space="preserve"> health</w:t>
      </w:r>
      <w:r w:rsidR="00DF5CA6">
        <w:t xml:space="preserve"> encompasses most of the </w:t>
      </w:r>
      <w:r w:rsidR="00505CBA">
        <w:t>concerns</w:t>
      </w:r>
      <w:r w:rsidR="00DF5CA6">
        <w:t xml:space="preserve"> of an </w:t>
      </w:r>
      <w:r w:rsidR="00505CBA">
        <w:t>integrated</w:t>
      </w:r>
      <w:r w:rsidR="00DF5CA6">
        <w:t xml:space="preserve"> care system itself. This is because it is often </w:t>
      </w:r>
      <w:r w:rsidR="00505CBA">
        <w:t>characterised</w:t>
      </w:r>
      <w:r w:rsidR="00DF5CA6">
        <w:t xml:space="preserve"> </w:t>
      </w:r>
      <w:r w:rsidR="00505CBA">
        <w:t xml:space="preserve">broadly </w:t>
      </w:r>
      <w:r w:rsidR="00A524AE">
        <w:t>into five groups</w:t>
      </w:r>
      <w:r w:rsidR="00505CBA">
        <w:t>:</w:t>
      </w:r>
    </w:p>
    <w:p w14:paraId="1EA39374" w14:textId="77777777" w:rsidR="00E4199E" w:rsidRDefault="00E4199E" w:rsidP="004B0C3D">
      <w:pPr>
        <w:pStyle w:val="ListBullet"/>
      </w:pPr>
      <w:r>
        <w:t xml:space="preserve">primal prevention, whose focus is on the information and support given to parents for the period from foetus to the first year of life of </w:t>
      </w:r>
      <w:r w:rsidR="009D44FA">
        <w:t xml:space="preserve">a </w:t>
      </w:r>
      <w:r>
        <w:t>baby, which is now widely seen as critical to a healthy adult life. Awareness of the impacts of alcohol and tobacco use on an unborn child is an illustration. But so too is awareness of the psycho</w:t>
      </w:r>
      <w:r>
        <w:noBreakHyphen/>
        <w:t xml:space="preserve">social needs of babies. Conceptually, the difference between this and primary prevention is somewhat semantic, but its origin reflects an increasing scientific understanding of the impacts of parental behaviour on subsequent outcomes </w:t>
      </w:r>
    </w:p>
    <w:p w14:paraId="1EA39375" w14:textId="77777777" w:rsidR="00DF5CA6" w:rsidRDefault="00DF5CA6" w:rsidP="004B0C3D">
      <w:pPr>
        <w:pStyle w:val="ListBullet"/>
      </w:pPr>
      <w:r>
        <w:t>primary prevention — the avoidance of a disease or disorder. For example, interventions that increase healthy eating and physical activity can avoid obesity, and in turn, reduce the diseases and disabilities associated with it — diabetes, cardiovascular disease, immobility and depression</w:t>
      </w:r>
    </w:p>
    <w:p w14:paraId="1EA39376" w14:textId="77777777" w:rsidR="00691ACE" w:rsidRDefault="00DF5CA6" w:rsidP="004B0C3D">
      <w:pPr>
        <w:pStyle w:val="ListBullet"/>
      </w:pPr>
      <w:r>
        <w:t>secondary prevention</w:t>
      </w:r>
      <w:r w:rsidR="00A524AE">
        <w:t>, which</w:t>
      </w:r>
      <w:r>
        <w:t xml:space="preserve"> </w:t>
      </w:r>
      <w:r w:rsidR="00691ACE">
        <w:t>reverses, prevents or delays the progress of an already existing disease or disorder</w:t>
      </w:r>
      <w:r w:rsidR="00505CBA">
        <w:t>, or its impact on a person’</w:t>
      </w:r>
      <w:r w:rsidR="00F460B3">
        <w:t>s lif</w:t>
      </w:r>
      <w:r w:rsidR="00505CBA">
        <w:t>e</w:t>
      </w:r>
      <w:r w:rsidR="0082718A">
        <w:t>.</w:t>
      </w:r>
      <w:r w:rsidR="00691ACE">
        <w:t xml:space="preserve"> For instance, changes in diet for a person with diabetes can avoid the need for insulin treatment. Another example is early identification of cancer to improve the likelihood of </w:t>
      </w:r>
      <w:r w:rsidR="00F460B3">
        <w:t>successful</w:t>
      </w:r>
      <w:r w:rsidR="00691ACE">
        <w:t xml:space="preserve"> treatment</w:t>
      </w:r>
      <w:r w:rsidR="00505CBA">
        <w:t xml:space="preserve">. </w:t>
      </w:r>
      <w:r w:rsidR="00F460B3">
        <w:t>Adaptation</w:t>
      </w:r>
      <w:r w:rsidR="00505CBA">
        <w:t xml:space="preserve"> of a workplace to </w:t>
      </w:r>
      <w:r w:rsidR="00F460B3">
        <w:t>accommodate</w:t>
      </w:r>
      <w:r w:rsidR="00505CBA">
        <w:t xml:space="preserve"> a person with an acquired disability so </w:t>
      </w:r>
      <w:r w:rsidR="00F460B3">
        <w:t>they</w:t>
      </w:r>
      <w:r w:rsidR="00505CBA">
        <w:t xml:space="preserve"> can still work is also classified in this </w:t>
      </w:r>
      <w:r w:rsidR="00F460B3">
        <w:t>category</w:t>
      </w:r>
    </w:p>
    <w:p w14:paraId="1EA39377" w14:textId="77777777" w:rsidR="00F460B3" w:rsidRDefault="00691ACE" w:rsidP="004B0C3D">
      <w:pPr>
        <w:pStyle w:val="ListBullet"/>
      </w:pPr>
      <w:r>
        <w:t>tertiary prevention</w:t>
      </w:r>
      <w:r w:rsidR="00A524AE">
        <w:t>, which</w:t>
      </w:r>
      <w:r>
        <w:t xml:space="preserve"> concerns </w:t>
      </w:r>
      <w:r w:rsidR="00F460B3">
        <w:t>interventions that seek to manage the impact of an ongoing illness and to increase a person’s quality of life and longevity. For example, this could include stroke rehabilitation programs</w:t>
      </w:r>
    </w:p>
    <w:p w14:paraId="1EA39378" w14:textId="77777777" w:rsidR="00E4199E" w:rsidRDefault="00585603" w:rsidP="004B0C3D">
      <w:pPr>
        <w:pStyle w:val="ListBullet"/>
      </w:pPr>
      <w:r>
        <w:t>quaternary</w:t>
      </w:r>
      <w:r w:rsidR="00E4199E">
        <w:t xml:space="preserve"> prevention</w:t>
      </w:r>
      <w:r>
        <w:t>, which relates to the avoidance of unnecessary medical interventions of the kind discussed in chapter 7.</w:t>
      </w:r>
    </w:p>
    <w:p w14:paraId="1EA39379" w14:textId="77777777" w:rsidR="00F460B3" w:rsidRDefault="00F460B3" w:rsidP="00660A77">
      <w:pPr>
        <w:pStyle w:val="BodyText"/>
      </w:pPr>
      <w:r>
        <w:t xml:space="preserve">Much of this supporting paper </w:t>
      </w:r>
      <w:r w:rsidR="00E4199E">
        <w:t>examines</w:t>
      </w:r>
      <w:r w:rsidR="00585603">
        <w:t xml:space="preserve"> secondary, </w:t>
      </w:r>
      <w:r>
        <w:t xml:space="preserve">tertiary </w:t>
      </w:r>
      <w:r w:rsidR="00585603">
        <w:t xml:space="preserve">and quaternary </w:t>
      </w:r>
      <w:r>
        <w:t xml:space="preserve">prevention. This appendix </w:t>
      </w:r>
      <w:r w:rsidR="00006334">
        <w:t xml:space="preserve">mainly </w:t>
      </w:r>
      <w:r>
        <w:t xml:space="preserve">focuses on primary prevention. </w:t>
      </w:r>
    </w:p>
    <w:p w14:paraId="1EA3937A" w14:textId="77777777" w:rsidR="00A524AE" w:rsidRDefault="00585603" w:rsidP="008C04DF">
      <w:pPr>
        <w:pStyle w:val="BodyText"/>
      </w:pPr>
      <w:r>
        <w:t xml:space="preserve">The framework for </w:t>
      </w:r>
      <w:r w:rsidR="009D44FA">
        <w:t>preventative</w:t>
      </w:r>
      <w:r>
        <w:t xml:space="preserve"> care is well</w:t>
      </w:r>
      <w:r>
        <w:noBreakHyphen/>
        <w:t>established (figure D.1)</w:t>
      </w:r>
      <w:r w:rsidR="008C04DF">
        <w:t>, and it is not the intent of this short appendix to re</w:t>
      </w:r>
      <w:r w:rsidR="008C04DF">
        <w:noBreakHyphen/>
        <w:t>visit the issues in any great detail. However, in light of increasing concerns about chronic conditions — especially those related to environmental risk factors and people’s choice</w:t>
      </w:r>
      <w:r w:rsidR="00A524AE">
        <w:t>s —</w:t>
      </w:r>
      <w:r w:rsidR="008C04DF">
        <w:t xml:space="preserve"> the goal of this appendix is to</w:t>
      </w:r>
      <w:r w:rsidR="00A524AE">
        <w:t xml:space="preserve"> provide a succinct guide to the considerations that should inform policymakers’ </w:t>
      </w:r>
      <w:r w:rsidR="009D44FA">
        <w:t>preventative</w:t>
      </w:r>
      <w:r w:rsidR="00A524AE">
        <w:t xml:space="preserve"> health decisions, especially as these relate to the use of economic tools. </w:t>
      </w:r>
      <w:r w:rsidR="00C506CC">
        <w:t>Its discussion mainly centres on the modifiable risk factors that are a key target of preventative health measures.</w:t>
      </w:r>
    </w:p>
    <w:p w14:paraId="1EA3937B" w14:textId="77777777" w:rsidR="00AF0EA6" w:rsidRDefault="00AF0EA6" w:rsidP="008C04DF">
      <w:pPr>
        <w:pStyle w:val="BodyText"/>
      </w:pPr>
      <w:r>
        <w:t>The key message from this appendix is simple, if often ignored:</w:t>
      </w:r>
    </w:p>
    <w:p w14:paraId="1EA3937C" w14:textId="77777777" w:rsidR="00AF0EA6" w:rsidRPr="008C243B" w:rsidRDefault="00AF0EA6" w:rsidP="008C04DF">
      <w:pPr>
        <w:pStyle w:val="BodyText"/>
        <w:rPr>
          <w:i/>
        </w:rPr>
      </w:pPr>
      <w:r w:rsidRPr="008C243B">
        <w:rPr>
          <w:i/>
        </w:rPr>
        <w:t>Policy should not be based</w:t>
      </w:r>
      <w:r w:rsidR="008C243B" w:rsidRPr="008C243B">
        <w:rPr>
          <w:i/>
        </w:rPr>
        <w:t xml:space="preserve"> simply</w:t>
      </w:r>
      <w:r w:rsidRPr="008C243B">
        <w:rPr>
          <w:i/>
        </w:rPr>
        <w:t xml:space="preserve"> on those risk factors with the worst health outcomes, but must also consider the </w:t>
      </w:r>
      <w:r w:rsidR="008C243B" w:rsidRPr="008C243B">
        <w:rPr>
          <w:i/>
        </w:rPr>
        <w:t>direct long</w:t>
      </w:r>
      <w:r w:rsidR="008C243B" w:rsidRPr="008C243B">
        <w:rPr>
          <w:i/>
        </w:rPr>
        <w:noBreakHyphen/>
        <w:t xml:space="preserve">run </w:t>
      </w:r>
      <w:r w:rsidRPr="008C243B">
        <w:rPr>
          <w:i/>
        </w:rPr>
        <w:t xml:space="preserve">effectiveness of </w:t>
      </w:r>
      <w:r w:rsidR="008C243B" w:rsidRPr="008C243B">
        <w:rPr>
          <w:i/>
        </w:rPr>
        <w:t xml:space="preserve">alternative </w:t>
      </w:r>
      <w:r w:rsidRPr="008C243B">
        <w:rPr>
          <w:i/>
        </w:rPr>
        <w:t>interventions,</w:t>
      </w:r>
      <w:r w:rsidR="008C243B" w:rsidRPr="008C243B">
        <w:rPr>
          <w:i/>
        </w:rPr>
        <w:t xml:space="preserve"> </w:t>
      </w:r>
      <w:r w:rsidR="008C243B">
        <w:rPr>
          <w:i/>
        </w:rPr>
        <w:t xml:space="preserve">uncertainty about efficacy, </w:t>
      </w:r>
      <w:r w:rsidR="008C243B" w:rsidRPr="008C243B">
        <w:rPr>
          <w:i/>
        </w:rPr>
        <w:t xml:space="preserve">displacement of risky behaviour, </w:t>
      </w:r>
      <w:r w:rsidRPr="008C243B">
        <w:rPr>
          <w:i/>
        </w:rPr>
        <w:t xml:space="preserve">implementation costs, forgone </w:t>
      </w:r>
      <w:r w:rsidR="008C243B">
        <w:rPr>
          <w:i/>
        </w:rPr>
        <w:t xml:space="preserve">consumer and social </w:t>
      </w:r>
      <w:r w:rsidRPr="008C243B">
        <w:rPr>
          <w:i/>
        </w:rPr>
        <w:t xml:space="preserve">benefits </w:t>
      </w:r>
      <w:r w:rsidR="008C243B">
        <w:rPr>
          <w:i/>
        </w:rPr>
        <w:t>outside the health domain</w:t>
      </w:r>
      <w:r w:rsidRPr="008C243B">
        <w:rPr>
          <w:i/>
        </w:rPr>
        <w:t xml:space="preserve">, and public acceptability. </w:t>
      </w:r>
    </w:p>
    <w:p w14:paraId="1EA3937D" w14:textId="77777777" w:rsidR="003D1E8D" w:rsidRDefault="003D1E8D" w:rsidP="00170F1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3D1E8D" w14:paraId="1EA3937F" w14:textId="77777777" w:rsidTr="00170F1C">
        <w:trPr>
          <w:tblHeader/>
        </w:trPr>
        <w:tc>
          <w:tcPr>
            <w:tcW w:w="5000" w:type="pct"/>
            <w:tcBorders>
              <w:top w:val="single" w:sz="6" w:space="0" w:color="78A22F"/>
              <w:left w:val="nil"/>
              <w:bottom w:val="nil"/>
              <w:right w:val="nil"/>
            </w:tcBorders>
            <w:shd w:val="clear" w:color="auto" w:fill="auto"/>
          </w:tcPr>
          <w:p w14:paraId="1EA3937E" w14:textId="77777777" w:rsidR="003D1E8D" w:rsidRPr="00176D3F" w:rsidRDefault="003D1E8D" w:rsidP="00CB3D7E">
            <w:pPr>
              <w:pStyle w:val="FigureTitle"/>
            </w:pPr>
            <w:r w:rsidRPr="00944790">
              <w:rPr>
                <w:b w:val="0"/>
              </w:rPr>
              <w:t xml:space="preserve">Figure </w:t>
            </w:r>
            <w:r w:rsidR="00CB3D7E" w:rsidRPr="00944790">
              <w:rPr>
                <w:b w:val="0"/>
              </w:rPr>
              <w:t>D.1</w:t>
            </w:r>
            <w:r w:rsidRPr="00AF098D">
              <w:tab/>
            </w:r>
            <w:r w:rsidR="00063421">
              <w:t xml:space="preserve">A </w:t>
            </w:r>
            <w:r w:rsidR="009D44FA">
              <w:t>preventative</w:t>
            </w:r>
            <w:r w:rsidR="00063421">
              <w:t xml:space="preserve"> health framework</w:t>
            </w:r>
          </w:p>
        </w:tc>
      </w:tr>
      <w:tr w:rsidR="003D1E8D" w14:paraId="1EA39383" w14:textId="77777777" w:rsidTr="00170F1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20"/>
            </w:tblGrid>
            <w:tr w:rsidR="003D1E8D" w:rsidRPr="00B1465D" w14:paraId="1EA39381" w14:textId="77777777" w:rsidTr="00170F1C">
              <w:trPr>
                <w:tblHeader/>
                <w:jc w:val="center"/>
              </w:trPr>
              <w:tc>
                <w:tcPr>
                  <w:tcW w:w="5000" w:type="pct"/>
                  <w:tcBorders>
                    <w:top w:val="nil"/>
                    <w:bottom w:val="nil"/>
                  </w:tcBorders>
                </w:tcPr>
                <w:p w14:paraId="1EA39380" w14:textId="77777777" w:rsidR="003D1E8D" w:rsidRPr="00B1465D" w:rsidRDefault="00063421" w:rsidP="00170F1C">
                  <w:pPr>
                    <w:pStyle w:val="Figure"/>
                    <w:spacing w:before="60" w:after="60"/>
                    <w:rPr>
                      <w:rFonts w:ascii="Arial" w:hAnsi="Arial" w:cs="Arial"/>
                      <w:sz w:val="18"/>
                      <w:szCs w:val="18"/>
                    </w:rPr>
                  </w:pPr>
                  <w:r>
                    <w:rPr>
                      <w:rFonts w:ascii="Arial" w:hAnsi="Arial" w:cs="Arial"/>
                      <w:noProof/>
                      <w:sz w:val="18"/>
                      <w:szCs w:val="18"/>
                    </w:rPr>
                    <w:drawing>
                      <wp:inline distT="0" distB="0" distL="0" distR="0" wp14:anchorId="1EA3965C" wp14:editId="13CF6CE0">
                        <wp:extent cx="5401310" cy="4816475"/>
                        <wp:effectExtent l="0" t="0" r="8890" b="3175"/>
                        <wp:docPr id="20" name="Picture 20" descr="This figure portrays a preventative health framework, which takes into account the determinants of health in order to deliver health outcomes. At the core is the population whose health is being targeted, together with those who influence preventative health delivery. How and where preventative care is delivered is also critical, as is an enabling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1310" cy="4816475"/>
                                </a:xfrm>
                                <a:prstGeom prst="rect">
                                  <a:avLst/>
                                </a:prstGeom>
                                <a:noFill/>
                              </pic:spPr>
                            </pic:pic>
                          </a:graphicData>
                        </a:graphic>
                      </wp:inline>
                    </w:drawing>
                  </w:r>
                </w:p>
              </w:tc>
            </w:tr>
          </w:tbl>
          <w:p w14:paraId="1EA39382" w14:textId="77777777" w:rsidR="003D1E8D" w:rsidRDefault="003D1E8D" w:rsidP="00170F1C">
            <w:pPr>
              <w:pStyle w:val="Figure"/>
            </w:pPr>
          </w:p>
        </w:tc>
      </w:tr>
      <w:tr w:rsidR="003D1E8D" w:rsidRPr="00176D3F" w14:paraId="1EA39385" w14:textId="77777777" w:rsidTr="00170F1C">
        <w:tc>
          <w:tcPr>
            <w:tcW w:w="5000" w:type="pct"/>
            <w:tcBorders>
              <w:top w:val="nil"/>
              <w:left w:val="nil"/>
              <w:bottom w:val="nil"/>
              <w:right w:val="nil"/>
            </w:tcBorders>
            <w:shd w:val="clear" w:color="auto" w:fill="auto"/>
          </w:tcPr>
          <w:p w14:paraId="1EA39384" w14:textId="77777777" w:rsidR="003D1E8D" w:rsidRPr="00176D3F" w:rsidRDefault="00063421" w:rsidP="00451B87">
            <w:pPr>
              <w:pStyle w:val="Source"/>
            </w:pPr>
            <w:r>
              <w:rPr>
                <w:i/>
              </w:rPr>
              <w:t>S</w:t>
            </w:r>
            <w:r w:rsidR="003D1E8D" w:rsidRPr="00784A05">
              <w:rPr>
                <w:i/>
              </w:rPr>
              <w:t>ource</w:t>
            </w:r>
            <w:r w:rsidR="003D1E8D" w:rsidRPr="00176D3F">
              <w:t xml:space="preserve">: </w:t>
            </w:r>
            <w:r w:rsidR="00451B87">
              <w:t>A</w:t>
            </w:r>
            <w:r>
              <w:t xml:space="preserve">dapted from </w:t>
            </w:r>
            <w:r w:rsidRPr="00063421">
              <w:t>Australian Institute of Health and Welfar</w:t>
            </w:r>
            <w:r w:rsidR="00451B87">
              <w:t>e 2014</w:t>
            </w:r>
            <w:r w:rsidR="00A373BF">
              <w:t>,</w:t>
            </w:r>
            <w:r w:rsidR="00451B87">
              <w:t xml:space="preserve"> </w:t>
            </w:r>
            <w:r w:rsidR="00451B87" w:rsidRPr="00451B87">
              <w:rPr>
                <w:i/>
              </w:rPr>
              <w:t xml:space="preserve">Australia’s </w:t>
            </w:r>
            <w:r w:rsidR="00783314">
              <w:rPr>
                <w:i/>
              </w:rPr>
              <w:t>H</w:t>
            </w:r>
            <w:r w:rsidR="00451B87" w:rsidRPr="00451B87">
              <w:rPr>
                <w:i/>
              </w:rPr>
              <w:t>ealth 2014</w:t>
            </w:r>
            <w:r w:rsidR="00451B87">
              <w:t>,</w:t>
            </w:r>
            <w:r w:rsidRPr="00063421">
              <w:t xml:space="preserve"> Australia’s health s</w:t>
            </w:r>
            <w:r w:rsidR="00781ED0">
              <w:t>eries no. 14</w:t>
            </w:r>
            <w:r w:rsidR="00783314">
              <w:t>,</w:t>
            </w:r>
            <w:r w:rsidR="00781ED0">
              <w:t xml:space="preserve"> Cat. </w:t>
            </w:r>
            <w:r w:rsidRPr="00063421">
              <w:t>no. AUS 178</w:t>
            </w:r>
            <w:r w:rsidR="00451B87">
              <w:t>.</w:t>
            </w:r>
          </w:p>
        </w:tc>
      </w:tr>
      <w:tr w:rsidR="003D1E8D" w14:paraId="1EA39387" w14:textId="77777777" w:rsidTr="00170F1C">
        <w:tc>
          <w:tcPr>
            <w:tcW w:w="5000" w:type="pct"/>
            <w:tcBorders>
              <w:top w:val="nil"/>
              <w:left w:val="nil"/>
              <w:bottom w:val="single" w:sz="6" w:space="0" w:color="78A22F"/>
              <w:right w:val="nil"/>
            </w:tcBorders>
            <w:shd w:val="clear" w:color="auto" w:fill="auto"/>
          </w:tcPr>
          <w:p w14:paraId="1EA39386" w14:textId="77777777" w:rsidR="003D1E8D" w:rsidRDefault="003D1E8D" w:rsidP="00170F1C">
            <w:pPr>
              <w:pStyle w:val="Figurespace"/>
            </w:pPr>
          </w:p>
        </w:tc>
      </w:tr>
      <w:tr w:rsidR="003D1E8D" w:rsidRPr="000863A5" w14:paraId="1EA39389" w14:textId="77777777" w:rsidTr="00170F1C">
        <w:tc>
          <w:tcPr>
            <w:tcW w:w="5000" w:type="pct"/>
            <w:tcBorders>
              <w:top w:val="single" w:sz="6" w:space="0" w:color="78A22F"/>
              <w:left w:val="nil"/>
              <w:bottom w:val="nil"/>
              <w:right w:val="nil"/>
            </w:tcBorders>
          </w:tcPr>
          <w:p w14:paraId="1EA39388" w14:textId="77777777" w:rsidR="003D1E8D" w:rsidRPr="00626D32" w:rsidRDefault="003D1E8D" w:rsidP="00170F1C">
            <w:pPr>
              <w:pStyle w:val="BoxSpaceBelow"/>
            </w:pPr>
          </w:p>
        </w:tc>
      </w:tr>
    </w:tbl>
    <w:p w14:paraId="1EA3938A" w14:textId="77777777" w:rsidR="005D488F" w:rsidRDefault="00C506CC" w:rsidP="00C506CC">
      <w:pPr>
        <w:pStyle w:val="Heading2"/>
      </w:pPr>
      <w:bookmarkStart w:id="156" w:name="_Toc488929733"/>
      <w:bookmarkStart w:id="157" w:name="_Toc488930029"/>
      <w:bookmarkStart w:id="158" w:name="_Toc489250111"/>
      <w:r>
        <w:t>D.</w:t>
      </w:r>
      <w:r w:rsidR="00ED7677">
        <w:t>2</w:t>
      </w:r>
      <w:r>
        <w:tab/>
      </w:r>
      <w:r w:rsidR="00E14D2B">
        <w:t>Setting out the key questions in evaluating interventions</w:t>
      </w:r>
      <w:bookmarkEnd w:id="156"/>
      <w:bookmarkEnd w:id="157"/>
      <w:bookmarkEnd w:id="158"/>
      <w:r w:rsidR="00E14D2B">
        <w:t xml:space="preserve"> </w:t>
      </w:r>
    </w:p>
    <w:p w14:paraId="1EA3938B" w14:textId="77777777" w:rsidR="00C506CC" w:rsidRDefault="00C506CC" w:rsidP="00E14D2B">
      <w:pPr>
        <w:pStyle w:val="Heading3"/>
      </w:pPr>
      <w:r>
        <w:t>What are the key modifiable risk factors?</w:t>
      </w:r>
    </w:p>
    <w:p w14:paraId="1EA3938C" w14:textId="77777777" w:rsidR="00EB187C" w:rsidRDefault="00EB187C" w:rsidP="00EB187C">
      <w:pPr>
        <w:pStyle w:val="BodyText"/>
      </w:pPr>
      <w:r>
        <w:t xml:space="preserve">There have been many successful </w:t>
      </w:r>
      <w:r w:rsidR="009D44FA">
        <w:t>preventative</w:t>
      </w:r>
      <w:r>
        <w:t xml:space="preserve"> health initiatives: </w:t>
      </w:r>
      <w:r w:rsidR="009D44FA">
        <w:t>anti</w:t>
      </w:r>
      <w:r w:rsidR="009D44FA">
        <w:noBreakHyphen/>
      </w:r>
      <w:r>
        <w:t>t</w:t>
      </w:r>
      <w:r w:rsidR="009D44FA">
        <w:t>o</w:t>
      </w:r>
      <w:r>
        <w:t xml:space="preserve">bacco </w:t>
      </w:r>
      <w:r w:rsidR="009D44FA">
        <w:t>campaigns</w:t>
      </w:r>
      <w:r>
        <w:t xml:space="preserve">, </w:t>
      </w:r>
      <w:r w:rsidR="009D44FA">
        <w:t xml:space="preserve">road safety measures curbing </w:t>
      </w:r>
      <w:r>
        <w:t xml:space="preserve">automobile accidents </w:t>
      </w:r>
      <w:r w:rsidR="009D44FA">
        <w:t xml:space="preserve">and </w:t>
      </w:r>
      <w:r>
        <w:t xml:space="preserve">cervical cancer vaccines. Historically, the most crucial </w:t>
      </w:r>
      <w:r w:rsidR="009D44FA">
        <w:t>preventative</w:t>
      </w:r>
      <w:r>
        <w:t xml:space="preserve"> health measures related to vaccinations (such as smallpox and poliomyelitis), improved sewerage, potable water and urban design. But the kinds of chronic conditions that now affect population health often relate to lifestyle behaviours, and the policies that attempt to prevent associated disease are different in character. </w:t>
      </w:r>
    </w:p>
    <w:p w14:paraId="1EA3938D" w14:textId="77777777" w:rsidR="00FC7F84" w:rsidRDefault="004B0C3D" w:rsidP="00EB187C">
      <w:pPr>
        <w:pStyle w:val="BodyText"/>
      </w:pPr>
      <w:r w:rsidRPr="00C53F52">
        <w:t xml:space="preserve">The </w:t>
      </w:r>
      <w:r w:rsidR="00FC6BCE">
        <w:t xml:space="preserve">modifiable </w:t>
      </w:r>
      <w:r w:rsidRPr="00C53F52">
        <w:t xml:space="preserve">risk factors that contribute most to the Australia’s total burden of disease are tobacco use, high body mass, alcohol misuse, physical inactivity and high blood pressure, noting that there are interactions between the risk factors that mean they cannot be added up </w:t>
      </w:r>
      <w:r w:rsidRPr="00586151">
        <w:rPr>
          <w:szCs w:val="24"/>
        </w:rPr>
        <w:t>(AIHW 2016a, p. 57)</w:t>
      </w:r>
      <w:r w:rsidRPr="00C53F52">
        <w:t>.</w:t>
      </w:r>
      <w:r w:rsidRPr="003D243B">
        <w:rPr>
          <w:rStyle w:val="FootnoteReference"/>
        </w:rPr>
        <w:footnoteReference w:id="64"/>
      </w:r>
      <w:r w:rsidRPr="00C53F52">
        <w:t xml:space="preserve"> For example, some of the effects of high blood pressure can be attributed t</w:t>
      </w:r>
      <w:r>
        <w:t xml:space="preserve">o inactivity and high body mass. </w:t>
      </w:r>
    </w:p>
    <w:p w14:paraId="1EA3938E" w14:textId="77777777" w:rsidR="004B0C3D" w:rsidRDefault="004B0C3D" w:rsidP="004B0C3D">
      <w:pPr>
        <w:pStyle w:val="BodyText"/>
      </w:pPr>
      <w:r>
        <w:t>Of the</w:t>
      </w:r>
      <w:r w:rsidR="00FC6BCE">
        <w:t xml:space="preserve"> risk factors</w:t>
      </w:r>
      <w:r>
        <w:t xml:space="preserve">, tobacco, body mass and alcohol are central to </w:t>
      </w:r>
      <w:r w:rsidR="009D44FA">
        <w:t>preventative</w:t>
      </w:r>
      <w:r>
        <w:t xml:space="preserve"> health in Australia</w:t>
      </w:r>
      <w:r w:rsidR="00FC6BCE">
        <w:t xml:space="preserve"> because there are a plethora of potentially powerful regulatory, educational and economic interventions that could affect their severity</w:t>
      </w:r>
      <w:r>
        <w:t xml:space="preserve">. While the AIHW does not publish an aggregate estimate of the impact of dietary risk factors (the types of food eaten </w:t>
      </w:r>
      <w:r w:rsidR="00FA4F28">
        <w:t>compared with</w:t>
      </w:r>
      <w:r>
        <w:t xml:space="preserve"> the quantity), it is clear that collectively they also play an important role in causing disease (figure D.2), and yet are very readily modifiable. </w:t>
      </w:r>
    </w:p>
    <w:p w14:paraId="1EA3938F" w14:textId="77777777" w:rsidR="009831F5" w:rsidRDefault="009831F5" w:rsidP="009831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9831F5" w14:paraId="1EA39392" w14:textId="77777777" w:rsidTr="00E45C61">
        <w:trPr>
          <w:tblHeader/>
        </w:trPr>
        <w:tc>
          <w:tcPr>
            <w:tcW w:w="5000" w:type="pct"/>
            <w:tcBorders>
              <w:top w:val="single" w:sz="6" w:space="0" w:color="78A22F"/>
              <w:left w:val="nil"/>
              <w:bottom w:val="nil"/>
              <w:right w:val="nil"/>
            </w:tcBorders>
            <w:shd w:val="clear" w:color="auto" w:fill="auto"/>
          </w:tcPr>
          <w:p w14:paraId="1EA39390" w14:textId="77777777" w:rsidR="009831F5" w:rsidRDefault="009831F5" w:rsidP="00E45C61">
            <w:pPr>
              <w:pStyle w:val="FigureTitle"/>
            </w:pPr>
            <w:r w:rsidRPr="00944790">
              <w:rPr>
                <w:b w:val="0"/>
              </w:rPr>
              <w:t>Figure D.2</w:t>
            </w:r>
            <w:r w:rsidRPr="00AF098D">
              <w:tab/>
              <w:t>Share</w:t>
            </w:r>
            <w:r>
              <w:t xml:space="preserve"> of total disability</w:t>
            </w:r>
            <w:r>
              <w:noBreakHyphen/>
              <w:t>adjusted life years associated with given risk factors</w:t>
            </w:r>
          </w:p>
          <w:p w14:paraId="1EA39391" w14:textId="77777777" w:rsidR="009831F5" w:rsidRPr="00176D3F" w:rsidRDefault="009831F5" w:rsidP="009E1CFC">
            <w:pPr>
              <w:pStyle w:val="Subtitle"/>
            </w:pPr>
            <w:r>
              <w:t>2011</w:t>
            </w:r>
            <w:r w:rsidR="009E1CFC" w:rsidRPr="001B6113">
              <w:rPr>
                <w:rStyle w:val="NoteLabel"/>
              </w:rPr>
              <w:t>a</w:t>
            </w:r>
          </w:p>
        </w:tc>
      </w:tr>
      <w:tr w:rsidR="009831F5" w14:paraId="1EA39396" w14:textId="77777777" w:rsidTr="00E45C6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20"/>
            </w:tblGrid>
            <w:tr w:rsidR="009831F5" w:rsidRPr="00B1465D" w14:paraId="1EA39394" w14:textId="77777777" w:rsidTr="00E45C61">
              <w:trPr>
                <w:tblHeader/>
                <w:jc w:val="center"/>
              </w:trPr>
              <w:tc>
                <w:tcPr>
                  <w:tcW w:w="5000" w:type="pct"/>
                  <w:tcBorders>
                    <w:top w:val="nil"/>
                    <w:bottom w:val="nil"/>
                  </w:tcBorders>
                </w:tcPr>
                <w:p w14:paraId="1EA39393" w14:textId="77777777" w:rsidR="009831F5" w:rsidRPr="00B1465D" w:rsidRDefault="009831F5" w:rsidP="00E45C61">
                  <w:pPr>
                    <w:pStyle w:val="Figure"/>
                    <w:spacing w:before="60" w:after="60"/>
                    <w:rPr>
                      <w:rFonts w:ascii="Arial" w:hAnsi="Arial" w:cs="Arial"/>
                      <w:sz w:val="18"/>
                      <w:szCs w:val="18"/>
                    </w:rPr>
                  </w:pPr>
                  <w:r>
                    <w:rPr>
                      <w:rFonts w:ascii="Arial" w:hAnsi="Arial" w:cs="Arial"/>
                      <w:noProof/>
                      <w:sz w:val="18"/>
                      <w:szCs w:val="18"/>
                    </w:rPr>
                    <w:drawing>
                      <wp:inline distT="0" distB="0" distL="0" distR="0" wp14:anchorId="1EA3965E" wp14:editId="358ECD3B">
                        <wp:extent cx="5407660" cy="2938780"/>
                        <wp:effectExtent l="0" t="0" r="2540" b="0"/>
                        <wp:docPr id="4" name="Picture 4" descr="This figure reports the 2011 share of total disability adjusted life years associated with fifteen specific risk factors, including six dietary factors. While the highest risk factor was tobacco use (9 per cent), various aspects of diet were also important including, for example, a diet low in fruit (2 per cent), a diet low in vegetables (1.4 per cent) and a diet high in processed meats (1.4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7660" cy="2938780"/>
                                </a:xfrm>
                                <a:prstGeom prst="rect">
                                  <a:avLst/>
                                </a:prstGeom>
                                <a:noFill/>
                              </pic:spPr>
                            </pic:pic>
                          </a:graphicData>
                        </a:graphic>
                      </wp:inline>
                    </w:drawing>
                  </w:r>
                </w:p>
              </w:tc>
            </w:tr>
          </w:tbl>
          <w:p w14:paraId="1EA39395" w14:textId="77777777" w:rsidR="009831F5" w:rsidRDefault="009831F5" w:rsidP="00E45C61">
            <w:pPr>
              <w:pStyle w:val="Figure"/>
            </w:pPr>
          </w:p>
        </w:tc>
      </w:tr>
      <w:tr w:rsidR="009831F5" w:rsidRPr="00176D3F" w14:paraId="1EA39398" w14:textId="77777777" w:rsidTr="00E45C61">
        <w:tc>
          <w:tcPr>
            <w:tcW w:w="5000" w:type="pct"/>
            <w:tcBorders>
              <w:top w:val="nil"/>
              <w:left w:val="nil"/>
              <w:bottom w:val="nil"/>
              <w:right w:val="nil"/>
            </w:tcBorders>
            <w:shd w:val="clear" w:color="auto" w:fill="auto"/>
          </w:tcPr>
          <w:p w14:paraId="1EA39397" w14:textId="77777777" w:rsidR="009831F5" w:rsidRPr="00176D3F" w:rsidRDefault="009831F5" w:rsidP="00E45C61">
            <w:pPr>
              <w:pStyle w:val="Note"/>
            </w:pPr>
            <w:r>
              <w:rPr>
                <w:rStyle w:val="NoteLabel"/>
              </w:rPr>
              <w:t>a</w:t>
            </w:r>
            <w:r>
              <w:t xml:space="preserve"> The effects cannot be added up because there are interdependencies.</w:t>
            </w:r>
          </w:p>
        </w:tc>
      </w:tr>
      <w:tr w:rsidR="009831F5" w:rsidRPr="00176D3F" w14:paraId="1EA3939A" w14:textId="77777777" w:rsidTr="00E45C61">
        <w:tc>
          <w:tcPr>
            <w:tcW w:w="5000" w:type="pct"/>
            <w:tcBorders>
              <w:top w:val="nil"/>
              <w:left w:val="nil"/>
              <w:bottom w:val="nil"/>
              <w:right w:val="nil"/>
            </w:tcBorders>
            <w:shd w:val="clear" w:color="auto" w:fill="auto"/>
          </w:tcPr>
          <w:p w14:paraId="1EA39399" w14:textId="77777777" w:rsidR="009831F5" w:rsidRPr="00176D3F" w:rsidRDefault="009831F5" w:rsidP="00E45C61">
            <w:pPr>
              <w:pStyle w:val="Source"/>
            </w:pPr>
            <w:r>
              <w:rPr>
                <w:i/>
              </w:rPr>
              <w:t>S</w:t>
            </w:r>
            <w:r w:rsidRPr="00784A05">
              <w:rPr>
                <w:i/>
              </w:rPr>
              <w:t>ource</w:t>
            </w:r>
            <w:r w:rsidRPr="00176D3F">
              <w:t>:</w:t>
            </w:r>
            <w:r>
              <w:t xml:space="preserve"> AIHW</w:t>
            </w:r>
            <w:r w:rsidRPr="00176D3F">
              <w:t xml:space="preserve"> </w:t>
            </w:r>
            <w:r w:rsidRPr="009831F5">
              <w:rPr>
                <w:rFonts w:cs="Arial"/>
              </w:rPr>
              <w:t>(2016a)</w:t>
            </w:r>
            <w:r>
              <w:t>.</w:t>
            </w:r>
          </w:p>
        </w:tc>
      </w:tr>
      <w:tr w:rsidR="009831F5" w14:paraId="1EA3939C" w14:textId="77777777" w:rsidTr="00E45C61">
        <w:tc>
          <w:tcPr>
            <w:tcW w:w="5000" w:type="pct"/>
            <w:tcBorders>
              <w:top w:val="nil"/>
              <w:left w:val="nil"/>
              <w:bottom w:val="single" w:sz="6" w:space="0" w:color="78A22F"/>
              <w:right w:val="nil"/>
            </w:tcBorders>
            <w:shd w:val="clear" w:color="auto" w:fill="auto"/>
          </w:tcPr>
          <w:p w14:paraId="1EA3939B" w14:textId="77777777" w:rsidR="009831F5" w:rsidRDefault="009831F5" w:rsidP="00E45C61">
            <w:pPr>
              <w:pStyle w:val="Figurespace"/>
            </w:pPr>
          </w:p>
        </w:tc>
      </w:tr>
      <w:tr w:rsidR="009831F5" w:rsidRPr="000863A5" w14:paraId="1EA3939E" w14:textId="77777777" w:rsidTr="00E45C61">
        <w:tc>
          <w:tcPr>
            <w:tcW w:w="5000" w:type="pct"/>
            <w:tcBorders>
              <w:top w:val="single" w:sz="6" w:space="0" w:color="78A22F"/>
              <w:left w:val="nil"/>
              <w:bottom w:val="nil"/>
              <w:right w:val="nil"/>
            </w:tcBorders>
          </w:tcPr>
          <w:p w14:paraId="1EA3939D" w14:textId="77777777" w:rsidR="009831F5" w:rsidRPr="00626D32" w:rsidRDefault="009831F5" w:rsidP="00E45C61">
            <w:pPr>
              <w:pStyle w:val="BoxSpaceBelow"/>
            </w:pPr>
          </w:p>
        </w:tc>
      </w:tr>
    </w:tbl>
    <w:p w14:paraId="1EA3939F" w14:textId="77777777" w:rsidR="004B0C3D" w:rsidRDefault="004B0C3D" w:rsidP="004B0C3D">
      <w:pPr>
        <w:pStyle w:val="BodyText"/>
      </w:pPr>
      <w:r>
        <w:t xml:space="preserve">The estimates of the burden of disease reflect the multiplicity of routes by which some behavioural or environmental </w:t>
      </w:r>
      <w:r w:rsidR="0084124A">
        <w:t xml:space="preserve">factors </w:t>
      </w:r>
      <w:r>
        <w:t>can trigger</w:t>
      </w:r>
      <w:r w:rsidDel="00A524AE">
        <w:t xml:space="preserve"> </w:t>
      </w:r>
      <w:r>
        <w:t>subsequent adverse effects. Alcohol provides a good example</w:t>
      </w:r>
      <w:r w:rsidR="0084124A">
        <w:t> (figure D.3)</w:t>
      </w:r>
      <w:r>
        <w:t xml:space="preserve">. The harms from excessive </w:t>
      </w:r>
      <w:r w:rsidRPr="00CA57AE">
        <w:t>alcohol consumption can include cancer, cardiovascular disease, liver disease, birth defects, self</w:t>
      </w:r>
      <w:r>
        <w:noBreakHyphen/>
      </w:r>
      <w:r w:rsidRPr="00CA57AE">
        <w:t xml:space="preserve">harm, assault, domestic violence and road deaths from drunk driving, among many others </w:t>
      </w:r>
      <w:r w:rsidRPr="002B1FEF">
        <w:rPr>
          <w:szCs w:val="24"/>
        </w:rPr>
        <w:t>(NHMRC 2009; RACS 2016a; Welch 2017; WHO 2014)</w:t>
      </w:r>
      <w:r w:rsidRPr="00CA57AE">
        <w:t xml:space="preserve">. </w:t>
      </w:r>
      <w:r w:rsidR="00004B1A">
        <w:t>The above estimates of the burden of disease of alcohol do not take account of new evidence about its harmful effects. For example, a</w:t>
      </w:r>
      <w:r>
        <w:t>lcohol dependence appears to be an important cause of dementia, accounting for potentially 10 per cent of early onset dementia and 10</w:t>
      </w:r>
      <w:r>
        <w:noBreakHyphen/>
        <w:t xml:space="preserve">24 per cent of dementia cases in nursing homes </w:t>
      </w:r>
      <w:r w:rsidRPr="00FF5553">
        <w:rPr>
          <w:szCs w:val="24"/>
        </w:rPr>
        <w:t>(Welch 2017)</w:t>
      </w:r>
      <w:r>
        <w:t>.</w:t>
      </w:r>
      <w:r w:rsidR="001B2A47">
        <w:t xml:space="preserve"> </w:t>
      </w:r>
    </w:p>
    <w:p w14:paraId="1EA393A0" w14:textId="77777777" w:rsidR="00E83832" w:rsidRDefault="00E83832" w:rsidP="00E45C6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E83832" w14:paraId="1EA393A3" w14:textId="77777777" w:rsidTr="00E45C61">
        <w:trPr>
          <w:tblHeader/>
        </w:trPr>
        <w:tc>
          <w:tcPr>
            <w:tcW w:w="5000" w:type="pct"/>
            <w:tcBorders>
              <w:top w:val="single" w:sz="6" w:space="0" w:color="78A22F"/>
              <w:left w:val="nil"/>
              <w:bottom w:val="nil"/>
              <w:right w:val="nil"/>
            </w:tcBorders>
            <w:shd w:val="clear" w:color="auto" w:fill="auto"/>
          </w:tcPr>
          <w:p w14:paraId="1EA393A1" w14:textId="77777777" w:rsidR="00E83832" w:rsidRDefault="00E83832" w:rsidP="00E45C61">
            <w:pPr>
              <w:pStyle w:val="FigureTitle"/>
            </w:pPr>
            <w:r w:rsidRPr="00784A05">
              <w:rPr>
                <w:b w:val="0"/>
              </w:rPr>
              <w:t xml:space="preserve">Figure </w:t>
            </w:r>
            <w:r w:rsidR="0084124A">
              <w:rPr>
                <w:b w:val="0"/>
              </w:rPr>
              <w:t>D.3</w:t>
            </w:r>
            <w:r>
              <w:tab/>
              <w:t>The share of disease burdens attributable to alcohol</w:t>
            </w:r>
          </w:p>
          <w:p w14:paraId="1EA393A2" w14:textId="77777777" w:rsidR="00E83832" w:rsidRPr="00176D3F" w:rsidRDefault="002D179B" w:rsidP="00E45C61">
            <w:pPr>
              <w:pStyle w:val="Subtitle"/>
            </w:pPr>
            <w:r>
              <w:t>2011</w:t>
            </w:r>
          </w:p>
        </w:tc>
      </w:tr>
      <w:tr w:rsidR="00E83832" w14:paraId="1EA393A7" w14:textId="77777777" w:rsidTr="00E45C6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20"/>
            </w:tblGrid>
            <w:tr w:rsidR="00E83832" w:rsidRPr="00B1465D" w14:paraId="1EA393A5" w14:textId="77777777" w:rsidTr="00E45C61">
              <w:trPr>
                <w:tblHeader/>
                <w:jc w:val="center"/>
              </w:trPr>
              <w:tc>
                <w:tcPr>
                  <w:tcW w:w="5000" w:type="pct"/>
                  <w:tcBorders>
                    <w:top w:val="nil"/>
                    <w:bottom w:val="nil"/>
                  </w:tcBorders>
                </w:tcPr>
                <w:p w14:paraId="1EA393A4" w14:textId="77777777" w:rsidR="00E83832" w:rsidRPr="00B1465D" w:rsidRDefault="00E83832" w:rsidP="00E45C61">
                  <w:pPr>
                    <w:pStyle w:val="Figure"/>
                    <w:spacing w:before="60" w:after="60"/>
                    <w:rPr>
                      <w:rFonts w:ascii="Arial" w:hAnsi="Arial" w:cs="Arial"/>
                      <w:sz w:val="18"/>
                      <w:szCs w:val="18"/>
                    </w:rPr>
                  </w:pPr>
                  <w:r>
                    <w:rPr>
                      <w:rFonts w:ascii="Arial" w:hAnsi="Arial" w:cs="Arial"/>
                      <w:noProof/>
                      <w:sz w:val="18"/>
                      <w:szCs w:val="18"/>
                    </w:rPr>
                    <w:drawing>
                      <wp:inline distT="0" distB="0" distL="0" distR="0" wp14:anchorId="1EA39660" wp14:editId="73E4A240">
                        <wp:extent cx="5407660" cy="2883535"/>
                        <wp:effectExtent l="0" t="0" r="2540" b="0"/>
                        <wp:docPr id="15" name="Picture 15" descr="This figure depicts the contribution of alcohol to eighteen specific health issues. The contribution of alcohol ranges from 12 per cent of falls to 33 per cent of road traffic injuries involving motorcyclists, and 100 per cent of alcohol use disor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7660" cy="2883535"/>
                                </a:xfrm>
                                <a:prstGeom prst="rect">
                                  <a:avLst/>
                                </a:prstGeom>
                                <a:noFill/>
                              </pic:spPr>
                            </pic:pic>
                          </a:graphicData>
                        </a:graphic>
                      </wp:inline>
                    </w:drawing>
                  </w:r>
                </w:p>
              </w:tc>
            </w:tr>
          </w:tbl>
          <w:p w14:paraId="1EA393A6" w14:textId="77777777" w:rsidR="00E83832" w:rsidRDefault="00E83832" w:rsidP="00E45C61">
            <w:pPr>
              <w:pStyle w:val="Figure"/>
            </w:pPr>
          </w:p>
        </w:tc>
      </w:tr>
      <w:tr w:rsidR="00E83832" w:rsidRPr="00176D3F" w14:paraId="1EA393A9" w14:textId="77777777" w:rsidTr="00E45C61">
        <w:tc>
          <w:tcPr>
            <w:tcW w:w="5000" w:type="pct"/>
            <w:tcBorders>
              <w:top w:val="nil"/>
              <w:left w:val="nil"/>
              <w:bottom w:val="nil"/>
              <w:right w:val="nil"/>
            </w:tcBorders>
            <w:shd w:val="clear" w:color="auto" w:fill="auto"/>
          </w:tcPr>
          <w:p w14:paraId="1EA393A8" w14:textId="023F88B7" w:rsidR="00E83832" w:rsidRPr="00176D3F" w:rsidRDefault="00E83832" w:rsidP="00E45C61">
            <w:pPr>
              <w:pStyle w:val="Source"/>
            </w:pPr>
            <w:r>
              <w:rPr>
                <w:i/>
              </w:rPr>
              <w:t>S</w:t>
            </w:r>
            <w:r w:rsidRPr="00784A05">
              <w:rPr>
                <w:i/>
              </w:rPr>
              <w:t>ource</w:t>
            </w:r>
            <w:r w:rsidRPr="00176D3F">
              <w:t xml:space="preserve">: </w:t>
            </w:r>
            <w:r>
              <w:t>AIHW</w:t>
            </w:r>
            <w:r w:rsidRPr="00176D3F">
              <w:t xml:space="preserve"> </w:t>
            </w:r>
            <w:r w:rsidRPr="009831F5">
              <w:rPr>
                <w:rFonts w:cs="Arial"/>
              </w:rPr>
              <w:t>(2016a)</w:t>
            </w:r>
            <w:r>
              <w:t>.</w:t>
            </w:r>
          </w:p>
        </w:tc>
      </w:tr>
      <w:tr w:rsidR="00E83832" w14:paraId="1EA393AB" w14:textId="77777777" w:rsidTr="00E45C61">
        <w:tc>
          <w:tcPr>
            <w:tcW w:w="5000" w:type="pct"/>
            <w:tcBorders>
              <w:top w:val="nil"/>
              <w:left w:val="nil"/>
              <w:bottom w:val="single" w:sz="6" w:space="0" w:color="78A22F"/>
              <w:right w:val="nil"/>
            </w:tcBorders>
            <w:shd w:val="clear" w:color="auto" w:fill="auto"/>
          </w:tcPr>
          <w:p w14:paraId="1EA393AA" w14:textId="77777777" w:rsidR="00E83832" w:rsidRDefault="00E83832" w:rsidP="00E45C61">
            <w:pPr>
              <w:pStyle w:val="Figurespace"/>
            </w:pPr>
          </w:p>
        </w:tc>
      </w:tr>
      <w:tr w:rsidR="00E83832" w:rsidRPr="000863A5" w14:paraId="1EA393AD" w14:textId="77777777" w:rsidTr="00E45C61">
        <w:tc>
          <w:tcPr>
            <w:tcW w:w="5000" w:type="pct"/>
            <w:tcBorders>
              <w:top w:val="single" w:sz="6" w:space="0" w:color="78A22F"/>
              <w:left w:val="nil"/>
              <w:bottom w:val="nil"/>
              <w:right w:val="nil"/>
            </w:tcBorders>
          </w:tcPr>
          <w:p w14:paraId="1EA393AC" w14:textId="77777777" w:rsidR="00E83832" w:rsidRPr="00626D32" w:rsidRDefault="00E83832" w:rsidP="00E45C61">
            <w:pPr>
              <w:pStyle w:val="BoxSpaceBelow"/>
            </w:pPr>
          </w:p>
        </w:tc>
      </w:tr>
    </w:tbl>
    <w:p w14:paraId="1EA393AE" w14:textId="77777777" w:rsidR="00660A77" w:rsidRDefault="00660A77" w:rsidP="00E14D2B">
      <w:pPr>
        <w:pStyle w:val="Heading3"/>
      </w:pPr>
      <w:r>
        <w:t>The relationship between the exposure to risk and adverse health outcomes</w:t>
      </w:r>
    </w:p>
    <w:p w14:paraId="1EA393AF" w14:textId="77777777" w:rsidR="00660A77" w:rsidRDefault="00066490" w:rsidP="00660A77">
      <w:pPr>
        <w:pStyle w:val="BodyText"/>
      </w:pPr>
      <w:r>
        <w:t xml:space="preserve">In many cases, harms are strongly related to the frequency and intensity of use. </w:t>
      </w:r>
      <w:r w:rsidR="00660A77">
        <w:t xml:space="preserve">For instance, reducing rather than complete abstinence </w:t>
      </w:r>
      <w:r w:rsidR="0084124A">
        <w:t xml:space="preserve">from </w:t>
      </w:r>
      <w:r w:rsidR="00660A77">
        <w:t xml:space="preserve">the use of tobacco still produces some health benefits </w:t>
      </w:r>
      <w:r w:rsidR="00660A77" w:rsidRPr="00470633">
        <w:rPr>
          <w:szCs w:val="24"/>
        </w:rPr>
        <w:t>(Schane, Ling and Glantz 2010)</w:t>
      </w:r>
      <w:r w:rsidR="00660A77">
        <w:t>. Similarly, morbid obesity poses far higher mortality and disability risks than obesity</w:t>
      </w:r>
      <w:r w:rsidR="00A205F0">
        <w:t xml:space="preserve"> </w:t>
      </w:r>
      <w:r w:rsidR="00A205F0" w:rsidRPr="00A205F0">
        <w:rPr>
          <w:szCs w:val="24"/>
        </w:rPr>
        <w:t>(Aune et al. 2016)</w:t>
      </w:r>
      <w:r w:rsidR="00660A77">
        <w:t>.</w:t>
      </w:r>
      <w:r w:rsidR="00C506CC">
        <w:t xml:space="preserve"> There is little evidence that light drinking of alcohol has any adverse health impacts.</w:t>
      </w:r>
      <w:r w:rsidR="00C506CC" w:rsidRPr="003D243B">
        <w:rPr>
          <w:rStyle w:val="FootnoteReference"/>
        </w:rPr>
        <w:footnoteReference w:id="65"/>
      </w:r>
    </w:p>
    <w:p w14:paraId="1EA393B0" w14:textId="77777777" w:rsidR="00066490" w:rsidRDefault="00066490" w:rsidP="00660A77">
      <w:pPr>
        <w:pStyle w:val="BodyText"/>
      </w:pPr>
      <w:r>
        <w:t xml:space="preserve">Accordingly, preventative health measures that reduce </w:t>
      </w:r>
      <w:r w:rsidR="006A146B">
        <w:t>a</w:t>
      </w:r>
      <w:r>
        <w:t xml:space="preserve"> lifestyle </w:t>
      </w:r>
      <w:r w:rsidR="006A146B">
        <w:t xml:space="preserve">risk </w:t>
      </w:r>
      <w:r>
        <w:t>can still be an effective measure.</w:t>
      </w:r>
      <w:r w:rsidR="00A205F0">
        <w:t xml:space="preserve"> This is particularly relevant to modifiable risk factors where a significant reduction is hard to achieve. So far, obesity rates fit into this category.</w:t>
      </w:r>
      <w:r w:rsidR="009E1CFC" w:rsidDel="009E1CFC">
        <w:t xml:space="preserve"> </w:t>
      </w:r>
    </w:p>
    <w:p w14:paraId="1EA393B1" w14:textId="77777777" w:rsidR="00660A77" w:rsidRDefault="00660A77" w:rsidP="00E14D2B">
      <w:pPr>
        <w:pStyle w:val="Heading3"/>
      </w:pPr>
      <w:r>
        <w:t>Economic and other impacts of ill-health</w:t>
      </w:r>
    </w:p>
    <w:p w14:paraId="1EA393B2" w14:textId="77777777" w:rsidR="00F108F6" w:rsidRDefault="00660A77" w:rsidP="00515F19">
      <w:pPr>
        <w:pStyle w:val="BodyText"/>
        <w:spacing w:before="200"/>
      </w:pPr>
      <w:r>
        <w:t xml:space="preserve">The impacts of various conditions or resulting disabilities on labour market and other economic outcomes (including avoidable use of the health care system) depend on the source of the </w:t>
      </w:r>
      <w:r w:rsidR="00D40ECB">
        <w:t>ill health</w:t>
      </w:r>
      <w:r>
        <w:t xml:space="preserve"> and its form. </w:t>
      </w:r>
    </w:p>
    <w:p w14:paraId="1EA393B3" w14:textId="77777777" w:rsidR="00D40ECB" w:rsidRDefault="00660A77" w:rsidP="00515F19">
      <w:pPr>
        <w:pStyle w:val="BodyText"/>
        <w:spacing w:before="200"/>
      </w:pPr>
      <w:r>
        <w:t xml:space="preserve">The effects of various health conditions on labour market outcomes varies with age </w:t>
      </w:r>
      <w:r w:rsidRPr="00C53F52">
        <w:t>(PC 2016, p. 7)</w:t>
      </w:r>
      <w:r>
        <w:t>. Stroke, kidney disease,</w:t>
      </w:r>
      <w:r w:rsidRPr="00BA1DF9">
        <w:t xml:space="preserve"> </w:t>
      </w:r>
      <w:r>
        <w:t>o</w:t>
      </w:r>
      <w:r w:rsidRPr="00BA1DF9">
        <w:t>steoporosis</w:t>
      </w:r>
      <w:r>
        <w:t xml:space="preserve"> and e</w:t>
      </w:r>
      <w:r w:rsidRPr="00BA1DF9">
        <w:t xml:space="preserve">mphysema </w:t>
      </w:r>
      <w:r>
        <w:t>all reduce participation rates by between 29 and 46 percentage points for those aged 25</w:t>
      </w:r>
      <w:r>
        <w:noBreakHyphen/>
        <w:t>54 years, with the effects being even greater for those aged 55</w:t>
      </w:r>
      <w:r>
        <w:noBreakHyphen/>
        <w:t xml:space="preserve">64 years. Mental health problems and substance abuse are associated with poor labour market participation outcomes at all ages. The cost of physical inactivity was estimated to be </w:t>
      </w:r>
      <w:r w:rsidR="000039AE">
        <w:t>about</w:t>
      </w:r>
      <w:r>
        <w:t xml:space="preserve"> $640 million through direct health</w:t>
      </w:r>
      <w:r w:rsidR="00923B4C">
        <w:t xml:space="preserve"> </w:t>
      </w:r>
      <w:r>
        <w:t xml:space="preserve">care costs in 2013 and $165 million in lost productivity </w:t>
      </w:r>
      <w:r w:rsidRPr="00C101A4">
        <w:rPr>
          <w:rFonts w:cs="Arial"/>
          <w:szCs w:val="24"/>
        </w:rPr>
        <w:t>(Ding et al. 2016)</w:t>
      </w:r>
      <w:r>
        <w:t xml:space="preserve">. </w:t>
      </w:r>
    </w:p>
    <w:p w14:paraId="1EA393B4" w14:textId="77777777" w:rsidR="00660A77" w:rsidRDefault="00660A77" w:rsidP="00515F19">
      <w:pPr>
        <w:pStyle w:val="BodyText"/>
        <w:spacing w:before="200"/>
      </w:pPr>
      <w:r w:rsidRPr="00CA57AE">
        <w:t>The Australian Institute of Criminology estimated in 2013 that the cost of alcohol consumption to the health</w:t>
      </w:r>
      <w:r w:rsidR="00D40ECB">
        <w:t xml:space="preserve"> </w:t>
      </w:r>
      <w:r w:rsidRPr="00CA57AE">
        <w:t>care sector was $1.7</w:t>
      </w:r>
      <w:r w:rsidR="000039AE">
        <w:t> </w:t>
      </w:r>
      <w:r w:rsidRPr="00CA57AE">
        <w:t>billion each year, with further costs incurred in the criminal justice system, traffic accidents and lost workforce productivity (Manning, Smith and Mazerolle 2013)</w:t>
      </w:r>
      <w:r w:rsidR="001E0F97">
        <w:t xml:space="preserve">. Substance abuse can also </w:t>
      </w:r>
      <w:r w:rsidR="00C331D4">
        <w:t xml:space="preserve">increase </w:t>
      </w:r>
      <w:r w:rsidR="001E0F97">
        <w:t xml:space="preserve">antisocial </w:t>
      </w:r>
      <w:r w:rsidR="00C331D4">
        <w:t>behaviour (that may not be criminal in nature), corrode community and family life, and undermine perceptions of public safety — intangible costs that are hard to measure and that nevertheless matter to people</w:t>
      </w:r>
      <w:r w:rsidR="00D40ECB">
        <w:t xml:space="preserve"> </w:t>
      </w:r>
      <w:r w:rsidR="00D40ECB" w:rsidRPr="00D40ECB">
        <w:rPr>
          <w:szCs w:val="24"/>
        </w:rPr>
        <w:t>(for example, AIHW 2017b)</w:t>
      </w:r>
      <w:r w:rsidR="00C331D4">
        <w:t>.</w:t>
      </w:r>
      <w:r w:rsidR="00D40ECB">
        <w:t xml:space="preserve"> The particularly adverse social impacts of alcohol misuse in some Indigenous communities is well</w:t>
      </w:r>
      <w:r w:rsidR="00D40ECB">
        <w:noBreakHyphen/>
        <w:t>documented.</w:t>
      </w:r>
    </w:p>
    <w:p w14:paraId="1EA393B5" w14:textId="77777777" w:rsidR="00660A77" w:rsidRDefault="00660A77" w:rsidP="00E14D2B">
      <w:pPr>
        <w:pStyle w:val="Heading3"/>
      </w:pPr>
      <w:r>
        <w:t>The degree to which various interventions ca</w:t>
      </w:r>
      <w:r w:rsidR="00C03887">
        <w:t>n reduce different risk factors</w:t>
      </w:r>
      <w:r>
        <w:t xml:space="preserve"> </w:t>
      </w:r>
    </w:p>
    <w:p w14:paraId="1EA393B6" w14:textId="77777777" w:rsidR="00660A77" w:rsidRDefault="00660A77" w:rsidP="00515F19">
      <w:pPr>
        <w:pStyle w:val="BodyText"/>
        <w:spacing w:before="200"/>
      </w:pPr>
      <w:r>
        <w:t xml:space="preserve">The effectiveness of measures vary with the type of health risk, the relevant affected population groups, and the type of intervention. </w:t>
      </w:r>
    </w:p>
    <w:p w14:paraId="1EA393B7" w14:textId="77777777" w:rsidR="004C4D81" w:rsidRDefault="004C4D81" w:rsidP="00515F19">
      <w:pPr>
        <w:pStyle w:val="Heading4"/>
        <w:spacing w:before="400"/>
      </w:pPr>
      <w:r>
        <w:t>Variations in responses by sub</w:t>
      </w:r>
      <w:r>
        <w:noBreakHyphen/>
        <w:t>groups matter</w:t>
      </w:r>
    </w:p>
    <w:p w14:paraId="1EA393B8" w14:textId="77777777" w:rsidR="004C4D81" w:rsidRDefault="00F108F6" w:rsidP="00515F19">
      <w:pPr>
        <w:pStyle w:val="BodyText"/>
        <w:spacing w:before="200"/>
      </w:pPr>
      <w:r>
        <w:t>For instance, measures aimed at obesity may need to differentiate between people of different ages. Weight loss is harder for people who are already obese than for people whose weight is still below unhealthy levels, suggesting that early</w:t>
      </w:r>
      <w:r>
        <w:noBreakHyphen/>
        <w:t>in</w:t>
      </w:r>
      <w:r>
        <w:noBreakHyphen/>
        <w:t xml:space="preserve">life interventions may be more likely to avoid lifetime obesity. Moreover, the effects of body mass on health seem to be </w:t>
      </w:r>
      <w:r w:rsidR="009E1CFC">
        <w:t>less significant</w:t>
      </w:r>
      <w:r>
        <w:t xml:space="preserve"> for older people </w:t>
      </w:r>
      <w:r w:rsidRPr="0025420F">
        <w:rPr>
          <w:szCs w:val="24"/>
        </w:rPr>
        <w:t>(Adams et al. 2006; Patel, Hildebrand and Gapstur 2014)</w:t>
      </w:r>
      <w:r>
        <w:t>.</w:t>
      </w:r>
      <w:r w:rsidRPr="003D243B">
        <w:rPr>
          <w:rStyle w:val="FootnoteReference"/>
        </w:rPr>
        <w:footnoteReference w:id="66"/>
      </w:r>
      <w:r>
        <w:t xml:space="preserve"> </w:t>
      </w:r>
      <w:r w:rsidR="004C4D81">
        <w:t xml:space="preserve">As discussed in section D.3, the effectiveness of taxes on sugary beverages are likely to depend on the consumption patterns and price responsiveness of heavy consumers of such products, rather than the average consumer. </w:t>
      </w:r>
    </w:p>
    <w:p w14:paraId="1EA393B9" w14:textId="77777777" w:rsidR="00F108F6" w:rsidRDefault="00882EB6" w:rsidP="00515F19">
      <w:pPr>
        <w:pStyle w:val="BodyText"/>
        <w:spacing w:before="200"/>
      </w:pPr>
      <w:r>
        <w:t xml:space="preserve">In </w:t>
      </w:r>
      <w:r w:rsidR="00081E7F">
        <w:t>addition</w:t>
      </w:r>
      <w:r w:rsidR="00F108F6">
        <w:t xml:space="preserve">, </w:t>
      </w:r>
      <w:r w:rsidR="00081E7F">
        <w:t xml:space="preserve">for some groups, interventions may sometimes justifiably seek to counteract </w:t>
      </w:r>
      <w:r w:rsidR="00F108F6">
        <w:t>the adverse effects of some modifiable risk factors without changing the risk factor</w:t>
      </w:r>
      <w:r w:rsidR="00081E7F">
        <w:t xml:space="preserve"> itself</w:t>
      </w:r>
      <w:r w:rsidR="00F108F6">
        <w:t xml:space="preserve">. For instance, there is some evidence that physical activity counters the adverse effects of high body mass </w:t>
      </w:r>
      <w:r w:rsidR="00F108F6" w:rsidRPr="00B71D05">
        <w:rPr>
          <w:szCs w:val="24"/>
        </w:rPr>
        <w:t>(Herman et al. 2012)</w:t>
      </w:r>
      <w:r w:rsidR="004C4D81">
        <w:t>.</w:t>
      </w:r>
    </w:p>
    <w:p w14:paraId="1EA393BA" w14:textId="77777777" w:rsidR="004C4D81" w:rsidRDefault="004C4D81" w:rsidP="00515F19">
      <w:pPr>
        <w:pStyle w:val="Heading4"/>
        <w:spacing w:before="360"/>
      </w:pPr>
      <w:r>
        <w:t>Information and education interventions have mixed effectiveness</w:t>
      </w:r>
    </w:p>
    <w:p w14:paraId="1EA393BB" w14:textId="77777777" w:rsidR="004C4D81" w:rsidRDefault="005D488F" w:rsidP="00515F19">
      <w:pPr>
        <w:pStyle w:val="BodyText"/>
        <w:spacing w:before="200"/>
      </w:pPr>
      <w:r>
        <w:t>V</w:t>
      </w:r>
      <w:r w:rsidR="00660A77">
        <w:t>iews about the effectiveness of education and information programs in reducing harms is contested</w:t>
      </w:r>
      <w:r w:rsidR="00626C3A">
        <w:t xml:space="preserve"> and context</w:t>
      </w:r>
      <w:r w:rsidR="00626C3A">
        <w:noBreakHyphen/>
        <w:t>dependent (table </w:t>
      </w:r>
      <w:r w:rsidR="0084124A">
        <w:t>D</w:t>
      </w:r>
      <w:r w:rsidR="00626C3A">
        <w:t>.1)</w:t>
      </w:r>
      <w:r w:rsidR="00660A77">
        <w:t xml:space="preserve">. </w:t>
      </w:r>
    </w:p>
    <w:p w14:paraId="1EA393BC" w14:textId="77777777" w:rsidR="00CE2FD2" w:rsidRDefault="00CE2FD2" w:rsidP="00515F19">
      <w:pPr>
        <w:pStyle w:val="BoxSpaceAbove"/>
        <w:spacing w:before="24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9073"/>
      </w:tblGrid>
      <w:tr w:rsidR="00CE2FD2" w14:paraId="1EA393BF" w14:textId="77777777" w:rsidTr="00CE2FD2">
        <w:tc>
          <w:tcPr>
            <w:tcW w:w="5000" w:type="pct"/>
            <w:tcBorders>
              <w:top w:val="single" w:sz="6" w:space="0" w:color="78A22F"/>
              <w:left w:val="nil"/>
              <w:bottom w:val="nil"/>
              <w:right w:val="nil"/>
            </w:tcBorders>
            <w:shd w:val="clear" w:color="auto" w:fill="auto"/>
          </w:tcPr>
          <w:p w14:paraId="1EA393BD" w14:textId="77777777" w:rsidR="00CE2FD2" w:rsidRDefault="00CE2FD2" w:rsidP="00515F19">
            <w:pPr>
              <w:pStyle w:val="TableTitle"/>
              <w:spacing w:after="0"/>
            </w:pPr>
            <w:r w:rsidRPr="00944790">
              <w:rPr>
                <w:b w:val="0"/>
              </w:rPr>
              <w:t xml:space="preserve">Table </w:t>
            </w:r>
            <w:r w:rsidR="005D488F" w:rsidRPr="00944790">
              <w:rPr>
                <w:b w:val="0"/>
              </w:rPr>
              <w:t>D.1</w:t>
            </w:r>
            <w:r w:rsidRPr="00AF098D">
              <w:tab/>
            </w:r>
            <w:r w:rsidR="00E44120">
              <w:t>Findings from a review of reviews</w:t>
            </w:r>
          </w:p>
          <w:p w14:paraId="1EA393BE" w14:textId="77777777" w:rsidR="00CE2FD2" w:rsidRPr="00784A05" w:rsidRDefault="00E44120" w:rsidP="00CE2FD2">
            <w:pPr>
              <w:pStyle w:val="Subtitle"/>
            </w:pPr>
            <w:r>
              <w:t>Preventative strategies to reduce smoking and alcohol harm among adolescents</w:t>
            </w:r>
            <w:r w:rsidR="00644825" w:rsidRPr="00FD2264">
              <w:rPr>
                <w:rStyle w:val="NoteLabel"/>
              </w:rPr>
              <w:t>a</w:t>
            </w:r>
          </w:p>
        </w:tc>
      </w:tr>
      <w:tr w:rsidR="00CE2FD2" w14:paraId="1EA393E8" w14:textId="77777777" w:rsidTr="00CE2FD2">
        <w:tc>
          <w:tcPr>
            <w:tcW w:w="5000" w:type="pct"/>
            <w:tcBorders>
              <w:top w:val="nil"/>
              <w:left w:val="nil"/>
              <w:bottom w:val="nil"/>
              <w:right w:val="nil"/>
            </w:tcBorders>
            <w:shd w:val="clear" w:color="auto" w:fill="auto"/>
          </w:tcPr>
          <w:tbl>
            <w:tblPr>
              <w:tblW w:w="8813" w:type="dxa"/>
              <w:tblCellMar>
                <w:top w:w="28" w:type="dxa"/>
                <w:left w:w="0" w:type="dxa"/>
                <w:right w:w="0" w:type="dxa"/>
              </w:tblCellMar>
              <w:tblLook w:val="0000" w:firstRow="0" w:lastRow="0" w:firstColumn="0" w:lastColumn="0" w:noHBand="0" w:noVBand="0"/>
            </w:tblPr>
            <w:tblGrid>
              <w:gridCol w:w="2201"/>
              <w:gridCol w:w="6612"/>
            </w:tblGrid>
            <w:tr w:rsidR="009B1461" w14:paraId="1EA393C2" w14:textId="77777777" w:rsidTr="00515F19">
              <w:trPr>
                <w:trHeight w:val="174"/>
                <w:tblHeader/>
              </w:trPr>
              <w:tc>
                <w:tcPr>
                  <w:tcW w:w="1249" w:type="pct"/>
                  <w:tcBorders>
                    <w:top w:val="single" w:sz="6" w:space="0" w:color="BFBFBF"/>
                    <w:bottom w:val="single" w:sz="6" w:space="0" w:color="BFBFBF"/>
                  </w:tcBorders>
                  <w:shd w:val="clear" w:color="auto" w:fill="auto"/>
                  <w:tcMar>
                    <w:top w:w="28" w:type="dxa"/>
                  </w:tcMar>
                </w:tcPr>
                <w:p w14:paraId="1EA393C0" w14:textId="77777777" w:rsidR="009B1461" w:rsidRDefault="009B1461" w:rsidP="00515F19">
                  <w:pPr>
                    <w:pStyle w:val="TableColumnHeading"/>
                    <w:spacing w:before="0" w:after="0"/>
                    <w:jc w:val="left"/>
                  </w:pPr>
                  <w:r>
                    <w:t>Area</w:t>
                  </w:r>
                </w:p>
              </w:tc>
              <w:tc>
                <w:tcPr>
                  <w:tcW w:w="3751" w:type="pct"/>
                  <w:tcBorders>
                    <w:top w:val="single" w:sz="6" w:space="0" w:color="BFBFBF"/>
                    <w:bottom w:val="single" w:sz="6" w:space="0" w:color="BFBFBF"/>
                  </w:tcBorders>
                  <w:shd w:val="clear" w:color="auto" w:fill="auto"/>
                  <w:tcMar>
                    <w:top w:w="28" w:type="dxa"/>
                  </w:tcMar>
                </w:tcPr>
                <w:p w14:paraId="1EA393C1" w14:textId="77777777" w:rsidR="009B1461" w:rsidRDefault="009B1461" w:rsidP="00515F19">
                  <w:pPr>
                    <w:pStyle w:val="TableColumnHeading"/>
                    <w:spacing w:before="0" w:after="0"/>
                    <w:ind w:right="28"/>
                    <w:jc w:val="left"/>
                  </w:pPr>
                  <w:r>
                    <w:t>Result</w:t>
                  </w:r>
                </w:p>
              </w:tc>
            </w:tr>
            <w:tr w:rsidR="009B1461" w14:paraId="1EA393C5" w14:textId="77777777" w:rsidTr="00515F19">
              <w:trPr>
                <w:trHeight w:val="308"/>
              </w:trPr>
              <w:tc>
                <w:tcPr>
                  <w:tcW w:w="1249" w:type="pct"/>
                  <w:tcBorders>
                    <w:top w:val="single" w:sz="6" w:space="0" w:color="BFBFBF"/>
                  </w:tcBorders>
                  <w:shd w:val="clear" w:color="auto" w:fill="D7E4F6" w:themeFill="accent5" w:themeFillTint="33"/>
                  <w:vAlign w:val="center"/>
                </w:tcPr>
                <w:p w14:paraId="1EA393C3" w14:textId="77777777" w:rsidR="009B1461" w:rsidRPr="002F4173" w:rsidRDefault="009B1461" w:rsidP="00515F19">
                  <w:pPr>
                    <w:pStyle w:val="TableUnitsRow"/>
                    <w:spacing w:before="0" w:after="0"/>
                    <w:jc w:val="left"/>
                    <w:rPr>
                      <w:b/>
                    </w:rPr>
                  </w:pPr>
                  <w:r w:rsidRPr="002F4173">
                    <w:rPr>
                      <w:b/>
                    </w:rPr>
                    <w:t>Tobacco use</w:t>
                  </w:r>
                </w:p>
              </w:tc>
              <w:tc>
                <w:tcPr>
                  <w:tcW w:w="3751" w:type="pct"/>
                  <w:tcBorders>
                    <w:top w:val="single" w:sz="6" w:space="0" w:color="BFBFBF"/>
                  </w:tcBorders>
                  <w:shd w:val="clear" w:color="auto" w:fill="D7E4F6" w:themeFill="accent5" w:themeFillTint="33"/>
                </w:tcPr>
                <w:p w14:paraId="1EA393C4" w14:textId="77777777" w:rsidR="009B1461" w:rsidRDefault="009B1461" w:rsidP="00CE2FD2">
                  <w:pPr>
                    <w:pStyle w:val="TableUnitsRow"/>
                    <w:ind w:right="28"/>
                  </w:pPr>
                </w:p>
              </w:tc>
            </w:tr>
            <w:tr w:rsidR="009B1461" w14:paraId="1EA393CA" w14:textId="77777777" w:rsidTr="009B1461">
              <w:tc>
                <w:tcPr>
                  <w:tcW w:w="1249" w:type="pct"/>
                </w:tcPr>
                <w:p w14:paraId="1EA393C6" w14:textId="77777777" w:rsidR="009B1461" w:rsidRPr="0043361B" w:rsidRDefault="009B1461" w:rsidP="00CE2FD2">
                  <w:pPr>
                    <w:pStyle w:val="TableBodyText"/>
                    <w:jc w:val="left"/>
                    <w:rPr>
                      <w:sz w:val="16"/>
                      <w:szCs w:val="16"/>
                    </w:rPr>
                  </w:pPr>
                  <w:r w:rsidRPr="0043361B">
                    <w:rPr>
                      <w:sz w:val="16"/>
                      <w:szCs w:val="16"/>
                    </w:rPr>
                    <w:t>School-based</w:t>
                  </w:r>
                </w:p>
              </w:tc>
              <w:tc>
                <w:tcPr>
                  <w:tcW w:w="3751" w:type="pct"/>
                </w:tcPr>
                <w:p w14:paraId="1EA393C7" w14:textId="77777777" w:rsidR="009B1461" w:rsidRPr="00B41012" w:rsidRDefault="00155839" w:rsidP="00B41012">
                  <w:pPr>
                    <w:pStyle w:val="TableBullet"/>
                    <w:rPr>
                      <w:sz w:val="16"/>
                      <w:szCs w:val="16"/>
                    </w:rPr>
                  </w:pPr>
                  <w:r w:rsidRPr="00B41012">
                    <w:rPr>
                      <w:sz w:val="16"/>
                      <w:szCs w:val="16"/>
                    </w:rPr>
                    <w:t>Avoiding smoking —</w:t>
                  </w:r>
                  <w:r w:rsidR="001B7C6B">
                    <w:rPr>
                      <w:sz w:val="16"/>
                      <w:szCs w:val="16"/>
                    </w:rPr>
                    <w:t xml:space="preserve"> </w:t>
                  </w:r>
                  <w:r w:rsidRPr="00B41012">
                    <w:rPr>
                      <w:sz w:val="16"/>
                      <w:szCs w:val="16"/>
                    </w:rPr>
                    <w:t>No impacts of information</w:t>
                  </w:r>
                  <w:r w:rsidR="001B7C6B">
                    <w:rPr>
                      <w:sz w:val="16"/>
                      <w:szCs w:val="16"/>
                    </w:rPr>
                    <w:noBreakHyphen/>
                    <w:t>only</w:t>
                  </w:r>
                  <w:r w:rsidRPr="00B41012">
                    <w:rPr>
                      <w:sz w:val="16"/>
                      <w:szCs w:val="16"/>
                    </w:rPr>
                    <w:t xml:space="preserve"> or social influence interventions. Significant effects </w:t>
                  </w:r>
                  <w:r w:rsidR="0018643F" w:rsidRPr="00B41012">
                    <w:rPr>
                      <w:sz w:val="16"/>
                      <w:szCs w:val="16"/>
                    </w:rPr>
                    <w:t xml:space="preserve">for </w:t>
                  </w:r>
                  <w:r w:rsidRPr="00B41012">
                    <w:rPr>
                      <w:sz w:val="16"/>
                      <w:szCs w:val="16"/>
                    </w:rPr>
                    <w:t>combined social competence and social influences curricula</w:t>
                  </w:r>
                </w:p>
                <w:p w14:paraId="1EA393C8" w14:textId="77777777" w:rsidR="00155839" w:rsidRPr="00B41012" w:rsidRDefault="00155839" w:rsidP="00B41012">
                  <w:pPr>
                    <w:pStyle w:val="TableBullet"/>
                    <w:rPr>
                      <w:sz w:val="16"/>
                      <w:szCs w:val="16"/>
                    </w:rPr>
                  </w:pPr>
                  <w:r w:rsidRPr="00B41012">
                    <w:rPr>
                      <w:sz w:val="16"/>
                      <w:szCs w:val="16"/>
                    </w:rPr>
                    <w:t>‘Smoke Free Class Competition’, including prizes — effective in reducing current smoking rates</w:t>
                  </w:r>
                  <w:r w:rsidR="00341F48" w:rsidRPr="00B41012">
                    <w:rPr>
                      <w:sz w:val="16"/>
                      <w:szCs w:val="16"/>
                    </w:rPr>
                    <w:t xml:space="preserve"> (</w:t>
                  </w:r>
                  <w:r w:rsidR="0018643F" w:rsidRPr="00B41012">
                    <w:rPr>
                      <w:sz w:val="16"/>
                      <w:szCs w:val="16"/>
                    </w:rPr>
                    <w:t xml:space="preserve">but another review </w:t>
                  </w:r>
                  <w:r w:rsidR="00341F48" w:rsidRPr="00B41012">
                    <w:rPr>
                      <w:sz w:val="16"/>
                      <w:szCs w:val="16"/>
                    </w:rPr>
                    <w:t>in multiple settings, including outside school</w:t>
                  </w:r>
                  <w:r w:rsidR="001B7C6B">
                    <w:rPr>
                      <w:sz w:val="16"/>
                      <w:szCs w:val="16"/>
                    </w:rPr>
                    <w:t>,</w:t>
                  </w:r>
                  <w:r w:rsidR="00341F48" w:rsidRPr="00B41012">
                    <w:rPr>
                      <w:sz w:val="16"/>
                      <w:szCs w:val="16"/>
                    </w:rPr>
                    <w:t xml:space="preserve"> f</w:t>
                  </w:r>
                  <w:r w:rsidR="0018643F" w:rsidRPr="00B41012">
                    <w:rPr>
                      <w:sz w:val="16"/>
                      <w:szCs w:val="16"/>
                    </w:rPr>
                    <w:t>ound no overall effects from incentives</w:t>
                  </w:r>
                  <w:r w:rsidR="001B7C6B">
                    <w:rPr>
                      <w:sz w:val="16"/>
                      <w:szCs w:val="16"/>
                    </w:rPr>
                    <w:t>)</w:t>
                  </w:r>
                </w:p>
                <w:p w14:paraId="1EA393C9" w14:textId="77777777" w:rsidR="00155839" w:rsidRPr="00B41012" w:rsidRDefault="00155839" w:rsidP="00B41012">
                  <w:pPr>
                    <w:pStyle w:val="TableBullet"/>
                    <w:rPr>
                      <w:sz w:val="16"/>
                      <w:szCs w:val="16"/>
                    </w:rPr>
                  </w:pPr>
                  <w:r w:rsidRPr="00B41012">
                    <w:rPr>
                      <w:sz w:val="16"/>
                      <w:szCs w:val="16"/>
                    </w:rPr>
                    <w:t>Very limited evidence of the long</w:t>
                  </w:r>
                  <w:r w:rsidRPr="00B41012">
                    <w:rPr>
                      <w:sz w:val="16"/>
                      <w:szCs w:val="16"/>
                    </w:rPr>
                    <w:noBreakHyphen/>
                    <w:t>term impact of school</w:t>
                  </w:r>
                  <w:r w:rsidRPr="00B41012">
                    <w:rPr>
                      <w:sz w:val="16"/>
                      <w:szCs w:val="16"/>
                    </w:rPr>
                    <w:noBreakHyphen/>
                    <w:t>based smoking prevention programs</w:t>
                  </w:r>
                </w:p>
              </w:tc>
            </w:tr>
            <w:tr w:rsidR="009B1461" w14:paraId="1EA393D1" w14:textId="77777777" w:rsidTr="009B1461">
              <w:tc>
                <w:tcPr>
                  <w:tcW w:w="1249" w:type="pct"/>
                </w:tcPr>
                <w:p w14:paraId="1EA393CB" w14:textId="77777777" w:rsidR="009B1461" w:rsidRPr="0043361B" w:rsidRDefault="008135DC" w:rsidP="00CE2FD2">
                  <w:pPr>
                    <w:pStyle w:val="TableBodyText"/>
                    <w:jc w:val="left"/>
                    <w:rPr>
                      <w:sz w:val="16"/>
                      <w:szCs w:val="16"/>
                    </w:rPr>
                  </w:pPr>
                  <w:r w:rsidRPr="0043361B">
                    <w:rPr>
                      <w:sz w:val="16"/>
                      <w:szCs w:val="16"/>
                    </w:rPr>
                    <w:t>Family/community</w:t>
                  </w:r>
                  <w:r w:rsidRPr="0043361B">
                    <w:rPr>
                      <w:sz w:val="16"/>
                      <w:szCs w:val="16"/>
                    </w:rPr>
                    <w:noBreakHyphen/>
                    <w:t>based interventions</w:t>
                  </w:r>
                </w:p>
              </w:tc>
              <w:tc>
                <w:tcPr>
                  <w:tcW w:w="3751" w:type="pct"/>
                </w:tcPr>
                <w:p w14:paraId="1EA393CC" w14:textId="77777777" w:rsidR="008135DC" w:rsidRPr="00B41012" w:rsidRDefault="008135DC" w:rsidP="00B41012">
                  <w:pPr>
                    <w:pStyle w:val="TableBullet"/>
                    <w:rPr>
                      <w:sz w:val="16"/>
                      <w:szCs w:val="16"/>
                    </w:rPr>
                  </w:pPr>
                  <w:r w:rsidRPr="00B41012">
                    <w:rPr>
                      <w:sz w:val="16"/>
                      <w:szCs w:val="16"/>
                    </w:rPr>
                    <w:t>Family</w:t>
                  </w:r>
                  <w:r w:rsidRPr="00B41012">
                    <w:rPr>
                      <w:sz w:val="16"/>
                      <w:szCs w:val="16"/>
                    </w:rPr>
                    <w:noBreakHyphen/>
                    <w:t>based interventions effective in avoiding smoking and reducing smoking behaviour</w:t>
                  </w:r>
                </w:p>
                <w:p w14:paraId="1EA393CD" w14:textId="77777777" w:rsidR="008135DC" w:rsidRPr="00B41012" w:rsidRDefault="008135DC" w:rsidP="00B41012">
                  <w:pPr>
                    <w:pStyle w:val="TableBullet"/>
                    <w:rPr>
                      <w:sz w:val="16"/>
                      <w:szCs w:val="16"/>
                    </w:rPr>
                  </w:pPr>
                  <w:r w:rsidRPr="00B41012">
                    <w:rPr>
                      <w:sz w:val="16"/>
                      <w:szCs w:val="16"/>
                    </w:rPr>
                    <w:t>Positive impacts from community</w:t>
                  </w:r>
                  <w:r w:rsidRPr="00B41012">
                    <w:rPr>
                      <w:sz w:val="16"/>
                      <w:szCs w:val="16"/>
                    </w:rPr>
                    <w:noBreakHyphen/>
                    <w:t>based interventions on reducing smoking rates</w:t>
                  </w:r>
                  <w:r w:rsidR="0018643F" w:rsidRPr="00B41012">
                    <w:rPr>
                      <w:sz w:val="16"/>
                      <w:szCs w:val="16"/>
                    </w:rPr>
                    <w:t xml:space="preserve">, but </w:t>
                  </w:r>
                  <w:r w:rsidRPr="00B41012">
                    <w:rPr>
                      <w:sz w:val="16"/>
                      <w:szCs w:val="16"/>
                    </w:rPr>
                    <w:t>evidence is ‘not strong’</w:t>
                  </w:r>
                </w:p>
                <w:p w14:paraId="1EA393CE" w14:textId="77777777" w:rsidR="0018643F" w:rsidRPr="00B41012" w:rsidRDefault="008135DC" w:rsidP="00B41012">
                  <w:pPr>
                    <w:pStyle w:val="TableBullet"/>
                    <w:rPr>
                      <w:sz w:val="16"/>
                      <w:szCs w:val="16"/>
                    </w:rPr>
                  </w:pPr>
                  <w:r w:rsidRPr="00B41012">
                    <w:rPr>
                      <w:sz w:val="16"/>
                      <w:szCs w:val="16"/>
                    </w:rPr>
                    <w:t xml:space="preserve">Primary care </w:t>
                  </w:r>
                  <w:r w:rsidR="0018643F" w:rsidRPr="00B41012">
                    <w:rPr>
                      <w:sz w:val="16"/>
                      <w:szCs w:val="16"/>
                    </w:rPr>
                    <w:t>initiatives (including</w:t>
                  </w:r>
                  <w:r w:rsidRPr="00B41012">
                    <w:rPr>
                      <w:sz w:val="16"/>
                      <w:szCs w:val="16"/>
                    </w:rPr>
                    <w:t xml:space="preserve"> combined mass media campaigns, school</w:t>
                  </w:r>
                  <w:r w:rsidRPr="00B41012">
                    <w:rPr>
                      <w:sz w:val="16"/>
                      <w:szCs w:val="16"/>
                    </w:rPr>
                    <w:noBreakHyphen/>
                    <w:t>based programs, price increases) suggest a significant reduction in smoking initiation</w:t>
                  </w:r>
                </w:p>
                <w:p w14:paraId="1EA393CF" w14:textId="77777777" w:rsidR="0018643F" w:rsidRPr="00B41012" w:rsidRDefault="0018643F" w:rsidP="00B41012">
                  <w:pPr>
                    <w:pStyle w:val="TableBullet"/>
                    <w:rPr>
                      <w:sz w:val="16"/>
                      <w:szCs w:val="16"/>
                    </w:rPr>
                  </w:pPr>
                  <w:r w:rsidRPr="00B41012">
                    <w:rPr>
                      <w:sz w:val="16"/>
                      <w:szCs w:val="16"/>
                    </w:rPr>
                    <w:t>Media campaigns vary in effectiveness across racial/ethnic groups, but can be positive. Evidence of effectiveness for young people is ‘not strong’</w:t>
                  </w:r>
                </w:p>
                <w:p w14:paraId="1EA393D0" w14:textId="77777777" w:rsidR="009B1461" w:rsidRPr="00B41012" w:rsidRDefault="0018643F" w:rsidP="00B41012">
                  <w:pPr>
                    <w:pStyle w:val="TableBullet"/>
                    <w:rPr>
                      <w:sz w:val="16"/>
                      <w:szCs w:val="16"/>
                    </w:rPr>
                  </w:pPr>
                  <w:r w:rsidRPr="00B41012">
                    <w:rPr>
                      <w:sz w:val="16"/>
                      <w:szCs w:val="16"/>
                    </w:rPr>
                    <w:t xml:space="preserve">Web-based interventions among college students had mixed results, while interactive </w:t>
                  </w:r>
                  <w:r w:rsidR="0084124A">
                    <w:rPr>
                      <w:sz w:val="16"/>
                      <w:szCs w:val="16"/>
                    </w:rPr>
                    <w:t>i</w:t>
                  </w:r>
                  <w:r w:rsidRPr="00B41012">
                    <w:rPr>
                      <w:sz w:val="16"/>
                      <w:szCs w:val="16"/>
                    </w:rPr>
                    <w:t>nternet</w:t>
                  </w:r>
                  <w:r w:rsidRPr="00B41012">
                    <w:rPr>
                      <w:sz w:val="16"/>
                      <w:szCs w:val="16"/>
                    </w:rPr>
                    <w:noBreakHyphen/>
                    <w:t>based interventions had positive impacts</w:t>
                  </w:r>
                </w:p>
              </w:tc>
            </w:tr>
            <w:tr w:rsidR="009B1461" w14:paraId="1EA393D4" w14:textId="77777777" w:rsidTr="009B1461">
              <w:tc>
                <w:tcPr>
                  <w:tcW w:w="1249" w:type="pct"/>
                </w:tcPr>
                <w:p w14:paraId="1EA393D2" w14:textId="77777777" w:rsidR="009B1461" w:rsidRPr="0043361B" w:rsidRDefault="0043361B" w:rsidP="007816A0">
                  <w:pPr>
                    <w:pStyle w:val="TableBodyText"/>
                    <w:jc w:val="left"/>
                    <w:rPr>
                      <w:sz w:val="16"/>
                      <w:szCs w:val="16"/>
                    </w:rPr>
                  </w:pPr>
                  <w:r w:rsidRPr="0043361B">
                    <w:rPr>
                      <w:sz w:val="16"/>
                      <w:szCs w:val="16"/>
                    </w:rPr>
                    <w:t>Impacts of promotion</w:t>
                  </w:r>
                  <w:r w:rsidR="007816A0">
                    <w:rPr>
                      <w:sz w:val="16"/>
                      <w:szCs w:val="16"/>
                    </w:rPr>
                    <w:t xml:space="preserve"> of smoking</w:t>
                  </w:r>
                </w:p>
              </w:tc>
              <w:tc>
                <w:tcPr>
                  <w:tcW w:w="3751" w:type="pct"/>
                </w:tcPr>
                <w:p w14:paraId="1EA393D3" w14:textId="77777777" w:rsidR="009B1461" w:rsidRPr="006D1846" w:rsidRDefault="0043361B" w:rsidP="002F7AB5">
                  <w:pPr>
                    <w:pStyle w:val="TableBullet"/>
                    <w:rPr>
                      <w:sz w:val="16"/>
                      <w:szCs w:val="16"/>
                    </w:rPr>
                  </w:pPr>
                  <w:r w:rsidRPr="002F7AB5">
                    <w:rPr>
                      <w:sz w:val="16"/>
                      <w:szCs w:val="16"/>
                    </w:rPr>
                    <w:t>Increases likelihood of adolescent smoking</w:t>
                  </w:r>
                </w:p>
              </w:tc>
            </w:tr>
            <w:tr w:rsidR="009B1461" w14:paraId="1EA393D7" w14:textId="77777777" w:rsidTr="002F4173">
              <w:tc>
                <w:tcPr>
                  <w:tcW w:w="1249" w:type="pct"/>
                  <w:shd w:val="clear" w:color="auto" w:fill="CBDDF2" w:themeFill="accent2" w:themeFillTint="33"/>
                </w:tcPr>
                <w:p w14:paraId="1EA393D5" w14:textId="77777777" w:rsidR="009B1461" w:rsidRPr="002F4173" w:rsidRDefault="0043361B" w:rsidP="00515F19">
                  <w:pPr>
                    <w:pStyle w:val="TableUnitsRow"/>
                    <w:spacing w:before="0" w:after="0"/>
                    <w:jc w:val="left"/>
                    <w:rPr>
                      <w:b/>
                      <w:sz w:val="16"/>
                      <w:szCs w:val="16"/>
                    </w:rPr>
                  </w:pPr>
                  <w:r w:rsidRPr="00515F19">
                    <w:rPr>
                      <w:b/>
                    </w:rPr>
                    <w:t>Alcohol</w:t>
                  </w:r>
                </w:p>
              </w:tc>
              <w:tc>
                <w:tcPr>
                  <w:tcW w:w="3751" w:type="pct"/>
                  <w:shd w:val="clear" w:color="auto" w:fill="CBDDF2" w:themeFill="accent2" w:themeFillTint="33"/>
                </w:tcPr>
                <w:p w14:paraId="1EA393D6" w14:textId="77777777" w:rsidR="009B1461" w:rsidRPr="00B41012" w:rsidRDefault="009B1461" w:rsidP="00CE2FD2">
                  <w:pPr>
                    <w:pStyle w:val="TableBodyText"/>
                    <w:ind w:right="28"/>
                    <w:rPr>
                      <w:sz w:val="16"/>
                      <w:szCs w:val="16"/>
                    </w:rPr>
                  </w:pPr>
                </w:p>
              </w:tc>
            </w:tr>
            <w:tr w:rsidR="009B1461" w14:paraId="1EA393DA" w14:textId="77777777" w:rsidTr="009B1461">
              <w:tc>
                <w:tcPr>
                  <w:tcW w:w="1249" w:type="pct"/>
                </w:tcPr>
                <w:p w14:paraId="1EA393D8" w14:textId="77777777" w:rsidR="009B1461" w:rsidRPr="0043361B" w:rsidRDefault="0043361B" w:rsidP="00CE2FD2">
                  <w:pPr>
                    <w:pStyle w:val="TableBodyText"/>
                    <w:jc w:val="left"/>
                    <w:rPr>
                      <w:sz w:val="16"/>
                      <w:szCs w:val="16"/>
                    </w:rPr>
                  </w:pPr>
                  <w:r w:rsidRPr="0043361B">
                    <w:rPr>
                      <w:sz w:val="16"/>
                      <w:szCs w:val="16"/>
                    </w:rPr>
                    <w:t>School-based</w:t>
                  </w:r>
                </w:p>
              </w:tc>
              <w:tc>
                <w:tcPr>
                  <w:tcW w:w="3751" w:type="pct"/>
                </w:tcPr>
                <w:p w14:paraId="1EA393D9" w14:textId="77777777" w:rsidR="009B1461" w:rsidRPr="00B41012" w:rsidRDefault="0043361B" w:rsidP="00B41012">
                  <w:pPr>
                    <w:pStyle w:val="TableBullet"/>
                    <w:rPr>
                      <w:sz w:val="16"/>
                      <w:szCs w:val="16"/>
                    </w:rPr>
                  </w:pPr>
                  <w:r w:rsidRPr="00B41012">
                    <w:rPr>
                      <w:sz w:val="16"/>
                      <w:szCs w:val="16"/>
                    </w:rPr>
                    <w:t>Appear to be effective, but effects can be small</w:t>
                  </w:r>
                </w:p>
              </w:tc>
            </w:tr>
            <w:tr w:rsidR="009B1461" w14:paraId="1EA393DD" w14:textId="77777777" w:rsidTr="009B1461">
              <w:tc>
                <w:tcPr>
                  <w:tcW w:w="1249" w:type="pct"/>
                </w:tcPr>
                <w:p w14:paraId="1EA393DB" w14:textId="77777777" w:rsidR="009B1461" w:rsidRPr="007D2A74" w:rsidRDefault="0043361B" w:rsidP="0043361B">
                  <w:pPr>
                    <w:pStyle w:val="TableBodyText"/>
                    <w:jc w:val="left"/>
                    <w:rPr>
                      <w:sz w:val="16"/>
                      <w:szCs w:val="16"/>
                    </w:rPr>
                  </w:pPr>
                  <w:r w:rsidRPr="007D2A74">
                    <w:rPr>
                      <w:sz w:val="16"/>
                      <w:szCs w:val="16"/>
                    </w:rPr>
                    <w:t>Family</w:t>
                  </w:r>
                  <w:r w:rsidRPr="007D2A74">
                    <w:rPr>
                      <w:sz w:val="16"/>
                      <w:szCs w:val="16"/>
                    </w:rPr>
                    <w:noBreakHyphen/>
                    <w:t>based interventions</w:t>
                  </w:r>
                </w:p>
              </w:tc>
              <w:tc>
                <w:tcPr>
                  <w:tcW w:w="3751" w:type="pct"/>
                </w:tcPr>
                <w:p w14:paraId="1EA393DC" w14:textId="77777777" w:rsidR="009B1461" w:rsidRPr="00B41012" w:rsidRDefault="0043361B" w:rsidP="00B41012">
                  <w:pPr>
                    <w:pStyle w:val="TableBullet"/>
                    <w:rPr>
                      <w:sz w:val="16"/>
                      <w:szCs w:val="16"/>
                    </w:rPr>
                  </w:pPr>
                  <w:r w:rsidRPr="00B41012">
                    <w:rPr>
                      <w:sz w:val="16"/>
                      <w:szCs w:val="16"/>
                    </w:rPr>
                    <w:t xml:space="preserve">Family-based prevention interventions </w:t>
                  </w:r>
                  <w:r w:rsidR="00E44120" w:rsidRPr="00B41012">
                    <w:rPr>
                      <w:sz w:val="16"/>
                      <w:szCs w:val="16"/>
                    </w:rPr>
                    <w:t>have</w:t>
                  </w:r>
                  <w:r w:rsidRPr="00B41012">
                    <w:rPr>
                      <w:sz w:val="16"/>
                      <w:szCs w:val="16"/>
                    </w:rPr>
                    <w:t xml:space="preserve"> small but generally consistent </w:t>
                  </w:r>
                  <w:r w:rsidR="005D17B4">
                    <w:rPr>
                      <w:sz w:val="16"/>
                      <w:szCs w:val="16"/>
                    </w:rPr>
                    <w:t>beneficial</w:t>
                  </w:r>
                  <w:r w:rsidR="001B7C6B">
                    <w:rPr>
                      <w:sz w:val="16"/>
                      <w:szCs w:val="16"/>
                    </w:rPr>
                    <w:t xml:space="preserve"> </w:t>
                  </w:r>
                  <w:r w:rsidR="00E44120" w:rsidRPr="00B41012">
                    <w:rPr>
                      <w:sz w:val="16"/>
                      <w:szCs w:val="16"/>
                    </w:rPr>
                    <w:t>impacts and also persist</w:t>
                  </w:r>
                  <w:r w:rsidRPr="00B41012">
                    <w:rPr>
                      <w:sz w:val="16"/>
                      <w:szCs w:val="16"/>
                    </w:rPr>
                    <w:t xml:space="preserve"> over the medium to long term</w:t>
                  </w:r>
                </w:p>
              </w:tc>
            </w:tr>
            <w:tr w:rsidR="0043361B" w14:paraId="1EA393E0" w14:textId="77777777" w:rsidTr="009B1461">
              <w:tc>
                <w:tcPr>
                  <w:tcW w:w="1249" w:type="pct"/>
                </w:tcPr>
                <w:p w14:paraId="1EA393DE" w14:textId="77777777" w:rsidR="0043361B" w:rsidRPr="007D2A74" w:rsidRDefault="0043361B" w:rsidP="00CE2FD2">
                  <w:pPr>
                    <w:pStyle w:val="TableBodyText"/>
                    <w:jc w:val="left"/>
                    <w:rPr>
                      <w:sz w:val="16"/>
                      <w:szCs w:val="16"/>
                    </w:rPr>
                  </w:pPr>
                  <w:r w:rsidRPr="007D2A74">
                    <w:rPr>
                      <w:sz w:val="16"/>
                      <w:szCs w:val="16"/>
                    </w:rPr>
                    <w:t>Digital platforms</w:t>
                  </w:r>
                </w:p>
              </w:tc>
              <w:tc>
                <w:tcPr>
                  <w:tcW w:w="3751" w:type="pct"/>
                </w:tcPr>
                <w:p w14:paraId="1EA393DF" w14:textId="77777777" w:rsidR="0043361B" w:rsidRPr="00B41012" w:rsidRDefault="0043361B" w:rsidP="00B41012">
                  <w:pPr>
                    <w:pStyle w:val="TableBullet"/>
                    <w:rPr>
                      <w:sz w:val="16"/>
                      <w:szCs w:val="16"/>
                    </w:rPr>
                  </w:pPr>
                  <w:r w:rsidRPr="00B41012">
                    <w:rPr>
                      <w:sz w:val="16"/>
                      <w:szCs w:val="16"/>
                    </w:rPr>
                    <w:t>Computer</w:t>
                  </w:r>
                  <w:r w:rsidRPr="00B41012">
                    <w:rPr>
                      <w:sz w:val="16"/>
                      <w:szCs w:val="16"/>
                    </w:rPr>
                    <w:noBreakHyphen/>
                    <w:t>delivered interventions are found to reduce the quantity and frequency of drinking among college students</w:t>
                  </w:r>
                </w:p>
              </w:tc>
            </w:tr>
            <w:tr w:rsidR="009B1461" w14:paraId="1EA393E3" w14:textId="77777777" w:rsidTr="009B1461">
              <w:tc>
                <w:tcPr>
                  <w:tcW w:w="1249" w:type="pct"/>
                </w:tcPr>
                <w:p w14:paraId="1EA393E1" w14:textId="77777777" w:rsidR="009B1461" w:rsidRPr="007D2A74" w:rsidRDefault="007D2A74" w:rsidP="00CE2FD2">
                  <w:pPr>
                    <w:pStyle w:val="TableBodyText"/>
                    <w:jc w:val="left"/>
                    <w:rPr>
                      <w:sz w:val="16"/>
                      <w:szCs w:val="16"/>
                    </w:rPr>
                  </w:pPr>
                  <w:r w:rsidRPr="007D2A74">
                    <w:rPr>
                      <w:sz w:val="16"/>
                      <w:szCs w:val="16"/>
                    </w:rPr>
                    <w:t>Promotion</w:t>
                  </w:r>
                </w:p>
              </w:tc>
              <w:tc>
                <w:tcPr>
                  <w:tcW w:w="3751" w:type="pct"/>
                </w:tcPr>
                <w:p w14:paraId="1EA393E2" w14:textId="77777777" w:rsidR="009B1461" w:rsidRPr="00B41012" w:rsidRDefault="007D2A74" w:rsidP="00B41012">
                  <w:pPr>
                    <w:pStyle w:val="TableBullet"/>
                    <w:rPr>
                      <w:sz w:val="16"/>
                      <w:szCs w:val="16"/>
                    </w:rPr>
                  </w:pPr>
                  <w:r w:rsidRPr="00B41012">
                    <w:rPr>
                      <w:sz w:val="16"/>
                      <w:szCs w:val="16"/>
                    </w:rPr>
                    <w:t>Lack of robust evidence</w:t>
                  </w:r>
                </w:p>
              </w:tc>
            </w:tr>
            <w:tr w:rsidR="002F4173" w14:paraId="1EA393E6" w14:textId="77777777" w:rsidTr="009B1461">
              <w:tc>
                <w:tcPr>
                  <w:tcW w:w="1249" w:type="pct"/>
                  <w:tcBorders>
                    <w:bottom w:val="single" w:sz="6" w:space="0" w:color="BFBFBF"/>
                  </w:tcBorders>
                  <w:shd w:val="clear" w:color="auto" w:fill="auto"/>
                </w:tcPr>
                <w:p w14:paraId="1EA393E4" w14:textId="77777777" w:rsidR="002F4173" w:rsidRDefault="002F4173" w:rsidP="002F4173">
                  <w:pPr>
                    <w:pStyle w:val="TableBodyText"/>
                    <w:jc w:val="left"/>
                  </w:pPr>
                  <w:r w:rsidRPr="007D2A74">
                    <w:rPr>
                      <w:sz w:val="16"/>
                      <w:szCs w:val="16"/>
                    </w:rPr>
                    <w:t>Multi</w:t>
                  </w:r>
                  <w:r w:rsidRPr="007D2A74">
                    <w:rPr>
                      <w:sz w:val="16"/>
                      <w:szCs w:val="16"/>
                    </w:rPr>
                    <w:noBreakHyphen/>
                    <w:t>component interventions</w:t>
                  </w:r>
                </w:p>
              </w:tc>
              <w:tc>
                <w:tcPr>
                  <w:tcW w:w="3751" w:type="pct"/>
                  <w:tcBorders>
                    <w:bottom w:val="single" w:sz="6" w:space="0" w:color="BFBFBF"/>
                  </w:tcBorders>
                  <w:shd w:val="clear" w:color="auto" w:fill="auto"/>
                </w:tcPr>
                <w:p w14:paraId="1EA393E5" w14:textId="77777777" w:rsidR="002F4173" w:rsidRPr="00B41012" w:rsidRDefault="002F4173" w:rsidP="00B41012">
                  <w:pPr>
                    <w:pStyle w:val="TableBullet"/>
                    <w:rPr>
                      <w:sz w:val="16"/>
                      <w:szCs w:val="16"/>
                    </w:rPr>
                  </w:pPr>
                  <w:r w:rsidRPr="00B41012">
                    <w:rPr>
                      <w:sz w:val="16"/>
                      <w:szCs w:val="16"/>
                    </w:rPr>
                    <w:t xml:space="preserve">Little evidence that </w:t>
                  </w:r>
                  <w:r w:rsidR="001B7C6B">
                    <w:rPr>
                      <w:sz w:val="16"/>
                      <w:szCs w:val="16"/>
                    </w:rPr>
                    <w:t xml:space="preserve">they are </w:t>
                  </w:r>
                  <w:r w:rsidRPr="00B41012">
                    <w:rPr>
                      <w:sz w:val="16"/>
                      <w:szCs w:val="16"/>
                    </w:rPr>
                    <w:t>better than single component measures</w:t>
                  </w:r>
                </w:p>
              </w:tc>
            </w:tr>
          </w:tbl>
          <w:p w14:paraId="1EA393E7" w14:textId="77777777" w:rsidR="00CE2FD2" w:rsidRDefault="00CE2FD2" w:rsidP="00CE2FD2">
            <w:pPr>
              <w:pStyle w:val="Box"/>
            </w:pPr>
          </w:p>
        </w:tc>
      </w:tr>
      <w:tr w:rsidR="00CE2FD2" w14:paraId="1EA393EA" w14:textId="77777777" w:rsidTr="00CE2FD2">
        <w:tc>
          <w:tcPr>
            <w:tcW w:w="5000" w:type="pct"/>
            <w:tcBorders>
              <w:top w:val="nil"/>
              <w:left w:val="nil"/>
              <w:bottom w:val="nil"/>
              <w:right w:val="nil"/>
            </w:tcBorders>
            <w:shd w:val="clear" w:color="auto" w:fill="auto"/>
          </w:tcPr>
          <w:p w14:paraId="1EA393E9" w14:textId="77777777" w:rsidR="00CE2FD2" w:rsidRDefault="00CE2FD2" w:rsidP="002F4173">
            <w:pPr>
              <w:pStyle w:val="Note"/>
              <w:rPr>
                <w:i/>
              </w:rPr>
            </w:pPr>
            <w:r w:rsidRPr="008E77FE">
              <w:rPr>
                <w:rStyle w:val="NoteLabel"/>
              </w:rPr>
              <w:t>a</w:t>
            </w:r>
            <w:r>
              <w:t xml:space="preserve"> </w:t>
            </w:r>
            <w:r w:rsidR="002F4173">
              <w:t>There is an extensive bias</w:t>
            </w:r>
            <w:r w:rsidR="00B41012">
              <w:t xml:space="preserve"> to</w:t>
            </w:r>
            <w:r w:rsidR="007816A0">
              <w:t>wards</w:t>
            </w:r>
            <w:r w:rsidR="00B41012">
              <w:t xml:space="preserve"> US studies, which may affect outcomes</w:t>
            </w:r>
            <w:r>
              <w:t>.</w:t>
            </w:r>
          </w:p>
        </w:tc>
      </w:tr>
      <w:tr w:rsidR="00CE2FD2" w14:paraId="1EA393EC" w14:textId="77777777" w:rsidTr="00CE2FD2">
        <w:tc>
          <w:tcPr>
            <w:tcW w:w="5000" w:type="pct"/>
            <w:tcBorders>
              <w:top w:val="nil"/>
              <w:left w:val="nil"/>
              <w:bottom w:val="nil"/>
              <w:right w:val="nil"/>
            </w:tcBorders>
            <w:shd w:val="clear" w:color="auto" w:fill="auto"/>
          </w:tcPr>
          <w:p w14:paraId="1EA393EB" w14:textId="77777777" w:rsidR="00CE2FD2" w:rsidRDefault="002F4173" w:rsidP="00515F19">
            <w:pPr>
              <w:pStyle w:val="Source"/>
            </w:pPr>
            <w:r>
              <w:rPr>
                <w:i/>
              </w:rPr>
              <w:t>Source</w:t>
            </w:r>
            <w:r w:rsidR="00CE2FD2" w:rsidRPr="00167F06">
              <w:t xml:space="preserve">: </w:t>
            </w:r>
            <w:r>
              <w:t xml:space="preserve">Das et al </w:t>
            </w:r>
            <w:r w:rsidRPr="00CE2FD2">
              <w:rPr>
                <w:rFonts w:cs="Arial"/>
              </w:rPr>
              <w:t>(2016)</w:t>
            </w:r>
            <w:r w:rsidR="00CE2FD2">
              <w:t>.</w:t>
            </w:r>
          </w:p>
        </w:tc>
      </w:tr>
      <w:tr w:rsidR="00CE2FD2" w14:paraId="1EA393EE" w14:textId="77777777" w:rsidTr="00CE2FD2">
        <w:tc>
          <w:tcPr>
            <w:tcW w:w="5000" w:type="pct"/>
            <w:tcBorders>
              <w:top w:val="nil"/>
              <w:left w:val="nil"/>
              <w:bottom w:val="single" w:sz="6" w:space="0" w:color="78A22F"/>
              <w:right w:val="nil"/>
            </w:tcBorders>
            <w:shd w:val="clear" w:color="auto" w:fill="auto"/>
          </w:tcPr>
          <w:p w14:paraId="1EA393ED" w14:textId="77777777" w:rsidR="00CE2FD2" w:rsidRDefault="00CE2FD2" w:rsidP="00CE2FD2">
            <w:pPr>
              <w:pStyle w:val="Box"/>
              <w:spacing w:before="0" w:line="120" w:lineRule="exact"/>
            </w:pPr>
          </w:p>
        </w:tc>
      </w:tr>
      <w:tr w:rsidR="00CE2FD2" w:rsidRPr="000863A5" w14:paraId="1EA393F0" w14:textId="77777777" w:rsidTr="00CE2FD2">
        <w:tc>
          <w:tcPr>
            <w:tcW w:w="5000" w:type="pct"/>
            <w:tcBorders>
              <w:top w:val="single" w:sz="6" w:space="0" w:color="78A22F"/>
              <w:left w:val="nil"/>
              <w:bottom w:val="nil"/>
              <w:right w:val="nil"/>
            </w:tcBorders>
          </w:tcPr>
          <w:p w14:paraId="1EA393EF" w14:textId="77777777" w:rsidR="00CE2FD2" w:rsidRPr="00626D32" w:rsidRDefault="00CE2FD2" w:rsidP="00CE2FD2">
            <w:pPr>
              <w:pStyle w:val="BoxSpaceBelow"/>
            </w:pPr>
          </w:p>
        </w:tc>
      </w:tr>
    </w:tbl>
    <w:p w14:paraId="1EA393F1" w14:textId="77777777" w:rsidR="00C6419F" w:rsidRDefault="00C6419F" w:rsidP="00C6419F">
      <w:pPr>
        <w:pStyle w:val="BodyText"/>
      </w:pPr>
      <w:r>
        <w:t xml:space="preserve">For instance, educational programmes for middle adolescents appear to be often ineffective, whereas measures to reduce substance abuse amongst late adolescents is greater </w:t>
      </w:r>
      <w:r w:rsidRPr="00F66010">
        <w:rPr>
          <w:szCs w:val="24"/>
        </w:rPr>
        <w:t>(Onrust et al. 2016)</w:t>
      </w:r>
      <w:r>
        <w:t xml:space="preserve">. It appears that educational measures are more effective when supported by other prevention measures that target the environmental factors underlying harm </w:t>
      </w:r>
      <w:r w:rsidRPr="00B86930">
        <w:rPr>
          <w:szCs w:val="24"/>
        </w:rPr>
        <w:t>(Kelly-Weeder, Phillips and Rounseville 2011)</w:t>
      </w:r>
      <w:r>
        <w:t>. One review suggests that the effects of mass media campaigns on alcohol</w:t>
      </w:r>
      <w:r>
        <w:noBreakHyphen/>
        <w:t xml:space="preserve">related injuries and crashes are unclear due to deficiencies in the studies </w:t>
      </w:r>
      <w:r w:rsidRPr="001C1AEE">
        <w:rPr>
          <w:szCs w:val="24"/>
        </w:rPr>
        <w:t>(Yadav and Kobayashi 2015)</w:t>
      </w:r>
      <w:r>
        <w:t xml:space="preserve">. However, another interpretation of the evidence by the European Monitoring Centre for Drugs and Drug Addiction </w:t>
      </w:r>
      <w:r w:rsidRPr="004142AB">
        <w:t>(2017)</w:t>
      </w:r>
      <w:r>
        <w:t xml:space="preserve"> suggested the evidence was favourable for such campaigns, but not so for </w:t>
      </w:r>
      <w:r w:rsidRPr="004142AB">
        <w:rPr>
          <w:i/>
        </w:rPr>
        <w:t>standalone</w:t>
      </w:r>
      <w:r>
        <w:t xml:space="preserve"> mass media campaigns to address alcohol misuse or tobacco consumption. </w:t>
      </w:r>
    </w:p>
    <w:p w14:paraId="1EA393F2" w14:textId="77777777" w:rsidR="00C6419F" w:rsidRDefault="00C6419F" w:rsidP="00C6419F">
      <w:pPr>
        <w:pStyle w:val="BodyText"/>
      </w:pPr>
      <w:r>
        <w:t>A key difficulty in all evaluations of education and media campaigns is establishing their long</w:t>
      </w:r>
      <w:r>
        <w:noBreakHyphen/>
        <w:t>run effectiveness because such interventions are often of short duration (unlike taxation and regulatory policies that change prices or the environment permanently). Moreover, by their nature, all marketing and education interventions vary significantly in their content, form, and targeting. Australia’s ‘Slip Slop Slap’ mass media and education program has been seen as very effective for limiting dangerous sun exposure.</w:t>
      </w:r>
    </w:p>
    <w:p w14:paraId="1EA393F3" w14:textId="77777777" w:rsidR="005D488F" w:rsidRDefault="005D488F" w:rsidP="005D488F">
      <w:pPr>
        <w:pStyle w:val="Heading4"/>
      </w:pPr>
      <w:r>
        <w:t xml:space="preserve">Measures that affect prices appear to be generally effective </w:t>
      </w:r>
    </w:p>
    <w:p w14:paraId="1EA393F4" w14:textId="77777777" w:rsidR="00FF6868" w:rsidRDefault="00FF6868" w:rsidP="005D488F">
      <w:pPr>
        <w:pStyle w:val="BodyText"/>
      </w:pPr>
      <w:r>
        <w:t>For all but a few exotic exceptions, an increased price associated with a tax on any good or service generates a reduction in the overall demand for that good or services, with the associated reduction in harm depending on the responsiveness to prices amongst the varying risk groups of consumers.</w:t>
      </w:r>
    </w:p>
    <w:p w14:paraId="1EA393F5" w14:textId="77777777" w:rsidR="00FF4F15" w:rsidRDefault="005D488F" w:rsidP="005D488F">
      <w:pPr>
        <w:pStyle w:val="BodyText"/>
      </w:pPr>
      <w:r>
        <w:t>S</w:t>
      </w:r>
      <w:r w:rsidRPr="00F31E94">
        <w:t xml:space="preserve">moking </w:t>
      </w:r>
      <w:r>
        <w:t xml:space="preserve">prevalence </w:t>
      </w:r>
      <w:r w:rsidRPr="00F31E94">
        <w:t>rates</w:t>
      </w:r>
      <w:r>
        <w:t xml:space="preserve"> respond to prices</w:t>
      </w:r>
      <w:r w:rsidRPr="00F31E94">
        <w:t xml:space="preserve">, </w:t>
      </w:r>
      <w:r>
        <w:t>with Australian rates</w:t>
      </w:r>
      <w:r w:rsidRPr="00F31E94">
        <w:t xml:space="preserve"> tumbl</w:t>
      </w:r>
      <w:r>
        <w:t>ing from 28 per cent in 1989 to 15 per </w:t>
      </w:r>
      <w:r w:rsidRPr="00F31E94">
        <w:t>cent in 2013, following a range of anti</w:t>
      </w:r>
      <w:r>
        <w:noBreakHyphen/>
      </w:r>
      <w:r w:rsidRPr="00F31E94">
        <w:t>smoking measures, including substantial tobacco excise increases from the early 1990s</w:t>
      </w:r>
      <w:r>
        <w:t xml:space="preserve">, regulations limiting where people can smoke, information campaigns, and education </w:t>
      </w:r>
      <w:r w:rsidRPr="00F31E94">
        <w:t>(Scollo and Winstanley 2016).</w:t>
      </w:r>
      <w:r>
        <w:t xml:space="preserve"> The evidence on price elasticities suggests that price changes would have played a decisive role in reducing demand. </w:t>
      </w:r>
    </w:p>
    <w:p w14:paraId="1EA393F6" w14:textId="3402F633" w:rsidR="005D488F" w:rsidRDefault="005D488F" w:rsidP="005D488F">
      <w:pPr>
        <w:pStyle w:val="BodyText"/>
      </w:pPr>
      <w:r>
        <w:t xml:space="preserve">Measures that raise the price of alcohol also appear to be effective </w:t>
      </w:r>
      <w:r w:rsidRPr="00F66010">
        <w:rPr>
          <w:szCs w:val="24"/>
        </w:rPr>
        <w:t>(Elder et al. 2010; Gilmore et al. 2016; Wagenaar, Salois and Komro 2009; Wright, Smith and Hellowell 2017)</w:t>
      </w:r>
      <w:r>
        <w:t xml:space="preserve">. </w:t>
      </w:r>
      <w:r w:rsidR="00FF4F15">
        <w:t>Alcohol taxes are already imposed in Australia. However, the tax regime is complex, with multiple concessions and incoherencies. Taxes do not treat alcohol consistently across different beverages. This reflects vested interests and accidents of history, overladen with revenue</w:t>
      </w:r>
      <w:r w:rsidR="00FF4F15">
        <w:noBreakHyphen/>
        <w:t xml:space="preserve">raising imperatives. Harm prevention has not been a key </w:t>
      </w:r>
      <w:r w:rsidR="001B7C6B">
        <w:t xml:space="preserve">motivating </w:t>
      </w:r>
      <w:r w:rsidR="00FF4F15">
        <w:t>element of Australian alcohol taxes. This issue is examined further in chapter</w:t>
      </w:r>
      <w:r w:rsidR="00F813E7">
        <w:t> 2</w:t>
      </w:r>
      <w:r w:rsidR="00FF4F15">
        <w:t xml:space="preserve"> in the main report. The </w:t>
      </w:r>
      <w:r w:rsidR="00676F1A">
        <w:t xml:space="preserve">Productivity </w:t>
      </w:r>
      <w:r w:rsidR="00FF4F15">
        <w:t xml:space="preserve">Commission recommends </w:t>
      </w:r>
      <w:r w:rsidR="00FF6868">
        <w:t>that alcohol taxes be</w:t>
      </w:r>
      <w:r w:rsidR="00FF4F15">
        <w:t xml:space="preserve"> aligned with the goal of harm minimisation</w:t>
      </w:r>
      <w:r w:rsidR="00FF6868">
        <w:t xml:space="preserve"> — which is best achieved through taxes that are set according to the volume of alcohol in a beverage (‘volumetric’ taxes).</w:t>
      </w:r>
    </w:p>
    <w:p w14:paraId="1EA393F7" w14:textId="77777777" w:rsidR="00FF6868" w:rsidRDefault="009804B5" w:rsidP="00660A77">
      <w:pPr>
        <w:pStyle w:val="BodyText"/>
      </w:pPr>
      <w:r>
        <w:t>I</w:t>
      </w:r>
      <w:r w:rsidR="00FF4F15">
        <w:t>t is important</w:t>
      </w:r>
      <w:r w:rsidR="00FF6868">
        <w:t xml:space="preserve"> to examine other behavioural responses to higher prices:</w:t>
      </w:r>
    </w:p>
    <w:p w14:paraId="1EA393F8" w14:textId="77777777" w:rsidR="00660A77" w:rsidRDefault="00FF6868" w:rsidP="003F2790">
      <w:pPr>
        <w:pStyle w:val="ListBullet"/>
      </w:pPr>
      <w:r>
        <w:t>higher prices may displace</w:t>
      </w:r>
      <w:r w:rsidR="00FF4F15">
        <w:t xml:space="preserve"> demand to other harmful forms of consumption. </w:t>
      </w:r>
      <w:r>
        <w:t xml:space="preserve">For instance, </w:t>
      </w:r>
      <w:r w:rsidR="00660A77">
        <w:t>volumetric taxes on alcohol in Australia</w:t>
      </w:r>
      <w:r>
        <w:t xml:space="preserve"> would </w:t>
      </w:r>
      <w:r w:rsidR="00660A77">
        <w:t>increase the price of low</w:t>
      </w:r>
      <w:r w:rsidR="00660A77">
        <w:noBreakHyphen/>
        <w:t>priced concessionally</w:t>
      </w:r>
      <w:r w:rsidR="00660A77">
        <w:noBreakHyphen/>
        <w:t xml:space="preserve">taxed wines, but would not change the price of spirits, which are already subject to volumetric taxes. While partial substitution could be anticipated, some </w:t>
      </w:r>
      <w:r w:rsidR="001851B1">
        <w:t>claim</w:t>
      </w:r>
      <w:r w:rsidR="00660A77">
        <w:t xml:space="preserve"> that volumetric taxes on low</w:t>
      </w:r>
      <w:r w:rsidR="00660A77">
        <w:noBreakHyphen/>
        <w:t xml:space="preserve">priced wine would lead to </w:t>
      </w:r>
      <w:r w:rsidR="00660A77" w:rsidRPr="00AF5924">
        <w:rPr>
          <w:i/>
        </w:rPr>
        <w:t>sufficient</w:t>
      </w:r>
      <w:r w:rsidR="00660A77">
        <w:t xml:space="preserve"> substitution to spirits that there would be few beneficial impacts on alcohol misuse. The conditions for this to hold are unlikely, as it would require people’s overall alcohol consumption to </w:t>
      </w:r>
      <w:r>
        <w:t>increase</w:t>
      </w:r>
      <w:r w:rsidR="00660A77">
        <w:t>, notwithstanding that the average price of alcohol had risen</w:t>
      </w:r>
      <w:r w:rsidR="00660A77" w:rsidRPr="00D94E31">
        <w:t xml:space="preserve"> </w:t>
      </w:r>
      <w:r w:rsidR="00660A77">
        <w:t>significantly. In addition, the evidence on the cross</w:t>
      </w:r>
      <w:r w:rsidR="00660A77">
        <w:noBreakHyphen/>
        <w:t xml:space="preserve">price elasticity of demand for different alcohol types suggests that a price increase in one relative to the other has few impacts on relative consumption levels </w:t>
      </w:r>
      <w:r w:rsidR="00660A77" w:rsidRPr="00075C8B">
        <w:rPr>
          <w:szCs w:val="24"/>
        </w:rPr>
        <w:t>(Sharma, Lebrun-Harris and Ngo-Metzger 2014, p. 5)</w:t>
      </w:r>
      <w:r>
        <w:t xml:space="preserve">. </w:t>
      </w:r>
    </w:p>
    <w:p w14:paraId="1EA393F9" w14:textId="77777777" w:rsidR="00FF6868" w:rsidRDefault="00FF6868" w:rsidP="003F2790">
      <w:pPr>
        <w:pStyle w:val="ListBullet"/>
      </w:pPr>
      <w:r>
        <w:t xml:space="preserve">people may find sources of untaxed </w:t>
      </w:r>
      <w:r w:rsidR="003F2790">
        <w:t xml:space="preserve">products from </w:t>
      </w:r>
      <w:r>
        <w:t>illicit suppliers</w:t>
      </w:r>
      <w:r w:rsidR="003F2790">
        <w:t xml:space="preserve">. </w:t>
      </w:r>
    </w:p>
    <w:p w14:paraId="1EA393FA" w14:textId="77777777" w:rsidR="00660A77" w:rsidRDefault="00660A77" w:rsidP="00E14D2B">
      <w:pPr>
        <w:pStyle w:val="Heading3"/>
      </w:pPr>
      <w:r>
        <w:t xml:space="preserve">The costs of any intervention </w:t>
      </w:r>
      <w:r w:rsidR="005D7AB5">
        <w:t>and forgone benefits</w:t>
      </w:r>
    </w:p>
    <w:p w14:paraId="1EA393FB" w14:textId="77777777" w:rsidR="005D7AB5" w:rsidRDefault="005D7AB5" w:rsidP="005D7AB5">
      <w:pPr>
        <w:pStyle w:val="BodyText"/>
      </w:pPr>
      <w:r>
        <w:t xml:space="preserve">It is important to assess the costs </w:t>
      </w:r>
      <w:r w:rsidR="00F67C46">
        <w:t xml:space="preserve">as well as benefits </w:t>
      </w:r>
      <w:r>
        <w:t xml:space="preserve">of preventative health measures. Interventions can entail administrative costs and compliance burdens for businesses. School educational programs displace other parts of a crowded syllabus. </w:t>
      </w:r>
    </w:p>
    <w:p w14:paraId="1EA393FC" w14:textId="77777777" w:rsidR="000838F0" w:rsidRDefault="005D7AB5" w:rsidP="005D7AB5">
      <w:pPr>
        <w:pStyle w:val="BodyText"/>
      </w:pPr>
      <w:r>
        <w:t xml:space="preserve">Above all, many of the activities and products that lead to major </w:t>
      </w:r>
      <w:r w:rsidR="00F67C46">
        <w:t>harm</w:t>
      </w:r>
      <w:r>
        <w:t xml:space="preserve"> can also produce large personal and social benefits. This is obvious in the case of motor vehicles as a means of transport</w:t>
      </w:r>
      <w:r w:rsidR="00F67C46">
        <w:t>,</w:t>
      </w:r>
      <w:r>
        <w:t xml:space="preserve"> and alcohol use as a source of enjoyment and as a key element of social activities. When there is a </w:t>
      </w:r>
      <w:r w:rsidR="00F67C46">
        <w:t>wide-ranging taxonomy</w:t>
      </w:r>
      <w:r>
        <w:t xml:space="preserve"> of negative </w:t>
      </w:r>
      <w:r w:rsidR="00F67C46">
        <w:t>effects</w:t>
      </w:r>
      <w:r>
        <w:t xml:space="preserve"> (as in alcohol), and just a few categories of benefits, it is easy to give too little weight to the positive aspects</w:t>
      </w:r>
      <w:r w:rsidR="00F67C46">
        <w:t>, though these can often exceed the negatives</w:t>
      </w:r>
      <w:r>
        <w:t xml:space="preserve">. That is important because some policy measures that address </w:t>
      </w:r>
      <w:r w:rsidR="00F67C46">
        <w:t>harmful product use or activities</w:t>
      </w:r>
      <w:r>
        <w:t xml:space="preserve"> can also </w:t>
      </w:r>
      <w:r w:rsidR="00F67C46">
        <w:t>undermine</w:t>
      </w:r>
      <w:r>
        <w:t xml:space="preserve"> </w:t>
      </w:r>
      <w:r w:rsidR="00F67C46">
        <w:t xml:space="preserve">their </w:t>
      </w:r>
      <w:r>
        <w:t>safe and enjoyable use</w:t>
      </w:r>
      <w:r w:rsidR="00F67C46">
        <w:t xml:space="preserve">. That </w:t>
      </w:r>
      <w:r>
        <w:t>impact</w:t>
      </w:r>
      <w:r w:rsidDel="001B7C6B">
        <w:t xml:space="preserve"> </w:t>
      </w:r>
      <w:r>
        <w:t xml:space="preserve">should not be neglected in any assessment of harm minimisation measures. For example, in its analysis of problem gambling, the </w:t>
      </w:r>
      <w:r w:rsidR="00676F1A">
        <w:t xml:space="preserve">Productivity </w:t>
      </w:r>
      <w:r>
        <w:t xml:space="preserve">Commission gave particular weight to measures that were unlikely to affect the enjoyment of recreational gamblers </w:t>
      </w:r>
      <w:r w:rsidR="00A205F0" w:rsidRPr="00A205F0">
        <w:rPr>
          <w:szCs w:val="24"/>
        </w:rPr>
        <w:t>(PC 2010)</w:t>
      </w:r>
      <w:r w:rsidR="009A1D17">
        <w:t>. The main implication</w:t>
      </w:r>
      <w:r w:rsidR="00F67C46">
        <w:t xml:space="preserve"> is that where a product or activity also produces significant benefits, harm minimisation measures </w:t>
      </w:r>
      <w:r w:rsidR="000838F0">
        <w:t xml:space="preserve">should </w:t>
      </w:r>
      <w:r w:rsidR="000838F0" w:rsidRPr="000838F0">
        <w:rPr>
          <w:i/>
        </w:rPr>
        <w:t>attempt</w:t>
      </w:r>
      <w:r w:rsidR="000838F0">
        <w:t xml:space="preserve"> to target the most affected people.</w:t>
      </w:r>
      <w:r w:rsidR="00CE47C6">
        <w:t xml:space="preserve"> </w:t>
      </w:r>
    </w:p>
    <w:p w14:paraId="1EA393FD" w14:textId="77777777" w:rsidR="000838F0" w:rsidRDefault="000838F0" w:rsidP="005D7AB5">
      <w:pPr>
        <w:pStyle w:val="BodyText"/>
      </w:pPr>
      <w:r>
        <w:t>By their nature, some measures cannot be targeted, in which case the desirability of their adoption involves a balancing act. For instance, w</w:t>
      </w:r>
      <w:r w:rsidR="00CE47C6">
        <w:t xml:space="preserve">hile taxes are often effective in reducing </w:t>
      </w:r>
      <w:r>
        <w:t xml:space="preserve">the </w:t>
      </w:r>
      <w:r w:rsidR="00CE47C6">
        <w:t xml:space="preserve">overall demand for products with harmful effects, they have the incidental outcome that people consuming at safe levels are as penalised as those who are not. Whether this matters depends on the extent of harm and the degree to which harm </w:t>
      </w:r>
      <w:r w:rsidR="00802EFB">
        <w:t>is present for low levels of</w:t>
      </w:r>
      <w:r w:rsidR="00CE47C6">
        <w:t xml:space="preserve"> </w:t>
      </w:r>
      <w:r>
        <w:t>consumption. Tobacco use appears to be harmful even in small quantities, but alcohol and sugary beverages are not. A decision to tax must weigh up the gains and losses for the different sub</w:t>
      </w:r>
      <w:r>
        <w:noBreakHyphen/>
        <w:t>groups.</w:t>
      </w:r>
    </w:p>
    <w:p w14:paraId="1EA393FE" w14:textId="77777777" w:rsidR="00660A77" w:rsidRDefault="00660A77" w:rsidP="00660A77">
      <w:pPr>
        <w:pStyle w:val="BodyText"/>
      </w:pPr>
      <w:r>
        <w:t xml:space="preserve">The costs </w:t>
      </w:r>
      <w:r w:rsidR="00F67C46">
        <w:t xml:space="preserve">of preventative health measures </w:t>
      </w:r>
      <w:r>
        <w:t xml:space="preserve">also </w:t>
      </w:r>
      <w:r w:rsidR="00F67C46">
        <w:t xml:space="preserve">include </w:t>
      </w:r>
      <w:r>
        <w:t>the community and personal acceptability of the educational, regulatory, marketing or tax measures that underpin many strategies. Practical preventative health measures cannot ignore how people view the legitimacy of government action in any given area. There is reasonable evidence that people are often opposed to measures that increase the prices of goods or services that have harmful effects because such measures are perceived to be indiscriminate, unfair for the most disadvantaged, and ineffective, even if some of these perceptions are poorly</w:t>
      </w:r>
      <w:r>
        <w:noBreakHyphen/>
        <w:t xml:space="preserve">based </w:t>
      </w:r>
      <w:r w:rsidRPr="0062478F">
        <w:rPr>
          <w:szCs w:val="24"/>
        </w:rPr>
        <w:t>(Keatley et al. 2016)</w:t>
      </w:r>
      <w:r>
        <w:t xml:space="preserve">. As observed in a recent study of tax policy for </w:t>
      </w:r>
      <w:r w:rsidR="009D44FA">
        <w:t>preventative</w:t>
      </w:r>
      <w:r>
        <w:t xml:space="preserve"> measures:</w:t>
      </w:r>
    </w:p>
    <w:p w14:paraId="1EA393FF" w14:textId="77777777" w:rsidR="00660A77" w:rsidRDefault="00660A77" w:rsidP="00660A77">
      <w:pPr>
        <w:pStyle w:val="Quote"/>
      </w:pPr>
      <w:r>
        <w:t xml:space="preserve">… public support for new commodity taxes tends to be low, and high public or political support is likely to be required for taxes to be initiated and sustained. </w:t>
      </w:r>
      <w:r w:rsidR="000C50E0" w:rsidRPr="000C50E0">
        <w:rPr>
          <w:szCs w:val="24"/>
        </w:rPr>
        <w:t>(Wright, Smith and Hellowell 2017, p. 11)</w:t>
      </w:r>
    </w:p>
    <w:p w14:paraId="1EA39400" w14:textId="77777777" w:rsidR="00660A77" w:rsidRDefault="00660A77" w:rsidP="00660A77">
      <w:pPr>
        <w:pStyle w:val="BodyText"/>
      </w:pPr>
      <w:r>
        <w:t xml:space="preserve">However, if tax measures are accompanied by earmarking of additional revenues for other </w:t>
      </w:r>
      <w:r w:rsidR="009D44FA">
        <w:t>preventative</w:t>
      </w:r>
      <w:r>
        <w:t xml:space="preserve"> health or health initiatives, public support is higher. Accordingly, some proponents for tax measures have also recommended that a share of any revenue be used for </w:t>
      </w:r>
      <w:r w:rsidR="009D44FA">
        <w:t>preventative</w:t>
      </w:r>
      <w:r>
        <w:t xml:space="preserve"> and treatment initiatives </w:t>
      </w:r>
      <w:r w:rsidR="001B7C6B" w:rsidRPr="001B7C6B">
        <w:rPr>
          <w:szCs w:val="24"/>
        </w:rPr>
        <w:t>(such as for alcohol taxation, as suggested by ACDPA 2011)</w:t>
      </w:r>
      <w:r>
        <w:t>. Hypothecation of revenues for specific purposes is often inefficient because it does not consider othe</w:t>
      </w:r>
      <w:r w:rsidR="00F67C46">
        <w:t xml:space="preserve">r spending options with higher </w:t>
      </w:r>
      <w:r>
        <w:t xml:space="preserve">public benefits, but failure to consider it may limit the capacity for </w:t>
      </w:r>
      <w:r w:rsidR="00F67C46">
        <w:t>worthwhile</w:t>
      </w:r>
      <w:r>
        <w:t xml:space="preserve"> reform</w:t>
      </w:r>
      <w:r w:rsidR="00F67C46">
        <w:t>s</w:t>
      </w:r>
      <w:r>
        <w:t xml:space="preserve">. In any case, as discussed above, there are grounds for a package of reforms anyway, so the inefficiency losses may be modest or </w:t>
      </w:r>
      <w:r w:rsidR="000838F0">
        <w:t>nonexistent</w:t>
      </w:r>
      <w:r>
        <w:t xml:space="preserve">. </w:t>
      </w:r>
    </w:p>
    <w:p w14:paraId="1EA39401" w14:textId="77777777" w:rsidR="00660A77" w:rsidRDefault="00660A77" w:rsidP="00660A77">
      <w:pPr>
        <w:pStyle w:val="BodyText"/>
      </w:pPr>
      <w:r>
        <w:t xml:space="preserve">Moreover, good design is critical to positive public reception. The fat tax introduced in Denmark in 2011 was abolished only 15 months later. In part, this reflected opposition by the food industry, but it also appears that the tax was poorly designed, and was mainly oriented to raising revenue, rather than reducing harm. It accordingly lost support from the public and health experts </w:t>
      </w:r>
      <w:r w:rsidRPr="00F1211F">
        <w:rPr>
          <w:szCs w:val="24"/>
        </w:rPr>
        <w:t>(Bødker et al. 2015)</w:t>
      </w:r>
      <w:r>
        <w:t>.</w:t>
      </w:r>
    </w:p>
    <w:p w14:paraId="1EA39402" w14:textId="77777777" w:rsidR="00660A77" w:rsidRDefault="00EE18EA" w:rsidP="005D488F">
      <w:pPr>
        <w:pStyle w:val="Heading4"/>
      </w:pPr>
      <w:r>
        <w:t>Taking account of adverse impacts primarily felt by the person</w:t>
      </w:r>
    </w:p>
    <w:p w14:paraId="1EA39403" w14:textId="77777777" w:rsidR="002331E4" w:rsidRDefault="002331E4" w:rsidP="00660A77">
      <w:pPr>
        <w:pStyle w:val="BodyText"/>
      </w:pPr>
      <w:r>
        <w:t xml:space="preserve">From an orthodox economic perspective, the strongest argument for measures that reduce some lifestyle risk is that those risks translate into costs not borne by the individual. For instance, obesity increases health care costs, which must be borne by people who are not obese </w:t>
      </w:r>
      <w:r w:rsidRPr="002331E4">
        <w:rPr>
          <w:szCs w:val="24"/>
        </w:rPr>
        <w:t>(Duckett and Swerissen 2016)</w:t>
      </w:r>
      <w:r>
        <w:t xml:space="preserve">,while alcohol misuse will often affect other people through violence, health care costs and accidents. </w:t>
      </w:r>
    </w:p>
    <w:p w14:paraId="1EA39404" w14:textId="77777777" w:rsidR="009804B5" w:rsidRDefault="009804B5" w:rsidP="00660A77">
      <w:pPr>
        <w:pStyle w:val="BodyText"/>
      </w:pPr>
      <w:r>
        <w:t>S</w:t>
      </w:r>
      <w:r w:rsidR="002331E4">
        <w:t xml:space="preserve">ome analyses go further in estimates of the costs of a modifiable risk factor to include those borne by the person exposed to that factor. This is often used to strengthen the policy case for intervention. </w:t>
      </w:r>
    </w:p>
    <w:p w14:paraId="1EA39405" w14:textId="77777777" w:rsidR="00660A77" w:rsidRDefault="009804B5" w:rsidP="00660A77">
      <w:pPr>
        <w:pStyle w:val="BodyText"/>
      </w:pPr>
      <w:r>
        <w:t xml:space="preserve">On the one hand, </w:t>
      </w:r>
      <w:r w:rsidR="002331E4">
        <w:t>t</w:t>
      </w:r>
      <w:r w:rsidR="00660A77">
        <w:t xml:space="preserve">he extent to which reducing </w:t>
      </w:r>
      <w:r w:rsidR="00660A77" w:rsidRPr="00A91724">
        <w:rPr>
          <w:i/>
        </w:rPr>
        <w:t>personal</w:t>
      </w:r>
      <w:r w:rsidR="00660A77">
        <w:t xml:space="preserve"> discomfort and disability are real benefits</w:t>
      </w:r>
      <w:r w:rsidR="002331E4">
        <w:t xml:space="preserve"> is a vexed question</w:t>
      </w:r>
      <w:r w:rsidR="00660A77">
        <w:t xml:space="preserve">. Many people consider the risks of their actions when making choices, balancing them against the benefits. So regulatory or tax measures that proscribe or limit the activity giving rise to those risks </w:t>
      </w:r>
      <w:r w:rsidR="00660A77" w:rsidRPr="004137C5">
        <w:t>may</w:t>
      </w:r>
      <w:r w:rsidR="00660A77">
        <w:t xml:space="preserve"> reduce costs, but can also forgo the (bigger) benefits. This will most commonly occur where people are reasonably well informed about the nature and the magnitude of the risks, are forward</w:t>
      </w:r>
      <w:r w:rsidR="00660A77">
        <w:noBreakHyphen/>
        <w:t>looking, and can exercise self</w:t>
      </w:r>
      <w:r w:rsidR="00660A77">
        <w:noBreakHyphen/>
        <w:t>control. Ignoring people’s capacity to balance risks and benefits can lead to significantly exaggerated estimates of the benefits of harm minimisation measures. Costs rationally borne by people should not be included as social costs in cost</w:t>
      </w:r>
      <w:r w:rsidR="00660A77">
        <w:noBreakHyphen/>
        <w:t xml:space="preserve">benefit studies. </w:t>
      </w:r>
    </w:p>
    <w:p w14:paraId="1EA39406" w14:textId="77777777" w:rsidR="000838F0" w:rsidRDefault="009804B5" w:rsidP="00660A77">
      <w:pPr>
        <w:pStyle w:val="BodyText"/>
      </w:pPr>
      <w:r>
        <w:t xml:space="preserve">On the other hand, </w:t>
      </w:r>
      <w:r w:rsidR="00660A77">
        <w:t xml:space="preserve">in some circumstances, people may find it </w:t>
      </w:r>
      <w:r w:rsidR="00EE18EA">
        <w:t xml:space="preserve">very </w:t>
      </w:r>
      <w:r w:rsidR="00660A77">
        <w:t xml:space="preserve">hard to control their behaviour (as in </w:t>
      </w:r>
      <w:r w:rsidR="00EE18EA">
        <w:t>addictions</w:t>
      </w:r>
      <w:r w:rsidR="000838F0">
        <w:t xml:space="preserve"> to alcohol, drugs and gambling</w:t>
      </w:r>
      <w:r w:rsidR="00660A77">
        <w:t>). People can also be poorly informed about risks that</w:t>
      </w:r>
      <w:r w:rsidR="00EE18EA">
        <w:t>,</w:t>
      </w:r>
      <w:r w:rsidR="00660A77">
        <w:t xml:space="preserve"> were they to be aware of them, </w:t>
      </w:r>
      <w:r w:rsidR="00660A77" w:rsidRPr="00AA506D">
        <w:rPr>
          <w:i/>
        </w:rPr>
        <w:t>might</w:t>
      </w:r>
      <w:r w:rsidR="00660A77">
        <w:t xml:space="preserve"> alter their consumption. For example, an Australian study found that less than 50 per cent of adults were aware that alcohol can cause cancer </w:t>
      </w:r>
      <w:r w:rsidR="00660A77" w:rsidRPr="00FA55A2">
        <w:rPr>
          <w:szCs w:val="24"/>
        </w:rPr>
        <w:t>(Cotter et al. 2013)</w:t>
      </w:r>
      <w:r w:rsidR="00660A77">
        <w:t xml:space="preserve">. </w:t>
      </w:r>
    </w:p>
    <w:p w14:paraId="1EA39407" w14:textId="77777777" w:rsidR="000838F0" w:rsidRDefault="00660A77" w:rsidP="00660A77">
      <w:pPr>
        <w:pStyle w:val="BodyText"/>
      </w:pPr>
      <w:r>
        <w:t xml:space="preserve">There is also a distinction between understanding that a lifestyle behaviour </w:t>
      </w:r>
      <w:r w:rsidRPr="00FA55A2">
        <w:rPr>
          <w:i/>
        </w:rPr>
        <w:t>can</w:t>
      </w:r>
      <w:r>
        <w:t xml:space="preserve"> have an adverse impact on health and knowledge about the </w:t>
      </w:r>
      <w:r w:rsidRPr="00FA55A2">
        <w:rPr>
          <w:i/>
        </w:rPr>
        <w:t>degree</w:t>
      </w:r>
      <w:r>
        <w:t xml:space="preserve"> to which that is the case. The latter is required to make an informed choice. </w:t>
      </w:r>
    </w:p>
    <w:p w14:paraId="1EA39408" w14:textId="77777777" w:rsidR="00660A77" w:rsidRDefault="00660A77" w:rsidP="00660A77">
      <w:pPr>
        <w:pStyle w:val="BodyText"/>
      </w:pPr>
      <w:r>
        <w:t>The implications are twofold. Ignorance of a risk may be largely irrelevant to policy if the risk is low or people do not place much weight on it. On the other hand, even if people are aware of a risk, that does not mean regulation is unwarranted if well</w:t>
      </w:r>
      <w:r>
        <w:noBreakHyphen/>
        <w:t xml:space="preserve">informed people would change their decision if they knew the likely extent of the risks. </w:t>
      </w:r>
    </w:p>
    <w:p w14:paraId="1EA39409" w14:textId="77777777" w:rsidR="00D34BA4" w:rsidRDefault="00D34BA4" w:rsidP="00660A77">
      <w:pPr>
        <w:pStyle w:val="BodyText"/>
      </w:pPr>
      <w:r>
        <w:t>Moreover, children are sometimes affected by lifestyle risks — such as lack of exercise, low fruit and vegetable diets and obesity. While children consume little alcohol and mostly do not smoke, they are significant consumers of non</w:t>
      </w:r>
      <w:r>
        <w:noBreakHyphen/>
        <w:t xml:space="preserve">alcoholic </w:t>
      </w:r>
      <w:r w:rsidR="002331E4">
        <w:t>sugar</w:t>
      </w:r>
      <w:r w:rsidR="002331E4">
        <w:noBreakHyphen/>
      </w:r>
      <w:r>
        <w:t xml:space="preserve">sweetened beverages. The view that choice is rational and informed for children is less clear cut — as suggested by the prohibition of various products for their use at all (tobacco for example). In this instance, </w:t>
      </w:r>
      <w:r w:rsidR="00BC74FA">
        <w:t xml:space="preserve">the relevant issue is the quality of </w:t>
      </w:r>
      <w:r w:rsidR="00090993">
        <w:t xml:space="preserve">parental decision </w:t>
      </w:r>
      <w:r>
        <w:t>making</w:t>
      </w:r>
      <w:r w:rsidR="00BC74FA">
        <w:t>.</w:t>
      </w:r>
      <w:r>
        <w:t xml:space="preserve"> </w:t>
      </w:r>
    </w:p>
    <w:p w14:paraId="1EA3940A" w14:textId="77777777" w:rsidR="003F2790" w:rsidRDefault="00660A77" w:rsidP="00660A77">
      <w:pPr>
        <w:pStyle w:val="BodyText"/>
      </w:pPr>
      <w:r>
        <w:t xml:space="preserve">In this more complex context, it can no longer be </w:t>
      </w:r>
      <w:r w:rsidRPr="00E270CC">
        <w:rPr>
          <w:i/>
        </w:rPr>
        <w:t>assumed</w:t>
      </w:r>
      <w:r>
        <w:t xml:space="preserve"> that the voluntary bearing of risk reveals that people value the benefits of their actions over the problems they may pose for them. Deciding where any particular lifestyle choice lies on the continuum between rat</w:t>
      </w:r>
      <w:r w:rsidR="00090993">
        <w:t xml:space="preserve">ional and ‘irrational’ decision </w:t>
      </w:r>
      <w:r>
        <w:t xml:space="preserve">making is integral to both the cost-benefit analysis of alternative preventative health strategies and to their form. For example, prohibition is a very costly measure if many people undertake a risky activity with their eyes </w:t>
      </w:r>
      <w:r w:rsidR="002331E4">
        <w:t xml:space="preserve">(reasonably) </w:t>
      </w:r>
      <w:r>
        <w:t xml:space="preserve">wide open or can be informed of the risks. </w:t>
      </w:r>
    </w:p>
    <w:p w14:paraId="1EA3940B" w14:textId="77777777" w:rsidR="00660A77" w:rsidRDefault="00EE18EA" w:rsidP="00660A77">
      <w:pPr>
        <w:pStyle w:val="BodyText"/>
      </w:pPr>
      <w:r>
        <w:t>Some cost</w:t>
      </w:r>
      <w:r>
        <w:noBreakHyphen/>
        <w:t>benefit studies place too much weight on personally</w:t>
      </w:r>
      <w:r>
        <w:noBreakHyphen/>
        <w:t xml:space="preserve">borne costs as if these were </w:t>
      </w:r>
      <w:r w:rsidR="003F2790">
        <w:t>invisible</w:t>
      </w:r>
      <w:r>
        <w:t xml:space="preserve"> </w:t>
      </w:r>
      <w:r w:rsidR="003F2790">
        <w:t>to</w:t>
      </w:r>
      <w:r>
        <w:t xml:space="preserve"> the person engaged in a ri</w:t>
      </w:r>
      <w:r w:rsidR="00C506CC">
        <w:t>s</w:t>
      </w:r>
      <w:r>
        <w:t>ky behaviour</w:t>
      </w:r>
      <w:r w:rsidR="003F2790">
        <w:t>. This is a critical oversight that leads to potentially spurious policy conclusions, and ultimately discredits studies of the costs and benefits of alternative preventative health strategies.</w:t>
      </w:r>
      <w:r w:rsidR="00A91724">
        <w:t xml:space="preserve"> The decision to include some or all of personal costs of a disease in any cost</w:t>
      </w:r>
      <w:r w:rsidR="00A91724">
        <w:noBreakHyphen/>
        <w:t xml:space="preserve">benefit analysis of a prospective preventative health intervention should </w:t>
      </w:r>
      <w:r w:rsidR="00F6436B">
        <w:t xml:space="preserve">include </w:t>
      </w:r>
      <w:r w:rsidR="00A91724">
        <w:t xml:space="preserve">explicit </w:t>
      </w:r>
      <w:r w:rsidR="00F6436B">
        <w:t>justification</w:t>
      </w:r>
      <w:r w:rsidR="00A91724">
        <w:t>.</w:t>
      </w:r>
    </w:p>
    <w:p w14:paraId="1EA3940C" w14:textId="77777777" w:rsidR="00660A77" w:rsidRDefault="00660A77" w:rsidP="00E14D2B">
      <w:pPr>
        <w:pStyle w:val="Heading3"/>
      </w:pPr>
      <w:r>
        <w:t>Distributional effects</w:t>
      </w:r>
    </w:p>
    <w:p w14:paraId="1EA3940D" w14:textId="77777777" w:rsidR="00660A77" w:rsidRDefault="009D44FA" w:rsidP="00660A77">
      <w:pPr>
        <w:pStyle w:val="BodyText"/>
      </w:pPr>
      <w:r>
        <w:t>Preventative</w:t>
      </w:r>
      <w:r w:rsidR="00660A77">
        <w:t xml:space="preserve"> health policies intend to change the behaviour of producers or/and consumers, and will inevitably have different effects for different groups of consumers. For instance, tobacco taxes are highly regressive. However, what applies in one area does not necessarily translate to others. </w:t>
      </w:r>
    </w:p>
    <w:p w14:paraId="1EA3940E" w14:textId="77777777" w:rsidR="00660A77" w:rsidRDefault="00AF0EA6" w:rsidP="00660A77">
      <w:pPr>
        <w:pStyle w:val="BodyText"/>
      </w:pPr>
      <w:r>
        <w:t>For example, a</w:t>
      </w:r>
      <w:r w:rsidR="00660A77">
        <w:t xml:space="preserve">lcohol taxes do not appear to be as regressive as might be thought. Based on scanner data of purchases by Australian consumers, it appears that current and alternative taxation policies of alcohol are not highly regressive because the average amount spent is relatively small </w:t>
      </w:r>
      <w:r w:rsidR="00660A77" w:rsidRPr="00CF096F">
        <w:rPr>
          <w:szCs w:val="24"/>
        </w:rPr>
        <w:t>(Vandenberg and Sharma 2016)</w:t>
      </w:r>
      <w:r w:rsidR="00660A77">
        <w:t>. The largest burden of alcohol taxes falls on heavy drinkers</w:t>
      </w:r>
      <w:r w:rsidR="009A1D17">
        <w:t xml:space="preserve"> across the income spectrum</w:t>
      </w:r>
      <w:r w:rsidR="00660A77">
        <w:t>, who are those whose behaviour is the target of the policies. In a companion study</w:t>
      </w:r>
      <w:r w:rsidR="00F6436B">
        <w:t xml:space="preserve"> to that above</w:t>
      </w:r>
      <w:r w:rsidR="00660A77">
        <w:t>, the heaviest consumers of alcohol (</w:t>
      </w:r>
      <w:r w:rsidR="000039AE">
        <w:t>about</w:t>
      </w:r>
      <w:r w:rsidR="00660A77">
        <w:t xml:space="preserve"> 3 per</w:t>
      </w:r>
      <w:r w:rsidR="0065616E">
        <w:t> </w:t>
      </w:r>
      <w:r w:rsidR="00660A77">
        <w:t xml:space="preserve">cent of the population) consumed 20 per cent of the total litres of alcohol sold </w:t>
      </w:r>
      <w:r w:rsidR="00660A77" w:rsidRPr="00483460">
        <w:rPr>
          <w:szCs w:val="24"/>
        </w:rPr>
        <w:t>(Sharma, Vandenberg and Hollingsworth 2014)</w:t>
      </w:r>
      <w:r w:rsidR="00660A77">
        <w:t>. They were more likely to drink full</w:t>
      </w:r>
      <w:r w:rsidR="00660A77">
        <w:noBreakHyphen/>
        <w:t xml:space="preserve">strength beer and cask wine, and because of the overall favourable tax treatment of their selected products, </w:t>
      </w:r>
      <w:r w:rsidR="005D488F">
        <w:t xml:space="preserve">they </w:t>
      </w:r>
      <w:r w:rsidR="00660A77">
        <w:t>paid substantially less per standard drink than light drinkers. The impact of volumetric taxes would there</w:t>
      </w:r>
      <w:r w:rsidR="00DE2440">
        <w:t>fore be greater for this group.</w:t>
      </w:r>
    </w:p>
    <w:p w14:paraId="1EA3940F" w14:textId="77777777" w:rsidR="008B585E" w:rsidRDefault="008B585E" w:rsidP="00660A77">
      <w:pPr>
        <w:pStyle w:val="BodyText"/>
      </w:pPr>
      <w:r>
        <w:t>It is also notable that, unlike most other modifiable risk factors like smoking, low exercise and obesity, alcohol consumption that exceeds the NHMRC guidelines is greater among higher</w:t>
      </w:r>
      <w:r>
        <w:noBreakHyphen/>
        <w:t>income households (figure D.</w:t>
      </w:r>
      <w:r w:rsidR="00154E2D">
        <w:t>4</w:t>
      </w:r>
      <w:r>
        <w:t>).</w:t>
      </w:r>
    </w:p>
    <w:p w14:paraId="1EA39410" w14:textId="77777777" w:rsidR="00DE2440" w:rsidRDefault="00DE2440" w:rsidP="0039240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DE2440" w14:paraId="1EA39413" w14:textId="77777777" w:rsidTr="0039240A">
        <w:trPr>
          <w:tblHeader/>
        </w:trPr>
        <w:tc>
          <w:tcPr>
            <w:tcW w:w="5000" w:type="pct"/>
            <w:tcBorders>
              <w:top w:val="single" w:sz="6" w:space="0" w:color="78A22F"/>
              <w:left w:val="nil"/>
              <w:bottom w:val="nil"/>
              <w:right w:val="nil"/>
            </w:tcBorders>
            <w:shd w:val="clear" w:color="auto" w:fill="auto"/>
          </w:tcPr>
          <w:p w14:paraId="1EA39411" w14:textId="77777777" w:rsidR="00DE2440" w:rsidRDefault="00EE15F0" w:rsidP="0039240A">
            <w:pPr>
              <w:pStyle w:val="FigureTitle"/>
            </w:pPr>
            <w:r w:rsidRPr="00944790">
              <w:rPr>
                <w:b w:val="0"/>
              </w:rPr>
              <w:t>Figure </w:t>
            </w:r>
            <w:r w:rsidR="00644825" w:rsidRPr="00944790">
              <w:rPr>
                <w:b w:val="0"/>
              </w:rPr>
              <w:t>D.</w:t>
            </w:r>
            <w:r w:rsidR="00154E2D" w:rsidRPr="00944790">
              <w:rPr>
                <w:b w:val="0"/>
              </w:rPr>
              <w:t>4</w:t>
            </w:r>
            <w:r w:rsidR="00DE2440">
              <w:tab/>
              <w:t>Higher</w:t>
            </w:r>
            <w:r w:rsidR="00DE2440">
              <w:noBreakHyphen/>
              <w:t>income households engage in higher</w:t>
            </w:r>
            <w:r w:rsidR="00DE2440">
              <w:noBreakHyphen/>
              <w:t>risk alcohol use</w:t>
            </w:r>
          </w:p>
          <w:p w14:paraId="1EA39412" w14:textId="77777777" w:rsidR="00DE2440" w:rsidRPr="00176D3F" w:rsidRDefault="00F6436B" w:rsidP="0039240A">
            <w:pPr>
              <w:pStyle w:val="Subtitle"/>
            </w:pPr>
            <w:r>
              <w:t xml:space="preserve">Percentage in each group, </w:t>
            </w:r>
            <w:r w:rsidR="00DE2440">
              <w:t>2014</w:t>
            </w:r>
            <w:r w:rsidR="00DE2440">
              <w:noBreakHyphen/>
              <w:t>15</w:t>
            </w:r>
            <w:r w:rsidR="00FD2264" w:rsidRPr="00FD2264">
              <w:rPr>
                <w:rStyle w:val="NoteLabel"/>
              </w:rPr>
              <w:t>a</w:t>
            </w:r>
          </w:p>
        </w:tc>
      </w:tr>
      <w:tr w:rsidR="00DE2440" w14:paraId="1EA39418" w14:textId="77777777" w:rsidTr="0039240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DE2440" w:rsidRPr="00B1465D" w14:paraId="1EA39416" w14:textId="77777777" w:rsidTr="00DE2440">
              <w:trPr>
                <w:tblHeader/>
                <w:jc w:val="center"/>
              </w:trPr>
              <w:tc>
                <w:tcPr>
                  <w:tcW w:w="2500" w:type="pct"/>
                  <w:tcBorders>
                    <w:top w:val="nil"/>
                    <w:bottom w:val="nil"/>
                  </w:tcBorders>
                </w:tcPr>
                <w:p w14:paraId="1EA39414" w14:textId="77777777" w:rsidR="00DE2440" w:rsidRPr="00B1465D" w:rsidRDefault="00DE2440" w:rsidP="0039240A">
                  <w:pPr>
                    <w:pStyle w:val="Figure"/>
                    <w:spacing w:before="60" w:after="60"/>
                    <w:rPr>
                      <w:rFonts w:ascii="Arial" w:hAnsi="Arial" w:cs="Arial"/>
                      <w:sz w:val="18"/>
                      <w:szCs w:val="18"/>
                    </w:rPr>
                  </w:pPr>
                  <w:r>
                    <w:rPr>
                      <w:rFonts w:ascii="Arial" w:hAnsi="Arial" w:cs="Arial"/>
                      <w:noProof/>
                      <w:sz w:val="18"/>
                      <w:szCs w:val="18"/>
                    </w:rPr>
                    <w:drawing>
                      <wp:inline distT="0" distB="0" distL="0" distR="0" wp14:anchorId="1EA39662" wp14:editId="7562396D">
                        <wp:extent cx="2670175" cy="2670175"/>
                        <wp:effectExtent l="0" t="0" r="0" b="0"/>
                        <wp:docPr id="17" name="Picture 17" descr="This figure is divided into two panels, both indicating the extent of high risk alcohol use for households across different income levels in 2014-15. The first panel reports the proportion of households that exceeds the single occasion guidelines. The second panel reports the proportion that exceeds the lifetime guidelines. In both panels, the proportion of households exceeding the guidelines is greatest for high income households (the fifth quint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70175" cy="2670175"/>
                                </a:xfrm>
                                <a:prstGeom prst="rect">
                                  <a:avLst/>
                                </a:prstGeom>
                                <a:noFill/>
                              </pic:spPr>
                            </pic:pic>
                          </a:graphicData>
                        </a:graphic>
                      </wp:inline>
                    </w:drawing>
                  </w:r>
                </w:p>
              </w:tc>
              <w:tc>
                <w:tcPr>
                  <w:tcW w:w="2500" w:type="pct"/>
                  <w:tcBorders>
                    <w:top w:val="nil"/>
                    <w:bottom w:val="nil"/>
                  </w:tcBorders>
                </w:tcPr>
                <w:p w14:paraId="1EA39415" w14:textId="77777777" w:rsidR="00DE2440" w:rsidRPr="00B1465D" w:rsidRDefault="00DE2440" w:rsidP="0039240A">
                  <w:pPr>
                    <w:pStyle w:val="Figure"/>
                    <w:spacing w:before="60" w:after="60"/>
                    <w:rPr>
                      <w:rFonts w:ascii="Arial" w:hAnsi="Arial" w:cs="Arial"/>
                      <w:sz w:val="18"/>
                      <w:szCs w:val="18"/>
                    </w:rPr>
                  </w:pPr>
                  <w:r>
                    <w:rPr>
                      <w:rFonts w:ascii="Arial" w:hAnsi="Arial" w:cs="Arial"/>
                      <w:noProof/>
                      <w:sz w:val="18"/>
                      <w:szCs w:val="18"/>
                    </w:rPr>
                    <w:drawing>
                      <wp:inline distT="0" distB="0" distL="0" distR="0" wp14:anchorId="1EA39664" wp14:editId="78E25658">
                        <wp:extent cx="2670175" cy="2670175"/>
                        <wp:effectExtent l="0" t="0" r="0" b="0"/>
                        <wp:docPr id="18" name="Picture 18" descr="This figure is divided into two panels, both indicating the extent of high risk alcohol use for households across different income levels in 2014-15. The first panel reports the proportion of households that exceeds the single occasion guidelines. The second panel reports the proportion that exceeds the lifetime guidelines. In both panels, the proportion of households exceeding the guidelines is greatest for high income households (the fifth quint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70175" cy="2670175"/>
                                </a:xfrm>
                                <a:prstGeom prst="rect">
                                  <a:avLst/>
                                </a:prstGeom>
                                <a:noFill/>
                              </pic:spPr>
                            </pic:pic>
                          </a:graphicData>
                        </a:graphic>
                      </wp:inline>
                    </w:drawing>
                  </w:r>
                </w:p>
              </w:tc>
            </w:tr>
          </w:tbl>
          <w:p w14:paraId="1EA39417" w14:textId="77777777" w:rsidR="00DE2440" w:rsidRDefault="00DE2440" w:rsidP="0039240A">
            <w:pPr>
              <w:pStyle w:val="Figure"/>
            </w:pPr>
          </w:p>
        </w:tc>
      </w:tr>
      <w:tr w:rsidR="00DE2440" w:rsidRPr="00176D3F" w14:paraId="1EA3941A" w14:textId="77777777" w:rsidTr="0039240A">
        <w:tc>
          <w:tcPr>
            <w:tcW w:w="5000" w:type="pct"/>
            <w:tcBorders>
              <w:top w:val="nil"/>
              <w:left w:val="nil"/>
              <w:bottom w:val="nil"/>
              <w:right w:val="nil"/>
            </w:tcBorders>
            <w:shd w:val="clear" w:color="auto" w:fill="auto"/>
          </w:tcPr>
          <w:p w14:paraId="1EA39419" w14:textId="77777777" w:rsidR="00DE2440" w:rsidRPr="00176D3F" w:rsidRDefault="00DE2440" w:rsidP="00710748">
            <w:pPr>
              <w:pStyle w:val="Note"/>
            </w:pPr>
            <w:r>
              <w:rPr>
                <w:rStyle w:val="NoteLabel"/>
              </w:rPr>
              <w:t>a</w:t>
            </w:r>
            <w:r>
              <w:t xml:space="preserve"> </w:t>
            </w:r>
            <w:r w:rsidR="00CC2E29">
              <w:t>The first (fifth) quintile is the lowest (highest) income household</w:t>
            </w:r>
            <w:r>
              <w:t>.</w:t>
            </w:r>
            <w:r w:rsidR="00CC2E29">
              <w:t xml:space="preserve"> </w:t>
            </w:r>
            <w:r w:rsidR="00710748">
              <w:t xml:space="preserve">Exceeding the single occasion risk guidelines means </w:t>
            </w:r>
            <w:r w:rsidR="00710748" w:rsidRPr="00710748">
              <w:t>drinking more than four standard drinks on a single occasion in the last year</w:t>
            </w:r>
            <w:r w:rsidR="00710748">
              <w:t>. Exceeding the lifetime risk is</w:t>
            </w:r>
            <w:r w:rsidR="00710748" w:rsidRPr="00710748">
              <w:t xml:space="preserve"> </w:t>
            </w:r>
            <w:r w:rsidR="00710748">
              <w:t>consuming</w:t>
            </w:r>
            <w:r w:rsidR="00710748" w:rsidRPr="00710748">
              <w:t xml:space="preserve"> more than two standard drinks per day on average</w:t>
            </w:r>
            <w:r w:rsidR="00710748">
              <w:t xml:space="preserve">. </w:t>
            </w:r>
          </w:p>
        </w:tc>
      </w:tr>
      <w:tr w:rsidR="00DE2440" w:rsidRPr="00176D3F" w14:paraId="1EA3941C" w14:textId="77777777" w:rsidTr="0039240A">
        <w:tc>
          <w:tcPr>
            <w:tcW w:w="5000" w:type="pct"/>
            <w:tcBorders>
              <w:top w:val="nil"/>
              <w:left w:val="nil"/>
              <w:bottom w:val="nil"/>
              <w:right w:val="nil"/>
            </w:tcBorders>
            <w:shd w:val="clear" w:color="auto" w:fill="auto"/>
          </w:tcPr>
          <w:p w14:paraId="1EA3941B" w14:textId="01163EED" w:rsidR="00DE2440" w:rsidRPr="00176D3F" w:rsidRDefault="009A64EF" w:rsidP="00B43429">
            <w:pPr>
              <w:pStyle w:val="Source"/>
            </w:pPr>
            <w:r>
              <w:rPr>
                <w:i/>
              </w:rPr>
              <w:t>S</w:t>
            </w:r>
            <w:r w:rsidR="00DE2440" w:rsidRPr="00784A05">
              <w:rPr>
                <w:i/>
              </w:rPr>
              <w:t>ource</w:t>
            </w:r>
            <w:r w:rsidR="00DE2440" w:rsidRPr="00176D3F">
              <w:t xml:space="preserve">: </w:t>
            </w:r>
            <w:r w:rsidRPr="009A64EF">
              <w:t>ABS 2015</w:t>
            </w:r>
            <w:r>
              <w:t>,</w:t>
            </w:r>
            <w:r w:rsidRPr="009A64EF">
              <w:t xml:space="preserve"> </w:t>
            </w:r>
            <w:r w:rsidRPr="009A64EF">
              <w:rPr>
                <w:i/>
              </w:rPr>
              <w:t>National Health Survey, First Results, Australia, 2014</w:t>
            </w:r>
            <w:r w:rsidR="00B43429">
              <w:rPr>
                <w:i/>
              </w:rPr>
              <w:noBreakHyphen/>
            </w:r>
            <w:r w:rsidRPr="009A64EF">
              <w:rPr>
                <w:i/>
              </w:rPr>
              <w:t>15</w:t>
            </w:r>
            <w:r w:rsidR="0082473D">
              <w:t>, Cat. no. 4364.0.55.001, released 8 </w:t>
            </w:r>
            <w:r w:rsidRPr="009A64EF">
              <w:t>December</w:t>
            </w:r>
            <w:r w:rsidR="00644825">
              <w:t>.</w:t>
            </w:r>
          </w:p>
        </w:tc>
      </w:tr>
      <w:tr w:rsidR="00DE2440" w14:paraId="1EA3941E" w14:textId="77777777" w:rsidTr="0039240A">
        <w:tc>
          <w:tcPr>
            <w:tcW w:w="5000" w:type="pct"/>
            <w:tcBorders>
              <w:top w:val="nil"/>
              <w:left w:val="nil"/>
              <w:bottom w:val="single" w:sz="6" w:space="0" w:color="78A22F"/>
              <w:right w:val="nil"/>
            </w:tcBorders>
            <w:shd w:val="clear" w:color="auto" w:fill="auto"/>
          </w:tcPr>
          <w:p w14:paraId="1EA3941D" w14:textId="77777777" w:rsidR="00DE2440" w:rsidRDefault="00DE2440" w:rsidP="0039240A">
            <w:pPr>
              <w:pStyle w:val="Figurespace"/>
            </w:pPr>
          </w:p>
        </w:tc>
      </w:tr>
      <w:tr w:rsidR="00DE2440" w:rsidRPr="000863A5" w14:paraId="1EA39420" w14:textId="77777777" w:rsidTr="0039240A">
        <w:tc>
          <w:tcPr>
            <w:tcW w:w="5000" w:type="pct"/>
            <w:tcBorders>
              <w:top w:val="single" w:sz="6" w:space="0" w:color="78A22F"/>
              <w:left w:val="nil"/>
              <w:bottom w:val="nil"/>
              <w:right w:val="nil"/>
            </w:tcBorders>
          </w:tcPr>
          <w:p w14:paraId="1EA3941F" w14:textId="77777777" w:rsidR="00DE2440" w:rsidRPr="00626D32" w:rsidRDefault="00DE2440" w:rsidP="0039240A">
            <w:pPr>
              <w:pStyle w:val="BoxSpaceBelow"/>
            </w:pPr>
          </w:p>
        </w:tc>
      </w:tr>
    </w:tbl>
    <w:p w14:paraId="1EA39421" w14:textId="77777777" w:rsidR="00660A77" w:rsidRPr="000B77A2" w:rsidRDefault="00660A77" w:rsidP="00660A77">
      <w:pPr>
        <w:pStyle w:val="BodyText"/>
      </w:pPr>
      <w:r>
        <w:t xml:space="preserve">While the </w:t>
      </w:r>
      <w:r w:rsidR="0083038E">
        <w:t>United Kingdom</w:t>
      </w:r>
      <w:r>
        <w:t xml:space="preserve"> has a different alcohol tax regime than Australia, it shares the feature that spirits are taxed at a much higher rate per unit of alcohol than cider and wine. Analysis of a switch to volumetric or minimum unit pricing of alcohol shows that the largest health benefits occur for those in the lowest socioeconomic groups </w:t>
      </w:r>
      <w:r w:rsidRPr="00483460">
        <w:rPr>
          <w:szCs w:val="24"/>
        </w:rPr>
        <w:t>(Holmes et al. and Purshouse 2014; Meier et al. 2016)</w:t>
      </w:r>
      <w:r>
        <w:t>.</w:t>
      </w:r>
    </w:p>
    <w:p w14:paraId="1EA39422" w14:textId="77777777" w:rsidR="00660A77" w:rsidRDefault="001851B1" w:rsidP="00E14D2B">
      <w:pPr>
        <w:pStyle w:val="Heading3"/>
      </w:pPr>
      <w:r>
        <w:t xml:space="preserve">Should weighting of </w:t>
      </w:r>
      <w:r w:rsidR="00660A77">
        <w:t xml:space="preserve">impacts </w:t>
      </w:r>
      <w:r>
        <w:t xml:space="preserve">vary </w:t>
      </w:r>
      <w:r w:rsidR="00660A77">
        <w:t>by age or other criteria</w:t>
      </w:r>
      <w:r>
        <w:t>?</w:t>
      </w:r>
    </w:p>
    <w:p w14:paraId="1EA39423" w14:textId="77777777" w:rsidR="00660A77" w:rsidRDefault="00660A77" w:rsidP="00660A77">
      <w:pPr>
        <w:pStyle w:val="BodyText"/>
      </w:pPr>
      <w:r>
        <w:t xml:space="preserve">Some </w:t>
      </w:r>
      <w:r w:rsidR="001851B1">
        <w:t>contend</w:t>
      </w:r>
      <w:r>
        <w:t xml:space="preserve"> </w:t>
      </w:r>
      <w:r w:rsidR="001851B1">
        <w:t xml:space="preserve">that a </w:t>
      </w:r>
      <w:r>
        <w:t xml:space="preserve">greater weight </w:t>
      </w:r>
      <w:r w:rsidR="001851B1">
        <w:t xml:space="preserve">should </w:t>
      </w:r>
      <w:r>
        <w:t>be given to the burden of disease for younger people to reflect that they may not</w:t>
      </w:r>
      <w:r w:rsidRPr="005B06F3">
        <w:t xml:space="preserve"> </w:t>
      </w:r>
      <w:r>
        <w:t xml:space="preserve">have been able to experience as many of the aspects of a ‘full life’ as people in the oldest age brackets. Younger people are </w:t>
      </w:r>
      <w:r w:rsidR="001851B1">
        <w:t xml:space="preserve">also </w:t>
      </w:r>
      <w:r>
        <w:t xml:space="preserve">more likely to participate in the labour market, with the shared benefits for society that this brings, while in later years are still able to make the contributions that older people make in other ways. Greater weighting of the burden of disease borne by the young would mean that lifestyle and environmental risks that disproportionately affect younger people would be rated as more significant in assessments of </w:t>
      </w:r>
      <w:r w:rsidR="009D44FA">
        <w:t>preventative</w:t>
      </w:r>
      <w:r>
        <w:t xml:space="preserve"> health priorities and the allocation of health resources. While the 2011 Australian study of the burden of disease did not use age</w:t>
      </w:r>
      <w:r>
        <w:noBreakHyphen/>
      </w:r>
      <w:r w:rsidRPr="0071542A">
        <w:t xml:space="preserve">varying </w:t>
      </w:r>
      <w:r w:rsidR="001851B1">
        <w:t>rates, previous studies did so.</w:t>
      </w:r>
    </w:p>
    <w:p w14:paraId="1EA39424" w14:textId="77777777" w:rsidR="00660A77" w:rsidRDefault="00660A77" w:rsidP="00660A77">
      <w:pPr>
        <w:pStyle w:val="BodyText"/>
      </w:pPr>
      <w:r>
        <w:t xml:space="preserve">Equally, when assessing the burden of different diseases and the </w:t>
      </w:r>
      <w:r w:rsidR="00F6436B">
        <w:t>‘</w:t>
      </w:r>
      <w:r>
        <w:t>returns</w:t>
      </w:r>
      <w:r w:rsidR="00F6436B">
        <w:t>’</w:t>
      </w:r>
      <w:r>
        <w:t xml:space="preserve"> from investments that reduce those burdens, potentially, different weights could be allocated to years experiencing disability compared with premature death. The existing equal weights are arbitrary. A greater</w:t>
      </w:r>
      <w:r w:rsidR="00730828" w:rsidDel="00644825">
        <w:t xml:space="preserve"> </w:t>
      </w:r>
      <w:r>
        <w:t xml:space="preserve">weight on </w:t>
      </w:r>
      <w:r w:rsidR="00730828">
        <w:t>health</w:t>
      </w:r>
      <w:r w:rsidR="00730828">
        <w:noBreakHyphen/>
        <w:t>adjusted life expectancy</w:t>
      </w:r>
      <w:r>
        <w:t xml:space="preserve"> would also tend to reduce protracted provision of publicly</w:t>
      </w:r>
      <w:r w:rsidR="00267AA0">
        <w:noBreakHyphen/>
      </w:r>
      <w:r>
        <w:t>funded health care, income support and disability services.</w:t>
      </w:r>
    </w:p>
    <w:p w14:paraId="1EA39425" w14:textId="3CC92E29" w:rsidR="00512F0F" w:rsidRDefault="00512F0F" w:rsidP="00660A77">
      <w:pPr>
        <w:pStyle w:val="BodyText"/>
      </w:pPr>
      <w:r>
        <w:t xml:space="preserve">Even if </w:t>
      </w:r>
      <w:r w:rsidR="005F4B57">
        <w:t xml:space="preserve">policymakers do not, when deciding which interventions to pursue, </w:t>
      </w:r>
      <w:r>
        <w:t xml:space="preserve">explicitly state their views about the desirable </w:t>
      </w:r>
      <w:r w:rsidR="00090993">
        <w:t>trade</w:t>
      </w:r>
      <w:r w:rsidR="005F4B57">
        <w:t>offs</w:t>
      </w:r>
      <w:r>
        <w:t xml:space="preserve"> between lives saved, quality of life and </w:t>
      </w:r>
      <w:r w:rsidR="005F4B57">
        <w:t xml:space="preserve">other desirable outcomes from health interventions, they implicitly still make these judgments. Some national bodies providing guidance on health interventions, including preventative </w:t>
      </w:r>
      <w:r w:rsidR="00E066A5">
        <w:t>measures</w:t>
      </w:r>
      <w:r w:rsidR="007931F4">
        <w:t>,</w:t>
      </w:r>
      <w:r w:rsidR="00E066A5">
        <w:t xml:space="preserve"> </w:t>
      </w:r>
      <w:r w:rsidR="005F4B57">
        <w:t>make explicit the tradeoffs to ensure consistency. For example, t</w:t>
      </w:r>
      <w:r w:rsidR="005F4B57" w:rsidRPr="005F4B57">
        <w:t xml:space="preserve">he UK National Institute for Health and Care Excellence assesses </w:t>
      </w:r>
      <w:r w:rsidR="00E066A5">
        <w:t xml:space="preserve">interventions </w:t>
      </w:r>
      <w:r w:rsidR="003003E4">
        <w:t>on several criteria, includin</w:t>
      </w:r>
      <w:r w:rsidR="00886100">
        <w:t>g</w:t>
      </w:r>
      <w:r w:rsidR="003003E4">
        <w:t xml:space="preserve"> the cost per quality</w:t>
      </w:r>
      <w:r w:rsidR="003003E4">
        <w:noBreakHyphen/>
        <w:t xml:space="preserve">adjusted life year </w:t>
      </w:r>
      <w:r w:rsidR="00F6436B">
        <w:t xml:space="preserve">(QALY) </w:t>
      </w:r>
      <w:r w:rsidR="003003E4">
        <w:t xml:space="preserve">— as one basis for determining what </w:t>
      </w:r>
      <w:r w:rsidR="00886100">
        <w:t xml:space="preserve">should be funded under the NHS. It considers that interventions costing the NHS less than £20 000 per QALY are cost effective, while those </w:t>
      </w:r>
      <w:r w:rsidR="00886100" w:rsidRPr="00886100">
        <w:t>costing between £20</w:t>
      </w:r>
      <w:r w:rsidR="00B43429">
        <w:t> </w:t>
      </w:r>
      <w:r w:rsidR="00886100" w:rsidRPr="00886100">
        <w:t>000 and £30</w:t>
      </w:r>
      <w:r w:rsidR="00B43429">
        <w:t> </w:t>
      </w:r>
      <w:r w:rsidR="00886100" w:rsidRPr="00886100">
        <w:t>000 per QALY may also be deemed cost effective, if certain conditions</w:t>
      </w:r>
      <w:r w:rsidR="00886100">
        <w:t xml:space="preserve"> are met </w:t>
      </w:r>
      <w:r w:rsidR="007931F4" w:rsidRPr="007931F4">
        <w:rPr>
          <w:szCs w:val="24"/>
        </w:rPr>
        <w:t>(NICE 2014a)</w:t>
      </w:r>
      <w:r w:rsidR="00886100">
        <w:t>.</w:t>
      </w:r>
      <w:r w:rsidR="007931F4">
        <w:t xml:space="preserve"> </w:t>
      </w:r>
    </w:p>
    <w:p w14:paraId="1EA39426" w14:textId="77777777" w:rsidR="00603D7C" w:rsidRDefault="009213D0" w:rsidP="00603D7C">
      <w:pPr>
        <w:pStyle w:val="Heading2"/>
      </w:pPr>
      <w:bookmarkStart w:id="159" w:name="_Toc488929734"/>
      <w:bookmarkStart w:id="160" w:name="_Toc488930030"/>
      <w:bookmarkStart w:id="161" w:name="_Toc489250112"/>
      <w:r>
        <w:t>D.</w:t>
      </w:r>
      <w:r w:rsidR="00AF0EA6">
        <w:t>3</w:t>
      </w:r>
      <w:r w:rsidR="00603D7C">
        <w:tab/>
      </w:r>
      <w:r w:rsidR="00180349">
        <w:t xml:space="preserve">Obesity and sugar taxes — </w:t>
      </w:r>
      <w:r w:rsidR="00603D7C">
        <w:t xml:space="preserve">a case study of </w:t>
      </w:r>
      <w:r w:rsidR="009D44FA">
        <w:t>preventative</w:t>
      </w:r>
      <w:r w:rsidR="00603D7C">
        <w:t xml:space="preserve"> health</w:t>
      </w:r>
      <w:bookmarkEnd w:id="159"/>
      <w:bookmarkEnd w:id="160"/>
      <w:bookmarkEnd w:id="161"/>
    </w:p>
    <w:p w14:paraId="1EA39427" w14:textId="77777777" w:rsidR="00D176CF" w:rsidRDefault="00DD6A24" w:rsidP="00603D7C">
      <w:pPr>
        <w:pStyle w:val="BodyText"/>
      </w:pPr>
      <w:r>
        <w:t>Obesity has complex origins. However, caloric intake is the fundamental driver. Accordingly, public policy advocates have recommended policy measures that reduce the easy consum</w:t>
      </w:r>
      <w:r w:rsidR="00730041">
        <w:t>p</w:t>
      </w:r>
      <w:r>
        <w:t xml:space="preserve">tion of high calorie products. </w:t>
      </w:r>
      <w:r w:rsidR="00730041">
        <w:t xml:space="preserve">Although there has been opposition by industry groups, </w:t>
      </w:r>
      <w:r w:rsidR="00603D7C">
        <w:t xml:space="preserve">public health experts globally and in Australia have urged the adoption of </w:t>
      </w:r>
      <w:r w:rsidRPr="00F31E94">
        <w:t xml:space="preserve">taxes </w:t>
      </w:r>
      <w:r>
        <w:t xml:space="preserve">on </w:t>
      </w:r>
      <w:r w:rsidR="00025289">
        <w:t>non</w:t>
      </w:r>
      <w:r w:rsidR="00025289">
        <w:noBreakHyphen/>
        <w:t xml:space="preserve">alcoholic </w:t>
      </w:r>
      <w:r w:rsidRPr="00703C01">
        <w:t>Sugar-Sweetened Beverages</w:t>
      </w:r>
      <w:r>
        <w:t xml:space="preserve"> (SSBs) </w:t>
      </w:r>
      <w:r w:rsidRPr="00F31E94">
        <w:t>to combat obesity and diabetes</w:t>
      </w:r>
      <w:r w:rsidR="00D10503">
        <w:t>, usually as part of a package of measures</w:t>
      </w:r>
      <w:r w:rsidRPr="00F31E94">
        <w:t>.</w:t>
      </w:r>
      <w:r w:rsidRPr="003D243B">
        <w:rPr>
          <w:rStyle w:val="FootnoteReference"/>
        </w:rPr>
        <w:footnoteReference w:id="67"/>
      </w:r>
      <w:r w:rsidRPr="00F31E94">
        <w:t xml:space="preserve"> </w:t>
      </w:r>
    </w:p>
    <w:p w14:paraId="1EA39428" w14:textId="77777777" w:rsidR="00437F37" w:rsidRDefault="00364169" w:rsidP="00603D7C">
      <w:pPr>
        <w:pStyle w:val="BodyText"/>
      </w:pPr>
      <w:r>
        <w:t>For instance:</w:t>
      </w:r>
    </w:p>
    <w:p w14:paraId="1EA39429" w14:textId="77777777" w:rsidR="00364169" w:rsidRDefault="00364169" w:rsidP="002331E4">
      <w:pPr>
        <w:pStyle w:val="Quote"/>
      </w:pPr>
      <w:r w:rsidRPr="00364169">
        <w:t>There is no doubt at all that these drinks are unhealthy, and price signals work: if you make these items more expensive you reduce consumption</w:t>
      </w:r>
      <w:r>
        <w:t xml:space="preserve"> </w:t>
      </w:r>
      <w:r w:rsidRPr="00364169">
        <w:t>Similarly, we should look at ways of supporting fresh foods perhaps being cheaper. So I think that [a sugar tax], as a part of a whole suite of policies, might be a good idea.</w:t>
      </w:r>
      <w:r>
        <w:t xml:space="preserve"> </w:t>
      </w:r>
      <w:r w:rsidRPr="00364169">
        <w:t>Dr Michael Ganno</w:t>
      </w:r>
      <w:r>
        <w:t>n,</w:t>
      </w:r>
      <w:r w:rsidRPr="00364169">
        <w:t xml:space="preserve"> </w:t>
      </w:r>
      <w:r>
        <w:t>Australian Medical Associat</w:t>
      </w:r>
      <w:r w:rsidR="002331E4">
        <w:t xml:space="preserve">ion President quoted in Rollins </w:t>
      </w:r>
      <w:r w:rsidR="008F51A4" w:rsidRPr="008F51A4">
        <w:rPr>
          <w:szCs w:val="24"/>
        </w:rPr>
        <w:t>(2016, p. 2)</w:t>
      </w:r>
    </w:p>
    <w:p w14:paraId="1EA3942A" w14:textId="77777777" w:rsidR="003F0D0A" w:rsidRDefault="003F0D0A" w:rsidP="003F0D0A">
      <w:pPr>
        <w:pStyle w:val="Quote"/>
      </w:pPr>
      <w:r>
        <w:t xml:space="preserve">The Rethink Sugary Drink alliance recommends that the Australian Government introduce a health levy on sugar-sweetened beverages, as part of a comprehensive approach to decreasing overweight and obesity, and with revenue supporting public education campaigns and initiatives to prevent chronic disease and address childhood obesity. A health levy on sugar-sweetened beverages should not be viewed as the single solution to the obesity epidemic in Australia. Rather, it should be one component of a comprehensive approach, including restrictions on children’s exposure to marketing of these products, restrictions on their sale in schools, other children’s settings and public institutions, and effective public education campaigns. Rethink Sugary Drink Alliance, which comprises various major </w:t>
      </w:r>
      <w:r w:rsidRPr="003F0D0A">
        <w:t>health and community organisations</w:t>
      </w:r>
      <w:r>
        <w:t xml:space="preserve"> </w:t>
      </w:r>
      <w:r w:rsidR="008F51A4" w:rsidRPr="008F51A4">
        <w:rPr>
          <w:szCs w:val="24"/>
        </w:rPr>
        <w:t>(2017, p. 1)</w:t>
      </w:r>
    </w:p>
    <w:p w14:paraId="1EA3942B" w14:textId="4432D5AF" w:rsidR="003214DD" w:rsidRDefault="003214DD" w:rsidP="003F0D0A">
      <w:pPr>
        <w:pStyle w:val="BodyText"/>
      </w:pPr>
      <w:r>
        <w:t>So far</w:t>
      </w:r>
      <w:r w:rsidR="00E84375">
        <w:t>,</w:t>
      </w:r>
      <w:r>
        <w:t xml:space="preserve"> no policy change has occurred in this area. The debate provides a good case study of the </w:t>
      </w:r>
      <w:r w:rsidR="00090993">
        <w:t xml:space="preserve">complexities that face decision </w:t>
      </w:r>
      <w:r>
        <w:t>makers when attempting to promote healthy lifestyles. Chapter </w:t>
      </w:r>
      <w:r w:rsidR="00F813E7">
        <w:t>2</w:t>
      </w:r>
      <w:r>
        <w:t xml:space="preserve"> in the main report summarises the </w:t>
      </w:r>
      <w:r w:rsidR="003F0D0A">
        <w:t xml:space="preserve">initial </w:t>
      </w:r>
      <w:r>
        <w:t xml:space="preserve">position of the </w:t>
      </w:r>
      <w:r w:rsidR="00F6436B">
        <w:t xml:space="preserve">Productivity </w:t>
      </w:r>
      <w:r>
        <w:t>Commission on this issue.</w:t>
      </w:r>
    </w:p>
    <w:p w14:paraId="1EA3942C" w14:textId="77777777" w:rsidR="000134F4" w:rsidRPr="00F31E94" w:rsidRDefault="000134F4" w:rsidP="000134F4">
      <w:pPr>
        <w:pStyle w:val="BodyText"/>
      </w:pPr>
      <w:r>
        <w:t>Seven OECD countries currently impose</w:t>
      </w:r>
      <w:r w:rsidRPr="00F31E94">
        <w:t xml:space="preserve"> taxes</w:t>
      </w:r>
      <w:r>
        <w:t xml:space="preserve"> — </w:t>
      </w:r>
      <w:r w:rsidRPr="00F31E94">
        <w:t>Mexico</w:t>
      </w:r>
      <w:r>
        <w:t xml:space="preserve">, Norway, Hungary, </w:t>
      </w:r>
      <w:r w:rsidRPr="00F31E94">
        <w:t>France</w:t>
      </w:r>
      <w:r>
        <w:t>, Finland, Chile and Belgium. So do</w:t>
      </w:r>
      <w:r w:rsidRPr="00F31E94">
        <w:t xml:space="preserve"> </w:t>
      </w:r>
      <w:r>
        <w:t>various cities in the United States</w:t>
      </w:r>
      <w:r w:rsidRPr="00F31E94">
        <w:t xml:space="preserve">. The UK Government has </w:t>
      </w:r>
      <w:r>
        <w:t>announced</w:t>
      </w:r>
      <w:r w:rsidRPr="00F31E94">
        <w:t xml:space="preserve"> a Soft Drinks Industry Levy </w:t>
      </w:r>
      <w:r>
        <w:t xml:space="preserve">set to begin in 2018 </w:t>
      </w:r>
      <w:r w:rsidRPr="00F31E94">
        <w:t>to encourage soft drink manufacturers to reduce their sugar contents below certain thresholds.</w:t>
      </w:r>
      <w:r>
        <w:t xml:space="preserve"> However, Denmark repealed a longstanding sugar tax in 2014 (and a </w:t>
      </w:r>
      <w:r w:rsidR="00D176CF">
        <w:t>‘</w:t>
      </w:r>
      <w:r>
        <w:t>fat</w:t>
      </w:r>
      <w:r w:rsidR="00D176CF">
        <w:t>’</w:t>
      </w:r>
      <w:r>
        <w:t xml:space="preserve"> tax in 2013), so the direction has not always been to impose a tax.</w:t>
      </w:r>
    </w:p>
    <w:p w14:paraId="1EA3942D" w14:textId="77777777" w:rsidR="000134F4" w:rsidRDefault="000134F4" w:rsidP="000134F4">
      <w:pPr>
        <w:pStyle w:val="BodyText"/>
      </w:pPr>
      <w:r>
        <w:t>Putting aside the role of policy, t</w:t>
      </w:r>
      <w:r w:rsidRPr="00F31E94">
        <w:t xml:space="preserve">here are strong grounds </w:t>
      </w:r>
      <w:r>
        <w:t xml:space="preserve">for Australians to </w:t>
      </w:r>
      <w:r w:rsidRPr="00F31E94">
        <w:t xml:space="preserve">reduce </w:t>
      </w:r>
      <w:r>
        <w:t xml:space="preserve">their </w:t>
      </w:r>
      <w:r w:rsidRPr="00F31E94">
        <w:t xml:space="preserve">sugar intake </w:t>
      </w:r>
      <w:r>
        <w:t>given its contribution to diabetes and obesity</w:t>
      </w:r>
      <w:r w:rsidRPr="00F31E94">
        <w:t xml:space="preserve">. Soft drinks are </w:t>
      </w:r>
      <w:r w:rsidR="00116246">
        <w:t>very</w:t>
      </w:r>
      <w:r w:rsidRPr="00F31E94">
        <w:t xml:space="preserve"> high sources of sugar (nine teaspoons in a typical 3</w:t>
      </w:r>
      <w:r w:rsidR="00116246">
        <w:t>75 </w:t>
      </w:r>
      <w:r w:rsidRPr="00F31E94">
        <w:t>ml can), and are particularly problematic given high consumption by non</w:t>
      </w:r>
      <w:r w:rsidRPr="00F31E94">
        <w:noBreakHyphen/>
        <w:t xml:space="preserve">adults. </w:t>
      </w:r>
      <w:r>
        <w:t>The sugars in SSBs are quickly absorbed by the body, and overload the pancreas, whose role is to regulate blood</w:t>
      </w:r>
      <w:r>
        <w:noBreakHyphen/>
        <w:t>sugar levels, heightening the risk of type 2 diabetes. All other things being equal, the high caloric content of SSBs heighten the risk of weight gain.</w:t>
      </w:r>
      <w:r w:rsidR="00500454">
        <w:t xml:space="preserve"> </w:t>
      </w:r>
    </w:p>
    <w:p w14:paraId="1EA3942E" w14:textId="77777777" w:rsidR="00E84375" w:rsidRDefault="00E84375" w:rsidP="00DE4D63">
      <w:pPr>
        <w:pStyle w:val="BodyText"/>
      </w:pPr>
      <w:r>
        <w:t xml:space="preserve">On face value, </w:t>
      </w:r>
      <w:r w:rsidR="008C6990">
        <w:t xml:space="preserve">an </w:t>
      </w:r>
      <w:r>
        <w:t>SSB tax look</w:t>
      </w:r>
      <w:r w:rsidR="008C6990">
        <w:t>s</w:t>
      </w:r>
      <w:r>
        <w:t xml:space="preserve"> </w:t>
      </w:r>
      <w:r w:rsidR="008C6990">
        <w:t xml:space="preserve">appealing as </w:t>
      </w:r>
      <w:r w:rsidR="008D0F00">
        <w:t xml:space="preserve">a </w:t>
      </w:r>
      <w:r w:rsidR="008C6990">
        <w:t>preventative measure</w:t>
      </w:r>
      <w:r>
        <w:t>. The causal pathway for success is straightforward:</w:t>
      </w:r>
    </w:p>
    <w:p w14:paraId="1EA3942F" w14:textId="77777777" w:rsidR="00E84375" w:rsidRDefault="00E84375" w:rsidP="00E84375">
      <w:pPr>
        <w:pStyle w:val="ListNumber"/>
      </w:pPr>
      <w:r>
        <w:t>the tax raise</w:t>
      </w:r>
      <w:r w:rsidR="008D0F00">
        <w:t>s</w:t>
      </w:r>
      <w:r>
        <w:t xml:space="preserve"> supplier costs</w:t>
      </w:r>
    </w:p>
    <w:p w14:paraId="1EA39430" w14:textId="77777777" w:rsidR="00E84375" w:rsidRDefault="00E84375" w:rsidP="00E84375">
      <w:pPr>
        <w:pStyle w:val="ListNumber"/>
      </w:pPr>
      <w:r>
        <w:t>suppliers pass on a share of these costs to consumer (‘pass through’)</w:t>
      </w:r>
    </w:p>
    <w:p w14:paraId="1EA39431" w14:textId="77777777" w:rsidR="00E84375" w:rsidRDefault="00D176CF" w:rsidP="00E84375">
      <w:pPr>
        <w:pStyle w:val="ListNumber"/>
      </w:pPr>
      <w:r>
        <w:t xml:space="preserve">in response to higher prices, </w:t>
      </w:r>
      <w:r w:rsidR="00E84375">
        <w:t>consumers reduce the consumption of sugary drinks</w:t>
      </w:r>
    </w:p>
    <w:p w14:paraId="1EA39432" w14:textId="77777777" w:rsidR="00E84375" w:rsidRDefault="00E84375" w:rsidP="00E84375">
      <w:pPr>
        <w:pStyle w:val="ListNumber"/>
      </w:pPr>
      <w:r>
        <w:t xml:space="preserve">overall caloric intake falls </w:t>
      </w:r>
    </w:p>
    <w:p w14:paraId="1EA39433" w14:textId="77777777" w:rsidR="00E84375" w:rsidRDefault="00E84375" w:rsidP="00E84375">
      <w:pPr>
        <w:pStyle w:val="ListNumber"/>
      </w:pPr>
      <w:r>
        <w:t>obesity rates decrease, as do</w:t>
      </w:r>
      <w:r w:rsidR="00747A52">
        <w:t>es</w:t>
      </w:r>
      <w:r w:rsidRPr="00E84375">
        <w:t xml:space="preserve"> </w:t>
      </w:r>
      <w:r>
        <w:t xml:space="preserve">the incidence of dental </w:t>
      </w:r>
      <w:r w:rsidR="00D176CF">
        <w:t>caries</w:t>
      </w:r>
    </w:p>
    <w:p w14:paraId="1EA39434" w14:textId="77777777" w:rsidR="0049292A" w:rsidRDefault="0049292A" w:rsidP="00E84375">
      <w:pPr>
        <w:pStyle w:val="ListNumber"/>
      </w:pPr>
      <w:r>
        <w:t>chronic disease incidence and prevalence falls</w:t>
      </w:r>
    </w:p>
    <w:p w14:paraId="1EA39435" w14:textId="77777777" w:rsidR="00E84375" w:rsidRDefault="00E84375" w:rsidP="00E84375">
      <w:pPr>
        <w:pStyle w:val="ListNumber"/>
      </w:pPr>
      <w:r>
        <w:t>health care and other social costs fall</w:t>
      </w:r>
      <w:r w:rsidR="0049292A">
        <w:t>, and wellbeing rises</w:t>
      </w:r>
    </w:p>
    <w:p w14:paraId="1EA39436" w14:textId="77777777" w:rsidR="00E84375" w:rsidRDefault="00E84375" w:rsidP="00E84375">
      <w:pPr>
        <w:pStyle w:val="ListNumber"/>
      </w:pPr>
      <w:r>
        <w:t>revenue raised by the tax can be used to fund government spending (such as better health care) or relieve future tax burdens associated with the Australian Government’s fiscal deficit</w:t>
      </w:r>
    </w:p>
    <w:p w14:paraId="1EA39437" w14:textId="77777777" w:rsidR="00DE4D63" w:rsidRDefault="00E84375" w:rsidP="00DE4D63">
      <w:pPr>
        <w:pStyle w:val="BodyText"/>
      </w:pPr>
      <w:r>
        <w:t xml:space="preserve">There is reasonable evidence for some parts of this casual pathway. The </w:t>
      </w:r>
      <w:r w:rsidR="000054A9">
        <w:t xml:space="preserve">evidence </w:t>
      </w:r>
      <w:r w:rsidR="00102B54">
        <w:t xml:space="preserve">suggests </w:t>
      </w:r>
      <w:r w:rsidR="000054A9">
        <w:t xml:space="preserve">that the demand for SSBs is relatively price elastic, </w:t>
      </w:r>
      <w:r w:rsidR="00693A3D">
        <w:t>which implies that any tax</w:t>
      </w:r>
      <w:r w:rsidR="00693A3D">
        <w:noBreakHyphen/>
        <w:t>induced i</w:t>
      </w:r>
      <w:r w:rsidR="000054A9">
        <w:t>ncrease in price would red</w:t>
      </w:r>
      <w:r w:rsidR="0074715A">
        <w:t xml:space="preserve">uce the demand for </w:t>
      </w:r>
      <w:r w:rsidR="00102B54">
        <w:t>SSBs</w:t>
      </w:r>
      <w:r w:rsidR="0074715A">
        <w:t>, and by more for lower</w:t>
      </w:r>
      <w:r w:rsidR="0074715A">
        <w:noBreakHyphen/>
        <w:t xml:space="preserve">income households. </w:t>
      </w:r>
      <w:r w:rsidR="00DE4D63">
        <w:t xml:space="preserve">Moreover, some consider that taxes on SSBs increase consciousness of healthier eating habits more generally, which could add to the direct health benefits of any tax </w:t>
      </w:r>
      <w:r w:rsidR="00DE4D63" w:rsidRPr="00702911">
        <w:rPr>
          <w:szCs w:val="24"/>
        </w:rPr>
        <w:t>(Ortun, Lopez-Valcarcel and Pinilla 2016)</w:t>
      </w:r>
      <w:r w:rsidR="00DE4D63">
        <w:t>.</w:t>
      </w:r>
    </w:p>
    <w:p w14:paraId="1EA39438" w14:textId="382D3F26" w:rsidR="001A555F" w:rsidRDefault="00C70738" w:rsidP="002659B1">
      <w:pPr>
        <w:pStyle w:val="BodyText"/>
      </w:pPr>
      <w:r>
        <w:t xml:space="preserve">In most instances where </w:t>
      </w:r>
      <w:r w:rsidR="008C6990">
        <w:t xml:space="preserve">governments have introduced sugar </w:t>
      </w:r>
      <w:r>
        <w:t xml:space="preserve">taxes, it is hard to separate the effects from other influences, such as trends in SSB </w:t>
      </w:r>
      <w:r w:rsidR="00994C71">
        <w:t>consumption</w:t>
      </w:r>
      <w:r>
        <w:t xml:space="preserve"> over time that would have occurred anyway. However, the taxes imposed in some cities in the United States provide a stronger basis for estimating price and demand effects </w:t>
      </w:r>
      <w:r w:rsidR="00006944">
        <w:t xml:space="preserve">because neighbouring cities can be used as </w:t>
      </w:r>
      <w:r>
        <w:t>control sites. An</w:t>
      </w:r>
      <w:r w:rsidR="002659B1">
        <w:t xml:space="preserve"> SSB tax imposed in the </w:t>
      </w:r>
      <w:r>
        <w:t xml:space="preserve">US </w:t>
      </w:r>
      <w:r w:rsidR="002659B1">
        <w:t>city of Berkeley in 2015 reduced sales of SSBs by 21 per cent in low</w:t>
      </w:r>
      <w:r w:rsidR="002659B1">
        <w:noBreakHyphen/>
        <w:t xml:space="preserve">income neighbourhoods in the first </w:t>
      </w:r>
      <w:r w:rsidR="0083038E">
        <w:t>four</w:t>
      </w:r>
      <w:r w:rsidR="002659B1">
        <w:t xml:space="preserve"> months</w:t>
      </w:r>
      <w:r w:rsidR="00FA1F79">
        <w:t>, while sales</w:t>
      </w:r>
      <w:r w:rsidR="002659B1">
        <w:t xml:space="preserve"> </w:t>
      </w:r>
      <w:r w:rsidR="003F10E7">
        <w:t>increased by 4 per cent in neighbouring cities</w:t>
      </w:r>
      <w:r w:rsidR="008D0F00">
        <w:t> </w:t>
      </w:r>
      <w:r w:rsidR="008D0F00" w:rsidRPr="008D0F00">
        <w:rPr>
          <w:szCs w:val="24"/>
        </w:rPr>
        <w:t>(Falbe et al. 2016)</w:t>
      </w:r>
      <w:r w:rsidR="003F10E7">
        <w:t xml:space="preserve">. </w:t>
      </w:r>
      <w:r w:rsidR="00B43429">
        <w:t xml:space="preserve">Sales of </w:t>
      </w:r>
      <w:r w:rsidR="005853C5">
        <w:t xml:space="preserve">bottled </w:t>
      </w:r>
      <w:r w:rsidR="00B43429">
        <w:t>w</w:t>
      </w:r>
      <w:r w:rsidR="003F10E7">
        <w:t>ater consumption rose by 63 per</w:t>
      </w:r>
      <w:r w:rsidR="00163317">
        <w:t> </w:t>
      </w:r>
      <w:r w:rsidR="003F10E7">
        <w:t xml:space="preserve">cent. Only </w:t>
      </w:r>
      <w:r w:rsidR="000039AE">
        <w:t>about</w:t>
      </w:r>
      <w:r w:rsidR="003F10E7">
        <w:t xml:space="preserve"> 50 per cent of the SSB tax was passed through to higher retail prices, so the demand effect would be much greater in a market where complete pass</w:t>
      </w:r>
      <w:r w:rsidR="003F10E7">
        <w:noBreakHyphen/>
        <w:t>through occurred.</w:t>
      </w:r>
      <w:r w:rsidR="00006944" w:rsidRPr="003D243B">
        <w:rPr>
          <w:rStyle w:val="FootnoteReference"/>
        </w:rPr>
        <w:footnoteReference w:id="68"/>
      </w:r>
      <w:r>
        <w:t xml:space="preserve"> A more recent study based on </w:t>
      </w:r>
      <w:r w:rsidR="00FB6768">
        <w:t xml:space="preserve">supermarket </w:t>
      </w:r>
      <w:r>
        <w:t>scanner data found smaller</w:t>
      </w:r>
      <w:r w:rsidR="00693A3D">
        <w:t>,</w:t>
      </w:r>
      <w:r>
        <w:t xml:space="preserve"> but still significant</w:t>
      </w:r>
      <w:r w:rsidR="00693A3D">
        <w:t>,</w:t>
      </w:r>
      <w:r>
        <w:t xml:space="preserve"> reductions in SSBs of 9.6 per cent </w:t>
      </w:r>
      <w:r w:rsidR="00FB6768">
        <w:t xml:space="preserve">across the whole city </w:t>
      </w:r>
      <w:r>
        <w:t xml:space="preserve">compared </w:t>
      </w:r>
      <w:r w:rsidR="001E4340">
        <w:t>with</w:t>
      </w:r>
      <w:r>
        <w:t xml:space="preserve"> the counterfactual</w:t>
      </w:r>
      <w:r w:rsidR="004D5FDE">
        <w:t> </w:t>
      </w:r>
      <w:r w:rsidR="004D5FDE" w:rsidRPr="004D5FDE">
        <w:rPr>
          <w:szCs w:val="24"/>
        </w:rPr>
        <w:t>(Silver et al. 2017)</w:t>
      </w:r>
      <w:r>
        <w:t xml:space="preserve">. </w:t>
      </w:r>
      <w:r w:rsidR="00AA4273">
        <w:t xml:space="preserve">Pass-through was much higher than in the Falbe study, particularly for large chains and soda drinks. </w:t>
      </w:r>
      <w:r>
        <w:t>Consumer spending per average grocery bill did not increase.</w:t>
      </w:r>
      <w:r w:rsidR="00B73055">
        <w:t xml:space="preserve"> While city studies are useful for considering demand and pass</w:t>
      </w:r>
      <w:r w:rsidR="00B73055">
        <w:noBreakHyphen/>
        <w:t xml:space="preserve">through effects, they cannot </w:t>
      </w:r>
      <w:r w:rsidR="001A555F">
        <w:t>capture all of the possible effects of sugar taxes.</w:t>
      </w:r>
    </w:p>
    <w:p w14:paraId="1EA39439" w14:textId="5D17556E" w:rsidR="00693A3D" w:rsidRDefault="001A555F" w:rsidP="00693A3D">
      <w:pPr>
        <w:pStyle w:val="BodyText"/>
      </w:pPr>
      <w:r>
        <w:t xml:space="preserve">There is a </w:t>
      </w:r>
      <w:r w:rsidR="00B73055">
        <w:t xml:space="preserve">likelihood that manufacturers will reformulate products </w:t>
      </w:r>
      <w:r w:rsidR="00693A3D">
        <w:t xml:space="preserve">to reduce their sugar content </w:t>
      </w:r>
      <w:r w:rsidR="00FA1F79">
        <w:t xml:space="preserve">if an entire country </w:t>
      </w:r>
      <w:r>
        <w:t xml:space="preserve">(rather than a single city or state) </w:t>
      </w:r>
      <w:r w:rsidR="00FA1F79">
        <w:t>introduced SSB taxes</w:t>
      </w:r>
      <w:r w:rsidR="00DE4D63">
        <w:t>.</w:t>
      </w:r>
      <w:r w:rsidR="00FA1F79">
        <w:t xml:space="preserve"> </w:t>
      </w:r>
      <w:r w:rsidR="00603D7C">
        <w:t xml:space="preserve">In the UK’s </w:t>
      </w:r>
      <w:r>
        <w:t xml:space="preserve">tax </w:t>
      </w:r>
      <w:r w:rsidR="00603D7C">
        <w:t>model, the levy is designed to create strong incentive</w:t>
      </w:r>
      <w:r w:rsidR="000E15F0">
        <w:t>s</w:t>
      </w:r>
      <w:r w:rsidR="00603D7C">
        <w:t xml:space="preserve"> to lower sugar content below given levels, rather than taxing any given amount of sugar at a fixed rate. </w:t>
      </w:r>
      <w:r w:rsidR="00693A3D">
        <w:t>A</w:t>
      </w:r>
      <w:r w:rsidR="00603D7C">
        <w:t xml:space="preserve">head of the implementation of an SSB tax in the </w:t>
      </w:r>
      <w:r w:rsidR="0083038E">
        <w:t>United Kingdom</w:t>
      </w:r>
      <w:r w:rsidR="00603D7C">
        <w:t>, this appears to be occurring</w:t>
      </w:r>
      <w:r w:rsidR="002C46E2" w:rsidRPr="002C46E2">
        <w:t xml:space="preserve"> </w:t>
      </w:r>
      <w:r w:rsidR="002C46E2">
        <w:t>already</w:t>
      </w:r>
      <w:r w:rsidR="00603D7C">
        <w:t xml:space="preserve"> </w:t>
      </w:r>
      <w:r w:rsidR="00603D7C" w:rsidRPr="000C2CF8">
        <w:rPr>
          <w:szCs w:val="24"/>
        </w:rPr>
        <w:t>(Danershkhu 2017)</w:t>
      </w:r>
      <w:r w:rsidR="00603D7C">
        <w:t>.</w:t>
      </w:r>
      <w:r w:rsidR="00EA0830">
        <w:t xml:space="preserve"> In </w:t>
      </w:r>
      <w:r w:rsidR="00B62C0C">
        <w:t>Hungary</w:t>
      </w:r>
      <w:r w:rsidR="00EA0830">
        <w:t xml:space="preserve">, which has already implemented a sugar tax, </w:t>
      </w:r>
      <w:r w:rsidR="00B62C0C">
        <w:t xml:space="preserve">40 per cent of manufacturers reformulated their SSBs to reduce their sugar content </w:t>
      </w:r>
      <w:r w:rsidR="00D26ACA" w:rsidRPr="00D26ACA">
        <w:rPr>
          <w:szCs w:val="24"/>
        </w:rPr>
        <w:t>(Editorial 2017; Wright, Smith and Hellowell 2017)</w:t>
      </w:r>
      <w:r w:rsidR="00B62C0C">
        <w:t>.</w:t>
      </w:r>
      <w:r w:rsidR="00693A3D" w:rsidRPr="00693A3D">
        <w:t xml:space="preserve"> </w:t>
      </w:r>
      <w:r w:rsidR="00693A3D">
        <w:t>So long as an SSB tax is based on the sugar content of a beverage, reformulation directly reduces sugar consumption, even if overall demand for beverages does not change. Reformulation has the additional advantage that consumer prices will not rise by as much. This reduces the income effects for people who are intensive consumers of SSBs and eases any transition costs for the beverage industry. (Of course, it also reduces any revenue from the tax, but this is not an important consideration for a measure whose rationale is improved public health.)</w:t>
      </w:r>
    </w:p>
    <w:p w14:paraId="1EA3943A" w14:textId="77777777" w:rsidR="00704E0A" w:rsidRDefault="00693A3D" w:rsidP="00603D7C">
      <w:pPr>
        <w:pStyle w:val="BodyText"/>
      </w:pPr>
      <w:r>
        <w:t xml:space="preserve">Overall, it seems </w:t>
      </w:r>
      <w:r w:rsidR="00135266">
        <w:t>probable</w:t>
      </w:r>
      <w:r>
        <w:t xml:space="preserve"> that a</w:t>
      </w:r>
      <w:r w:rsidR="00704E0A">
        <w:t xml:space="preserve"> tax</w:t>
      </w:r>
      <w:r>
        <w:t xml:space="preserve"> will reduce </w:t>
      </w:r>
      <w:r w:rsidR="00704E0A">
        <w:t xml:space="preserve">the aggregate </w:t>
      </w:r>
      <w:r>
        <w:t xml:space="preserve">consumption of </w:t>
      </w:r>
      <w:r w:rsidR="00704E0A">
        <w:t>sugars obtained from SSBs, leading to substitution to lower sugar products, including artificially</w:t>
      </w:r>
      <w:r w:rsidR="00704E0A">
        <w:noBreakHyphen/>
        <w:t>sweetened drinks, water and other beverages.</w:t>
      </w:r>
      <w:r w:rsidR="00857DE8">
        <w:t xml:space="preserve"> </w:t>
      </w:r>
    </w:p>
    <w:p w14:paraId="1EA3943B" w14:textId="77777777" w:rsidR="00135266" w:rsidRDefault="0047257D" w:rsidP="00603D7C">
      <w:pPr>
        <w:pStyle w:val="BodyText"/>
      </w:pPr>
      <w:r>
        <w:t>But t</w:t>
      </w:r>
      <w:r w:rsidR="00135266">
        <w:t>here are some risks and concerns.</w:t>
      </w:r>
    </w:p>
    <w:p w14:paraId="1EA3943C" w14:textId="77777777" w:rsidR="00135266" w:rsidRDefault="00135266" w:rsidP="00135266">
      <w:pPr>
        <w:pStyle w:val="BodyText"/>
      </w:pPr>
      <w:r>
        <w:t xml:space="preserve">On the income side, any tax levied on sweetened beverages is regressive </w:t>
      </w:r>
      <w:r w:rsidR="00781ED0">
        <w:t>because</w:t>
      </w:r>
      <w:r>
        <w:t xml:space="preserve"> the evi</w:t>
      </w:r>
      <w:r w:rsidR="00493269">
        <w:t>dence suggests that lower socio</w:t>
      </w:r>
      <w:r>
        <w:t xml:space="preserve">economic groups are higher users </w:t>
      </w:r>
      <w:r w:rsidRPr="00A85C80">
        <w:rPr>
          <w:szCs w:val="24"/>
        </w:rPr>
        <w:t>(ABS 2014)</w:t>
      </w:r>
      <w:r>
        <w:t>. However:</w:t>
      </w:r>
    </w:p>
    <w:p w14:paraId="1EA3943D" w14:textId="77777777" w:rsidR="00135266" w:rsidRDefault="00135266" w:rsidP="00135266">
      <w:pPr>
        <w:pStyle w:val="ListBullet"/>
      </w:pPr>
      <w:r>
        <w:t>if the use of such beverages is greater amongst such groups</w:t>
      </w:r>
      <w:r w:rsidR="008D0F00">
        <w:t> (box D.1)</w:t>
      </w:r>
      <w:r>
        <w:t xml:space="preserve">, they will also be the disproportionate beneficiaries of sugar taxes, as has been found in a recent Australian study </w:t>
      </w:r>
      <w:r w:rsidRPr="00A85C80">
        <w:rPr>
          <w:szCs w:val="24"/>
        </w:rPr>
        <w:t>(Lal et al. 2017)</w:t>
      </w:r>
      <w:r>
        <w:t>. There is a tradeoff between income inequality and health inequality. Reductions in the latter should not be ignored</w:t>
      </w:r>
    </w:p>
    <w:p w14:paraId="1EA3943E" w14:textId="77777777" w:rsidR="00135266" w:rsidRDefault="00135266" w:rsidP="00135266">
      <w:pPr>
        <w:pStyle w:val="ListBullet"/>
      </w:pPr>
      <w:r>
        <w:t xml:space="preserve">the average amount of spending is relatively low, and so the actual income effects are likely to be small for </w:t>
      </w:r>
      <w:r w:rsidRPr="00735C10">
        <w:rPr>
          <w:i/>
        </w:rPr>
        <w:t>most</w:t>
      </w:r>
      <w:r>
        <w:t xml:space="preserve"> people</w:t>
      </w:r>
    </w:p>
    <w:p w14:paraId="1EA3943F" w14:textId="77777777" w:rsidR="00135266" w:rsidRDefault="00135266" w:rsidP="00135266">
      <w:pPr>
        <w:pStyle w:val="ListBullet"/>
      </w:pPr>
      <w:r>
        <w:t>the ultimate extent of any regressivity depends on how the Australian Government spends any tax revenue.</w:t>
      </w:r>
    </w:p>
    <w:p w14:paraId="1EA39440" w14:textId="77777777" w:rsidR="0049292A" w:rsidRDefault="0049292A" w:rsidP="00E67F29">
      <w:pPr>
        <w:pStyle w:val="BodyText"/>
      </w:pPr>
      <w:r>
        <w:t xml:space="preserve">A crucial question — not adequately explored yet — is the incidence of income effects associated with the </w:t>
      </w:r>
      <w:r w:rsidRPr="00135266">
        <w:rPr>
          <w:i/>
        </w:rPr>
        <w:t>heavy</w:t>
      </w:r>
      <w:r>
        <w:t xml:space="preserve"> users of SSBs. Average outcomes across income deciles may not be large, but regressivity may be a concern if heavy users are disproportionately in poorer households — an issue that warrants further analysis. </w:t>
      </w:r>
    </w:p>
    <w:p w14:paraId="1EA39441" w14:textId="77777777" w:rsidR="0049292A" w:rsidRDefault="0049292A" w:rsidP="00E67F29">
      <w:pPr>
        <w:pStyle w:val="BodyText"/>
      </w:pPr>
      <w:r>
        <w:t>A bigger concern is that obesity reflects overall caloric intake, not intake from any given product. Sugar taxes predominantly relate to beverages, not other high</w:t>
      </w:r>
      <w:r>
        <w:noBreakHyphen/>
        <w:t>sugar content products like confectionary, cereals, honey, jams,</w:t>
      </w:r>
      <w:r w:rsidRPr="003D243B">
        <w:rPr>
          <w:rStyle w:val="FootnoteReference"/>
        </w:rPr>
        <w:footnoteReference w:id="69"/>
      </w:r>
      <w:r>
        <w:t xml:space="preserve"> and other high caloric products, such as fats. Complex carbohydrates are metabolised into glucose, albeit with slower effects on blood</w:t>
      </w:r>
      <w:r>
        <w:noBreakHyphen/>
        <w:t xml:space="preserve">sugar levels than SSBs. The concern is that people may shift caloric intake from one source of food to another, in which case the effects of a reduced intake of SSBs may be partly or fully compensated by other food sources. Most empirical analyses only consider the demand for SSBs, not the overall demand for calories. </w:t>
      </w:r>
    </w:p>
    <w:p w14:paraId="1EA39442" w14:textId="77777777" w:rsidR="00393564" w:rsidRDefault="00393564" w:rsidP="00E67F29">
      <w:pPr>
        <w:pStyle w:val="BodyText"/>
      </w:pPr>
      <w:r>
        <w:br w:type="page"/>
      </w:r>
    </w:p>
    <w:p w14:paraId="1EA39443" w14:textId="77777777" w:rsidR="008D0F00" w:rsidRDefault="008D0F00" w:rsidP="008D0F0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8D0F00" w14:paraId="1EA39445" w14:textId="77777777" w:rsidTr="008D0F00">
        <w:tc>
          <w:tcPr>
            <w:tcW w:w="5000" w:type="pct"/>
            <w:tcBorders>
              <w:top w:val="single" w:sz="6" w:space="0" w:color="78A22F"/>
              <w:left w:val="nil"/>
              <w:bottom w:val="nil"/>
              <w:right w:val="nil"/>
            </w:tcBorders>
            <w:shd w:val="clear" w:color="auto" w:fill="F2F2F2"/>
          </w:tcPr>
          <w:p w14:paraId="1EA39444" w14:textId="77777777" w:rsidR="008D0F00" w:rsidRDefault="008D0F00" w:rsidP="00AF098D">
            <w:pPr>
              <w:pStyle w:val="BoxTitle"/>
            </w:pPr>
            <w:r w:rsidRPr="00944790">
              <w:rPr>
                <w:b w:val="0"/>
              </w:rPr>
              <w:t>Box D.1</w:t>
            </w:r>
            <w:r>
              <w:tab/>
              <w:t>Patterns of sugar use</w:t>
            </w:r>
          </w:p>
        </w:tc>
      </w:tr>
      <w:tr w:rsidR="008D0F00" w14:paraId="1EA3944B" w14:textId="77777777" w:rsidTr="008D0F00">
        <w:tc>
          <w:tcPr>
            <w:tcW w:w="5000" w:type="pct"/>
            <w:tcBorders>
              <w:top w:val="nil"/>
              <w:left w:val="nil"/>
              <w:bottom w:val="nil"/>
              <w:right w:val="nil"/>
            </w:tcBorders>
            <w:shd w:val="clear" w:color="auto" w:fill="F2F2F2"/>
          </w:tcPr>
          <w:p w14:paraId="1EA39446" w14:textId="77777777" w:rsidR="008D0F00" w:rsidRDefault="007718F5" w:rsidP="008D0F00">
            <w:pPr>
              <w:pStyle w:val="Box"/>
            </w:pPr>
            <w:r>
              <w:t>Some population sub</w:t>
            </w:r>
            <w:r>
              <w:noBreakHyphen/>
              <w:t>groups account for a disproportionate share of the c</w:t>
            </w:r>
            <w:r w:rsidR="008D0F00">
              <w:t>onsumption of added sugars. Based on interpolation of ABS health survey data, the Commission estimates that depending on age, the top 20 per cent of males’ daily intake of added sugars accounted for between 32 and 41 per cent of the total male consumption of sugars. For females, the comparable estimates were between 34 and 38 per cent. The bottom 20 per cent of males’ daily intake of added sugars accounted for between 5.8 and 9.7 per cent of the total male consumption of sugars. For females, the comparable estimates were between 7.4 and 9 per cent.</w:t>
            </w:r>
          </w:p>
          <w:p w14:paraId="1EA39447" w14:textId="77777777" w:rsidR="004A7199" w:rsidRDefault="004A7199" w:rsidP="008D0F00">
            <w:pPr>
              <w:pStyle w:val="Box"/>
            </w:pPr>
            <w:r>
              <w:t xml:space="preserve">The figures for ‘free sugars’ were similar, with for example, the top 20 per cent of males’ daily intake of added sugars </w:t>
            </w:r>
            <w:r w:rsidR="00AA02EE">
              <w:t xml:space="preserve">accounting </w:t>
            </w:r>
            <w:r>
              <w:t>for between 32 and 40 per cent of the total male consumption of sugars. (</w:t>
            </w:r>
            <w:r w:rsidRPr="004A7199">
              <w:t>Free sugars</w:t>
            </w:r>
            <w:r>
              <w:t xml:space="preserve"> are</w:t>
            </w:r>
            <w:r w:rsidRPr="004A7199">
              <w:t xml:space="preserve"> monosaccharides and disaccharides added to foods and drinks by the manufacturer, cook or consumer, and sugars naturally present in honey, syrups, fruit juices and fruit juice concentrates.</w:t>
            </w:r>
            <w:r>
              <w:t>)</w:t>
            </w:r>
          </w:p>
          <w:p w14:paraId="1EA39448" w14:textId="77777777" w:rsidR="007C728B" w:rsidRDefault="007C728B" w:rsidP="008D0F00">
            <w:pPr>
              <w:pStyle w:val="Box"/>
            </w:pPr>
            <w:r>
              <w:t>The proportion of added sugars consumed in the form of cordials and SSBs wa</w:t>
            </w:r>
            <w:r w:rsidR="0083038E">
              <w:t>s 28.3 per cent for males aged two</w:t>
            </w:r>
            <w:r>
              <w:t xml:space="preserve"> years and over (with a further 6 percentage points consumed in the form of fruit and vegetable juices). The shares were lower for females (20.1 and 6.4 per cent respectively). Overall, beverages are the single dominant source of added sugars in people’s diets.</w:t>
            </w:r>
          </w:p>
          <w:p w14:paraId="1EA39449" w14:textId="77777777" w:rsidR="007C728B" w:rsidRDefault="007C728B" w:rsidP="008D0F00">
            <w:pPr>
              <w:pStyle w:val="Box"/>
            </w:pPr>
            <w:r>
              <w:t xml:space="preserve">Overall, added sugars represented </w:t>
            </w:r>
            <w:r w:rsidR="000039AE">
              <w:t>about</w:t>
            </w:r>
            <w:r>
              <w:t xml:space="preserve"> 10 per cent of total energy for males and 9.4 per cent for females. Added sugars were a more important source of energy for 14</w:t>
            </w:r>
            <w:r>
              <w:noBreakHyphen/>
              <w:t>18 year old males (13 per cent). The peak age of use was younger for females at 12.3 per cent for those aged 9</w:t>
            </w:r>
            <w:r>
              <w:noBreakHyphen/>
              <w:t>13 years.</w:t>
            </w:r>
          </w:p>
          <w:p w14:paraId="1EA3944A" w14:textId="77777777" w:rsidR="008D0F00" w:rsidRDefault="007C728B" w:rsidP="008D0F00">
            <w:pPr>
              <w:pStyle w:val="Box"/>
            </w:pPr>
            <w:r>
              <w:t>The numbers imply that on average the share of total energy obtained from SSBs is comparatively small. However, the highly skewed nature of consumption of sugary drinks indicates that this will not hold for some groups.</w:t>
            </w:r>
          </w:p>
        </w:tc>
      </w:tr>
      <w:tr w:rsidR="008D0F00" w14:paraId="1EA3944D" w14:textId="77777777" w:rsidTr="008D0F00">
        <w:tc>
          <w:tcPr>
            <w:tcW w:w="5000" w:type="pct"/>
            <w:tcBorders>
              <w:top w:val="nil"/>
              <w:left w:val="nil"/>
              <w:bottom w:val="nil"/>
              <w:right w:val="nil"/>
            </w:tcBorders>
            <w:shd w:val="clear" w:color="auto" w:fill="F2F2F2"/>
          </w:tcPr>
          <w:p w14:paraId="1EA3944C" w14:textId="29AB11CF" w:rsidR="008D0F00" w:rsidRDefault="008D0F00" w:rsidP="00206601">
            <w:pPr>
              <w:pStyle w:val="BoxSource"/>
            </w:pPr>
            <w:r>
              <w:rPr>
                <w:i/>
              </w:rPr>
              <w:t>Source</w:t>
            </w:r>
            <w:r w:rsidRPr="00167F06">
              <w:t xml:space="preserve">: </w:t>
            </w:r>
            <w:r w:rsidR="007C728B">
              <w:t xml:space="preserve">ABS 2016, </w:t>
            </w:r>
            <w:r w:rsidR="007C728B" w:rsidRPr="007C728B">
              <w:rPr>
                <w:i/>
              </w:rPr>
              <w:t>Australian Health Survey: Consumption of Added sugars, 2011</w:t>
            </w:r>
            <w:r w:rsidR="00206601">
              <w:rPr>
                <w:i/>
              </w:rPr>
              <w:noBreakHyphen/>
            </w:r>
            <w:r w:rsidR="007C728B" w:rsidRPr="007C728B">
              <w:rPr>
                <w:i/>
              </w:rPr>
              <w:t>1</w:t>
            </w:r>
            <w:r w:rsidR="007C728B" w:rsidRPr="007C728B">
              <w:t>2</w:t>
            </w:r>
            <w:r w:rsidR="007C728B" w:rsidRPr="0082473D">
              <w:rPr>
                <w:i/>
              </w:rPr>
              <w:t xml:space="preserve"> — Australia</w:t>
            </w:r>
            <w:r w:rsidR="0082473D">
              <w:t>, Cat. no. 4364.0, released 27</w:t>
            </w:r>
            <w:r w:rsidR="00206601">
              <w:t> </w:t>
            </w:r>
            <w:r w:rsidR="0082473D">
              <w:t>April.</w:t>
            </w:r>
          </w:p>
        </w:tc>
      </w:tr>
      <w:tr w:rsidR="008D0F00" w14:paraId="1EA3944F" w14:textId="77777777" w:rsidTr="008D0F00">
        <w:tc>
          <w:tcPr>
            <w:tcW w:w="5000" w:type="pct"/>
            <w:tcBorders>
              <w:top w:val="nil"/>
              <w:left w:val="nil"/>
              <w:bottom w:val="single" w:sz="6" w:space="0" w:color="78A22F"/>
              <w:right w:val="nil"/>
            </w:tcBorders>
            <w:shd w:val="clear" w:color="auto" w:fill="F2F2F2"/>
          </w:tcPr>
          <w:p w14:paraId="1EA3944E" w14:textId="77777777" w:rsidR="008D0F00" w:rsidRDefault="008D0F00" w:rsidP="008D0F00">
            <w:pPr>
              <w:pStyle w:val="Box"/>
              <w:spacing w:before="0" w:line="120" w:lineRule="exact"/>
            </w:pPr>
          </w:p>
        </w:tc>
      </w:tr>
      <w:tr w:rsidR="008D0F00" w:rsidRPr="000863A5" w14:paraId="1EA39451" w14:textId="77777777" w:rsidTr="008D0F00">
        <w:tc>
          <w:tcPr>
            <w:tcW w:w="5000" w:type="pct"/>
            <w:tcBorders>
              <w:top w:val="single" w:sz="6" w:space="0" w:color="78A22F"/>
              <w:left w:val="nil"/>
              <w:bottom w:val="nil"/>
              <w:right w:val="nil"/>
            </w:tcBorders>
          </w:tcPr>
          <w:p w14:paraId="1EA39450" w14:textId="77777777" w:rsidR="008D0F00" w:rsidRPr="00626D32" w:rsidRDefault="008D0F00" w:rsidP="008D0F00">
            <w:pPr>
              <w:pStyle w:val="BoxSpaceBelow"/>
            </w:pPr>
          </w:p>
        </w:tc>
      </w:tr>
    </w:tbl>
    <w:p w14:paraId="1EA39452" w14:textId="77777777" w:rsidR="00FE0341" w:rsidRDefault="008C000D" w:rsidP="00603D7C">
      <w:pPr>
        <w:pStyle w:val="BodyText"/>
      </w:pPr>
      <w:r>
        <w:t xml:space="preserve">Even if substitution between beverages and solid foods is low, that is less likely for substitution between different beverages. The pending UK tax exempts fruit juices and milk products, which can still have high sugar content </w:t>
      </w:r>
      <w:r w:rsidRPr="00DE2767">
        <w:rPr>
          <w:szCs w:val="24"/>
        </w:rPr>
        <w:t>(Wright, Smith and Hellowell 2017)</w:t>
      </w:r>
      <w:r>
        <w:t>.</w:t>
      </w:r>
      <w:r w:rsidRPr="003D243B">
        <w:rPr>
          <w:rStyle w:val="FootnoteReference"/>
        </w:rPr>
        <w:footnoteReference w:id="70"/>
      </w:r>
      <w:r>
        <w:t xml:space="preserve"> That suggests that any SSB tax should define the relevant market for sugary beverages carefully (defining it is terms of those sugary products that are close substitutes to each other).</w:t>
      </w:r>
      <w:r w:rsidR="00FE0341">
        <w:t xml:space="preserve"> </w:t>
      </w:r>
      <w:r w:rsidR="0047257D">
        <w:t>S</w:t>
      </w:r>
      <w:r w:rsidR="00FE0341">
        <w:t>ubstitution can also occur with non</w:t>
      </w:r>
      <w:r w:rsidR="00FE0341">
        <w:noBreakHyphen/>
        <w:t xml:space="preserve">sugary beverages, such as a whole milk, which few would argue should be subject to a tax. A US study of the impact of taxes on soft drinks found that demand was affected by taxes, but the caloric reductions achieved were offset by increased consumption of whole milk, so that the </w:t>
      </w:r>
      <w:r w:rsidR="000252D1">
        <w:t>taxes</w:t>
      </w:r>
      <w:r w:rsidR="00FE0341">
        <w:t xml:space="preserve"> produced no weight losses for children or adolescents </w:t>
      </w:r>
      <w:r w:rsidR="00FE0341" w:rsidRPr="00D75E4F">
        <w:rPr>
          <w:szCs w:val="24"/>
        </w:rPr>
        <w:t>(Fletcher, Frisvold and Tefft 2010)</w:t>
      </w:r>
      <w:r w:rsidR="00FE0341">
        <w:t>.</w:t>
      </w:r>
    </w:p>
    <w:p w14:paraId="1EA39453" w14:textId="77777777" w:rsidR="00C738E5" w:rsidRDefault="00C738E5" w:rsidP="00C738E5">
      <w:pPr>
        <w:pStyle w:val="BodyText"/>
      </w:pPr>
      <w:r>
        <w:t>The physical effects of any additional consumption of artificially</w:t>
      </w:r>
      <w:r>
        <w:noBreakHyphen/>
        <w:t xml:space="preserve">sweetened drinks </w:t>
      </w:r>
      <w:r w:rsidR="008E0C41">
        <w:t>provide</w:t>
      </w:r>
      <w:r>
        <w:t xml:space="preserve"> </w:t>
      </w:r>
      <w:r w:rsidR="008E0C41">
        <w:t>an</w:t>
      </w:r>
      <w:r>
        <w:t xml:space="preserve"> avenue through which caloric shifting may occur</w:t>
      </w:r>
      <w:r w:rsidR="008E0C41">
        <w:t xml:space="preserve"> </w:t>
      </w:r>
      <w:r w:rsidR="008E0C41" w:rsidRPr="00F66010">
        <w:rPr>
          <w:szCs w:val="24"/>
        </w:rPr>
        <w:t>(Borges et al. 2017; Brown, De Banate and Rother 2010)</w:t>
      </w:r>
      <w:r w:rsidR="008E0C41">
        <w:t>.</w:t>
      </w:r>
      <w:r>
        <w:t xml:space="preserve"> As one paper notes:</w:t>
      </w:r>
    </w:p>
    <w:p w14:paraId="1EA39454" w14:textId="77777777" w:rsidR="00C738E5" w:rsidRDefault="00C738E5" w:rsidP="00C738E5">
      <w:pPr>
        <w:pStyle w:val="Quote"/>
      </w:pPr>
      <w:r>
        <w:t>However, there are long</w:t>
      </w:r>
      <w:r w:rsidR="007718F5">
        <w:noBreakHyphen/>
      </w:r>
      <w:r>
        <w:t xml:space="preserve">standing concerns that ASBs [artificially sweetened beverages] may trigger compensatory mechanisms, which could offset a reduction in energy and sugar intake provided by their replacement of SSBs. The main proposed mechanisms are that ASBs stimulate sweet taste receptors, which could theoretically increase appetite, induce preference for sweet taste, and modulate gut hormone secretion, or result in overconsumption of solid foods due to awareness of the low calorie content of ASBs. </w:t>
      </w:r>
      <w:r w:rsidRPr="00F66010">
        <w:rPr>
          <w:szCs w:val="24"/>
        </w:rPr>
        <w:t>(Borges et al. 2017, p. 3)</w:t>
      </w:r>
    </w:p>
    <w:p w14:paraId="1EA39455" w14:textId="77777777" w:rsidR="00C738E5" w:rsidRDefault="00204B0E" w:rsidP="00603D7C">
      <w:pPr>
        <w:pStyle w:val="BodyText"/>
      </w:pPr>
      <w:r>
        <w:t>The empirical literature on the impacts of artificially</w:t>
      </w:r>
      <w:r>
        <w:noBreakHyphen/>
        <w:t>sweetened beverages is emerging, but if the above effects are present, they pose a risk that SSB taxes may have unintended outcomes for weight gain.</w:t>
      </w:r>
    </w:p>
    <w:p w14:paraId="1EA39456" w14:textId="77777777" w:rsidR="008C76BA" w:rsidRDefault="008C76BA" w:rsidP="008C76BA">
      <w:pPr>
        <w:pStyle w:val="BodyText"/>
      </w:pPr>
      <w:r>
        <w:t>Another concern relates to the (controversial) ‘paradox’ that SSB consumption rates have fallen in Australia, notwit</w:t>
      </w:r>
      <w:r w:rsidR="000252D1">
        <w:t xml:space="preserve">hstanding rising obesity rates, </w:t>
      </w:r>
      <w:r>
        <w:t>a coexistence that some suggest reduces the relevance o</w:t>
      </w:r>
      <w:r w:rsidR="000252D1">
        <w:t>f SSB taxes</w:t>
      </w:r>
      <w:r>
        <w:t>. The ABS found that the share of people drinking sugar</w:t>
      </w:r>
      <w:r>
        <w:noBreakHyphen/>
        <w:t>sweetened beverages decreased from 43 per cent in 1995 to 34 per cent in 2011</w:t>
      </w:r>
      <w:r>
        <w:noBreakHyphen/>
        <w:t>12.</w:t>
      </w:r>
      <w:r w:rsidRPr="003D243B">
        <w:rPr>
          <w:rStyle w:val="FootnoteReference"/>
        </w:rPr>
        <w:footnoteReference w:id="71"/>
      </w:r>
      <w:r>
        <w:t xml:space="preserve"> The change largely reflected reduced demand for cordials. Among the key demographic of concern (14</w:t>
      </w:r>
      <w:r>
        <w:noBreakHyphen/>
        <w:t xml:space="preserve">18 year old males), the consumption rate of canned and bottled pre-prepared drinks (carbonated SSBs and energy/electrolyte drinks) </w:t>
      </w:r>
      <w:r w:rsidR="00B64EB3">
        <w:t>did not change much (</w:t>
      </w:r>
      <w:r>
        <w:t>55.5 per cent in 1995 to 53.2 per cent in 2011</w:t>
      </w:r>
      <w:r>
        <w:noBreakHyphen/>
        <w:t>12</w:t>
      </w:r>
      <w:r w:rsidR="00B64EB3">
        <w:t>)</w:t>
      </w:r>
      <w:r>
        <w:t>. There was, however, a considerable decrease in the consumption of such products by females of this age — underlining the importance of analysing trends for different sub</w:t>
      </w:r>
      <w:r>
        <w:noBreakHyphen/>
        <w:t>groups.</w:t>
      </w:r>
    </w:p>
    <w:p w14:paraId="1EA39457" w14:textId="2EC4CF81" w:rsidR="008C76BA" w:rsidRDefault="008C76BA" w:rsidP="008C76BA">
      <w:pPr>
        <w:pStyle w:val="BodyText"/>
      </w:pPr>
      <w:r>
        <w:t xml:space="preserve">Changes in </w:t>
      </w:r>
      <w:r w:rsidRPr="0047257D">
        <w:rPr>
          <w:i/>
        </w:rPr>
        <w:t>prevalence</w:t>
      </w:r>
      <w:r>
        <w:t xml:space="preserve"> rates of consumption does not necessarily equate to reductions in overall </w:t>
      </w:r>
      <w:r w:rsidRPr="0047257D">
        <w:rPr>
          <w:i/>
        </w:rPr>
        <w:t>consumption</w:t>
      </w:r>
      <w:r>
        <w:t xml:space="preserve">. </w:t>
      </w:r>
      <w:r w:rsidR="0047257D">
        <w:t xml:space="preserve">While </w:t>
      </w:r>
      <w:r>
        <w:t xml:space="preserve">some estimates suggest that sugar intakes per person have also fallen </w:t>
      </w:r>
      <w:r w:rsidR="008F51A4" w:rsidRPr="008F51A4">
        <w:rPr>
          <w:szCs w:val="24"/>
        </w:rPr>
        <w:t>(Brand</w:t>
      </w:r>
      <w:r w:rsidR="00206601">
        <w:rPr>
          <w:szCs w:val="24"/>
        </w:rPr>
        <w:noBreakHyphen/>
      </w:r>
      <w:r w:rsidR="008F51A4" w:rsidRPr="008F51A4">
        <w:rPr>
          <w:szCs w:val="24"/>
        </w:rPr>
        <w:t>Miller and Barclay 2017)</w:t>
      </w:r>
      <w:r w:rsidR="0047257D">
        <w:t>, u</w:t>
      </w:r>
      <w:r>
        <w:t xml:space="preserve">nfortunately we are not aware of </w:t>
      </w:r>
      <w:r w:rsidR="00827015">
        <w:t xml:space="preserve">longitudinal </w:t>
      </w:r>
      <w:r>
        <w:t xml:space="preserve">data concerning consumption levels by </w:t>
      </w:r>
      <w:r w:rsidR="00827015">
        <w:t>the relevant</w:t>
      </w:r>
      <w:r>
        <w:t xml:space="preserve"> sub</w:t>
      </w:r>
      <w:r>
        <w:noBreakHyphen/>
        <w:t xml:space="preserve">groups, which may show different trends. For example, it is possible that the trend reflects the reduction in SSB consumption by moderate drinkers, rather than a reduction across heavy drinkers. Or the pattern may go the other way. So quite different patterns of consumption </w:t>
      </w:r>
      <w:r w:rsidR="000252D1">
        <w:t xml:space="preserve">with different policy implications </w:t>
      </w:r>
      <w:r>
        <w:t>may yield equivalent results at the aggregate level.</w:t>
      </w:r>
      <w:r w:rsidR="00827015">
        <w:t xml:space="preserve"> </w:t>
      </w:r>
    </w:p>
    <w:p w14:paraId="1EA39458" w14:textId="77777777" w:rsidR="008C76BA" w:rsidRDefault="008C76BA" w:rsidP="008C76BA">
      <w:pPr>
        <w:pStyle w:val="BodyText"/>
      </w:pPr>
      <w:r>
        <w:t>Brand</w:t>
      </w:r>
      <w:r>
        <w:noBreakHyphen/>
        <w:t>Miller and Barclay argue</w:t>
      </w:r>
      <w:r w:rsidR="001851B1">
        <w:t>d</w:t>
      </w:r>
      <w:r>
        <w:t xml:space="preserve"> that findings concerning reduced intakes:</w:t>
      </w:r>
    </w:p>
    <w:p w14:paraId="1EA39459" w14:textId="1D4EDB97" w:rsidR="008C76BA" w:rsidRDefault="008C76BA" w:rsidP="008C76BA">
      <w:pPr>
        <w:pStyle w:val="Quote"/>
      </w:pPr>
      <w:r>
        <w:t>… challenge the widespread belief that energy from added sugars or sugars in solution are uniquely linked to the prevalence of obesity (ibid</w:t>
      </w:r>
      <w:r w:rsidR="008F51A4">
        <w:t>, p.</w:t>
      </w:r>
      <w:r w:rsidR="00206601">
        <w:t> </w:t>
      </w:r>
      <w:r w:rsidR="008F51A4">
        <w:t>1</w:t>
      </w:r>
      <w:r>
        <w:t>)</w:t>
      </w:r>
    </w:p>
    <w:p w14:paraId="1EA3945A" w14:textId="77777777" w:rsidR="00603D7C" w:rsidRDefault="008C76BA" w:rsidP="008C76BA">
      <w:pPr>
        <w:pStyle w:val="BodyText"/>
      </w:pPr>
      <w:r>
        <w:t xml:space="preserve">In fact, few public health experts attribute obesity </w:t>
      </w:r>
      <w:r w:rsidRPr="008F6D34">
        <w:rPr>
          <w:i/>
        </w:rPr>
        <w:t>uniquely</w:t>
      </w:r>
      <w:r>
        <w:t xml:space="preserve"> to consumption of SSBs, recognising that many factors are at play. It is nevertheless clear that SSBs are not the primary factor behind obesity. This does </w:t>
      </w:r>
      <w:r w:rsidRPr="00A0658D">
        <w:rPr>
          <w:i/>
        </w:rPr>
        <w:t>not</w:t>
      </w:r>
      <w:r>
        <w:t xml:space="preserve"> mean that SSBs have no effect on obesity as levels may have been higher had SSB consumption not fallen. Consequently, the above evidence does not invalidate the potential for SSB reduction policies to affect obesity levels</w:t>
      </w:r>
      <w:r w:rsidR="00866D9B">
        <w:t xml:space="preserve"> to some degree</w:t>
      </w:r>
      <w:r>
        <w:t>.</w:t>
      </w:r>
      <w:r w:rsidR="00866D9B">
        <w:t xml:space="preserve"> Whether the effect is material is an empirical matter.</w:t>
      </w:r>
    </w:p>
    <w:p w14:paraId="1EA3945B" w14:textId="77777777" w:rsidR="00133B1A" w:rsidRDefault="00133B1A" w:rsidP="003D7F4C">
      <w:pPr>
        <w:pStyle w:val="Heading3"/>
      </w:pPr>
      <w:r>
        <w:t xml:space="preserve">Lessons and </w:t>
      </w:r>
      <w:r w:rsidR="007C2AA2">
        <w:t xml:space="preserve">unanswered </w:t>
      </w:r>
      <w:r>
        <w:t>questions</w:t>
      </w:r>
    </w:p>
    <w:p w14:paraId="1EA3945C" w14:textId="77777777" w:rsidR="00693533" w:rsidRDefault="00693533" w:rsidP="00693533">
      <w:pPr>
        <w:pStyle w:val="BodyText"/>
      </w:pPr>
      <w:r>
        <w:t xml:space="preserve">Overall, </w:t>
      </w:r>
      <w:r w:rsidRPr="00F31E94">
        <w:t xml:space="preserve">evidence concerning the effectiveness of sugar taxes </w:t>
      </w:r>
      <w:r>
        <w:t xml:space="preserve">in reducing obesity, </w:t>
      </w:r>
      <w:r w:rsidRPr="00F31E94">
        <w:t>and their optimal design</w:t>
      </w:r>
      <w:r>
        <w:t xml:space="preserve"> to do this,</w:t>
      </w:r>
      <w:r w:rsidRPr="00F31E94">
        <w:t xml:space="preserve"> is still </w:t>
      </w:r>
      <w:r>
        <w:t>being gathered</w:t>
      </w:r>
      <w:r w:rsidRPr="00F31E94">
        <w:t xml:space="preserve">. </w:t>
      </w:r>
      <w:r w:rsidR="00467C26">
        <w:t xml:space="preserve">Though </w:t>
      </w:r>
      <w:r w:rsidR="00F80CE0">
        <w:t>some</w:t>
      </w:r>
      <w:r w:rsidR="00467C26">
        <w:t xml:space="preserve"> results support the </w:t>
      </w:r>
      <w:r w:rsidR="00B64EB3">
        <w:t xml:space="preserve">health </w:t>
      </w:r>
      <w:r w:rsidR="00467C26">
        <w:t>benefits of a tax, m</w:t>
      </w:r>
      <w:r>
        <w:t xml:space="preserve">any analyses are based on modelling of </w:t>
      </w:r>
      <w:r w:rsidR="00467C26">
        <w:t xml:space="preserve">likely </w:t>
      </w:r>
      <w:r>
        <w:t>effects</w:t>
      </w:r>
      <w:r w:rsidR="00F80CE0">
        <w:t>,</w:t>
      </w:r>
      <w:r>
        <w:t xml:space="preserve"> rather than empirical analysis of actual outcomes</w:t>
      </w:r>
      <w:r w:rsidR="00467C26">
        <w:t xml:space="preserve">. </w:t>
      </w:r>
    </w:p>
    <w:p w14:paraId="1EA3945D" w14:textId="77777777" w:rsidR="00E24220" w:rsidRDefault="00693533" w:rsidP="00693533">
      <w:pPr>
        <w:pStyle w:val="BodyText"/>
      </w:pPr>
      <w:r>
        <w:t xml:space="preserve">The prospective nature of the SSB levy in the </w:t>
      </w:r>
      <w:r w:rsidR="0083038E">
        <w:t>United Kingdom</w:t>
      </w:r>
      <w:r>
        <w:t xml:space="preserve"> provides an opportunity for a careful </w:t>
      </w:r>
      <w:r w:rsidR="00467C26">
        <w:t>assessment</w:t>
      </w:r>
      <w:r>
        <w:t>, given that the evaluation can be designed now and initial baseline data collected.</w:t>
      </w:r>
      <w:r w:rsidR="00E45613" w:rsidRPr="003D243B">
        <w:rPr>
          <w:rStyle w:val="FootnoteReference"/>
        </w:rPr>
        <w:footnoteReference w:id="72"/>
      </w:r>
      <w:r>
        <w:t xml:space="preserve"> If properly evaluated, t</w:t>
      </w:r>
      <w:r w:rsidRPr="00F31E94">
        <w:t xml:space="preserve">he outcomes of the UK provisions </w:t>
      </w:r>
      <w:r>
        <w:t>should provide clearer evidence about the impacts of a levy on</w:t>
      </w:r>
      <w:r w:rsidR="00E24220">
        <w:t>:</w:t>
      </w:r>
    </w:p>
    <w:p w14:paraId="1EA3945E" w14:textId="77777777" w:rsidR="00E24220" w:rsidRDefault="00693533" w:rsidP="009D0F32">
      <w:pPr>
        <w:pStyle w:val="ListBullet"/>
      </w:pPr>
      <w:r>
        <w:t>the demand for SSBs</w:t>
      </w:r>
      <w:r w:rsidR="00E24220">
        <w:t xml:space="preserve"> across different population sub</w:t>
      </w:r>
      <w:r w:rsidR="00E24220">
        <w:noBreakHyphen/>
        <w:t>groups, and substitution between different beverage types and other food products</w:t>
      </w:r>
    </w:p>
    <w:p w14:paraId="1EA3945F" w14:textId="77777777" w:rsidR="009D0F32" w:rsidRDefault="009D0F32" w:rsidP="009D0F32">
      <w:pPr>
        <w:pStyle w:val="ListBullet"/>
      </w:pPr>
      <w:r>
        <w:t xml:space="preserve">reformulation of products by </w:t>
      </w:r>
      <w:r w:rsidR="00FA0F0B">
        <w:t>manufacturers</w:t>
      </w:r>
    </w:p>
    <w:p w14:paraId="1EA39460" w14:textId="77777777" w:rsidR="00E24220" w:rsidRDefault="00512E6F" w:rsidP="009D0F32">
      <w:pPr>
        <w:pStyle w:val="ListBullet"/>
      </w:pPr>
      <w:r>
        <w:t>pass-through</w:t>
      </w:r>
      <w:r w:rsidR="00E24220">
        <w:t xml:space="preserve"> of costs by different retail segments</w:t>
      </w:r>
    </w:p>
    <w:p w14:paraId="1EA39461" w14:textId="77777777" w:rsidR="00E24220" w:rsidRDefault="00E24220" w:rsidP="009D0F32">
      <w:pPr>
        <w:pStyle w:val="ListBullet"/>
      </w:pPr>
      <w:r>
        <w:t xml:space="preserve">distributional effects </w:t>
      </w:r>
    </w:p>
    <w:p w14:paraId="1EA39462" w14:textId="77777777" w:rsidR="00E24220" w:rsidRDefault="00FA0F0B" w:rsidP="009D0F32">
      <w:pPr>
        <w:pStyle w:val="ListBullet"/>
      </w:pPr>
      <w:r>
        <w:t>short and longer</w:t>
      </w:r>
      <w:r>
        <w:noBreakHyphen/>
        <w:t xml:space="preserve">run </w:t>
      </w:r>
      <w:r w:rsidR="00E24220">
        <w:t>weight loss or gain for different groups of people (age, gender, existing obesity status, income and ethnicity)</w:t>
      </w:r>
      <w:r w:rsidR="009D0F32">
        <w:t xml:space="preserve"> and their linkages to changes in</w:t>
      </w:r>
      <w:r w:rsidR="00693533">
        <w:t xml:space="preserve"> the </w:t>
      </w:r>
      <w:r w:rsidR="009D0F32">
        <w:t xml:space="preserve">caloric intake from </w:t>
      </w:r>
      <w:r w:rsidR="00693533">
        <w:t>SSBs</w:t>
      </w:r>
      <w:r>
        <w:t xml:space="preserve">. </w:t>
      </w:r>
      <w:r w:rsidR="00F80CE0">
        <w:t>Longitudinal analysis would uncover the behavioural changes of individuals pre and post</w:t>
      </w:r>
      <w:r w:rsidR="00F80CE0">
        <w:noBreakHyphen/>
        <w:t>tax</w:t>
      </w:r>
    </w:p>
    <w:p w14:paraId="1EA39463" w14:textId="77777777" w:rsidR="00E24220" w:rsidRDefault="00693533" w:rsidP="009D0F32">
      <w:pPr>
        <w:pStyle w:val="ListBullet"/>
      </w:pPr>
      <w:r>
        <w:t>implementation costs</w:t>
      </w:r>
      <w:r w:rsidR="00E24220">
        <w:t xml:space="preserve"> and</w:t>
      </w:r>
      <w:r>
        <w:t xml:space="preserve"> revenues</w:t>
      </w:r>
    </w:p>
    <w:p w14:paraId="1EA39464" w14:textId="77777777" w:rsidR="00FA0F0B" w:rsidRDefault="00FA0F0B" w:rsidP="009D0F32">
      <w:pPr>
        <w:pStyle w:val="ListBullet"/>
      </w:pPr>
      <w:r>
        <w:t xml:space="preserve">consumers’ consciousness of the risks of obesity </w:t>
      </w:r>
    </w:p>
    <w:p w14:paraId="1EA39465" w14:textId="77777777" w:rsidR="00E24220" w:rsidRDefault="00693533" w:rsidP="009D0F32">
      <w:pPr>
        <w:pStyle w:val="ListBullet"/>
      </w:pPr>
      <w:r>
        <w:t xml:space="preserve">consumer resistance </w:t>
      </w:r>
      <w:r w:rsidR="00E24220">
        <w:t>and public</w:t>
      </w:r>
      <w:r>
        <w:t xml:space="preserve"> acceptance. </w:t>
      </w:r>
    </w:p>
    <w:p w14:paraId="1EA39466" w14:textId="77777777" w:rsidR="00693533" w:rsidRDefault="00693533" w:rsidP="00693533">
      <w:pPr>
        <w:pStyle w:val="BodyText"/>
      </w:pPr>
      <w:r>
        <w:t xml:space="preserve">This would inform any policy </w:t>
      </w:r>
      <w:r w:rsidRPr="00F31E94">
        <w:t xml:space="preserve">action in Australia. </w:t>
      </w:r>
    </w:p>
    <w:p w14:paraId="1EA39467" w14:textId="77777777" w:rsidR="00693533" w:rsidRDefault="00467C26" w:rsidP="00693533">
      <w:pPr>
        <w:pStyle w:val="BodyText"/>
        <w:rPr>
          <w:szCs w:val="24"/>
        </w:rPr>
      </w:pPr>
      <w:r>
        <w:t>T</w:t>
      </w:r>
      <w:r w:rsidR="00693533">
        <w:t>here are several other issues that should be explored in developing any SSB tax.</w:t>
      </w:r>
    </w:p>
    <w:p w14:paraId="1EA39468" w14:textId="77777777" w:rsidR="007570E6" w:rsidRDefault="007570E6" w:rsidP="003D7F4C">
      <w:pPr>
        <w:pStyle w:val="Heading4"/>
      </w:pPr>
      <w:r>
        <w:t>Design issues</w:t>
      </w:r>
    </w:p>
    <w:p w14:paraId="1EA39469" w14:textId="77777777" w:rsidR="00BC6DB8" w:rsidRDefault="00DA440B" w:rsidP="00603D7C">
      <w:pPr>
        <w:pStyle w:val="BodyText"/>
      </w:pPr>
      <w:r>
        <w:t xml:space="preserve">Were an SSB introduced, it </w:t>
      </w:r>
      <w:r w:rsidR="00133B1A">
        <w:t xml:space="preserve">should be either a </w:t>
      </w:r>
      <w:r w:rsidR="00693533">
        <w:t xml:space="preserve">sugar </w:t>
      </w:r>
      <w:r w:rsidR="00133B1A">
        <w:t xml:space="preserve">volumetric tax </w:t>
      </w:r>
      <w:r w:rsidR="00BC6DB8" w:rsidRPr="00BC6DB8">
        <w:rPr>
          <w:szCs w:val="24"/>
        </w:rPr>
        <w:t>(as proposed by Duckett and Swerissen 2016)</w:t>
      </w:r>
      <w:r w:rsidR="00BC6DB8">
        <w:t xml:space="preserve"> </w:t>
      </w:r>
      <w:r w:rsidR="00133B1A">
        <w:t xml:space="preserve">or a </w:t>
      </w:r>
      <w:r w:rsidR="00693533">
        <w:t xml:space="preserve">sugar </w:t>
      </w:r>
      <w:r w:rsidR="00133B1A">
        <w:t xml:space="preserve">volumetric tax with an exemption for SSBs with sugar content below a given percentage. </w:t>
      </w:r>
      <w:r w:rsidR="00BC6DB8">
        <w:t>The former is likely to be simpler to implement, while the latter creates particularly strong incentives for manufactures to reformulate their products, with no accompanying income effects for consumers.</w:t>
      </w:r>
    </w:p>
    <w:p w14:paraId="1EA3946A" w14:textId="77777777" w:rsidR="00133B1A" w:rsidRDefault="00BC6DB8" w:rsidP="00603D7C">
      <w:pPr>
        <w:pStyle w:val="BodyText"/>
      </w:pPr>
      <w:r>
        <w:t>Any</w:t>
      </w:r>
      <w:r w:rsidR="00133B1A">
        <w:t xml:space="preserve"> tax should </w:t>
      </w:r>
      <w:r w:rsidR="00133B1A" w:rsidRPr="00BC6DB8">
        <w:rPr>
          <w:i/>
        </w:rPr>
        <w:t>not</w:t>
      </w:r>
      <w:r w:rsidR="00133B1A">
        <w:t xml:space="preserve"> be an ad val</w:t>
      </w:r>
      <w:r w:rsidR="003D7F4C">
        <w:t>o</w:t>
      </w:r>
      <w:r w:rsidR="00133B1A">
        <w:t xml:space="preserve">rem tax on SSBs, nor should it be a tax of a given value per litre of SSB (as proposed for the </w:t>
      </w:r>
      <w:r w:rsidR="0083038E">
        <w:t>United Kingdom</w:t>
      </w:r>
      <w:r w:rsidR="00133B1A">
        <w:t>). Both of these are likely to produce perverse outcomes</w:t>
      </w:r>
      <w:r w:rsidR="003D7F4C">
        <w:t>.</w:t>
      </w:r>
    </w:p>
    <w:p w14:paraId="1EA3946B" w14:textId="77777777" w:rsidR="007570E6" w:rsidRDefault="007570E6" w:rsidP="003D7F4C">
      <w:pPr>
        <w:pStyle w:val="Heading4"/>
      </w:pPr>
      <w:r>
        <w:t>Consumer behaviour — some significant uncertainties remain</w:t>
      </w:r>
    </w:p>
    <w:p w14:paraId="1EA3946C" w14:textId="77777777" w:rsidR="00FD0432" w:rsidRDefault="007570E6" w:rsidP="00603D7C">
      <w:pPr>
        <w:pStyle w:val="BodyText"/>
      </w:pPr>
      <w:r>
        <w:t>N</w:t>
      </w:r>
      <w:r w:rsidR="00133B1A">
        <w:t xml:space="preserve">ot enough is known about the behaviour of consumers to be certain about impacts. </w:t>
      </w:r>
      <w:r>
        <w:t xml:space="preserve">There are several dimensions to this uncertainty, and they could mean that the </w:t>
      </w:r>
      <w:r w:rsidR="00FD0432">
        <w:t>effects</w:t>
      </w:r>
      <w:r>
        <w:t xml:space="preserve"> on sugar consumption could be more or less than </w:t>
      </w:r>
      <w:r w:rsidR="00D25DBD">
        <w:t xml:space="preserve">modelled in studies of the </w:t>
      </w:r>
      <w:r w:rsidR="003D7F4C">
        <w:t>impacts</w:t>
      </w:r>
      <w:r w:rsidR="00FD0432">
        <w:t xml:space="preserve"> of SSB taxes.</w:t>
      </w:r>
    </w:p>
    <w:p w14:paraId="1EA3946D" w14:textId="77777777" w:rsidR="00263433" w:rsidRDefault="00FD0432" w:rsidP="00603D7C">
      <w:pPr>
        <w:pStyle w:val="BodyText"/>
      </w:pPr>
      <w:r>
        <w:t>The SSB market is highly differentiated, so that there is a large variety of drink types, volumes per container, pack sizes of containers and sugar conten</w:t>
      </w:r>
      <w:r w:rsidR="00B347EC">
        <w:t>t per litre.</w:t>
      </w:r>
      <w:r>
        <w:t xml:space="preserve"> Different market </w:t>
      </w:r>
      <w:r w:rsidR="00B347EC">
        <w:t>segments</w:t>
      </w:r>
      <w:r>
        <w:t xml:space="preserve"> reflect the preferences of different consumer groups. In other words, the</w:t>
      </w:r>
      <w:r w:rsidR="00B347EC">
        <w:t>re is no single</w:t>
      </w:r>
      <w:r>
        <w:t xml:space="preserve"> market for SSBs</w:t>
      </w:r>
      <w:r w:rsidR="00E04108">
        <w:t xml:space="preserve"> and no ‘representative’ consumer</w:t>
      </w:r>
      <w:r w:rsidR="00263433">
        <w:t>.</w:t>
      </w:r>
      <w:r w:rsidR="00B347EC">
        <w:t xml:space="preserve"> </w:t>
      </w:r>
      <w:r w:rsidR="00263433">
        <w:t xml:space="preserve">Beyond the fact that consumption decreases with higher socioeconomic status, there is </w:t>
      </w:r>
      <w:r w:rsidR="00827015">
        <w:t>limited</w:t>
      </w:r>
      <w:r w:rsidR="00263433">
        <w:t xml:space="preserve"> publicly available </w:t>
      </w:r>
      <w:r w:rsidR="00827015">
        <w:t>information</w:t>
      </w:r>
      <w:r w:rsidR="00263433">
        <w:t xml:space="preserve"> about the degree to which different groups consume SSBs. One of the few available studies found that in Norway, 5 per cent of household</w:t>
      </w:r>
      <w:r w:rsidR="0079269F">
        <w:t xml:space="preserve">s had </w:t>
      </w:r>
      <w:r w:rsidR="00263433">
        <w:t>consumption of SSBs of 206 litres per person, 35 per cent had consumption levels of less than 20 litres per year, while the average annual consumption was 61</w:t>
      </w:r>
      <w:r w:rsidR="000035BB">
        <w:t> </w:t>
      </w:r>
      <w:r w:rsidR="00263433">
        <w:t>litres per year</w:t>
      </w:r>
      <w:r w:rsidR="00970EBB">
        <w:t> </w:t>
      </w:r>
      <w:r w:rsidR="00970EBB" w:rsidRPr="00970EBB">
        <w:rPr>
          <w:szCs w:val="24"/>
        </w:rPr>
        <w:t>(Bonnet and Réquillart 2016)</w:t>
      </w:r>
      <w:r w:rsidR="00263433">
        <w:t xml:space="preserve">. The Australian Beverages Council noted that while the contribution of SSBs to energy intakes is relatively low across the Australia population, it is high among those who </w:t>
      </w:r>
      <w:r w:rsidR="00866D9B">
        <w:t>consume</w:t>
      </w:r>
      <w:r w:rsidR="00263433">
        <w:t xml:space="preserve"> them on a regular basis — which suggests that the Norwegian result is not anomalous</w:t>
      </w:r>
      <w:r w:rsidR="00634907">
        <w:t> </w:t>
      </w:r>
      <w:r w:rsidR="00634907" w:rsidRPr="00634907">
        <w:rPr>
          <w:szCs w:val="24"/>
        </w:rPr>
        <w:t>(Australian Beverages Council 2016)</w:t>
      </w:r>
      <w:r w:rsidR="00263433">
        <w:t>.</w:t>
      </w:r>
      <w:r w:rsidR="00736B69">
        <w:t xml:space="preserve"> As noted earlier</w:t>
      </w:r>
      <w:r w:rsidR="00467C26">
        <w:t xml:space="preserve"> in box D.1</w:t>
      </w:r>
      <w:r w:rsidR="00736B69">
        <w:t>, there is also some Australian evidence supporting the relatively high use of SSBs among a minority of Australians.</w:t>
      </w:r>
    </w:p>
    <w:p w14:paraId="1EA3946E" w14:textId="77777777" w:rsidR="003F147A" w:rsidRDefault="003F147A" w:rsidP="003F147A">
      <w:pPr>
        <w:pStyle w:val="BodyText"/>
      </w:pPr>
      <w:r>
        <w:t xml:space="preserve">Many analyses do not consider consumer heterogeneity in their modelling of the impacts of SSBs </w:t>
      </w:r>
      <w:r w:rsidRPr="00B347EC">
        <w:rPr>
          <w:szCs w:val="24"/>
        </w:rPr>
        <w:t>(Duckett and Swerissen 2016)</w:t>
      </w:r>
      <w:r>
        <w:t xml:space="preserve">. Whether that simplifying assumption matters to the outcomes of any sugar tax is not clear. </w:t>
      </w:r>
    </w:p>
    <w:p w14:paraId="1EA3946F" w14:textId="3DF10867" w:rsidR="003F147A" w:rsidRDefault="003F147A" w:rsidP="009012EE">
      <w:pPr>
        <w:pStyle w:val="BodyText"/>
      </w:pPr>
      <w:r>
        <w:t>To the extent that heavy users choose the cheapest sources of SSBs (home</w:t>
      </w:r>
      <w:r>
        <w:noBreakHyphen/>
        <w:t>brand drinks), the price effects of a volumetric sugar tax will be large (box D.2). For any given degree of price responsiveness,</w:t>
      </w:r>
      <w:r w:rsidRPr="003D243B">
        <w:rPr>
          <w:rStyle w:val="FootnoteReference"/>
        </w:rPr>
        <w:footnoteReference w:id="73"/>
      </w:r>
      <w:r>
        <w:t xml:space="preserve"> this suggests that they will reduce consumption of </w:t>
      </w:r>
      <w:r w:rsidR="00206601">
        <w:t>lower</w:t>
      </w:r>
      <w:r w:rsidR="00206601">
        <w:noBreakHyphen/>
        <w:t>priced</w:t>
      </w:r>
      <w:r>
        <w:t xml:space="preserve"> SSBs. There is likely to be some displacement of consumption to more expensive brand name SSBs, but for any given budget, that displacement may not be high. In other words, the income effects of price increases are also likely to be important determinants of the outcome. In this instance, a sugar tax may be effective at targeting heavy users of SSBs</w:t>
      </w:r>
      <w:r w:rsidR="006E7094">
        <w:t>.</w:t>
      </w:r>
    </w:p>
    <w:p w14:paraId="1EA39470" w14:textId="77777777" w:rsidR="00693533" w:rsidRDefault="00693533" w:rsidP="00393564">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693533" w14:paraId="1EA39472" w14:textId="77777777" w:rsidTr="00FA4F28">
        <w:tc>
          <w:tcPr>
            <w:tcW w:w="5000" w:type="pct"/>
            <w:tcBorders>
              <w:top w:val="single" w:sz="6" w:space="0" w:color="78A22F"/>
              <w:left w:val="nil"/>
              <w:bottom w:val="nil"/>
              <w:right w:val="nil"/>
            </w:tcBorders>
            <w:shd w:val="clear" w:color="auto" w:fill="F2F2F2"/>
          </w:tcPr>
          <w:p w14:paraId="1EA39471" w14:textId="77777777" w:rsidR="00693533" w:rsidRDefault="00693533" w:rsidP="00644825">
            <w:pPr>
              <w:pStyle w:val="BoxTitle"/>
            </w:pPr>
            <w:r w:rsidRPr="00944790">
              <w:rPr>
                <w:b w:val="0"/>
              </w:rPr>
              <w:t>Box</w:t>
            </w:r>
            <w:r w:rsidRPr="00593967">
              <w:rPr>
                <w:b w:val="0"/>
              </w:rPr>
              <w:t xml:space="preserve"> </w:t>
            </w:r>
            <w:r w:rsidR="00644825" w:rsidRPr="00944790">
              <w:rPr>
                <w:b w:val="0"/>
              </w:rPr>
              <w:t>D.</w:t>
            </w:r>
            <w:r w:rsidR="00A92AF1" w:rsidRPr="00944790">
              <w:rPr>
                <w:b w:val="0"/>
              </w:rPr>
              <w:t>2</w:t>
            </w:r>
            <w:r w:rsidRPr="00AF098D">
              <w:tab/>
              <w:t>The</w:t>
            </w:r>
            <w:r>
              <w:t xml:space="preserve"> Grattan Institute’s tax proposal and product heterogeneity</w:t>
            </w:r>
          </w:p>
        </w:tc>
      </w:tr>
      <w:tr w:rsidR="00693533" w14:paraId="1EA39475" w14:textId="77777777" w:rsidTr="00FA4F28">
        <w:tc>
          <w:tcPr>
            <w:tcW w:w="5000" w:type="pct"/>
            <w:tcBorders>
              <w:top w:val="nil"/>
              <w:left w:val="nil"/>
              <w:bottom w:val="nil"/>
              <w:right w:val="nil"/>
            </w:tcBorders>
            <w:shd w:val="clear" w:color="auto" w:fill="F2F2F2"/>
          </w:tcPr>
          <w:p w14:paraId="1EA39473" w14:textId="77777777" w:rsidR="00693533" w:rsidRDefault="00693533" w:rsidP="00693533">
            <w:pPr>
              <w:pStyle w:val="Box"/>
            </w:pPr>
            <w:r>
              <w:t xml:space="preserve">The Grattan Institute </w:t>
            </w:r>
            <w:r w:rsidR="00154E2D">
              <w:t>recommended an excise tax of 40 cents per 100 </w:t>
            </w:r>
            <w:r>
              <w:t xml:space="preserve">grams of sugar in SSBs. Assuming full price pass-through, such a tax would raise the price of soft drinks by between 30 and 51 cents per litre, reflecting variations in the sugar content of popular SSBs. A standard can of soft drink would increase in price by </w:t>
            </w:r>
            <w:r w:rsidR="000039AE">
              <w:t>about</w:t>
            </w:r>
            <w:r>
              <w:t xml:space="preserve"> 15</w:t>
            </w:r>
            <w:r w:rsidR="00894EB1">
              <w:t> </w:t>
            </w:r>
            <w:r>
              <w:t>cents.</w:t>
            </w:r>
          </w:p>
          <w:p w14:paraId="1EA39474" w14:textId="77777777" w:rsidR="00693533" w:rsidRDefault="00693533" w:rsidP="00736B69">
            <w:pPr>
              <w:pStyle w:val="Box"/>
            </w:pPr>
            <w:r>
              <w:t>As in the case of a volumetric excise on alcohol, the variations in the content of sugar and the large price variations between brands means that the percentage increase in prices is even more variable. The variability principally reflects the low prices per litre of unbranded SSBs and the regular practice of discounting. In addition, there is a strong association between the per container litre size of soft drinks and their price. Using the data collected by the Commission, a 10</w:t>
            </w:r>
            <w:r w:rsidR="00736B69">
              <w:t> </w:t>
            </w:r>
            <w:r>
              <w:t>per cent increase in the per unit product size decreased the retail price by 6 per cent per litre. Consequently, all things being equal, a sugar tax will increase the price of unbranded products by much more than branded ones, and have a much bigger proportionate effect on soft drinks that come in larger sizes.</w:t>
            </w:r>
          </w:p>
        </w:tc>
      </w:tr>
      <w:tr w:rsidR="00693533" w14:paraId="1EA39477" w14:textId="77777777" w:rsidTr="00FA4F28">
        <w:tc>
          <w:tcPr>
            <w:tcW w:w="5000" w:type="pct"/>
            <w:tcBorders>
              <w:top w:val="nil"/>
              <w:left w:val="nil"/>
              <w:bottom w:val="nil"/>
              <w:right w:val="nil"/>
            </w:tcBorders>
            <w:shd w:val="clear" w:color="auto" w:fill="F2F2F2"/>
          </w:tcPr>
          <w:p w14:paraId="1EA39476" w14:textId="77777777" w:rsidR="00693533" w:rsidRDefault="00693533" w:rsidP="00736B69">
            <w:pPr>
              <w:pStyle w:val="Box"/>
            </w:pPr>
            <w:r>
              <w:t>I</w:t>
            </w:r>
            <w:r w:rsidRPr="006E37C9">
              <w:rPr>
                <w:b/>
              </w:rPr>
              <w:t>ncrease in soft drink prices after 40 cents per 100 gram excise, Australia</w:t>
            </w:r>
            <w:r w:rsidR="006E37C9" w:rsidRPr="006E37C9">
              <w:rPr>
                <w:b/>
              </w:rPr>
              <w:t>,</w:t>
            </w:r>
            <w:r w:rsidR="006E37C9">
              <w:rPr>
                <w:b/>
              </w:rPr>
              <w:t xml:space="preserve"> </w:t>
            </w:r>
            <w:r w:rsidRPr="006E37C9">
              <w:rPr>
                <w:b/>
              </w:rPr>
              <w:t>22 July 2017</w:t>
            </w:r>
            <w:r w:rsidR="00736B69" w:rsidRPr="00736B69">
              <w:rPr>
                <w:rStyle w:val="NoteLabel"/>
              </w:rPr>
              <w:t>a</w:t>
            </w:r>
          </w:p>
        </w:tc>
      </w:tr>
      <w:tr w:rsidR="00693533" w14:paraId="1EA39479" w14:textId="77777777" w:rsidTr="00FA4F28">
        <w:tc>
          <w:tcPr>
            <w:tcW w:w="5000" w:type="pct"/>
            <w:tcBorders>
              <w:top w:val="nil"/>
              <w:left w:val="nil"/>
              <w:bottom w:val="nil"/>
              <w:right w:val="nil"/>
            </w:tcBorders>
            <w:shd w:val="clear" w:color="auto" w:fill="F2F2F2"/>
          </w:tcPr>
          <w:p w14:paraId="1EA39478" w14:textId="77777777" w:rsidR="00693533" w:rsidRDefault="00693533" w:rsidP="00693533">
            <w:pPr>
              <w:pStyle w:val="Box"/>
            </w:pPr>
            <w:r>
              <w:rPr>
                <w:noProof/>
              </w:rPr>
              <w:drawing>
                <wp:inline distT="0" distB="0" distL="0" distR="0" wp14:anchorId="1EA39666" wp14:editId="26772C6F">
                  <wp:extent cx="5407660" cy="2707005"/>
                  <wp:effectExtent l="0" t="0" r="2540" b="0"/>
                  <wp:docPr id="22" name="Picture 22" descr="This shows the price increase in sweetened beverages following a tax of 40 cents per 100 grams of sugar by different types of soft drinks – across standard brands and supermarkets’’ own brands. The increases range from 6 per cent to 72 per cent, reflecting different sugar content and different original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7660" cy="2707005"/>
                          </a:xfrm>
                          <a:prstGeom prst="rect">
                            <a:avLst/>
                          </a:prstGeom>
                          <a:noFill/>
                        </pic:spPr>
                      </pic:pic>
                    </a:graphicData>
                  </a:graphic>
                </wp:inline>
              </w:drawing>
            </w:r>
          </w:p>
        </w:tc>
      </w:tr>
      <w:tr w:rsidR="00693533" w14:paraId="1EA3947B" w14:textId="77777777" w:rsidTr="00FA4F28">
        <w:tc>
          <w:tcPr>
            <w:tcW w:w="5000" w:type="pct"/>
            <w:tcBorders>
              <w:top w:val="nil"/>
              <w:left w:val="nil"/>
              <w:bottom w:val="nil"/>
              <w:right w:val="nil"/>
            </w:tcBorders>
            <w:shd w:val="clear" w:color="auto" w:fill="F2F2F2"/>
          </w:tcPr>
          <w:p w14:paraId="1EA3947A" w14:textId="77777777" w:rsidR="00693533" w:rsidRDefault="00736B69" w:rsidP="00736B69">
            <w:pPr>
              <w:pStyle w:val="Box"/>
            </w:pPr>
            <w:r>
              <w:rPr>
                <w:rStyle w:val="NoteLabel"/>
              </w:rPr>
              <w:t>a</w:t>
            </w:r>
            <w:r>
              <w:t xml:space="preserve"> Based on online prices collected by the Productivity Commission for a range of popular soft drinks, including own-name brands from Woolworths and Coles stores.</w:t>
            </w:r>
          </w:p>
        </w:tc>
      </w:tr>
      <w:tr w:rsidR="00693533" w14:paraId="1EA3947D" w14:textId="77777777" w:rsidTr="00FA4F28">
        <w:tc>
          <w:tcPr>
            <w:tcW w:w="5000" w:type="pct"/>
            <w:tcBorders>
              <w:top w:val="nil"/>
              <w:left w:val="nil"/>
              <w:bottom w:val="single" w:sz="6" w:space="0" w:color="78A22F"/>
              <w:right w:val="nil"/>
            </w:tcBorders>
            <w:shd w:val="clear" w:color="auto" w:fill="F2F2F2"/>
          </w:tcPr>
          <w:p w14:paraId="1EA3947C" w14:textId="77777777" w:rsidR="00693533" w:rsidRDefault="00693533">
            <w:pPr>
              <w:pStyle w:val="Box"/>
              <w:spacing w:before="0" w:line="120" w:lineRule="exact"/>
            </w:pPr>
          </w:p>
        </w:tc>
      </w:tr>
      <w:tr w:rsidR="00693533" w:rsidRPr="000863A5" w14:paraId="1EA3947F" w14:textId="77777777" w:rsidTr="00FA4F28">
        <w:tc>
          <w:tcPr>
            <w:tcW w:w="5000" w:type="pct"/>
            <w:tcBorders>
              <w:top w:val="single" w:sz="6" w:space="0" w:color="78A22F"/>
              <w:left w:val="nil"/>
              <w:bottom w:val="nil"/>
              <w:right w:val="nil"/>
            </w:tcBorders>
          </w:tcPr>
          <w:p w14:paraId="1EA3947E" w14:textId="77777777" w:rsidR="00693533" w:rsidRPr="00626D32" w:rsidRDefault="00693533" w:rsidP="00FA4F28">
            <w:pPr>
              <w:pStyle w:val="BoxSpaceBelow"/>
            </w:pPr>
          </w:p>
        </w:tc>
      </w:tr>
    </w:tbl>
    <w:p w14:paraId="1EA39480" w14:textId="77777777" w:rsidR="006E7094" w:rsidRDefault="006E7094" w:rsidP="006E7094">
      <w:pPr>
        <w:pStyle w:val="BodyText"/>
      </w:pPr>
      <w:r>
        <w:t>To the extent that heavy users of SSBs are habituated to SSB consumption, then their price responsiveness may be lower than other groups, which would also increase the regressivity of a tax.</w:t>
      </w:r>
    </w:p>
    <w:p w14:paraId="1EA39481" w14:textId="77777777" w:rsidR="006E7094" w:rsidRDefault="006E7094" w:rsidP="006E7094">
      <w:pPr>
        <w:pStyle w:val="BodyText"/>
      </w:pPr>
      <w:r>
        <w:t xml:space="preserve">Behavioural economics suggests that people sometimes behave in ways that are not in accordance with standard economic theory. For instance, </w:t>
      </w:r>
      <w:r w:rsidRPr="00626494">
        <w:rPr>
          <w:i/>
        </w:rPr>
        <w:t>some</w:t>
      </w:r>
      <w:r>
        <w:t xml:space="preserve"> groups of people may adopt a ‘mental account’ that sets a budget for their SSBs and an annual number of litres. Pre-tax, some in that group will prefer brand name SSBs in smaller drink volume containers, lower sugar content per litre, and small pack sizes. However, to maximise the share of their consumption devoted to their originally preferred SSBs, while maintaining their original budget and beverage volume, they will need to change the mix of their drink to include cheaper SSBs. Using real life products, we found that this can increase annual sugar intakes. Whether, in fact, many consumers will behave that way is untested, but it cannot be assumed that some behavioural quirks of this nature will not occur for some sub</w:t>
      </w:r>
      <w:r>
        <w:noBreakHyphen/>
        <w:t xml:space="preserve">groups (recognising the substantial heterogeneity of consumers). On the other hand, it is possible to conceive of behaviours that for some groups accentuate the sugar reduction beyond that anticipated by a sugar tax and standard theory. </w:t>
      </w:r>
    </w:p>
    <w:p w14:paraId="1EA39482" w14:textId="77777777" w:rsidR="006E7094" w:rsidRDefault="006E7094" w:rsidP="006E7094">
      <w:pPr>
        <w:pStyle w:val="BodyText"/>
      </w:pPr>
      <w:r>
        <w:t>Beyond reformulation of their products to lower sugar levels, retailers and beverage manufacturers may also react to taxes through marketing and promotions, with unclear impacts on the nature of demand. There can be no assumption that businesses will be passive.</w:t>
      </w:r>
    </w:p>
    <w:p w14:paraId="1EA39483" w14:textId="77777777" w:rsidR="007C2AA2" w:rsidRDefault="007C2AA2" w:rsidP="007C2AA2">
      <w:pPr>
        <w:pStyle w:val="Heading4"/>
      </w:pPr>
      <w:r>
        <w:t>Acceptability</w:t>
      </w:r>
    </w:p>
    <w:p w14:paraId="1EA39484" w14:textId="2F4D50FB" w:rsidR="007C2AA2" w:rsidRDefault="007C2AA2" w:rsidP="00603D7C">
      <w:pPr>
        <w:pStyle w:val="BodyText"/>
      </w:pPr>
      <w:r>
        <w:t>There are diverging views about the acceptability of SSB taxes among the public</w:t>
      </w:r>
      <w:r w:rsidR="00B33908">
        <w:t>. H</w:t>
      </w:r>
      <w:r w:rsidR="00965F37">
        <w:t xml:space="preserve">ow any intervention is framed affects </w:t>
      </w:r>
      <w:r w:rsidR="00EA352F">
        <w:t>the answers</w:t>
      </w:r>
      <w:r w:rsidR="00965F37">
        <w:t>.</w:t>
      </w:r>
      <w:r w:rsidR="00EA352F">
        <w:t xml:space="preserve"> </w:t>
      </w:r>
      <w:r w:rsidR="008F67D7">
        <w:t>Not surprisingly</w:t>
      </w:r>
      <w:r w:rsidR="00467C26">
        <w:t>,</w:t>
      </w:r>
      <w:r w:rsidR="008F67D7">
        <w:t xml:space="preserve"> the results vary across countries, though there are some common aspects to </w:t>
      </w:r>
      <w:r w:rsidR="00467C26">
        <w:t>attitudes</w:t>
      </w:r>
      <w:r w:rsidR="008F67D7">
        <w:t xml:space="preserve"> </w:t>
      </w:r>
      <w:r w:rsidR="00467C26">
        <w:t>to SSB</w:t>
      </w:r>
      <w:r w:rsidR="008F67D7">
        <w:t xml:space="preserve"> taxes.</w:t>
      </w:r>
    </w:p>
    <w:p w14:paraId="1EA39485" w14:textId="77777777" w:rsidR="00C97151" w:rsidRDefault="00C97151" w:rsidP="00F175B1">
      <w:pPr>
        <w:pStyle w:val="ListBullet"/>
      </w:pPr>
      <w:r>
        <w:t xml:space="preserve">A national US survey found a majority of people were opposed to SSB taxes, agreeing with propositions that they were a revenue rather than a harm minimisation measure, an unacceptable intrusion into people’s lives, and harmful to the poor. The authors concluded that it would be hard to obtain support in the </w:t>
      </w:r>
      <w:r w:rsidR="0083038E">
        <w:t>United States</w:t>
      </w:r>
      <w:r>
        <w:t xml:space="preserve"> for SSBs</w:t>
      </w:r>
      <w:r w:rsidR="00F247AD">
        <w:t>,</w:t>
      </w:r>
      <w:r>
        <w:t xml:space="preserve"> without developing compelling pro</w:t>
      </w:r>
      <w:r>
        <w:noBreakHyphen/>
        <w:t>tax messages</w:t>
      </w:r>
      <w:r w:rsidR="00B53E07">
        <w:t> </w:t>
      </w:r>
      <w:r w:rsidR="00B53E07" w:rsidRPr="00B53E07">
        <w:rPr>
          <w:szCs w:val="24"/>
        </w:rPr>
        <w:t>(Barry, Niederdeppe and Gollust 2013)</w:t>
      </w:r>
      <w:r>
        <w:t>.</w:t>
      </w:r>
    </w:p>
    <w:p w14:paraId="1EA39486" w14:textId="77777777" w:rsidR="007C2AA2" w:rsidRDefault="00EA352F" w:rsidP="00F175B1">
      <w:pPr>
        <w:pStyle w:val="ListBullet"/>
      </w:pPr>
      <w:r>
        <w:t xml:space="preserve">In one US study, support was higher among people who attributed obesity to environmental factors, rather than personal choice, but </w:t>
      </w:r>
      <w:r w:rsidR="00397C9E">
        <w:t>an overall</w:t>
      </w:r>
      <w:r>
        <w:t xml:space="preserve"> majority of people did not support a tax</w:t>
      </w:r>
      <w:r w:rsidR="00B53E07">
        <w:t> </w:t>
      </w:r>
      <w:r w:rsidR="00B53E07" w:rsidRPr="00B53E07">
        <w:rPr>
          <w:szCs w:val="24"/>
        </w:rPr>
        <w:t>(Curry et al. 2017)</w:t>
      </w:r>
      <w:r w:rsidR="00397C9E">
        <w:t>. Another US state</w:t>
      </w:r>
      <w:r w:rsidR="00397C9E">
        <w:noBreakHyphen/>
        <w:t>based survey found 50 per cent approved the implementation of an SSB, with support greatest among those who considered SSBs were implicated in childhood obesity</w:t>
      </w:r>
      <w:r w:rsidR="00B53E07">
        <w:t> </w:t>
      </w:r>
      <w:r w:rsidR="00B53E07" w:rsidRPr="00B53E07">
        <w:rPr>
          <w:szCs w:val="24"/>
        </w:rPr>
        <w:t>(Donaldson et al. 2015)</w:t>
      </w:r>
      <w:r w:rsidR="00397C9E">
        <w:t>. Interestingly, people who had been advised by a health care professional to lose weight were less in favour of the tax.</w:t>
      </w:r>
    </w:p>
    <w:p w14:paraId="1EA39487" w14:textId="77777777" w:rsidR="008137F7" w:rsidRDefault="008137F7" w:rsidP="00F175B1">
      <w:pPr>
        <w:pStyle w:val="ListBullet"/>
      </w:pPr>
      <w:r>
        <w:t xml:space="preserve">A national French survey found that </w:t>
      </w:r>
      <w:r w:rsidR="000039AE">
        <w:t>about</w:t>
      </w:r>
      <w:r>
        <w:t xml:space="preserve"> half of the population supported an SSB (which was launched in 2012), and </w:t>
      </w:r>
      <w:r w:rsidR="000039AE">
        <w:t xml:space="preserve">about </w:t>
      </w:r>
      <w:r>
        <w:t>60 per cent thought it would improve population health. Support was greater if the revenue generated was used to improve the health care system</w:t>
      </w:r>
      <w:r w:rsidR="00B53E07">
        <w:t> </w:t>
      </w:r>
      <w:r w:rsidR="00B53E07" w:rsidRPr="00B53E07">
        <w:rPr>
          <w:szCs w:val="24"/>
        </w:rPr>
        <w:t>(Julia et al. 2015)</w:t>
      </w:r>
      <w:r>
        <w:t>.</w:t>
      </w:r>
    </w:p>
    <w:p w14:paraId="1EA39488" w14:textId="77777777" w:rsidR="00155861" w:rsidRDefault="005769D2" w:rsidP="00F175B1">
      <w:pPr>
        <w:pStyle w:val="ListBullet"/>
      </w:pPr>
      <w:r>
        <w:t>The Australian Beverages Council cites an Australian poll that found the two measures that Australians identified as being least effective and supported in addressing obesity were a tax on soft drinks and restrictions on where parents can give their children soft drinks</w:t>
      </w:r>
      <w:r w:rsidR="00B53E07">
        <w:t> </w:t>
      </w:r>
      <w:r w:rsidR="00B53E07" w:rsidRPr="00B53E07">
        <w:rPr>
          <w:szCs w:val="24"/>
        </w:rPr>
        <w:t>(Australian Beverages Council 2016)</w:t>
      </w:r>
      <w:r>
        <w:t>. The survey is not publicly available.</w:t>
      </w:r>
    </w:p>
    <w:p w14:paraId="1EA39489" w14:textId="77777777" w:rsidR="00155861" w:rsidRDefault="00155861" w:rsidP="00F175B1">
      <w:pPr>
        <w:pStyle w:val="ListBullet"/>
      </w:pPr>
      <w:r>
        <w:t xml:space="preserve">Another Australian national survey found </w:t>
      </w:r>
      <w:r w:rsidR="000039AE">
        <w:t>approximately</w:t>
      </w:r>
      <w:r w:rsidR="00C97151">
        <w:t xml:space="preserve"> 70 per cent</w:t>
      </w:r>
      <w:r>
        <w:t xml:space="preserve"> of main grocery purchasers </w:t>
      </w:r>
      <w:r w:rsidR="00F175B1">
        <w:t>were strongly or somewhat in favour of</w:t>
      </w:r>
      <w:r>
        <w:t xml:space="preserve"> </w:t>
      </w:r>
      <w:r w:rsidR="00C97151">
        <w:t xml:space="preserve">‘taxing soft drinks to reduce the cost of healthy food’, but oddly only </w:t>
      </w:r>
      <w:r w:rsidR="000039AE">
        <w:t>about</w:t>
      </w:r>
      <w:r w:rsidR="00C97151">
        <w:t xml:space="preserve"> 60 per cent favoured ‘taxing unhealthy foods and using the money for health programs’. S</w:t>
      </w:r>
      <w:r>
        <w:t xml:space="preserve">upport </w:t>
      </w:r>
      <w:r w:rsidR="00C97151">
        <w:t xml:space="preserve">for taxes </w:t>
      </w:r>
      <w:r w:rsidR="00F175B1">
        <w:t>was</w:t>
      </w:r>
      <w:r w:rsidR="00C97151">
        <w:t xml:space="preserve"> lowest</w:t>
      </w:r>
      <w:r>
        <w:t xml:space="preserve"> among lower socioeconomic groups</w:t>
      </w:r>
      <w:r w:rsidR="009030F0">
        <w:t> </w:t>
      </w:r>
      <w:r w:rsidR="009030F0" w:rsidRPr="009030F0">
        <w:rPr>
          <w:szCs w:val="24"/>
        </w:rPr>
        <w:t>(Morley et al. 2012)</w:t>
      </w:r>
      <w:r>
        <w:t>.</w:t>
      </w:r>
      <w:r w:rsidR="00C97151">
        <w:t xml:space="preserve"> </w:t>
      </w:r>
      <w:r w:rsidR="00F175B1">
        <w:t>Whether the same results would hold if people were asked whether ‘SSBs should be taxed to reduce their consumption’ is unknown though this corresponds more closely to the policy advocated by public health experts</w:t>
      </w:r>
    </w:p>
    <w:p w14:paraId="1EA3948A" w14:textId="77777777" w:rsidR="00BB256C" w:rsidRDefault="00BB256C" w:rsidP="00F175B1">
      <w:pPr>
        <w:pStyle w:val="ListBullet"/>
      </w:pPr>
      <w:r>
        <w:t xml:space="preserve">A survey of people in the </w:t>
      </w:r>
      <w:r w:rsidR="0083038E">
        <w:t>United States</w:t>
      </w:r>
      <w:r>
        <w:t xml:space="preserve"> and Australia revealed little support for taxes on foods seen as contributing to reduced obesity, principally on the grounds that weight gain was a matter of personal choice </w:t>
      </w:r>
      <w:r w:rsidR="00E45613" w:rsidRPr="00E45613">
        <w:rPr>
          <w:szCs w:val="24"/>
        </w:rPr>
        <w:t>(Lee et al. 2013)</w:t>
      </w:r>
      <w:r w:rsidR="00792975">
        <w:t>. Obese people had lower levels of support for SSB taxes</w:t>
      </w:r>
    </w:p>
    <w:p w14:paraId="1EA3948B" w14:textId="77777777" w:rsidR="00BB256C" w:rsidRDefault="00BB256C" w:rsidP="003A4600">
      <w:pPr>
        <w:pStyle w:val="ListBullet"/>
      </w:pPr>
      <w:r>
        <w:t xml:space="preserve">A </w:t>
      </w:r>
      <w:r w:rsidR="00792975">
        <w:t>citizens</w:t>
      </w:r>
      <w:r>
        <w:t xml:space="preserve">’ jury in Brisbane found most people did not support taxes on fast foods and processed meats, but unanimously </w:t>
      </w:r>
      <w:r w:rsidR="00C6708F">
        <w:t xml:space="preserve">approved SSB taxes </w:t>
      </w:r>
      <w:r w:rsidR="00E45613" w:rsidRPr="00E45613">
        <w:rPr>
          <w:szCs w:val="24"/>
        </w:rPr>
        <w:t>(Moretto et al. 2014)</w:t>
      </w:r>
      <w:r w:rsidR="00ED3D77">
        <w:t xml:space="preserve">. They </w:t>
      </w:r>
      <w:r w:rsidR="0043524B">
        <w:t>fav</w:t>
      </w:r>
      <w:r w:rsidR="00ED3D77">
        <w:t>oured tax rates of 50 to 100 per cent on the value of drinks</w:t>
      </w:r>
      <w:r w:rsidR="003A4600">
        <w:t xml:space="preserve"> (a tax model that would have the unintended impact of generating small price increases for low</w:t>
      </w:r>
      <w:r w:rsidR="003A4600">
        <w:noBreakHyphen/>
        <w:t>priced high</w:t>
      </w:r>
      <w:r w:rsidR="003A4600">
        <w:noBreakHyphen/>
        <w:t>sugar products compared with higher</w:t>
      </w:r>
      <w:r w:rsidR="003A4600">
        <w:noBreakHyphen/>
        <w:t>priced, lower-sugar SSBs)</w:t>
      </w:r>
      <w:r w:rsidR="0043524B">
        <w:t>.</w:t>
      </w:r>
      <w:r w:rsidR="00ED3D77">
        <w:t xml:space="preserve"> </w:t>
      </w:r>
      <w:r w:rsidR="0043524B">
        <w:t xml:space="preserve">It is unlikely that the </w:t>
      </w:r>
      <w:r w:rsidR="003A4600">
        <w:t>views elicited</w:t>
      </w:r>
      <w:r w:rsidR="0043524B">
        <w:t xml:space="preserve"> </w:t>
      </w:r>
      <w:r w:rsidR="003A4600">
        <w:t>through</w:t>
      </w:r>
      <w:r w:rsidR="0043524B">
        <w:t xml:space="preserve"> this process would </w:t>
      </w:r>
      <w:r w:rsidR="003A4600">
        <w:t xml:space="preserve">be replicated by the </w:t>
      </w:r>
      <w:r w:rsidR="00F247AD">
        <w:t>public</w:t>
      </w:r>
      <w:r w:rsidR="0043524B">
        <w:t xml:space="preserve"> given the other survey evidence presented above</w:t>
      </w:r>
      <w:r w:rsidR="003A4600">
        <w:t xml:space="preserve"> and the </w:t>
      </w:r>
      <w:r w:rsidR="00F247AD">
        <w:t>circumstances</w:t>
      </w:r>
      <w:r w:rsidR="003A4600">
        <w:t xml:space="preserve"> in which the views were elicited</w:t>
      </w:r>
      <w:r w:rsidR="0043524B">
        <w:t>.</w:t>
      </w:r>
    </w:p>
    <w:p w14:paraId="1EA3948C" w14:textId="77777777" w:rsidR="00FA0F0B" w:rsidRDefault="00792975" w:rsidP="00FA0F0B">
      <w:pPr>
        <w:pStyle w:val="BodyText"/>
      </w:pPr>
      <w:r>
        <w:t>As is, in part, revealed by the survey results, t</w:t>
      </w:r>
      <w:r w:rsidR="00FA0F0B">
        <w:t xml:space="preserve">he degree to which the state should regulate and tax activities that pose risks to some people also inescapably involves value judgements about the legitimate reach of governments — an issue that can only be resolved through public debate and the political process. </w:t>
      </w:r>
    </w:p>
    <w:p w14:paraId="1EA3948D" w14:textId="77777777" w:rsidR="00D92A3D" w:rsidRDefault="00BC6DB8" w:rsidP="00BC6DB8">
      <w:pPr>
        <w:pStyle w:val="Heading4"/>
      </w:pPr>
      <w:r>
        <w:t>Information requirements</w:t>
      </w:r>
    </w:p>
    <w:p w14:paraId="1EA3948E" w14:textId="77777777" w:rsidR="00CF785F" w:rsidRDefault="008F67D7" w:rsidP="00CF785F">
      <w:pPr>
        <w:pStyle w:val="BodyText"/>
        <w:sectPr w:rsidR="00CF785F" w:rsidSect="00E6063C">
          <w:type w:val="oddPage"/>
          <w:pgSz w:w="11907" w:h="16840" w:code="9"/>
          <w:pgMar w:top="1985" w:right="1304" w:bottom="1247" w:left="1814" w:header="1701" w:footer="397" w:gutter="0"/>
          <w:pgNumType w:chapSep="period"/>
          <w:cols w:space="720"/>
        </w:sectPr>
      </w:pPr>
      <w:r>
        <w:t>Further data would help to clarify some of the key issues relevant to the imposition of SSB taxes. In particular, there would be benefits from better information on the sales volumes of differently priced SSBs, the reaction of consumers to discounts, and links between socioeconomic status and particular consumption patter</w:t>
      </w:r>
      <w:r w:rsidR="008F74E4">
        <w:t>n</w:t>
      </w:r>
      <w:r>
        <w:t>s</w:t>
      </w:r>
      <w:r w:rsidR="008F74E4">
        <w:t>. The major supermarket chains are likely to have the best information for understanding the complex market for SSBs. Engagement with them may be critical in assessing the merits of a tax and in its appropriate level.</w:t>
      </w:r>
      <w:r>
        <w:t xml:space="preserve"> </w:t>
      </w:r>
    </w:p>
    <w:p w14:paraId="1EA3948F" w14:textId="77777777" w:rsidR="008D1331" w:rsidRDefault="003F147A" w:rsidP="00CF785F">
      <w:pPr>
        <w:pStyle w:val="Heading1"/>
      </w:pPr>
      <w:bookmarkStart w:id="162" w:name="_Toc489250113"/>
      <w:r>
        <w:t>References</w:t>
      </w:r>
      <w:bookmarkEnd w:id="162"/>
    </w:p>
    <w:p w14:paraId="1EA39490" w14:textId="159A8CAD" w:rsidR="00767039" w:rsidRDefault="00767039" w:rsidP="00F576FE">
      <w:pPr>
        <w:pStyle w:val="Reference"/>
      </w:pPr>
      <w:r>
        <w:t xml:space="preserve">ABS </w:t>
      </w:r>
      <w:r w:rsidR="00EA6BD9">
        <w:t xml:space="preserve">(Australian Bureau of Statistics) </w:t>
      </w:r>
      <w:r>
        <w:t xml:space="preserve">2008, </w:t>
      </w:r>
      <w:r>
        <w:rPr>
          <w:i/>
          <w:iCs/>
        </w:rPr>
        <w:t>Health Literacy, Australia, 2006</w:t>
      </w:r>
      <w:r>
        <w:t>, 25 June, Cat. no</w:t>
      </w:r>
      <w:r w:rsidR="007D567F">
        <w:t> </w:t>
      </w:r>
      <w:r>
        <w:t>4233.0.</w:t>
      </w:r>
    </w:p>
    <w:p w14:paraId="1EA39491" w14:textId="23AA713D" w:rsidR="00767039" w:rsidRDefault="00767039" w:rsidP="00F576FE">
      <w:pPr>
        <w:pStyle w:val="Reference"/>
      </w:pPr>
      <w:r>
        <w:t>——</w:t>
      </w:r>
      <w:r w:rsidR="00050D33">
        <w:t> </w:t>
      </w:r>
      <w:r>
        <w:t xml:space="preserve">2014, </w:t>
      </w:r>
      <w:r>
        <w:rPr>
          <w:i/>
          <w:iCs/>
        </w:rPr>
        <w:t>Australian Health Survey</w:t>
      </w:r>
      <w:r w:rsidR="002511B5">
        <w:rPr>
          <w:i/>
          <w:iCs/>
        </w:rPr>
        <w:t xml:space="preserve">: Nutrition First Results </w:t>
      </w:r>
      <w:r w:rsidR="00AD6A8A">
        <w:rPr>
          <w:i/>
          <w:iCs/>
        </w:rPr>
        <w:t>—</w:t>
      </w:r>
      <w:r w:rsidR="002511B5">
        <w:rPr>
          <w:i/>
          <w:iCs/>
        </w:rPr>
        <w:t xml:space="preserve"> Foo</w:t>
      </w:r>
      <w:r>
        <w:rPr>
          <w:i/>
          <w:iCs/>
        </w:rPr>
        <w:t>ds and Nutrients , 2011</w:t>
      </w:r>
      <w:r w:rsidR="00031D83">
        <w:rPr>
          <w:i/>
          <w:iCs/>
        </w:rPr>
        <w:noBreakHyphen/>
      </w:r>
      <w:r>
        <w:rPr>
          <w:i/>
          <w:iCs/>
        </w:rPr>
        <w:t>12</w:t>
      </w:r>
      <w:r>
        <w:t>, Cat. no. 4364.0.55.007, Canberra, 9 May.</w:t>
      </w:r>
    </w:p>
    <w:p w14:paraId="1EA39492" w14:textId="1F27897C" w:rsidR="00767039" w:rsidRDefault="00767039" w:rsidP="00F576FE">
      <w:pPr>
        <w:pStyle w:val="Reference"/>
      </w:pPr>
      <w:r>
        <w:t>——</w:t>
      </w:r>
      <w:r w:rsidR="00050D33">
        <w:t> </w:t>
      </w:r>
      <w:r>
        <w:t xml:space="preserve">2015, </w:t>
      </w:r>
      <w:r>
        <w:rPr>
          <w:i/>
          <w:iCs/>
        </w:rPr>
        <w:t>Australian Health Survey: Biomedical Results for Chronic Diseases, 2011</w:t>
      </w:r>
      <w:r w:rsidR="00031D83">
        <w:rPr>
          <w:i/>
          <w:iCs/>
        </w:rPr>
        <w:noBreakHyphen/>
      </w:r>
      <w:r>
        <w:rPr>
          <w:i/>
          <w:iCs/>
        </w:rPr>
        <w:t>12 — Australia</w:t>
      </w:r>
      <w:r>
        <w:t>, Cat. no 4364.0.</w:t>
      </w:r>
    </w:p>
    <w:p w14:paraId="1EA39493" w14:textId="12868418" w:rsidR="00767039" w:rsidRDefault="00767039" w:rsidP="00F576FE">
      <w:pPr>
        <w:pStyle w:val="Reference"/>
      </w:pPr>
      <w:r>
        <w:t>——</w:t>
      </w:r>
      <w:r w:rsidR="00050D33">
        <w:t> </w:t>
      </w:r>
      <w:r>
        <w:t xml:space="preserve">2016a, </w:t>
      </w:r>
      <w:r>
        <w:rPr>
          <w:i/>
          <w:iCs/>
        </w:rPr>
        <w:t>Causes of Death, Australia, 2015</w:t>
      </w:r>
      <w:r>
        <w:t>, 28 September, Cat. no 3303.0.</w:t>
      </w:r>
    </w:p>
    <w:p w14:paraId="1EA39494" w14:textId="55CD79FC" w:rsidR="00767039" w:rsidRDefault="00767039" w:rsidP="00F576FE">
      <w:pPr>
        <w:pStyle w:val="Reference"/>
      </w:pPr>
      <w:r>
        <w:t>——</w:t>
      </w:r>
      <w:r w:rsidR="00050D33">
        <w:t> </w:t>
      </w:r>
      <w:r>
        <w:t xml:space="preserve">2016b, </w:t>
      </w:r>
      <w:r>
        <w:rPr>
          <w:i/>
          <w:iCs/>
        </w:rPr>
        <w:t>Patient Experiences in Australia: Summary of Findings, 2015</w:t>
      </w:r>
      <w:r w:rsidR="00031D83">
        <w:rPr>
          <w:i/>
          <w:iCs/>
        </w:rPr>
        <w:noBreakHyphen/>
      </w:r>
      <w:r>
        <w:rPr>
          <w:i/>
          <w:iCs/>
        </w:rPr>
        <w:t>16</w:t>
      </w:r>
      <w:r>
        <w:t>, 15 November, Cat. no 4839.0.</w:t>
      </w:r>
    </w:p>
    <w:p w14:paraId="1EA39495" w14:textId="77777777" w:rsidR="00767039" w:rsidRDefault="00767039" w:rsidP="00F576FE">
      <w:pPr>
        <w:pStyle w:val="Reference"/>
      </w:pPr>
      <w:r>
        <w:t xml:space="preserve">Accenture 2013, </w:t>
      </w:r>
      <w:r>
        <w:rPr>
          <w:i/>
          <w:iCs/>
        </w:rPr>
        <w:t>Doctors Survey: England Country Profile: Healthcare IT is on the rise in England</w:t>
      </w:r>
      <w:r>
        <w:t>.</w:t>
      </w:r>
    </w:p>
    <w:p w14:paraId="1EA39496" w14:textId="23286385" w:rsidR="00767039" w:rsidRDefault="00767039" w:rsidP="00F576FE">
      <w:pPr>
        <w:pStyle w:val="Reference"/>
      </w:pPr>
      <w:r>
        <w:t xml:space="preserve">ACDPA </w:t>
      </w:r>
      <w:r w:rsidR="005B44E2">
        <w:t xml:space="preserve">(Australian Chronic Disease Prevention Alliance) </w:t>
      </w:r>
      <w:r>
        <w:t xml:space="preserve">2011, </w:t>
      </w:r>
      <w:r>
        <w:rPr>
          <w:i/>
          <w:iCs/>
        </w:rPr>
        <w:t>Alcohol Pricing and Taxation: Position Statement</w:t>
      </w:r>
      <w:r>
        <w:t>, Heart Foundation, Cancer Council Australia, Kidney Health Australia, Diabetes Australia and the Stroke Foundation.</w:t>
      </w:r>
    </w:p>
    <w:p w14:paraId="1EA39497" w14:textId="05715C99" w:rsidR="00767039" w:rsidRDefault="00767039" w:rsidP="00F576FE">
      <w:pPr>
        <w:pStyle w:val="Reference"/>
      </w:pPr>
      <w:r>
        <w:t xml:space="preserve">ACN </w:t>
      </w:r>
      <w:r w:rsidR="005B44E2">
        <w:t xml:space="preserve">(Australian College of Nursing) </w:t>
      </w:r>
      <w:r>
        <w:t xml:space="preserve">2017, </w:t>
      </w:r>
      <w:r>
        <w:rPr>
          <w:i/>
          <w:iCs/>
        </w:rPr>
        <w:t>Submission to the National Digital Health Strategy Consultation</w:t>
      </w:r>
      <w:r>
        <w:t>, Submission.</w:t>
      </w:r>
    </w:p>
    <w:p w14:paraId="1EA39498" w14:textId="5C3D1251" w:rsidR="00767039" w:rsidRDefault="00767039" w:rsidP="00F576FE">
      <w:pPr>
        <w:pStyle w:val="Reference"/>
      </w:pPr>
      <w:r>
        <w:t xml:space="preserve">ACSQHC </w:t>
      </w:r>
      <w:r w:rsidR="009A1470">
        <w:t>(</w:t>
      </w:r>
      <w:r w:rsidR="009A1470" w:rsidRPr="009A1470">
        <w:t>Australian Commission on Safety and Quality in Health Car</w:t>
      </w:r>
      <w:r w:rsidR="009A1470">
        <w:t xml:space="preserve">e) </w:t>
      </w:r>
      <w:r>
        <w:t xml:space="preserve">2012, </w:t>
      </w:r>
      <w:r>
        <w:rPr>
          <w:i/>
          <w:iCs/>
        </w:rPr>
        <w:t>Review of Patient Experience and Satisfaction</w:t>
      </w:r>
      <w:r>
        <w:t>, 5 May.</w:t>
      </w:r>
    </w:p>
    <w:p w14:paraId="1EA39499" w14:textId="3336F1CA" w:rsidR="00767039" w:rsidRDefault="00767039" w:rsidP="00F576FE">
      <w:pPr>
        <w:pStyle w:val="Reference"/>
      </w:pPr>
      <w:r>
        <w:t>——</w:t>
      </w:r>
      <w:r w:rsidR="00050D33">
        <w:t> </w:t>
      </w:r>
      <w:r>
        <w:t xml:space="preserve">2014, </w:t>
      </w:r>
      <w:r>
        <w:rPr>
          <w:i/>
          <w:iCs/>
        </w:rPr>
        <w:t>Health Lit</w:t>
      </w:r>
      <w:r w:rsidR="00031D83">
        <w:rPr>
          <w:i/>
          <w:iCs/>
        </w:rPr>
        <w:t>eracy: Taking action to improve</w:t>
      </w:r>
      <w:r>
        <w:rPr>
          <w:i/>
          <w:iCs/>
        </w:rPr>
        <w:t xml:space="preserve"> safety and quality</w:t>
      </w:r>
      <w:r>
        <w:t>, August.</w:t>
      </w:r>
    </w:p>
    <w:p w14:paraId="1EA3949A" w14:textId="4FB53C6E" w:rsidR="00767039" w:rsidRDefault="00767039" w:rsidP="00F576FE">
      <w:pPr>
        <w:pStyle w:val="Reference"/>
      </w:pPr>
      <w:r>
        <w:t>——</w:t>
      </w:r>
      <w:r w:rsidR="00050D33">
        <w:t> </w:t>
      </w:r>
      <w:r>
        <w:t xml:space="preserve">2015, </w:t>
      </w:r>
      <w:r>
        <w:rPr>
          <w:i/>
          <w:iCs/>
        </w:rPr>
        <w:t>Australian Atlas of Healthcare Variation</w:t>
      </w:r>
      <w:r>
        <w:t>, November.</w:t>
      </w:r>
    </w:p>
    <w:p w14:paraId="1EA3949B" w14:textId="6A21FDBE" w:rsidR="00767039" w:rsidRDefault="00767039" w:rsidP="00F576FE">
      <w:pPr>
        <w:pStyle w:val="Reference"/>
      </w:pPr>
      <w:r>
        <w:t>——</w:t>
      </w:r>
      <w:r w:rsidR="00050D33">
        <w:t> </w:t>
      </w:r>
      <w:r>
        <w:t xml:space="preserve">2016a, </w:t>
      </w:r>
      <w:r>
        <w:rPr>
          <w:i/>
          <w:iCs/>
        </w:rPr>
        <w:t xml:space="preserve">Economic </w:t>
      </w:r>
      <w:r w:rsidR="00822856">
        <w:rPr>
          <w:i/>
          <w:iCs/>
        </w:rPr>
        <w:t>E</w:t>
      </w:r>
      <w:r w:rsidR="00031D83">
        <w:rPr>
          <w:i/>
          <w:iCs/>
        </w:rPr>
        <w:t xml:space="preserve">valuation of Clinical Quality </w:t>
      </w:r>
      <w:r>
        <w:rPr>
          <w:i/>
          <w:iCs/>
        </w:rPr>
        <w:t>Registries: Final report</w:t>
      </w:r>
      <w:r>
        <w:t>, Sydney.</w:t>
      </w:r>
    </w:p>
    <w:p w14:paraId="1EA3949C" w14:textId="254700C9" w:rsidR="00767039" w:rsidRDefault="00767039" w:rsidP="00F576FE">
      <w:pPr>
        <w:pStyle w:val="Reference"/>
      </w:pPr>
      <w:r>
        <w:t>——</w:t>
      </w:r>
      <w:r w:rsidR="00050D33">
        <w:t> </w:t>
      </w:r>
      <w:r>
        <w:t xml:space="preserve">2016b, </w:t>
      </w:r>
      <w:r>
        <w:rPr>
          <w:i/>
          <w:iCs/>
        </w:rPr>
        <w:t>Response to Victorian Department of Health and Human Services: Collecting Patient Reported Outcomes Measures in Victoria: Consultation Paper</w:t>
      </w:r>
      <w:r>
        <w:t>, Submission, 31 October.</w:t>
      </w:r>
    </w:p>
    <w:p w14:paraId="1EA3949D" w14:textId="7FF9946A" w:rsidR="00767039" w:rsidRDefault="00767039" w:rsidP="00F576FE">
      <w:pPr>
        <w:pStyle w:val="Reference"/>
      </w:pPr>
      <w:r>
        <w:t>——</w:t>
      </w:r>
      <w:r w:rsidR="00050D33">
        <w:t> </w:t>
      </w:r>
      <w:r>
        <w:t xml:space="preserve">2017a, </w:t>
      </w:r>
      <w:r>
        <w:rPr>
          <w:i/>
          <w:iCs/>
        </w:rPr>
        <w:t>New Clinical Care Standard sets the benchmark for treating knee osteoarthritis</w:t>
      </w:r>
      <w:r>
        <w:t>, Media Release, 19 May, www.safetyandquality.gov.au/media_releases/a-new-clinical-care-standard-for-osteoarthritis-of-the-knee/ (accessed 12 June 2017).</w:t>
      </w:r>
    </w:p>
    <w:p w14:paraId="1EA3949E" w14:textId="4F6F8CBC" w:rsidR="00767039" w:rsidRDefault="00767039" w:rsidP="00F576FE">
      <w:pPr>
        <w:pStyle w:val="Reference"/>
      </w:pPr>
      <w:r>
        <w:t>——</w:t>
      </w:r>
      <w:r w:rsidR="00050D33">
        <w:t> </w:t>
      </w:r>
      <w:r>
        <w:t xml:space="preserve">2017b, </w:t>
      </w:r>
      <w:r>
        <w:rPr>
          <w:i/>
          <w:iCs/>
        </w:rPr>
        <w:t>Osteoarthritis of the Knee Clinical Care Standard</w:t>
      </w:r>
      <w:r>
        <w:t>, May.</w:t>
      </w:r>
    </w:p>
    <w:p w14:paraId="1EA3949F" w14:textId="24D9D02E" w:rsidR="00767039" w:rsidRDefault="009A1470" w:rsidP="00F576FE">
      <w:pPr>
        <w:pStyle w:val="Reference"/>
      </w:pPr>
      <w:r>
        <w:t>—— </w:t>
      </w:r>
      <w:r w:rsidR="00767039">
        <w:t xml:space="preserve">2017c, </w:t>
      </w:r>
      <w:r w:rsidR="00767039">
        <w:rPr>
          <w:i/>
          <w:iCs/>
        </w:rPr>
        <w:t>Prioritising clinical practice guideline development</w:t>
      </w:r>
      <w:r w:rsidR="00767039">
        <w:t>, www.safetyandquality.gov.au/our-work/prioritising-clinical-practice-guideline-development/ (accessed 11 June 2017).</w:t>
      </w:r>
    </w:p>
    <w:p w14:paraId="1EA394A0" w14:textId="28675F2A" w:rsidR="00767039" w:rsidRDefault="00767039" w:rsidP="00F576FE">
      <w:pPr>
        <w:pStyle w:val="Reference"/>
      </w:pPr>
      <w:r>
        <w:t>ACSQHC &amp; AIHW 2014</w:t>
      </w:r>
      <w:r w:rsidR="009A1470">
        <w:t xml:space="preserve"> (</w:t>
      </w:r>
      <w:r w:rsidR="009A1470" w:rsidRPr="009A1470">
        <w:t>Australian Commission on Safety and Quality in Health Car</w:t>
      </w:r>
      <w:r w:rsidR="009A1470">
        <w:t xml:space="preserve">e and </w:t>
      </w:r>
      <w:r w:rsidR="009A1470" w:rsidRPr="009A1470">
        <w:t>Australian Institute of Health and Welfare</w:t>
      </w:r>
      <w:r>
        <w:t xml:space="preserve">, </w:t>
      </w:r>
      <w:r>
        <w:rPr>
          <w:i/>
          <w:iCs/>
        </w:rPr>
        <w:t>Exploring Healthcare Variation in Australia: Analyses Resulting from an OECD Study</w:t>
      </w:r>
      <w:r>
        <w:t>.</w:t>
      </w:r>
    </w:p>
    <w:p w14:paraId="1EA394A1" w14:textId="77777777" w:rsidR="00767039" w:rsidRDefault="00767039" w:rsidP="00F576FE">
      <w:pPr>
        <w:pStyle w:val="Reference"/>
      </w:pPr>
      <w:r>
        <w:t xml:space="preserve">Adams, K.F., Schatzkin, A., Harris, T.B., Kipnis, V., Mouw, T., Ballard-Barbash, R., Hollenbeck, A. and Leitzmann, M.F. 2006, ‘Overweight, obesity, and mortality in a large prospective cohort of persons 50 to 71 years old’, </w:t>
      </w:r>
      <w:r>
        <w:rPr>
          <w:i/>
          <w:iCs/>
        </w:rPr>
        <w:t>The New England Journal of Medicine</w:t>
      </w:r>
      <w:r>
        <w:t>, vol. 355, no. 8, pp. 763–778.</w:t>
      </w:r>
    </w:p>
    <w:p w14:paraId="1EA394A2" w14:textId="2124E1F3" w:rsidR="00767039" w:rsidRDefault="00767039" w:rsidP="00F576FE">
      <w:pPr>
        <w:pStyle w:val="Reference"/>
      </w:pPr>
      <w:r>
        <w:t xml:space="preserve">ADHA </w:t>
      </w:r>
      <w:r w:rsidR="00CF39E5">
        <w:t xml:space="preserve">(Australian Digital Health Agency) </w:t>
      </w:r>
      <w:r>
        <w:t xml:space="preserve">2017, </w:t>
      </w:r>
      <w:r>
        <w:rPr>
          <w:i/>
          <w:iCs/>
        </w:rPr>
        <w:t>My Health Record Statistics as at 11 June 2017</w:t>
      </w:r>
      <w:r>
        <w:t>.</w:t>
      </w:r>
    </w:p>
    <w:p w14:paraId="1EA394A3" w14:textId="5FD18B08" w:rsidR="00767039" w:rsidRDefault="00767039" w:rsidP="00F576FE">
      <w:pPr>
        <w:pStyle w:val="Reference"/>
      </w:pPr>
      <w:r>
        <w:t xml:space="preserve">AHHA </w:t>
      </w:r>
      <w:r w:rsidR="00CF39E5">
        <w:t>(</w:t>
      </w:r>
      <w:r w:rsidR="00CF39E5" w:rsidRPr="00CF39E5">
        <w:t>Australian Healthcare and Hospitals Association</w:t>
      </w:r>
      <w:r w:rsidR="00CF39E5">
        <w:t>)</w:t>
      </w:r>
      <w:r w:rsidR="00CF39E5" w:rsidRPr="00CF39E5">
        <w:t xml:space="preserve"> </w:t>
      </w:r>
      <w:r>
        <w:t xml:space="preserve">2016, </w:t>
      </w:r>
      <w:r>
        <w:rPr>
          <w:i/>
          <w:iCs/>
        </w:rPr>
        <w:t>Sugar-Sweetened Beverage Consumption</w:t>
      </w:r>
      <w:r>
        <w:t>.</w:t>
      </w:r>
    </w:p>
    <w:p w14:paraId="1EA394A4" w14:textId="2882816D" w:rsidR="00767039" w:rsidRDefault="00767039" w:rsidP="00F576FE">
      <w:pPr>
        <w:pStyle w:val="Reference"/>
      </w:pPr>
      <w:r>
        <w:t xml:space="preserve">AHRQ </w:t>
      </w:r>
      <w:r w:rsidR="00CF39E5">
        <w:t xml:space="preserve">(Agency for Healthcare Research and Quality) </w:t>
      </w:r>
      <w:r>
        <w:t xml:space="preserve">2011, </w:t>
      </w:r>
      <w:r>
        <w:rPr>
          <w:i/>
          <w:iCs/>
        </w:rPr>
        <w:t>Health Literacy Interventions and Outcomes: An Updated Systematic Review</w:t>
      </w:r>
      <w:r w:rsidR="00031D83">
        <w:t xml:space="preserve">, Evidence Report/Technology </w:t>
      </w:r>
      <w:r>
        <w:t>Asse</w:t>
      </w:r>
      <w:r w:rsidR="00031D83">
        <w:t>s</w:t>
      </w:r>
      <w:r>
        <w:t>sment, March, No. 199, US Department of Health and Human Services, Rockville (MD), United States.</w:t>
      </w:r>
    </w:p>
    <w:p w14:paraId="1EA394A5" w14:textId="208014A1" w:rsidR="00767039" w:rsidRDefault="00767039" w:rsidP="00F576FE">
      <w:pPr>
        <w:pStyle w:val="Reference"/>
      </w:pPr>
      <w:r>
        <w:t xml:space="preserve">AIHW </w:t>
      </w:r>
      <w:r w:rsidR="00CF39E5">
        <w:t>(</w:t>
      </w:r>
      <w:r w:rsidR="00CF39E5" w:rsidRPr="009A1470">
        <w:t>Australian Institute of Health and Welfare</w:t>
      </w:r>
      <w:r w:rsidR="00CF39E5">
        <w:t xml:space="preserve">) </w:t>
      </w:r>
      <w:r>
        <w:t xml:space="preserve">2013, </w:t>
      </w:r>
      <w:r>
        <w:rPr>
          <w:i/>
          <w:iCs/>
        </w:rPr>
        <w:t>Chronic kidney disease: regional variation in Australia</w:t>
      </w:r>
      <w:r>
        <w:t>, Cat. no.</w:t>
      </w:r>
      <w:r w:rsidR="00CF39E5">
        <w:t> </w:t>
      </w:r>
      <w:r>
        <w:t>PHE 172.</w:t>
      </w:r>
    </w:p>
    <w:p w14:paraId="1EA394A6" w14:textId="598D2DCD" w:rsidR="00767039" w:rsidRDefault="00767039" w:rsidP="00F576FE">
      <w:pPr>
        <w:pStyle w:val="Reference"/>
      </w:pPr>
      <w:r>
        <w:t>——</w:t>
      </w:r>
      <w:r w:rsidR="00050D33">
        <w:t> </w:t>
      </w:r>
      <w:r>
        <w:t xml:space="preserve">2015, </w:t>
      </w:r>
      <w:r>
        <w:rPr>
          <w:i/>
          <w:iCs/>
        </w:rPr>
        <w:t>Submission to the Senate Select Committee on Health</w:t>
      </w:r>
      <w:r>
        <w:t>, Submission.</w:t>
      </w:r>
    </w:p>
    <w:p w14:paraId="1EA394A7" w14:textId="15F0DFD5" w:rsidR="00767039" w:rsidRDefault="00767039" w:rsidP="00F576FE">
      <w:pPr>
        <w:pStyle w:val="Reference"/>
      </w:pPr>
      <w:r>
        <w:t>——</w:t>
      </w:r>
      <w:r w:rsidR="00050D33">
        <w:t> </w:t>
      </w:r>
      <w:r>
        <w:t xml:space="preserve">2016a, </w:t>
      </w:r>
      <w:r>
        <w:rPr>
          <w:i/>
          <w:iCs/>
        </w:rPr>
        <w:t>Australian Burden of Disease Study: impact and causes of illness and death in Australia 2011</w:t>
      </w:r>
      <w:r>
        <w:t>, Australian Burden of Disease Study series no. 3 BOD 4.</w:t>
      </w:r>
    </w:p>
    <w:p w14:paraId="1EA394A8" w14:textId="0339B97E" w:rsidR="00767039" w:rsidRDefault="00767039" w:rsidP="00F576FE">
      <w:pPr>
        <w:pStyle w:val="Reference"/>
      </w:pPr>
      <w:r>
        <w:t>——</w:t>
      </w:r>
      <w:r w:rsidR="00050D33">
        <w:t> </w:t>
      </w:r>
      <w:r>
        <w:t xml:space="preserve">2016b, </w:t>
      </w:r>
      <w:r>
        <w:rPr>
          <w:i/>
          <w:iCs/>
        </w:rPr>
        <w:t>Australia’s Health 2016</w:t>
      </w:r>
      <w:r>
        <w:t>, Australia’s Health Series no. 15 Cat. no. AUS 199.</w:t>
      </w:r>
    </w:p>
    <w:p w14:paraId="1EA394A9" w14:textId="46C10E5D" w:rsidR="00767039" w:rsidRDefault="00767039" w:rsidP="00F576FE">
      <w:pPr>
        <w:pStyle w:val="Reference"/>
      </w:pPr>
      <w:r>
        <w:t>——</w:t>
      </w:r>
      <w:r w:rsidR="00050D33">
        <w:t> </w:t>
      </w:r>
      <w:r>
        <w:t xml:space="preserve">2016c, </w:t>
      </w:r>
      <w:r>
        <w:rPr>
          <w:i/>
          <w:iCs/>
        </w:rPr>
        <w:t>Data sources for monitoring health conditions (AIHW)</w:t>
      </w:r>
      <w:r>
        <w:t>, www.aihw.gov.au/data/monitoring-health-conditions/ (accessed 2 June 2017).</w:t>
      </w:r>
    </w:p>
    <w:p w14:paraId="1EA394AA" w14:textId="3987EEF0" w:rsidR="00767039" w:rsidRDefault="00767039" w:rsidP="00F576FE">
      <w:pPr>
        <w:pStyle w:val="Reference"/>
      </w:pPr>
      <w:r>
        <w:t>——</w:t>
      </w:r>
      <w:r w:rsidR="00050D33">
        <w:t> </w:t>
      </w:r>
      <w:r>
        <w:t xml:space="preserve">2016d, </w:t>
      </w:r>
      <w:r>
        <w:rPr>
          <w:i/>
          <w:iCs/>
        </w:rPr>
        <w:t>Healt</w:t>
      </w:r>
      <w:r w:rsidR="00031D83">
        <w:rPr>
          <w:i/>
          <w:iCs/>
        </w:rPr>
        <w:t xml:space="preserve">hy Communities: </w:t>
      </w:r>
      <w:r>
        <w:rPr>
          <w:i/>
          <w:iCs/>
        </w:rPr>
        <w:t>Overweight and obesity rates across Australia, 2014</w:t>
      </w:r>
      <w:r w:rsidR="00031D83">
        <w:rPr>
          <w:i/>
          <w:iCs/>
        </w:rPr>
        <w:noBreakHyphen/>
      </w:r>
      <w:r>
        <w:rPr>
          <w:i/>
          <w:iCs/>
        </w:rPr>
        <w:t>15 (In Focus)</w:t>
      </w:r>
      <w:r>
        <w:t>, 8 December, Cat. no. HPF 2.</w:t>
      </w:r>
    </w:p>
    <w:p w14:paraId="1EA394AB" w14:textId="1F55DBD6" w:rsidR="00767039" w:rsidRDefault="00767039" w:rsidP="00F576FE">
      <w:pPr>
        <w:pStyle w:val="Reference"/>
      </w:pPr>
      <w:r>
        <w:t>——</w:t>
      </w:r>
      <w:r w:rsidR="00050D33">
        <w:t> </w:t>
      </w:r>
      <w:r>
        <w:t xml:space="preserve">2016e, </w:t>
      </w:r>
      <w:r>
        <w:rPr>
          <w:i/>
          <w:iCs/>
        </w:rPr>
        <w:t>Healthy Communities: Tobacco smoking rates across Australia, 2014</w:t>
      </w:r>
      <w:r w:rsidR="00031D83">
        <w:rPr>
          <w:i/>
          <w:iCs/>
        </w:rPr>
        <w:noBreakHyphen/>
      </w:r>
      <w:r>
        <w:rPr>
          <w:i/>
          <w:iCs/>
        </w:rPr>
        <w:t>15 (In Focus)</w:t>
      </w:r>
      <w:r>
        <w:t>, 8 December, Cat. no. HPF 1.</w:t>
      </w:r>
    </w:p>
    <w:p w14:paraId="1EA394AC" w14:textId="1B5C5524" w:rsidR="00767039" w:rsidRDefault="00767039" w:rsidP="00F576FE">
      <w:pPr>
        <w:pStyle w:val="Reference"/>
      </w:pPr>
      <w:r>
        <w:t>——</w:t>
      </w:r>
      <w:r w:rsidR="00050D33">
        <w:t> </w:t>
      </w:r>
      <w:r>
        <w:t xml:space="preserve">2017a, </w:t>
      </w:r>
      <w:r>
        <w:rPr>
          <w:i/>
          <w:iCs/>
        </w:rPr>
        <w:t>Admitted patient care 2015</w:t>
      </w:r>
      <w:r w:rsidR="00031D83">
        <w:rPr>
          <w:i/>
          <w:iCs/>
        </w:rPr>
        <w:noBreakHyphen/>
      </w:r>
      <w:r>
        <w:rPr>
          <w:i/>
          <w:iCs/>
        </w:rPr>
        <w:t>16: Australian hospital statistics</w:t>
      </w:r>
      <w:r>
        <w:t>, Health services series no.75 Cat. no. HSE 185.</w:t>
      </w:r>
    </w:p>
    <w:p w14:paraId="1EA394AD" w14:textId="545BCBEC" w:rsidR="00767039" w:rsidRDefault="00767039" w:rsidP="00F576FE">
      <w:pPr>
        <w:pStyle w:val="Reference"/>
      </w:pPr>
      <w:r>
        <w:t>——</w:t>
      </w:r>
      <w:r w:rsidR="00050D33">
        <w:t> </w:t>
      </w:r>
      <w:r>
        <w:t xml:space="preserve">2017b, </w:t>
      </w:r>
      <w:r>
        <w:rPr>
          <w:i/>
          <w:iCs/>
        </w:rPr>
        <w:t>National Drug Strategy Household Survey, 2016, Key Findings, Online Data Tables</w:t>
      </w:r>
      <w:r>
        <w:t>, June, Canberra.</w:t>
      </w:r>
    </w:p>
    <w:p w14:paraId="1EA394AE" w14:textId="77777777" w:rsidR="00767039" w:rsidRDefault="00767039" w:rsidP="00F576FE">
      <w:pPr>
        <w:pStyle w:val="Reference"/>
      </w:pPr>
      <w:r>
        <w:t xml:space="preserve">Alderwick, H., Ham, C. and Buck, D. 2015, </w:t>
      </w:r>
      <w:r>
        <w:rPr>
          <w:i/>
          <w:iCs/>
        </w:rPr>
        <w:t>Population health systems: going beyond integrated care</w:t>
      </w:r>
      <w:r>
        <w:t>, February, The King’s Fund, London.</w:t>
      </w:r>
    </w:p>
    <w:p w14:paraId="1EA394AF" w14:textId="28272055" w:rsidR="00767039" w:rsidRDefault="00767039" w:rsidP="00F576FE">
      <w:pPr>
        <w:pStyle w:val="Reference"/>
      </w:pPr>
      <w:r>
        <w:t xml:space="preserve">Alfred Health Victoria 2017, </w:t>
      </w:r>
      <w:r>
        <w:rPr>
          <w:i/>
          <w:iCs/>
        </w:rPr>
        <w:t xml:space="preserve">Alfred Health </w:t>
      </w:r>
      <w:r w:rsidR="00031D83">
        <w:rPr>
          <w:i/>
          <w:iCs/>
        </w:rPr>
        <w:t>—</w:t>
      </w:r>
      <w:r>
        <w:rPr>
          <w:i/>
          <w:iCs/>
        </w:rPr>
        <w:t xml:space="preserve"> Nudging Healthier Beverage Choices</w:t>
      </w:r>
      <w:r>
        <w:t>, www.vic.gov.au/behaviouralinsights/case-studies/alfred-health-nudging-healthier-beverage-choices.html (accessed 31 May 2017).</w:t>
      </w:r>
    </w:p>
    <w:p w14:paraId="1EA394B0" w14:textId="11F3E098" w:rsidR="00767039" w:rsidRDefault="00767039" w:rsidP="00F576FE">
      <w:pPr>
        <w:pStyle w:val="Reference"/>
      </w:pPr>
      <w:r>
        <w:t xml:space="preserve">AMA </w:t>
      </w:r>
      <w:r w:rsidR="00CF39E5">
        <w:t xml:space="preserve">(Australian Medical Association) </w:t>
      </w:r>
      <w:r>
        <w:t xml:space="preserve">2014, ‘Full Waiting Rooms? This could be the tonic’, </w:t>
      </w:r>
      <w:r>
        <w:rPr>
          <w:i/>
          <w:iCs/>
        </w:rPr>
        <w:t>Australian Medicine</w:t>
      </w:r>
      <w:r>
        <w:t>.</w:t>
      </w:r>
    </w:p>
    <w:p w14:paraId="1EA394B1" w14:textId="4C321CED" w:rsidR="00767039" w:rsidRDefault="00767039" w:rsidP="00F576FE">
      <w:pPr>
        <w:pStyle w:val="Reference"/>
      </w:pPr>
      <w:r>
        <w:t>——</w:t>
      </w:r>
      <w:r w:rsidR="00050D33">
        <w:t> </w:t>
      </w:r>
      <w:r>
        <w:t xml:space="preserve">2015a, </w:t>
      </w:r>
      <w:r>
        <w:rPr>
          <w:i/>
          <w:iCs/>
        </w:rPr>
        <w:t xml:space="preserve">AMA Position Statement on the Medical Home </w:t>
      </w:r>
      <w:r w:rsidR="00031D83">
        <w:rPr>
          <w:i/>
          <w:iCs/>
        </w:rPr>
        <w:t>—</w:t>
      </w:r>
      <w:r>
        <w:rPr>
          <w:i/>
          <w:iCs/>
        </w:rPr>
        <w:t xml:space="preserve"> 2015</w:t>
      </w:r>
      <w:r>
        <w:t>, 30 November.</w:t>
      </w:r>
    </w:p>
    <w:p w14:paraId="1EA394B2" w14:textId="09DD8B68" w:rsidR="00767039" w:rsidRDefault="00767039" w:rsidP="00F576FE">
      <w:pPr>
        <w:pStyle w:val="Reference"/>
      </w:pPr>
      <w:r>
        <w:t>——</w:t>
      </w:r>
      <w:r w:rsidR="00050D33">
        <w:t> </w:t>
      </w:r>
      <w:r>
        <w:t xml:space="preserve">2015b, </w:t>
      </w:r>
      <w:r>
        <w:rPr>
          <w:i/>
          <w:iCs/>
        </w:rPr>
        <w:t xml:space="preserve">Health in the Context of Education </w:t>
      </w:r>
      <w:r w:rsidR="00031D83">
        <w:rPr>
          <w:i/>
          <w:iCs/>
        </w:rPr>
        <w:t>—</w:t>
      </w:r>
      <w:r>
        <w:rPr>
          <w:i/>
          <w:iCs/>
        </w:rPr>
        <w:t xml:space="preserve"> 2014</w:t>
      </w:r>
      <w:r>
        <w:t>.</w:t>
      </w:r>
    </w:p>
    <w:p w14:paraId="1EA394B3" w14:textId="2B209308" w:rsidR="00767039" w:rsidRDefault="00767039" w:rsidP="00F576FE">
      <w:pPr>
        <w:pStyle w:val="Reference"/>
      </w:pPr>
      <w:r>
        <w:t>——</w:t>
      </w:r>
      <w:r w:rsidR="00050D33">
        <w:t> </w:t>
      </w:r>
      <w:r>
        <w:t xml:space="preserve">2017, </w:t>
      </w:r>
      <w:r>
        <w:rPr>
          <w:i/>
          <w:iCs/>
        </w:rPr>
        <w:t xml:space="preserve">General Practice in Primary Health Care </w:t>
      </w:r>
      <w:r w:rsidR="00031D83">
        <w:rPr>
          <w:i/>
          <w:iCs/>
        </w:rPr>
        <w:t>—</w:t>
      </w:r>
      <w:r>
        <w:rPr>
          <w:i/>
          <w:iCs/>
        </w:rPr>
        <w:t xml:space="preserve"> 2016</w:t>
      </w:r>
      <w:r>
        <w:t>, 12 January.</w:t>
      </w:r>
    </w:p>
    <w:p w14:paraId="1EA394B4" w14:textId="1B5DE6C5" w:rsidR="00767039" w:rsidRDefault="00767039" w:rsidP="00F576FE">
      <w:pPr>
        <w:pStyle w:val="Reference"/>
      </w:pPr>
      <w:r>
        <w:t xml:space="preserve">ANHFP </w:t>
      </w:r>
      <w:r w:rsidR="00CF39E5">
        <w:t xml:space="preserve">(Administrator National Health Funding Pool) </w:t>
      </w:r>
      <w:r>
        <w:t xml:space="preserve">2017, </w:t>
      </w:r>
      <w:r>
        <w:rPr>
          <w:i/>
          <w:iCs/>
        </w:rPr>
        <w:t xml:space="preserve">National Health Reform Public Hospital Funding: </w:t>
      </w:r>
      <w:r w:rsidR="00D64ABB">
        <w:rPr>
          <w:i/>
          <w:iCs/>
        </w:rPr>
        <w:t xml:space="preserve">Local Hospital Network Report: </w:t>
      </w:r>
      <w:r>
        <w:rPr>
          <w:i/>
          <w:iCs/>
        </w:rPr>
        <w:t>Wester</w:t>
      </w:r>
      <w:r w:rsidR="00CF39E5">
        <w:rPr>
          <w:i/>
          <w:iCs/>
        </w:rPr>
        <w:t xml:space="preserve">n Sydney Local Health District </w:t>
      </w:r>
      <w:r>
        <w:rPr>
          <w:i/>
          <w:iCs/>
        </w:rPr>
        <w:t>March 2017</w:t>
      </w:r>
      <w:r>
        <w:t>, May.</w:t>
      </w:r>
    </w:p>
    <w:p w14:paraId="1EA394B5" w14:textId="3D80BB5B" w:rsidR="00767039" w:rsidRDefault="00767039" w:rsidP="00F576FE">
      <w:pPr>
        <w:pStyle w:val="Reference"/>
      </w:pPr>
      <w:r>
        <w:t xml:space="preserve">AONSW </w:t>
      </w:r>
      <w:r w:rsidR="002200F9">
        <w:t>(</w:t>
      </w:r>
      <w:r w:rsidR="00114B08">
        <w:t>Aud</w:t>
      </w:r>
      <w:r w:rsidR="002200F9">
        <w:t xml:space="preserve">it Office </w:t>
      </w:r>
      <w:r w:rsidR="00114B08">
        <w:t xml:space="preserve">of New South Wales) </w:t>
      </w:r>
      <w:r>
        <w:t xml:space="preserve">2008, </w:t>
      </w:r>
      <w:r>
        <w:rPr>
          <w:i/>
          <w:iCs/>
        </w:rPr>
        <w:t>Auditor General Report: Delivering health care out of hospital: Department of Health</w:t>
      </w:r>
      <w:r>
        <w:t>, Performance Audit.</w:t>
      </w:r>
    </w:p>
    <w:p w14:paraId="1EA394B6" w14:textId="77777777" w:rsidR="00767039" w:rsidRDefault="00767039" w:rsidP="00F576FE">
      <w:pPr>
        <w:pStyle w:val="Reference"/>
      </w:pPr>
      <w:r>
        <w:t xml:space="preserve">Asarnow, J., Kolko, D., Miranda, J. and Kazak, A. 2017, ‘The Pediatric Patient-Centered Medical Home: Innovative Models for Improving Behavioral Health’, </w:t>
      </w:r>
      <w:r>
        <w:rPr>
          <w:i/>
          <w:iCs/>
        </w:rPr>
        <w:t>American Psychologist</w:t>
      </w:r>
      <w:r>
        <w:t>, vol. 72, no. 1, pp. 13–27.</w:t>
      </w:r>
    </w:p>
    <w:p w14:paraId="1EA394B7" w14:textId="77777777" w:rsidR="00767039" w:rsidRDefault="00767039" w:rsidP="00F576FE">
      <w:pPr>
        <w:pStyle w:val="Reference"/>
      </w:pPr>
      <w:r>
        <w:t xml:space="preserve">Askew, D.A., Jackson, C.L., Ware, R.S. and Russell, A. 2010, ‘Protocol and baseline data from The Inala Chronic Disease Management Service evaluation study: a health services intervention study for diabetes care’, </w:t>
      </w:r>
      <w:r>
        <w:rPr>
          <w:i/>
          <w:iCs/>
        </w:rPr>
        <w:t>BMC Health Services Research</w:t>
      </w:r>
      <w:r>
        <w:t>, vol. 10, p. 134.</w:t>
      </w:r>
    </w:p>
    <w:p w14:paraId="1EA394B8" w14:textId="60FB6F6C" w:rsidR="00767039" w:rsidRDefault="00767039" w:rsidP="00F576FE">
      <w:pPr>
        <w:pStyle w:val="Reference"/>
      </w:pPr>
      <w:r>
        <w:t xml:space="preserve">ATS </w:t>
      </w:r>
      <w:r w:rsidR="000D39DE">
        <w:t>(</w:t>
      </w:r>
      <w:r w:rsidR="000D39DE" w:rsidRPr="000D39DE">
        <w:t>Australasian Telehealth Society</w:t>
      </w:r>
      <w:r w:rsidR="000D39DE">
        <w:t xml:space="preserve">) </w:t>
      </w:r>
      <w:r>
        <w:t xml:space="preserve">2017, </w:t>
      </w:r>
      <w:r>
        <w:rPr>
          <w:i/>
          <w:iCs/>
        </w:rPr>
        <w:t>National Digital Health Strategy: A submission to the Australian Digital Health Agency</w:t>
      </w:r>
      <w:r>
        <w:t>, Submission, January.</w:t>
      </w:r>
    </w:p>
    <w:p w14:paraId="1EA394B9" w14:textId="77777777" w:rsidR="00767039" w:rsidRDefault="00767039" w:rsidP="00F576FE">
      <w:pPr>
        <w:pStyle w:val="Reference"/>
      </w:pPr>
      <w:r>
        <w:t xml:space="preserve">Aubusson, K. 2014, ‘7 ways to save the healthcare system: Number 1’, </w:t>
      </w:r>
      <w:r>
        <w:rPr>
          <w:i/>
          <w:iCs/>
        </w:rPr>
        <w:t>Australian Doctor</w:t>
      </w:r>
      <w:r>
        <w:t>, 22 June.</w:t>
      </w:r>
    </w:p>
    <w:p w14:paraId="1EA394BA" w14:textId="77777777" w:rsidR="00767039" w:rsidRDefault="00767039" w:rsidP="00F576FE">
      <w:pPr>
        <w:pStyle w:val="Reference"/>
      </w:pPr>
      <w:r>
        <w:t xml:space="preserve">Aune, D., Sen, A., Prasad, M., Norat, T., Janszky, I., Tonstad, S., Romundstad, P. and Vatten, L.J. 2016, ‘BMI and all cause mortality: systematic review and non-linear dose-response meta-analysis of 230 cohort studies with 3.74 million deaths among 30.3 million participants’, </w:t>
      </w:r>
      <w:r>
        <w:rPr>
          <w:i/>
          <w:iCs/>
        </w:rPr>
        <w:t>BMJ</w:t>
      </w:r>
      <w:r>
        <w:t>, vol. 353.</w:t>
      </w:r>
    </w:p>
    <w:p w14:paraId="1EA394BB" w14:textId="5F5CC7E3" w:rsidR="00767039" w:rsidRDefault="00767039" w:rsidP="00F576FE">
      <w:pPr>
        <w:pStyle w:val="Reference"/>
      </w:pPr>
      <w:r>
        <w:t xml:space="preserve">Australian Beverages Council 2016, </w:t>
      </w:r>
      <w:r>
        <w:rPr>
          <w:i/>
          <w:iCs/>
        </w:rPr>
        <w:t>Inquiry into inquiry into childhood overweight and obesity</w:t>
      </w:r>
      <w:r>
        <w:t xml:space="preserve">, Submission </w:t>
      </w:r>
      <w:r w:rsidR="000D39DE">
        <w:t>—</w:t>
      </w:r>
      <w:r>
        <w:t xml:space="preserve"> NSW Inquiry into childhood overweight and obesity, 19 August, 11.</w:t>
      </w:r>
    </w:p>
    <w:p w14:paraId="1EA394BC" w14:textId="77777777" w:rsidR="00767039" w:rsidRDefault="00767039" w:rsidP="00F576FE">
      <w:pPr>
        <w:pStyle w:val="Reference"/>
      </w:pPr>
      <w:r>
        <w:t xml:space="preserve">Australian Knee Society 2016, </w:t>
      </w:r>
      <w:r>
        <w:rPr>
          <w:i/>
          <w:iCs/>
        </w:rPr>
        <w:t>Position Statement from the Australian Knee Society on Arthroscopic Surgery of the Knee, including reference to the presence of Osteoarthritis or Degenerative Joint Disease</w:t>
      </w:r>
      <w:r>
        <w:t>.</w:t>
      </w:r>
    </w:p>
    <w:p w14:paraId="1EA394BD" w14:textId="77777777" w:rsidR="00767039" w:rsidRDefault="00767039" w:rsidP="00F576FE">
      <w:pPr>
        <w:pStyle w:val="Reference"/>
      </w:pPr>
      <w:r>
        <w:t>van Baar, J.D., Joosten, H., Car, J., Freeman, G.K., Partridge, M.R., van Weel, C. and Sheikh, A. 2006, ‘Understanding reasons for asthma outpatient (non)</w:t>
      </w:r>
      <w:r>
        <w:rPr>
          <w:rFonts w:ascii="Cambria Math" w:hAnsi="Cambria Math" w:cs="Cambria Math"/>
        </w:rPr>
        <w:t>‐</w:t>
      </w:r>
      <w:r>
        <w:t>attendance and exploring the role of telephone and e</w:t>
      </w:r>
      <w:r>
        <w:rPr>
          <w:rFonts w:ascii="Cambria Math" w:hAnsi="Cambria Math" w:cs="Cambria Math"/>
        </w:rPr>
        <w:t>‐</w:t>
      </w:r>
      <w:r>
        <w:t xml:space="preserve">consulting in facilitating access to care: exploratory qualitative study’, </w:t>
      </w:r>
      <w:r>
        <w:rPr>
          <w:i/>
          <w:iCs/>
        </w:rPr>
        <w:t>Quality &amp; Safety in Health Care</w:t>
      </w:r>
      <w:r>
        <w:t>, vol. 15, no. 3, pp. 191–195.</w:t>
      </w:r>
    </w:p>
    <w:p w14:paraId="1EA394BE" w14:textId="77777777" w:rsidR="00767039" w:rsidRDefault="00767039" w:rsidP="00F576FE">
      <w:pPr>
        <w:pStyle w:val="Reference"/>
      </w:pPr>
      <w:r>
        <w:t xml:space="preserve">Baggoley, C. 2015, </w:t>
      </w:r>
      <w:r>
        <w:rPr>
          <w:i/>
          <w:iCs/>
        </w:rPr>
        <w:t>Review of the Australian Government Rebate on Natural Therapies for Private Health Insurance</w:t>
      </w:r>
      <w:r>
        <w:t>, Department of Health.</w:t>
      </w:r>
    </w:p>
    <w:p w14:paraId="1EA394BF" w14:textId="77777777" w:rsidR="00767039" w:rsidRDefault="00767039" w:rsidP="00F576FE">
      <w:pPr>
        <w:pStyle w:val="Reference"/>
      </w:pPr>
      <w:r>
        <w:t xml:space="preserve">Baines, D. 2015, ‘Dispensing: it’s time to let it go’, </w:t>
      </w:r>
      <w:r>
        <w:rPr>
          <w:i/>
          <w:iCs/>
        </w:rPr>
        <w:t>Pharmaceutical Journal</w:t>
      </w:r>
      <w:r>
        <w:t>, 29 January.</w:t>
      </w:r>
    </w:p>
    <w:p w14:paraId="1EA394C0" w14:textId="77777777" w:rsidR="00767039" w:rsidRDefault="00767039" w:rsidP="00F576FE">
      <w:pPr>
        <w:pStyle w:val="Reference"/>
      </w:pPr>
      <w:r>
        <w:t xml:space="preserve">Baker, G.R., MacIntosh-Murray, A., Porcellato, C., Dionne, L., Stelmacovich, K. and Born, K. 2008, </w:t>
      </w:r>
      <w:r>
        <w:rPr>
          <w:i/>
          <w:iCs/>
        </w:rPr>
        <w:t>High performing healthcare systems: delivering quality by design</w:t>
      </w:r>
      <w:r>
        <w:t>, Longwoods Publishing Corporation, Toronto, Canada.</w:t>
      </w:r>
    </w:p>
    <w:p w14:paraId="1EA394C1" w14:textId="77777777" w:rsidR="00767039" w:rsidRDefault="00767039" w:rsidP="00F576FE">
      <w:pPr>
        <w:pStyle w:val="Reference"/>
      </w:pPr>
      <w:r>
        <w:t xml:space="preserve">Barry, C.L., Niederdeppe, J. and Gollust, S.E. 2013, ‘Taxes on Sugar-Sweetened Beverages’, </w:t>
      </w:r>
      <w:r>
        <w:rPr>
          <w:i/>
          <w:iCs/>
        </w:rPr>
        <w:t>American Journal of Preventive Medicine</w:t>
      </w:r>
      <w:r>
        <w:t>, vol. 44, no. 2, pp. 158–163.</w:t>
      </w:r>
    </w:p>
    <w:p w14:paraId="1EA394C2" w14:textId="77777777" w:rsidR="00767039" w:rsidRDefault="00767039" w:rsidP="00F576FE">
      <w:pPr>
        <w:pStyle w:val="Reference"/>
      </w:pPr>
      <w:r>
        <w:t xml:space="preserve">Barwood, D., Cunningham, C. and Penney, D. 2016, ‘What We Know, What We Do and What We Could Do: Creating an Understanding of the Delivery of Health Education in Lower Secondary Government Schools in Western Australia’, </w:t>
      </w:r>
      <w:r>
        <w:rPr>
          <w:i/>
          <w:iCs/>
        </w:rPr>
        <w:t>Australian Journal of Teacher Education</w:t>
      </w:r>
      <w:r>
        <w:t>, vol. 41, no. 11.</w:t>
      </w:r>
    </w:p>
    <w:p w14:paraId="1EA394C3" w14:textId="77777777" w:rsidR="00767039" w:rsidRDefault="00767039" w:rsidP="00F576FE">
      <w:pPr>
        <w:pStyle w:val="Reference"/>
      </w:pPr>
      <w:r>
        <w:t xml:space="preserve">Baum, F., Freeman, T., Lawless, A., Labonte, R. and Sanders, D. 2017, ‘What is the difference between comprehensive and selective primary health care? Evidence from a five-year longitudinal realist case study in South Australia’, </w:t>
      </w:r>
      <w:r>
        <w:rPr>
          <w:i/>
          <w:iCs/>
        </w:rPr>
        <w:t>BMJ Open</w:t>
      </w:r>
      <w:r>
        <w:t>, vol. 7, no. 4.</w:t>
      </w:r>
    </w:p>
    <w:p w14:paraId="1EA394C4" w14:textId="31827135" w:rsidR="00767039" w:rsidRDefault="00767039" w:rsidP="00F576FE">
      <w:pPr>
        <w:pStyle w:val="Reference"/>
      </w:pPr>
      <w:r>
        <w:t xml:space="preserve">BCA </w:t>
      </w:r>
      <w:r w:rsidR="000D39DE">
        <w:t xml:space="preserve">(Business Council of Australia) </w:t>
      </w:r>
      <w:r>
        <w:t xml:space="preserve">2011, </w:t>
      </w:r>
      <w:r>
        <w:rPr>
          <w:i/>
          <w:iCs/>
        </w:rPr>
        <w:t>Using Microeconomic Reform to Deliver Patient-centred Health Care</w:t>
      </w:r>
      <w:r>
        <w:t>.</w:t>
      </w:r>
    </w:p>
    <w:p w14:paraId="1EA394C5" w14:textId="77777777" w:rsidR="00767039" w:rsidRDefault="00767039" w:rsidP="00F576FE">
      <w:pPr>
        <w:pStyle w:val="Reference"/>
      </w:pPr>
      <w:r>
        <w:t xml:space="preserve">Beard, R. and Smith, P. 2013, ‘Integrated electronic prescribing and robotic dispensing: a case study’, </w:t>
      </w:r>
      <w:r>
        <w:rPr>
          <w:i/>
          <w:iCs/>
        </w:rPr>
        <w:t>SpringerPlus</w:t>
      </w:r>
      <w:r>
        <w:t>, vol. 2, no. 295.</w:t>
      </w:r>
    </w:p>
    <w:p w14:paraId="1EA394C6" w14:textId="77777777" w:rsidR="00767039" w:rsidRDefault="00767039" w:rsidP="00F576FE">
      <w:pPr>
        <w:pStyle w:val="Reference"/>
      </w:pPr>
      <w:r>
        <w:t xml:space="preserve">Beauchamp, A., Buchbinder, R., Dodson, S., Batterham, R.W., Elsworth, G.R., McPhee, C., Sparkes, L., Hawkins, M. and Osborne, R.H. 2015, ‘Distribution of health literacy strengths and weaknesses across socio-demographic groups: a cross-sectional survey using the Health Literacy Questionnaire (HLQ)’, </w:t>
      </w:r>
      <w:r>
        <w:rPr>
          <w:i/>
          <w:iCs/>
        </w:rPr>
        <w:t>BMC Public Health</w:t>
      </w:r>
      <w:r>
        <w:t>, vol. 15, no. 678.</w:t>
      </w:r>
    </w:p>
    <w:p w14:paraId="1EA394C7" w14:textId="77777777" w:rsidR="00767039" w:rsidRDefault="00767039" w:rsidP="00F576FE">
      <w:pPr>
        <w:pStyle w:val="Reference"/>
      </w:pPr>
      <w:r>
        <w:t xml:space="preserve">Berwick, D.M., Nolan, T.W. and Whittington, J. 2008, ‘The triple aim: care, health, and cost’, </w:t>
      </w:r>
      <w:r>
        <w:rPr>
          <w:i/>
          <w:iCs/>
        </w:rPr>
        <w:t>Health Affairs (Project Hope)</w:t>
      </w:r>
      <w:r>
        <w:t>, vol. 27, no. 3, pp. 759–769.</w:t>
      </w:r>
    </w:p>
    <w:p w14:paraId="1EA394CA" w14:textId="77777777" w:rsidR="00767039" w:rsidRDefault="00767039" w:rsidP="00F576FE">
      <w:pPr>
        <w:pStyle w:val="Reference"/>
      </w:pPr>
      <w:r>
        <w:t xml:space="preserve">Bodenheimer, T. and Sinsky, C. 2014, ‘From Triple to Quadruple Aim: Care of the Patient Requires Care of the Provider’, </w:t>
      </w:r>
      <w:r>
        <w:rPr>
          <w:i/>
          <w:iCs/>
        </w:rPr>
        <w:t>The Annals of Family Medicine</w:t>
      </w:r>
      <w:r>
        <w:t>, vol. 12, no. 6, pp. 573–576.</w:t>
      </w:r>
    </w:p>
    <w:p w14:paraId="1EA394CB" w14:textId="77777777" w:rsidR="00767039" w:rsidRDefault="00767039" w:rsidP="00F576FE">
      <w:pPr>
        <w:pStyle w:val="Reference"/>
      </w:pPr>
      <w:r>
        <w:t xml:space="preserve">Bødker, M., Pisinger, C., Toft, U. and Jørgensen, T. 2015, ‘The rise and fall of the world’s first fat tax’, </w:t>
      </w:r>
      <w:r>
        <w:rPr>
          <w:i/>
          <w:iCs/>
        </w:rPr>
        <w:t>Health Policy (Amsterdam, Netherlands)</w:t>
      </w:r>
      <w:r>
        <w:t>, vol. 119, no. 6, pp. 737–742.</w:t>
      </w:r>
    </w:p>
    <w:p w14:paraId="1EA394CC" w14:textId="77777777" w:rsidR="00767039" w:rsidRDefault="00767039" w:rsidP="00F576FE">
      <w:pPr>
        <w:pStyle w:val="Reference"/>
      </w:pPr>
      <w:r>
        <w:t xml:space="preserve">Bohensky, M.A., Sundararajan, V., Andrianopoulos, N., Steiger, D., N, R., Bucknill, A., Kondogiannis, C.M., McColl, G. and Brand, C.A. 2012, ‘Trends in elective knee arthroscopies in a population-based cohort, 2000–2009’, </w:t>
      </w:r>
      <w:r>
        <w:rPr>
          <w:i/>
          <w:iCs/>
        </w:rPr>
        <w:t>Medical Journal of Australia</w:t>
      </w:r>
      <w:r>
        <w:t>, vol. 197, no. 7, pp. 399–403.</w:t>
      </w:r>
    </w:p>
    <w:p w14:paraId="1EA394CD" w14:textId="77777777" w:rsidR="00767039" w:rsidRDefault="00767039" w:rsidP="00F576FE">
      <w:pPr>
        <w:pStyle w:val="Reference"/>
      </w:pPr>
      <w:r>
        <w:t xml:space="preserve">Bolevich, Z. and Smith, B. 2015, </w:t>
      </w:r>
      <w:r>
        <w:rPr>
          <w:i/>
          <w:iCs/>
        </w:rPr>
        <w:t>Unplanned Hospital Readmissions: Where to from here?</w:t>
      </w:r>
      <w:r>
        <w:t>, NSW Ministry of Health.</w:t>
      </w:r>
    </w:p>
    <w:p w14:paraId="1EA394CE" w14:textId="77777777" w:rsidR="00767039" w:rsidRDefault="00767039" w:rsidP="00F576FE">
      <w:pPr>
        <w:pStyle w:val="Reference"/>
      </w:pPr>
      <w:r>
        <w:t xml:space="preserve">Bonnet, C. and Réquillart, V. 2016, </w:t>
      </w:r>
      <w:r>
        <w:rPr>
          <w:i/>
          <w:iCs/>
        </w:rPr>
        <w:t>The effects of taxation on the individual consumption of sugar-sweetened beverages</w:t>
      </w:r>
      <w:r>
        <w:t>, TSE Working Papers, April, 638, Toulouse School of Economics.</w:t>
      </w:r>
    </w:p>
    <w:p w14:paraId="1EA394CF" w14:textId="77777777" w:rsidR="00767039" w:rsidRDefault="00767039" w:rsidP="00F576FE">
      <w:pPr>
        <w:pStyle w:val="Reference"/>
      </w:pPr>
      <w:r>
        <w:t xml:space="preserve">Booth, A.O. and Nowson, C.A. 2010, ‘Patient recall of receiving lifestyle advice for overweight and hypertension from their General Practitioner’, </w:t>
      </w:r>
      <w:r>
        <w:rPr>
          <w:i/>
          <w:iCs/>
        </w:rPr>
        <w:t>BMC Family Practice</w:t>
      </w:r>
      <w:r>
        <w:t>, vol. 11, p. 8.</w:t>
      </w:r>
    </w:p>
    <w:p w14:paraId="1EA394D0" w14:textId="77777777" w:rsidR="00767039" w:rsidRDefault="00767039" w:rsidP="00F576FE">
      <w:pPr>
        <w:pStyle w:val="Reference"/>
      </w:pPr>
      <w:r>
        <w:t xml:space="preserve">Borges, M. et al. 2017, ‘Artificially Sweetened Beverages and the Response to the Global Obesity Crisis’, </w:t>
      </w:r>
      <w:r>
        <w:rPr>
          <w:i/>
          <w:iCs/>
        </w:rPr>
        <w:t>PLoS Medicine</w:t>
      </w:r>
      <w:r>
        <w:t>, vol. 14, no. 1.</w:t>
      </w:r>
    </w:p>
    <w:p w14:paraId="1EA394D1" w14:textId="77777777" w:rsidR="00767039" w:rsidRDefault="00767039" w:rsidP="00F576FE">
      <w:pPr>
        <w:pStyle w:val="Reference"/>
      </w:pPr>
      <w:r>
        <w:t xml:space="preserve">Brand-Miller, J. and Barclay, A. 2017, ‘Declining consumption of added sugars and sugar sweetened beverages in Australia: a challenge for obesity prevention’, </w:t>
      </w:r>
      <w:r>
        <w:rPr>
          <w:i/>
          <w:iCs/>
        </w:rPr>
        <w:t>The American Journal of Clinical Nutrition</w:t>
      </w:r>
      <w:r>
        <w:t>, vol. 106, no. 1.</w:t>
      </w:r>
    </w:p>
    <w:p w14:paraId="1EA394D2" w14:textId="77777777" w:rsidR="00767039" w:rsidRDefault="00767039" w:rsidP="00F576FE">
      <w:pPr>
        <w:pStyle w:val="Reference"/>
      </w:pPr>
      <w:r>
        <w:t xml:space="preserve">Bray, K. 2017, ‘Is your pharmacist giving you the right advice?’, </w:t>
      </w:r>
      <w:r>
        <w:rPr>
          <w:i/>
          <w:iCs/>
        </w:rPr>
        <w:t>Choice</w:t>
      </w:r>
      <w:r>
        <w:t>, 13 February.</w:t>
      </w:r>
    </w:p>
    <w:p w14:paraId="1EA394D3" w14:textId="77777777" w:rsidR="00767039" w:rsidRDefault="00767039" w:rsidP="00F576FE">
      <w:pPr>
        <w:pStyle w:val="Reference"/>
      </w:pPr>
      <w:r>
        <w:t xml:space="preserve">Breckenridge et al. 2015, ‘How to routinely collect data on patient-reported outcome and experience measures in renal registries in Europe: an expert consensus meeting’, </w:t>
      </w:r>
      <w:r>
        <w:rPr>
          <w:i/>
          <w:iCs/>
        </w:rPr>
        <w:t>Nephrology Dialysis Transplantation</w:t>
      </w:r>
      <w:r>
        <w:t>, vol. 30, no. 10, pp. 1605–1614.</w:t>
      </w:r>
    </w:p>
    <w:p w14:paraId="1EA394D4" w14:textId="77777777" w:rsidR="00767039" w:rsidRDefault="00767039" w:rsidP="00F576FE">
      <w:pPr>
        <w:pStyle w:val="Reference"/>
      </w:pPr>
      <w:r>
        <w:t xml:space="preserve">Bresnick, J. 2016, ‘The Role of Healthcare Data Governance in Big Data Analytics’, </w:t>
      </w:r>
      <w:r>
        <w:rPr>
          <w:i/>
          <w:iCs/>
        </w:rPr>
        <w:t>HealthITAnalytics</w:t>
      </w:r>
      <w:r>
        <w:t>.</w:t>
      </w:r>
    </w:p>
    <w:p w14:paraId="1EA394D5" w14:textId="77777777" w:rsidR="00767039" w:rsidRDefault="00767039" w:rsidP="00F576FE">
      <w:pPr>
        <w:pStyle w:val="Reference"/>
      </w:pPr>
      <w:r>
        <w:t xml:space="preserve">Briggs, A. 2017, ‘Evaluating musculoskeletal models of care’, </w:t>
      </w:r>
      <w:r>
        <w:rPr>
          <w:i/>
          <w:iCs/>
        </w:rPr>
        <w:t>Clinician Connect</w:t>
      </w:r>
      <w:r>
        <w:t>, vol. 9, no. 1.</w:t>
      </w:r>
    </w:p>
    <w:p w14:paraId="1EA394D6" w14:textId="77777777" w:rsidR="00767039" w:rsidRDefault="00767039" w:rsidP="00F576FE">
      <w:pPr>
        <w:pStyle w:val="Reference"/>
      </w:pPr>
      <w:r>
        <w:t xml:space="preserve">Britt, H. and Miller, G. 2009, </w:t>
      </w:r>
      <w:r>
        <w:rPr>
          <w:i/>
          <w:iCs/>
        </w:rPr>
        <w:t>General practice in Australia, health priorities and policies 1998 to 2008</w:t>
      </w:r>
      <w:r>
        <w:t>, General practice series no. 24. Cat. no. GEP 24, Australian Institute of Health and Welfare.</w:t>
      </w:r>
    </w:p>
    <w:p w14:paraId="1EA394D7" w14:textId="5C668B2A" w:rsidR="00767039" w:rsidRDefault="00767039" w:rsidP="00F576FE">
      <w:pPr>
        <w:pStyle w:val="Reference"/>
      </w:pPr>
      <w:r>
        <w:t xml:space="preserve">——, ——, Bayram, C., Henderson, J., Valenti, L., Harrison, C., Pan, Y., Charles, J., Pollack, A., Chambers, T., Gordon, J. and Wong, C. 2016, </w:t>
      </w:r>
      <w:r>
        <w:rPr>
          <w:i/>
          <w:iCs/>
        </w:rPr>
        <w:t>A decade of Australian general practice activity 2006</w:t>
      </w:r>
      <w:r w:rsidR="00D64ABB">
        <w:rPr>
          <w:i/>
          <w:iCs/>
        </w:rPr>
        <w:noBreakHyphen/>
      </w:r>
      <w:r>
        <w:rPr>
          <w:i/>
          <w:iCs/>
        </w:rPr>
        <w:t>07 to 2015</w:t>
      </w:r>
      <w:r w:rsidR="00D64ABB">
        <w:rPr>
          <w:i/>
          <w:iCs/>
        </w:rPr>
        <w:noBreakHyphen/>
      </w:r>
      <w:r>
        <w:rPr>
          <w:i/>
          <w:iCs/>
        </w:rPr>
        <w:t>16</w:t>
      </w:r>
      <w:r>
        <w:t>, General Practice Ser</w:t>
      </w:r>
      <w:r w:rsidR="00D64ABB">
        <w:t xml:space="preserve">ies, No. 41, Sydney University </w:t>
      </w:r>
      <w:r>
        <w:t>Press.</w:t>
      </w:r>
    </w:p>
    <w:p w14:paraId="1EA394D8" w14:textId="77777777" w:rsidR="00767039" w:rsidRDefault="00767039" w:rsidP="00F576FE">
      <w:pPr>
        <w:pStyle w:val="Reference"/>
      </w:pPr>
      <w:r>
        <w:t xml:space="preserve">Brown, M.T. and Bussell, J.K. 2011, ‘Medication Adherence: WHO Cares?’, </w:t>
      </w:r>
      <w:r>
        <w:rPr>
          <w:i/>
          <w:iCs/>
        </w:rPr>
        <w:t>Mayo Clinic Proceedings</w:t>
      </w:r>
      <w:r>
        <w:t>, vol. 86, no. 4, pp. 304–314.</w:t>
      </w:r>
    </w:p>
    <w:p w14:paraId="1EA394D9" w14:textId="77777777" w:rsidR="00767039" w:rsidRDefault="00767039" w:rsidP="00F576FE">
      <w:pPr>
        <w:pStyle w:val="Reference"/>
      </w:pPr>
      <w:r>
        <w:t xml:space="preserve">Brown, R.J., De Banate, M.A. and Rother, K.I. 2010, ‘Artificial Sweeteners: A systematic review of metabolic effects in youth’, </w:t>
      </w:r>
      <w:r>
        <w:rPr>
          <w:i/>
          <w:iCs/>
        </w:rPr>
        <w:t>International journal of pediatric obesity : IJPO : an official journal of the International Association for the Study of Obesity</w:t>
      </w:r>
      <w:r>
        <w:t>, vol. 5, no. 4, pp. 305–312.</w:t>
      </w:r>
    </w:p>
    <w:p w14:paraId="1EA394DA" w14:textId="77777777" w:rsidR="00767039" w:rsidRDefault="00767039" w:rsidP="00F576FE">
      <w:pPr>
        <w:pStyle w:val="Reference"/>
      </w:pPr>
      <w:r>
        <w:t xml:space="preserve">Bupa 2017, </w:t>
      </w:r>
      <w:r>
        <w:rPr>
          <w:i/>
          <w:iCs/>
        </w:rPr>
        <w:t>Shaping the Future of Health and Care Together: National Digital Health Strategy Australian Digital Health Agency. Bupa Submission</w:t>
      </w:r>
      <w:r>
        <w:t>, Submission.</w:t>
      </w:r>
    </w:p>
    <w:p w14:paraId="1EA394DB" w14:textId="77777777" w:rsidR="00767039" w:rsidRDefault="00767039" w:rsidP="00F576FE">
      <w:pPr>
        <w:pStyle w:val="Reference"/>
      </w:pPr>
      <w:r>
        <w:t xml:space="preserve">Burgess, M. 2017, ‘The NHS is trialling an AI chatbot to answer your medical questions’, </w:t>
      </w:r>
      <w:r>
        <w:rPr>
          <w:i/>
          <w:iCs/>
        </w:rPr>
        <w:t>WIRED UK</w:t>
      </w:r>
      <w:r>
        <w:t>, 5 January.</w:t>
      </w:r>
    </w:p>
    <w:p w14:paraId="1EA394DC" w14:textId="77777777" w:rsidR="00767039" w:rsidRDefault="00767039" w:rsidP="00F576FE">
      <w:pPr>
        <w:pStyle w:val="Reference"/>
      </w:pPr>
      <w:r>
        <w:t xml:space="preserve">Busse, R. and Stahl, J. 2014, ‘Integrated care experiences and outcomes in Germany, the Netherlands, and England’, </w:t>
      </w:r>
      <w:r>
        <w:rPr>
          <w:i/>
          <w:iCs/>
        </w:rPr>
        <w:t>Health Affairs</w:t>
      </w:r>
      <w:r>
        <w:t>, vol. 33, no. 9, pp. 1549–1558.</w:t>
      </w:r>
    </w:p>
    <w:p w14:paraId="1EA394DD" w14:textId="77777777" w:rsidR="00767039" w:rsidRDefault="00767039" w:rsidP="00F576FE">
      <w:pPr>
        <w:pStyle w:val="Reference"/>
      </w:pPr>
      <w:r>
        <w:t xml:space="preserve">Bystad, M., Bystad, C. and Wynn, R. 2015, ‘How can placebo effects best be applied in clinical practice? A narrative review’, </w:t>
      </w:r>
      <w:r>
        <w:rPr>
          <w:i/>
          <w:iCs/>
        </w:rPr>
        <w:t>Psychology Research and Behavior Management</w:t>
      </w:r>
      <w:r>
        <w:t>, vol. 8, pp. 41–45.</w:t>
      </w:r>
    </w:p>
    <w:p w14:paraId="1EA394DE" w14:textId="77777777" w:rsidR="00767039" w:rsidRDefault="00767039" w:rsidP="00F576FE">
      <w:pPr>
        <w:pStyle w:val="Reference"/>
      </w:pPr>
      <w:r>
        <w:t xml:space="preserve">Cahill, K., Hartmann-Boyce, J. and Perera, R. 2015, ‘Incentives for smoking cessation’, </w:t>
      </w:r>
      <w:r>
        <w:rPr>
          <w:i/>
          <w:iCs/>
        </w:rPr>
        <w:t>Cochrane Database of Systematic Reviews</w:t>
      </w:r>
      <w:r>
        <w:t>, 5. Art. No.: CD004307.</w:t>
      </w:r>
    </w:p>
    <w:p w14:paraId="1EA394DF" w14:textId="77777777" w:rsidR="00767039" w:rsidRDefault="00767039" w:rsidP="00F576FE">
      <w:pPr>
        <w:pStyle w:val="Reference"/>
      </w:pPr>
      <w:r>
        <w:t xml:space="preserve">Cain, M. and Mittman, R. 2002, </w:t>
      </w:r>
      <w:r>
        <w:rPr>
          <w:i/>
          <w:iCs/>
        </w:rPr>
        <w:t>Diffusion of Innovation in Health Care</w:t>
      </w:r>
      <w:r>
        <w:t>, Report prepared for the California Healthcare Foundation.</w:t>
      </w:r>
    </w:p>
    <w:p w14:paraId="1EA394E0" w14:textId="77777777" w:rsidR="00767039" w:rsidRDefault="00767039" w:rsidP="00F576FE">
      <w:pPr>
        <w:pStyle w:val="Reference"/>
      </w:pPr>
      <w:r>
        <w:t xml:space="preserve">Car, J., Tan, W.S., Huang, Z., Sloot, P. and Franklin, B.D. 2017, ‘eHealth in the future of medications management: personalisation, monitoring and adherence’, </w:t>
      </w:r>
      <w:r>
        <w:rPr>
          <w:i/>
          <w:iCs/>
        </w:rPr>
        <w:t>BMC Medicine</w:t>
      </w:r>
      <w:r>
        <w:t>, vol. 15, no. 1, p. 73.</w:t>
      </w:r>
    </w:p>
    <w:p w14:paraId="1EA394E1" w14:textId="77777777" w:rsidR="00767039" w:rsidRDefault="00767039" w:rsidP="00F576FE">
      <w:pPr>
        <w:pStyle w:val="Reference"/>
      </w:pPr>
      <w:r>
        <w:t xml:space="preserve">Carnethon, M.R., De Chavez, P.J.D., Biggs, M.L., Lewis, C.E., Pankow, J.S., Bertoni, A.G., Golden, S.H., Liu, K., Mukamal, K.J., Campbell-Jenkins, B. and Dyer, A.R. 2012, ‘Association of weight status with mortality in adults with incident diabetes’, </w:t>
      </w:r>
      <w:r>
        <w:rPr>
          <w:i/>
          <w:iCs/>
        </w:rPr>
        <w:t>JAMA</w:t>
      </w:r>
      <w:r>
        <w:t>, vol. 308, no. 6, pp. 581–590.</w:t>
      </w:r>
    </w:p>
    <w:p w14:paraId="1EA394E2" w14:textId="77777777" w:rsidR="00767039" w:rsidRDefault="00767039" w:rsidP="00F576FE">
      <w:pPr>
        <w:pStyle w:val="Reference"/>
      </w:pPr>
      <w:r>
        <w:t xml:space="preserve">Cass, A., Chadban, S., Gallagher, M., Howard, K., Jones, A., McDonald, S., Snelling, P. and White, S. 2010, </w:t>
      </w:r>
      <w:r>
        <w:rPr>
          <w:i/>
          <w:iCs/>
        </w:rPr>
        <w:t>The Economic Impact of End-Stage Kidney Disease in Australia: Projections to 2020</w:t>
      </w:r>
      <w:r>
        <w:t>, Kidney Health Australia.</w:t>
      </w:r>
    </w:p>
    <w:p w14:paraId="1EA394E3" w14:textId="77777777" w:rsidR="00767039" w:rsidRDefault="00767039" w:rsidP="00F576FE">
      <w:pPr>
        <w:pStyle w:val="Reference"/>
      </w:pPr>
      <w:r>
        <w:t xml:space="preserve">Cass, S.J., Ball, L.E. and Leveritt, M.D. 2016, ‘Passive interventions in primary healthcare waiting rooms are effective in promoting healthy lifestyle behaviours: an integrative review’, </w:t>
      </w:r>
      <w:r>
        <w:rPr>
          <w:i/>
          <w:iCs/>
        </w:rPr>
        <w:t>Australian Journal of Primary Health</w:t>
      </w:r>
      <w:r>
        <w:t>, vol. 22, no. 3, pp. 198–210.</w:t>
      </w:r>
    </w:p>
    <w:p w14:paraId="1EA394E4" w14:textId="77777777" w:rsidR="00767039" w:rsidRDefault="00767039" w:rsidP="00F576FE">
      <w:pPr>
        <w:pStyle w:val="Reference"/>
      </w:pPr>
      <w:r>
        <w:t xml:space="preserve">Cawley, J. and Frisvold, D. 2015, ‘The Incidence of Taxes on Sugar-Sweetened Beverages: The Case of Berkeley, California’, </w:t>
      </w:r>
      <w:r>
        <w:rPr>
          <w:i/>
          <w:iCs/>
        </w:rPr>
        <w:t>Journal of Policy Analysis and Management</w:t>
      </w:r>
      <w:r>
        <w:t>, vol. 36, no. 2, pp. 302–326.</w:t>
      </w:r>
    </w:p>
    <w:p w14:paraId="1EA394E5" w14:textId="0CD529AE" w:rsidR="00767039" w:rsidRDefault="00767039" w:rsidP="00F576FE">
      <w:pPr>
        <w:pStyle w:val="Reference"/>
      </w:pPr>
      <w:r>
        <w:t xml:space="preserve">CBO </w:t>
      </w:r>
      <w:r w:rsidR="000D39DE">
        <w:t>(</w:t>
      </w:r>
      <w:r w:rsidR="000D39DE" w:rsidRPr="000D39DE">
        <w:t>Congressional Budget Office</w:t>
      </w:r>
      <w:r w:rsidR="000D39DE">
        <w:t xml:space="preserve">) </w:t>
      </w:r>
      <w:r>
        <w:t xml:space="preserve">2008, </w:t>
      </w:r>
      <w:r>
        <w:rPr>
          <w:i/>
          <w:iCs/>
        </w:rPr>
        <w:t>Evidence on the Costs and Benefits of Health Information Technology</w:t>
      </w:r>
      <w:r>
        <w:t>, 20 May, United States Congress, Washington D.C., https://www.cbo.gov/publication/41690 (accessed 26 April 2017).</w:t>
      </w:r>
    </w:p>
    <w:p w14:paraId="1EA394E6" w14:textId="037FB1EA" w:rsidR="00767039" w:rsidRDefault="00767039" w:rsidP="00F576FE">
      <w:pPr>
        <w:pStyle w:val="Reference"/>
      </w:pPr>
      <w:r>
        <w:t xml:space="preserve">CEC </w:t>
      </w:r>
      <w:r w:rsidR="000D39DE">
        <w:t>(</w:t>
      </w:r>
      <w:r w:rsidR="000D39DE" w:rsidRPr="000D39DE">
        <w:t>Clinical Excellence Commission</w:t>
      </w:r>
      <w:r w:rsidR="000D39DE">
        <w:t xml:space="preserve">) </w:t>
      </w:r>
      <w:r>
        <w:t xml:space="preserve">2016, </w:t>
      </w:r>
      <w:r>
        <w:rPr>
          <w:i/>
          <w:iCs/>
        </w:rPr>
        <w:t>NSW Ambulance Frequent Users</w:t>
      </w:r>
      <w:r>
        <w:t>, NSW Department of Health.</w:t>
      </w:r>
    </w:p>
    <w:p w14:paraId="1EA394E7" w14:textId="0E07653D" w:rsidR="00767039" w:rsidRDefault="00767039" w:rsidP="00F576FE">
      <w:pPr>
        <w:pStyle w:val="Reference"/>
      </w:pPr>
      <w:r>
        <w:t xml:space="preserve">CEDA </w:t>
      </w:r>
      <w:r w:rsidR="00A51C43">
        <w:t>(</w:t>
      </w:r>
      <w:r w:rsidR="00A51C43" w:rsidRPr="00A51C43">
        <w:t>Committee for Economic Development of Australia</w:t>
      </w:r>
      <w:r w:rsidR="00A51C43">
        <w:t xml:space="preserve">) </w:t>
      </w:r>
      <w:r>
        <w:t xml:space="preserve">2013, </w:t>
      </w:r>
      <w:r>
        <w:rPr>
          <w:i/>
          <w:iCs/>
        </w:rPr>
        <w:t>Healthcare: Reform or Ration</w:t>
      </w:r>
      <w:r>
        <w:t>, April.</w:t>
      </w:r>
    </w:p>
    <w:p w14:paraId="1EA394E8" w14:textId="77777777" w:rsidR="00767039" w:rsidRDefault="00767039" w:rsidP="00F576FE">
      <w:pPr>
        <w:pStyle w:val="Reference"/>
      </w:pPr>
      <w:r>
        <w:t xml:space="preserve">Charles, J., Britt, H. and Valenti, L. 2004, ‘The evolution of the general practice workforce in Australia, 1991–2003’, </w:t>
      </w:r>
      <w:r>
        <w:rPr>
          <w:i/>
          <w:iCs/>
        </w:rPr>
        <w:t>Medical Journal of Australia</w:t>
      </w:r>
      <w:r>
        <w:t>, vol. 181, no. 2.</w:t>
      </w:r>
    </w:p>
    <w:p w14:paraId="1EA394E9" w14:textId="2D2A8208" w:rsidR="00767039" w:rsidRDefault="00767039" w:rsidP="00F576FE">
      <w:pPr>
        <w:pStyle w:val="Reference"/>
      </w:pPr>
      <w:r>
        <w:t xml:space="preserve">Chen, J. 2016, </w:t>
      </w:r>
      <w:r>
        <w:rPr>
          <w:i/>
          <w:iCs/>
        </w:rPr>
        <w:t>Integrated Care: Patient</w:t>
      </w:r>
      <w:r w:rsidR="00D80FFD">
        <w:rPr>
          <w:i/>
          <w:iCs/>
        </w:rPr>
        <w:t xml:space="preserve">-Reported Outcome Measures and </w:t>
      </w:r>
      <w:r>
        <w:rPr>
          <w:i/>
          <w:iCs/>
        </w:rPr>
        <w:t>Patient</w:t>
      </w:r>
      <w:r w:rsidR="00D80FFD">
        <w:rPr>
          <w:i/>
          <w:iCs/>
        </w:rPr>
        <w:noBreakHyphen/>
      </w:r>
      <w:r>
        <w:rPr>
          <w:i/>
          <w:iCs/>
        </w:rPr>
        <w:t>Reported Experience Measures: A rapid scoping review</w:t>
      </w:r>
      <w:r>
        <w:t>, NSW Agency for Clinical Innovation.</w:t>
      </w:r>
    </w:p>
    <w:p w14:paraId="1EA394EA" w14:textId="77777777" w:rsidR="00767039" w:rsidRDefault="00767039" w:rsidP="00F576FE">
      <w:pPr>
        <w:pStyle w:val="Reference"/>
      </w:pPr>
      <w:r>
        <w:t xml:space="preserve">Cheng, C. and Dunn, M. 2015, ‘Health literacy and the Internet: a study on the readability of Australian online health information’, </w:t>
      </w:r>
      <w:r>
        <w:rPr>
          <w:i/>
          <w:iCs/>
        </w:rPr>
        <w:t>Australian And New Zealand Journal Of Public Health</w:t>
      </w:r>
      <w:r>
        <w:t>, vol. 39, no. 4, pp. 309–314.</w:t>
      </w:r>
    </w:p>
    <w:p w14:paraId="1EA394EB" w14:textId="77777777" w:rsidR="00767039" w:rsidRDefault="00767039" w:rsidP="00F576FE">
      <w:pPr>
        <w:pStyle w:val="Reference"/>
      </w:pPr>
      <w:r>
        <w:t xml:space="preserve">Chesser, A.K., Keene Woods, N., Smothers, K. and Rogers, N. 2016, ‘Health Literacy and Older Adults: A Systematic Review’, </w:t>
      </w:r>
      <w:r>
        <w:rPr>
          <w:i/>
          <w:iCs/>
        </w:rPr>
        <w:t>Gerontology and Geriatric Medicine</w:t>
      </w:r>
      <w:r>
        <w:t>, vol. 2.</w:t>
      </w:r>
    </w:p>
    <w:p w14:paraId="1EA394EC" w14:textId="094F0670" w:rsidR="00767039" w:rsidRDefault="00767039" w:rsidP="00F576FE">
      <w:pPr>
        <w:pStyle w:val="Reference"/>
      </w:pPr>
      <w:r>
        <w:t xml:space="preserve">CHF </w:t>
      </w:r>
      <w:r w:rsidR="00712651">
        <w:t>(</w:t>
      </w:r>
      <w:r w:rsidR="00712651" w:rsidRPr="00712651">
        <w:t>Consumers Health Forum of Australia</w:t>
      </w:r>
      <w:r w:rsidR="00712651">
        <w:t xml:space="preserve">) </w:t>
      </w:r>
      <w:r>
        <w:t xml:space="preserve">2016, </w:t>
      </w:r>
      <w:r>
        <w:rPr>
          <w:i/>
          <w:iCs/>
        </w:rPr>
        <w:t>Redesigning the Practice Incentives Program Submission</w:t>
      </w:r>
      <w:r>
        <w:t>, Submission, November.</w:t>
      </w:r>
    </w:p>
    <w:p w14:paraId="1EA394ED" w14:textId="77777777" w:rsidR="00767039" w:rsidRDefault="00767039" w:rsidP="00F576FE">
      <w:pPr>
        <w:pStyle w:val="Reference"/>
      </w:pPr>
      <w:r>
        <w:t xml:space="preserve">Chiauzzi, E., Rodarte, C. and DasMahapatra, P. 2015, ‘Patient-centered activity monitoring in the self-management of chronic health conditions’, </w:t>
      </w:r>
      <w:r>
        <w:rPr>
          <w:i/>
          <w:iCs/>
        </w:rPr>
        <w:t>BMC Medicine</w:t>
      </w:r>
      <w:r>
        <w:t>, vol. 13.</w:t>
      </w:r>
    </w:p>
    <w:p w14:paraId="1EA394EE" w14:textId="77777777" w:rsidR="00767039" w:rsidRDefault="00767039" w:rsidP="00F576FE">
      <w:pPr>
        <w:pStyle w:val="Reference"/>
      </w:pPr>
      <w:r>
        <w:t xml:space="preserve">Choosing Wisely Australia 2017, </w:t>
      </w:r>
      <w:r>
        <w:rPr>
          <w:i/>
          <w:iCs/>
        </w:rPr>
        <w:t>Tests, treatments, and procedures for healthcare providers and consumers to question</w:t>
      </w:r>
      <w:r>
        <w:t>, www.choosingwisely.org.au/recommendations (accessed 11 June 2017).</w:t>
      </w:r>
    </w:p>
    <w:p w14:paraId="1EA394EF" w14:textId="78871F6F" w:rsidR="00767039" w:rsidRDefault="00767039" w:rsidP="00F576FE">
      <w:pPr>
        <w:pStyle w:val="Reference"/>
      </w:pPr>
      <w:r>
        <w:t xml:space="preserve">CHPPE </w:t>
      </w:r>
      <w:r w:rsidR="00712651">
        <w:t>(</w:t>
      </w:r>
      <w:r w:rsidR="00712651" w:rsidRPr="00712651">
        <w:t>Centre for Health Policy, Programs and Economics</w:t>
      </w:r>
      <w:r w:rsidR="00712651">
        <w:t xml:space="preserve">) </w:t>
      </w:r>
      <w:r>
        <w:t xml:space="preserve">2012, </w:t>
      </w:r>
      <w:r>
        <w:rPr>
          <w:i/>
          <w:iCs/>
        </w:rPr>
        <w:t>Preventing suicide at suicide hotspots</w:t>
      </w:r>
      <w:r>
        <w:t>, Melbourne School of Population Health, The University of Melbourne.</w:t>
      </w:r>
    </w:p>
    <w:p w14:paraId="1EA394F0" w14:textId="77777777" w:rsidR="00767039" w:rsidRDefault="00767039" w:rsidP="00F576FE">
      <w:pPr>
        <w:pStyle w:val="Reference"/>
      </w:pPr>
      <w:r>
        <w:t xml:space="preserve">Clarin, O.A. 2007, ‘Strategies to Overcome Barriers to Effective Nurse Practitioner and Physician Collaboration’, </w:t>
      </w:r>
      <w:r>
        <w:rPr>
          <w:i/>
          <w:iCs/>
        </w:rPr>
        <w:t>The Journal for Nurse Practitioners</w:t>
      </w:r>
      <w:r>
        <w:t>, vol. 3, no. 8, pp. 538–548.</w:t>
      </w:r>
    </w:p>
    <w:p w14:paraId="1EA394F1" w14:textId="090DE475" w:rsidR="00767039" w:rsidRDefault="00767039" w:rsidP="00F576FE">
      <w:pPr>
        <w:pStyle w:val="Reference"/>
      </w:pPr>
      <w:r>
        <w:t xml:space="preserve">CMS </w:t>
      </w:r>
      <w:r w:rsidR="00712651">
        <w:t>(</w:t>
      </w:r>
      <w:r w:rsidR="00712651" w:rsidRPr="00712651">
        <w:t>Centers for Medicare and Medicaid Services</w:t>
      </w:r>
      <w:r w:rsidR="00712651">
        <w:t xml:space="preserve">) </w:t>
      </w:r>
      <w:r>
        <w:t xml:space="preserve">2004, </w:t>
      </w:r>
      <w:r>
        <w:rPr>
          <w:i/>
          <w:iCs/>
        </w:rPr>
        <w:t>National Coverage Determination (NCD) for Arthroscopic Lavage and Arthroscopic Debridement for the Osteoarthritic Knee (150.9)</w:t>
      </w:r>
      <w:r>
        <w:t>, 100–3, United States.</w:t>
      </w:r>
    </w:p>
    <w:p w14:paraId="1EA394F2" w14:textId="2DC654E1" w:rsidR="00767039" w:rsidRDefault="00767039" w:rsidP="00F576FE">
      <w:pPr>
        <w:pStyle w:val="Reference"/>
      </w:pPr>
      <w:r>
        <w:t xml:space="preserve">COAG </w:t>
      </w:r>
      <w:r w:rsidR="00712651">
        <w:t>(</w:t>
      </w:r>
      <w:r w:rsidR="00712651" w:rsidRPr="00712651">
        <w:t>Council of Australian Governments</w:t>
      </w:r>
      <w:r w:rsidR="00712651">
        <w:t xml:space="preserve">) </w:t>
      </w:r>
      <w:r>
        <w:t xml:space="preserve">1995, </w:t>
      </w:r>
      <w:r>
        <w:rPr>
          <w:i/>
          <w:iCs/>
        </w:rPr>
        <w:t>Attachment B - Key Decisions on Health and Community Services</w:t>
      </w:r>
      <w:r>
        <w:t>, 11 April.</w:t>
      </w:r>
    </w:p>
    <w:p w14:paraId="1EA394F3" w14:textId="39D2D824" w:rsidR="00767039" w:rsidRDefault="00767039" w:rsidP="00F576FE">
      <w:pPr>
        <w:pStyle w:val="Reference"/>
      </w:pPr>
      <w:r>
        <w:t>——</w:t>
      </w:r>
      <w:r w:rsidR="00050D33">
        <w:t> </w:t>
      </w:r>
      <w:r>
        <w:t xml:space="preserve">1996, </w:t>
      </w:r>
      <w:r>
        <w:rPr>
          <w:i/>
          <w:iCs/>
        </w:rPr>
        <w:t>COAG Meeting Communiqué, 14 June 1996</w:t>
      </w:r>
      <w:r>
        <w:t>.</w:t>
      </w:r>
    </w:p>
    <w:p w14:paraId="1EA394F4" w14:textId="4C9ACFA2" w:rsidR="00767039" w:rsidRDefault="00767039" w:rsidP="00F576FE">
      <w:pPr>
        <w:pStyle w:val="Reference"/>
      </w:pPr>
      <w:r>
        <w:t>——</w:t>
      </w:r>
      <w:r w:rsidR="00050D33">
        <w:t> </w:t>
      </w:r>
      <w:r>
        <w:t xml:space="preserve">2005, </w:t>
      </w:r>
      <w:r>
        <w:rPr>
          <w:i/>
          <w:iCs/>
        </w:rPr>
        <w:t>COAG Meeting Communiqué, 3 June 2005</w:t>
      </w:r>
      <w:r>
        <w:t>.</w:t>
      </w:r>
    </w:p>
    <w:p w14:paraId="1EA394F5" w14:textId="5C19550D" w:rsidR="00767039" w:rsidRDefault="00767039" w:rsidP="00F576FE">
      <w:pPr>
        <w:pStyle w:val="Reference"/>
      </w:pPr>
      <w:r>
        <w:t>——</w:t>
      </w:r>
      <w:r w:rsidR="00050D33">
        <w:t> </w:t>
      </w:r>
      <w:r>
        <w:t xml:space="preserve">2006a, </w:t>
      </w:r>
      <w:r>
        <w:rPr>
          <w:i/>
          <w:iCs/>
        </w:rPr>
        <w:t>COAG Meeting Communiqué, 10 February 2006</w:t>
      </w:r>
      <w:r>
        <w:t>.</w:t>
      </w:r>
    </w:p>
    <w:p w14:paraId="1EA394F6" w14:textId="5115FFEC" w:rsidR="00767039" w:rsidRDefault="00767039" w:rsidP="00F576FE">
      <w:pPr>
        <w:pStyle w:val="Reference"/>
      </w:pPr>
      <w:r>
        <w:t>——</w:t>
      </w:r>
      <w:r w:rsidR="00050D33">
        <w:t> </w:t>
      </w:r>
      <w:r>
        <w:t xml:space="preserve">2006b, </w:t>
      </w:r>
      <w:r>
        <w:rPr>
          <w:i/>
          <w:iCs/>
        </w:rPr>
        <w:t>COAG Meeting Communiqué, 14 July 2006</w:t>
      </w:r>
      <w:r>
        <w:t>.</w:t>
      </w:r>
    </w:p>
    <w:p w14:paraId="1EA394F7" w14:textId="3A76C516" w:rsidR="00767039" w:rsidRDefault="00767039" w:rsidP="00F576FE">
      <w:pPr>
        <w:pStyle w:val="Reference"/>
      </w:pPr>
      <w:r>
        <w:t>——</w:t>
      </w:r>
      <w:r w:rsidR="00050D33">
        <w:t> </w:t>
      </w:r>
      <w:r>
        <w:t xml:space="preserve">2006c, </w:t>
      </w:r>
      <w:r>
        <w:rPr>
          <w:i/>
          <w:iCs/>
        </w:rPr>
        <w:t>National Action Plan on Mental Health 2006</w:t>
      </w:r>
      <w:r w:rsidR="00D80FFD">
        <w:rPr>
          <w:i/>
          <w:iCs/>
        </w:rPr>
        <w:t>–</w:t>
      </w:r>
      <w:r>
        <w:rPr>
          <w:i/>
          <w:iCs/>
        </w:rPr>
        <w:t>2011</w:t>
      </w:r>
      <w:r>
        <w:t>, 14 July, COAG.</w:t>
      </w:r>
    </w:p>
    <w:p w14:paraId="1EA394F8" w14:textId="52E36934" w:rsidR="00767039" w:rsidRDefault="00767039" w:rsidP="00F576FE">
      <w:pPr>
        <w:pStyle w:val="Reference"/>
      </w:pPr>
      <w:r>
        <w:t>——</w:t>
      </w:r>
      <w:r w:rsidR="00050D33">
        <w:t> </w:t>
      </w:r>
      <w:r>
        <w:t xml:space="preserve">2007, </w:t>
      </w:r>
      <w:r>
        <w:rPr>
          <w:i/>
          <w:iCs/>
        </w:rPr>
        <w:t>COAG Meeting Communiqué, 20 December 2007</w:t>
      </w:r>
      <w:r>
        <w:t>.</w:t>
      </w:r>
    </w:p>
    <w:p w14:paraId="1EA394F9" w14:textId="2CDF5012" w:rsidR="00767039" w:rsidRDefault="00767039" w:rsidP="00F576FE">
      <w:pPr>
        <w:pStyle w:val="Reference"/>
      </w:pPr>
      <w:r>
        <w:t>——</w:t>
      </w:r>
      <w:r w:rsidR="00050D33">
        <w:t> </w:t>
      </w:r>
      <w:r>
        <w:t xml:space="preserve">2008a, </w:t>
      </w:r>
      <w:r>
        <w:rPr>
          <w:i/>
          <w:iCs/>
        </w:rPr>
        <w:t>COAG Meeting Communiqué, 3 July 2008</w:t>
      </w:r>
      <w:r>
        <w:t>.</w:t>
      </w:r>
    </w:p>
    <w:p w14:paraId="1EA394FA" w14:textId="07F9DE4C" w:rsidR="00767039" w:rsidRDefault="00767039" w:rsidP="00F576FE">
      <w:pPr>
        <w:pStyle w:val="Reference"/>
      </w:pPr>
      <w:r>
        <w:t>——</w:t>
      </w:r>
      <w:r w:rsidR="00050D33">
        <w:t> </w:t>
      </w:r>
      <w:r>
        <w:t xml:space="preserve">2008b, </w:t>
      </w:r>
      <w:r>
        <w:rPr>
          <w:i/>
          <w:iCs/>
        </w:rPr>
        <w:t>COAG Meeting Communiqué, 26 March 2008</w:t>
      </w:r>
      <w:r>
        <w:t>.</w:t>
      </w:r>
    </w:p>
    <w:p w14:paraId="1EA394FB" w14:textId="08DF516F" w:rsidR="00767039" w:rsidRDefault="00767039" w:rsidP="00F576FE">
      <w:pPr>
        <w:pStyle w:val="Reference"/>
      </w:pPr>
      <w:r>
        <w:t>——</w:t>
      </w:r>
      <w:r w:rsidR="00050D33">
        <w:t> </w:t>
      </w:r>
      <w:r>
        <w:t xml:space="preserve">2011, </w:t>
      </w:r>
      <w:r>
        <w:rPr>
          <w:i/>
          <w:iCs/>
        </w:rPr>
        <w:t>COAG Meeting Communiqué, 13 February 2011</w:t>
      </w:r>
      <w:r>
        <w:t>.</w:t>
      </w:r>
    </w:p>
    <w:p w14:paraId="1EA394FC" w14:textId="29ED0D44" w:rsidR="00767039" w:rsidRDefault="00767039" w:rsidP="00F576FE">
      <w:pPr>
        <w:pStyle w:val="Reference"/>
      </w:pPr>
      <w:r>
        <w:t>——</w:t>
      </w:r>
      <w:r w:rsidR="00050D33">
        <w:t> </w:t>
      </w:r>
      <w:r>
        <w:t xml:space="preserve">2016a, </w:t>
      </w:r>
      <w:r>
        <w:rPr>
          <w:i/>
          <w:iCs/>
        </w:rPr>
        <w:t>COAG Meeting Communiqué, 1 April 2016</w:t>
      </w:r>
      <w:r>
        <w:t>.</w:t>
      </w:r>
    </w:p>
    <w:p w14:paraId="1EA394FD" w14:textId="06C61498" w:rsidR="00767039" w:rsidRDefault="00767039" w:rsidP="00F576FE">
      <w:pPr>
        <w:pStyle w:val="Reference"/>
      </w:pPr>
      <w:r>
        <w:t>——</w:t>
      </w:r>
      <w:r w:rsidR="00050D33">
        <w:t> </w:t>
      </w:r>
      <w:r>
        <w:t xml:space="preserve">2016b, </w:t>
      </w:r>
      <w:r>
        <w:rPr>
          <w:i/>
          <w:iCs/>
        </w:rPr>
        <w:t>Heads of Agreement between the Commonwealth and the States and Territories on Public Hospital Funding</w:t>
      </w:r>
      <w:r>
        <w:t>, 1 April.</w:t>
      </w:r>
    </w:p>
    <w:p w14:paraId="1EA394FE" w14:textId="77777777" w:rsidR="00767039" w:rsidRDefault="00767039" w:rsidP="00F576FE">
      <w:pPr>
        <w:pStyle w:val="Reference"/>
      </w:pPr>
      <w:r>
        <w:t xml:space="preserve">Colagiuri, S. 2017, ‘The obesity epidemic and sugar-sweetened beverages: a taxing time’, </w:t>
      </w:r>
      <w:r>
        <w:rPr>
          <w:i/>
          <w:iCs/>
        </w:rPr>
        <w:t>Medical Journal of Australia</w:t>
      </w:r>
      <w:r>
        <w:t>, vol. 206, no. 3, pp. 109–110.</w:t>
      </w:r>
    </w:p>
    <w:p w14:paraId="1EA394FF" w14:textId="03030F9E" w:rsidR="00767039" w:rsidRDefault="00767039" w:rsidP="00F576FE">
      <w:pPr>
        <w:pStyle w:val="Reference"/>
      </w:pPr>
      <w:r>
        <w:t xml:space="preserve">Collins, J. 2014, </w:t>
      </w:r>
      <w:r>
        <w:rPr>
          <w:i/>
          <w:iCs/>
        </w:rPr>
        <w:t>Equipping NSW Doctors for Patient Centred Care: Review of</w:t>
      </w:r>
      <w:r w:rsidR="00D80FFD">
        <w:rPr>
          <w:i/>
          <w:iCs/>
        </w:rPr>
        <w:t xml:space="preserve"> Health Education and Training Institute Medical </w:t>
      </w:r>
      <w:r w:rsidR="005626C7">
        <w:rPr>
          <w:i/>
          <w:iCs/>
        </w:rPr>
        <w:t xml:space="preserve">Portfolio </w:t>
      </w:r>
      <w:r>
        <w:rPr>
          <w:i/>
          <w:iCs/>
        </w:rPr>
        <w:t>Programs</w:t>
      </w:r>
      <w:r>
        <w:t>, Health Education and Training Institute.</w:t>
      </w:r>
    </w:p>
    <w:p w14:paraId="1EA39500" w14:textId="77777777" w:rsidR="00767039" w:rsidRDefault="00767039" w:rsidP="00F576FE">
      <w:pPr>
        <w:pStyle w:val="Reference"/>
      </w:pPr>
      <w:r>
        <w:t xml:space="preserve">Connor, M., Cooper, H. and McMurray, A. 2016, ‘The Gold Coast Integrated Care Model’, </w:t>
      </w:r>
      <w:r>
        <w:rPr>
          <w:i/>
          <w:iCs/>
        </w:rPr>
        <w:t>International Journal of Integrated Care</w:t>
      </w:r>
      <w:r>
        <w:t>, vol. 16, no. 3, p. 1.</w:t>
      </w:r>
    </w:p>
    <w:p w14:paraId="1EA39501" w14:textId="6CDE7604" w:rsidR="00767039" w:rsidRDefault="00767039" w:rsidP="00F576FE">
      <w:pPr>
        <w:pStyle w:val="Reference"/>
      </w:pPr>
      <w:r>
        <w:t xml:space="preserve">Consan Consulting 2012, </w:t>
      </w:r>
      <w:r>
        <w:rPr>
          <w:i/>
          <w:iCs/>
        </w:rPr>
        <w:t>Evaluation of the GP Super Clinics Program 2007</w:t>
      </w:r>
      <w:r w:rsidR="00D80FFD">
        <w:rPr>
          <w:i/>
          <w:iCs/>
        </w:rPr>
        <w:t>–</w:t>
      </w:r>
      <w:r>
        <w:rPr>
          <w:i/>
          <w:iCs/>
        </w:rPr>
        <w:t>2008</w:t>
      </w:r>
      <w:r>
        <w:t>, August, Department of Health and Ageing, p. 95.</w:t>
      </w:r>
    </w:p>
    <w:p w14:paraId="1EA39502" w14:textId="77777777" w:rsidR="00767039" w:rsidRDefault="00767039" w:rsidP="00F576FE">
      <w:pPr>
        <w:pStyle w:val="Reference"/>
      </w:pPr>
      <w:r>
        <w:t xml:space="preserve">Cotter, T., Perez, D., Dunlop, S., Kite, J. and Gaskin, C. 2013, ‘Knowledge and beliefs about alcohol consumption, longer-term health risks, and the link with cancer in a sample of Australian adults’, </w:t>
      </w:r>
      <w:r>
        <w:rPr>
          <w:i/>
          <w:iCs/>
        </w:rPr>
        <w:t>New South Wales Public Health Bulletin</w:t>
      </w:r>
      <w:r>
        <w:t>, vol. 24, no. 2, pp. 81–86.</w:t>
      </w:r>
    </w:p>
    <w:p w14:paraId="1EA39503" w14:textId="70BF0A59" w:rsidR="00767039" w:rsidRDefault="00767039" w:rsidP="00F576FE">
      <w:pPr>
        <w:pStyle w:val="Reference"/>
      </w:pPr>
      <w:r>
        <w:t xml:space="preserve">CPCA </w:t>
      </w:r>
      <w:r w:rsidR="00311035">
        <w:t>(</w:t>
      </w:r>
      <w:r w:rsidR="005626C7">
        <w:t xml:space="preserve">California </w:t>
      </w:r>
      <w:r w:rsidR="00311035" w:rsidRPr="00311035">
        <w:t>Primary Care Association</w:t>
      </w:r>
      <w:r w:rsidR="00311035">
        <w:t xml:space="preserve">) </w:t>
      </w:r>
      <w:r>
        <w:t xml:space="preserve">2013, </w:t>
      </w:r>
      <w:r>
        <w:rPr>
          <w:i/>
          <w:iCs/>
        </w:rPr>
        <w:t>Value of Community Health Centers Study: Partnership HealthPlan of California Case Study</w:t>
      </w:r>
      <w:r>
        <w:t>, January, United States.</w:t>
      </w:r>
    </w:p>
    <w:p w14:paraId="1EA39504" w14:textId="77777777" w:rsidR="00767039" w:rsidRDefault="00767039" w:rsidP="00F576FE">
      <w:pPr>
        <w:pStyle w:val="Reference"/>
      </w:pPr>
      <w:r>
        <w:t xml:space="preserve">Curry, L.E., Rogers, T., Williams, P., Homsi, G., Willett, J. and Schmitt, C.L. 2017, ‘Public Attitudes and Support for a Sugar-Sweetened Beverage Tax in America’s Heartland’, </w:t>
      </w:r>
      <w:r>
        <w:rPr>
          <w:i/>
          <w:iCs/>
        </w:rPr>
        <w:t>Health Promotion Practice</w:t>
      </w:r>
      <w:r>
        <w:t>.</w:t>
      </w:r>
    </w:p>
    <w:p w14:paraId="1EA39505" w14:textId="77777777" w:rsidR="00767039" w:rsidRDefault="00767039" w:rsidP="00F576FE">
      <w:pPr>
        <w:pStyle w:val="Reference"/>
      </w:pPr>
      <w:r>
        <w:t xml:space="preserve">Curry, N. and Ham, C. 2010, </w:t>
      </w:r>
      <w:r>
        <w:rPr>
          <w:i/>
          <w:iCs/>
        </w:rPr>
        <w:t>Clinical and service integration: the route to improved outcomes</w:t>
      </w:r>
      <w:r>
        <w:t>, The King’s Fund, London.</w:t>
      </w:r>
    </w:p>
    <w:p w14:paraId="1EA39506" w14:textId="77777777" w:rsidR="00767039" w:rsidRDefault="00767039" w:rsidP="00F576FE">
      <w:pPr>
        <w:pStyle w:val="Reference"/>
      </w:pPr>
      <w:r>
        <w:t xml:space="preserve">Dahl, A.K., Fauth, E.B., Ernsth-Bravell, M., Hassing, L.B., Ram, N. and Gerstof, D. 2013, ‘Body mass index, change in body mass index, and survival in old and very old persons’, </w:t>
      </w:r>
      <w:r>
        <w:rPr>
          <w:i/>
          <w:iCs/>
        </w:rPr>
        <w:t>Journal of the American Geriatrics Society</w:t>
      </w:r>
      <w:r>
        <w:t>, vol. 61, no. 4, pp. 512–518.</w:t>
      </w:r>
    </w:p>
    <w:p w14:paraId="1EA39507" w14:textId="77777777" w:rsidR="00767039" w:rsidRDefault="00767039" w:rsidP="00F576FE">
      <w:pPr>
        <w:pStyle w:val="Reference"/>
      </w:pPr>
      <w:r>
        <w:t xml:space="preserve">Dando, J. 2017, ‘Why are we communicating so badly?’, </w:t>
      </w:r>
      <w:r>
        <w:rPr>
          <w:i/>
          <w:iCs/>
        </w:rPr>
        <w:t>MJA InSight</w:t>
      </w:r>
      <w:r>
        <w:t>, no. 14.</w:t>
      </w:r>
    </w:p>
    <w:p w14:paraId="1EA39508" w14:textId="77777777" w:rsidR="00767039" w:rsidRDefault="00767039" w:rsidP="00F576FE">
      <w:pPr>
        <w:pStyle w:val="Reference"/>
      </w:pPr>
      <w:r>
        <w:t xml:space="preserve">Danershkhu, S. 2017, ‘Budget 2017: Revenues from UK’s incoming sugar tax to fall short’, London, </w:t>
      </w:r>
      <w:r>
        <w:rPr>
          <w:i/>
          <w:iCs/>
        </w:rPr>
        <w:t>The Financial Times</w:t>
      </w:r>
      <w:r>
        <w:t>, 9 March.</w:t>
      </w:r>
    </w:p>
    <w:p w14:paraId="1EA39509" w14:textId="77777777" w:rsidR="00767039" w:rsidRDefault="00767039" w:rsidP="00F576FE">
      <w:pPr>
        <w:pStyle w:val="Reference"/>
      </w:pPr>
      <w:r>
        <w:t xml:space="preserve">Das, J.K., Salam, R.A., Arshad, A., Finkelstein, Y. and Bhutta, Z.A. 2016, ‘Interventions for Adolescent Substance Abuse: An Overview of Systematic Reviews’, </w:t>
      </w:r>
      <w:r>
        <w:rPr>
          <w:i/>
          <w:iCs/>
        </w:rPr>
        <w:t>The Journal of Adolescent Health</w:t>
      </w:r>
      <w:r>
        <w:t>, vol. 59, 4 Suppl, pp. S61–S75.</w:t>
      </w:r>
    </w:p>
    <w:p w14:paraId="1EA3950A" w14:textId="77777777" w:rsidR="00767039" w:rsidRDefault="00767039" w:rsidP="00F576FE">
      <w:pPr>
        <w:pStyle w:val="Reference"/>
      </w:pPr>
      <w:r>
        <w:t xml:space="preserve">Desai, J., Taylor, G., Vazquez-Benitez, G., Vine, S., Anderson, J., Garrett, J.E., Gilmer, T., Vue-Her, H., Schiff, J., Rinn, S., Engel, K., Michael, A. and O’Connor, P.J. 2017, ‘Financial incentives for diabetes prevention in a Medicaid population: Study design and baseline characteristics’, </w:t>
      </w:r>
      <w:r>
        <w:rPr>
          <w:i/>
          <w:iCs/>
        </w:rPr>
        <w:t>Contemporary Clinical Trials</w:t>
      </w:r>
      <w:r>
        <w:t>, vol. 53, pp. 1–10.</w:t>
      </w:r>
    </w:p>
    <w:p w14:paraId="1EA3950B" w14:textId="77777777" w:rsidR="00767039" w:rsidRDefault="00767039" w:rsidP="00F576FE">
      <w:pPr>
        <w:pStyle w:val="Reference"/>
      </w:pPr>
      <w:r>
        <w:t xml:space="preserve">Diehr, P., O’Meara, E.S., Fitzpatrick, A., Newman, A.B., Kuller, L. and Burke, G. 2008, ‘Weight, mortality, years of healthy life and active life expectancy in older adults’, </w:t>
      </w:r>
      <w:r>
        <w:rPr>
          <w:i/>
          <w:iCs/>
        </w:rPr>
        <w:t>Journal of the American Geriatrics Society</w:t>
      </w:r>
      <w:r>
        <w:t>, vol. 56, no. 1.</w:t>
      </w:r>
    </w:p>
    <w:p w14:paraId="1EA3950C" w14:textId="77777777" w:rsidR="00767039" w:rsidRDefault="00767039" w:rsidP="00F576FE">
      <w:pPr>
        <w:pStyle w:val="Reference"/>
      </w:pPr>
      <w:r>
        <w:t xml:space="preserve">Ding, D., Lawson, K.D., Kolbe-Alexander, T.L., Finkelstein, E.A., Katzmarzyk, P.T., Mechelen, W. van and Pratt, M. 2016, ‘The economic burden of physical inactivity: a global analysis of major non-communicable diseases’, </w:t>
      </w:r>
      <w:r>
        <w:rPr>
          <w:i/>
          <w:iCs/>
        </w:rPr>
        <w:t>The Lancet</w:t>
      </w:r>
      <w:r>
        <w:t>, vol. 388, no. 10051, pp. 1311–1324.</w:t>
      </w:r>
    </w:p>
    <w:p w14:paraId="1EA3950D" w14:textId="77777777" w:rsidR="00767039" w:rsidRDefault="00767039" w:rsidP="00F576FE">
      <w:pPr>
        <w:pStyle w:val="Reference"/>
      </w:pPr>
      <w:r>
        <w:t xml:space="preserve">Doggett, J. and McAuley, I. 2015, </w:t>
      </w:r>
      <w:r>
        <w:rPr>
          <w:i/>
          <w:iCs/>
        </w:rPr>
        <w:t>Submission to Private Health Insurance Review</w:t>
      </w:r>
      <w:r>
        <w:t>, 1 December.</w:t>
      </w:r>
    </w:p>
    <w:p w14:paraId="1EA3950E" w14:textId="4E470BE7" w:rsidR="00767039" w:rsidRDefault="00767039" w:rsidP="00F576FE">
      <w:pPr>
        <w:pStyle w:val="Reference"/>
      </w:pPr>
      <w:r>
        <w:t xml:space="preserve">DoH </w:t>
      </w:r>
      <w:r w:rsidR="00311035">
        <w:t>(</w:t>
      </w:r>
      <w:r w:rsidR="00311035" w:rsidRPr="00311035">
        <w:t>Department of Health</w:t>
      </w:r>
      <w:r w:rsidR="00311035">
        <w:t xml:space="preserve">) </w:t>
      </w:r>
      <w:r>
        <w:t xml:space="preserve">2015a, </w:t>
      </w:r>
      <w:r>
        <w:rPr>
          <w:i/>
          <w:iCs/>
        </w:rPr>
        <w:t>Data Access and Release Policy</w:t>
      </w:r>
      <w:r>
        <w:t xml:space="preserve">, </w:t>
      </w:r>
      <w:r w:rsidR="00822856">
        <w:t>Australian Government</w:t>
      </w:r>
      <w:r>
        <w:t>, www.health.gov.au/internet/main/publishing.nsf/Content/Data-Access-Release-Policy (accessed 27 April 2017).</w:t>
      </w:r>
    </w:p>
    <w:p w14:paraId="1EA3950F" w14:textId="505D4A67" w:rsidR="00767039" w:rsidRDefault="00767039" w:rsidP="00F576FE">
      <w:pPr>
        <w:pStyle w:val="Reference"/>
      </w:pPr>
      <w:r>
        <w:t>——</w:t>
      </w:r>
      <w:r w:rsidR="00050D33">
        <w:t> </w:t>
      </w:r>
      <w:r>
        <w:t xml:space="preserve">2015b, </w:t>
      </w:r>
      <w:r>
        <w:rPr>
          <w:i/>
          <w:iCs/>
        </w:rPr>
        <w:t>Evaluation Report of the Diabetes Care Project</w:t>
      </w:r>
      <w:r>
        <w:t>.</w:t>
      </w:r>
    </w:p>
    <w:p w14:paraId="1EA39510" w14:textId="4354D86F" w:rsidR="00767039" w:rsidRDefault="00767039" w:rsidP="00F576FE">
      <w:pPr>
        <w:pStyle w:val="Reference"/>
      </w:pPr>
      <w:r>
        <w:t>——</w:t>
      </w:r>
      <w:r w:rsidR="00050D33">
        <w:t> </w:t>
      </w:r>
      <w:r>
        <w:t xml:space="preserve">2016a, </w:t>
      </w:r>
      <w:r>
        <w:rPr>
          <w:i/>
          <w:iCs/>
        </w:rPr>
        <w:t>About MSAC</w:t>
      </w:r>
      <w:r>
        <w:t>, 29 June.</w:t>
      </w:r>
    </w:p>
    <w:p w14:paraId="1EA39511" w14:textId="01956479" w:rsidR="00767039" w:rsidRDefault="00767039" w:rsidP="00F576FE">
      <w:pPr>
        <w:pStyle w:val="Reference"/>
      </w:pPr>
      <w:r>
        <w:t>——</w:t>
      </w:r>
      <w:r w:rsidR="00050D33">
        <w:t> </w:t>
      </w:r>
      <w:r>
        <w:t xml:space="preserve">2016b, </w:t>
      </w:r>
      <w:r>
        <w:rPr>
          <w:i/>
          <w:iCs/>
        </w:rPr>
        <w:t>Budget 2016</w:t>
      </w:r>
      <w:r w:rsidR="00D80FFD">
        <w:rPr>
          <w:i/>
          <w:iCs/>
        </w:rPr>
        <w:noBreakHyphen/>
      </w:r>
      <w:r>
        <w:rPr>
          <w:i/>
          <w:iCs/>
        </w:rPr>
        <w:t>17: Portfolio Budget Statements 2016</w:t>
      </w:r>
      <w:r w:rsidR="00D80FFD">
        <w:rPr>
          <w:i/>
          <w:iCs/>
        </w:rPr>
        <w:noBreakHyphen/>
      </w:r>
      <w:r>
        <w:rPr>
          <w:i/>
          <w:iCs/>
        </w:rPr>
        <w:t>17 Budget Related Paper No. 1.10, Health Portfolio</w:t>
      </w:r>
      <w:r>
        <w:t>.</w:t>
      </w:r>
    </w:p>
    <w:p w14:paraId="1EA39512" w14:textId="59BA9376" w:rsidR="00767039" w:rsidRDefault="00767039" w:rsidP="00F576FE">
      <w:pPr>
        <w:pStyle w:val="Reference"/>
      </w:pPr>
      <w:r>
        <w:t>——</w:t>
      </w:r>
      <w:r w:rsidR="00050D33">
        <w:t> </w:t>
      </w:r>
      <w:r>
        <w:t xml:space="preserve">2016c, </w:t>
      </w:r>
      <w:r>
        <w:rPr>
          <w:i/>
          <w:iCs/>
        </w:rPr>
        <w:t>Consultation Paper: Redesigning the Practice Incentives Program</w:t>
      </w:r>
      <w:r>
        <w:t>.</w:t>
      </w:r>
    </w:p>
    <w:p w14:paraId="1EA39513" w14:textId="6F7A837F" w:rsidR="00767039" w:rsidRDefault="00767039" w:rsidP="00F576FE">
      <w:pPr>
        <w:pStyle w:val="Reference"/>
      </w:pPr>
      <w:r>
        <w:t>——</w:t>
      </w:r>
      <w:r w:rsidR="00050D33">
        <w:t> </w:t>
      </w:r>
      <w:r>
        <w:t xml:space="preserve">2016d, </w:t>
      </w:r>
      <w:r>
        <w:rPr>
          <w:i/>
          <w:iCs/>
        </w:rPr>
        <w:t>Health Care Homes Information Booklet: Patient-centred, Coordinated, Flexible</w:t>
      </w:r>
      <w:r>
        <w:t>, November, Australian Government.</w:t>
      </w:r>
    </w:p>
    <w:p w14:paraId="1EA39514" w14:textId="71BF10A0" w:rsidR="00767039" w:rsidRDefault="00767039" w:rsidP="00F576FE">
      <w:pPr>
        <w:pStyle w:val="Reference"/>
      </w:pPr>
      <w:r>
        <w:t>——</w:t>
      </w:r>
      <w:r w:rsidR="00050D33">
        <w:t> </w:t>
      </w:r>
      <w:r>
        <w:t xml:space="preserve">2016e, </w:t>
      </w:r>
      <w:r>
        <w:rPr>
          <w:i/>
          <w:iCs/>
        </w:rPr>
        <w:t>Pharmaceutical Benefits Scheme expenditure and prescriptions twelve months to 30 June 2016</w:t>
      </w:r>
      <w:r>
        <w:t>, December, Australian Government.</w:t>
      </w:r>
    </w:p>
    <w:p w14:paraId="1EA39515" w14:textId="1EF876AF" w:rsidR="00767039" w:rsidRDefault="00767039" w:rsidP="00F576FE">
      <w:pPr>
        <w:pStyle w:val="Reference"/>
      </w:pPr>
      <w:r>
        <w:t>——</w:t>
      </w:r>
      <w:r w:rsidR="00050D33">
        <w:t> </w:t>
      </w:r>
      <w:r>
        <w:t xml:space="preserve">2016f, </w:t>
      </w:r>
      <w:r>
        <w:rPr>
          <w:i/>
          <w:iCs/>
        </w:rPr>
        <w:t>PHN Primary Mental Health Care Flexible Funding Pool Implementation Guidance: Stepped Care</w:t>
      </w:r>
      <w:r>
        <w:t>.</w:t>
      </w:r>
    </w:p>
    <w:p w14:paraId="1EA39516" w14:textId="356A7011" w:rsidR="00767039" w:rsidRDefault="00767039" w:rsidP="00F576FE">
      <w:pPr>
        <w:pStyle w:val="Reference"/>
      </w:pPr>
      <w:r>
        <w:t>——</w:t>
      </w:r>
      <w:r w:rsidR="00050D33">
        <w:t> </w:t>
      </w:r>
      <w:r>
        <w:t xml:space="preserve">2016g, </w:t>
      </w:r>
      <w:r>
        <w:rPr>
          <w:i/>
          <w:iCs/>
        </w:rPr>
        <w:t>Primary Health Networks Performance Framework (version 1)</w:t>
      </w:r>
      <w:r>
        <w:t>, March.</w:t>
      </w:r>
    </w:p>
    <w:p w14:paraId="1EA39517" w14:textId="5238DDCF" w:rsidR="00767039" w:rsidRDefault="00767039" w:rsidP="00F576FE">
      <w:pPr>
        <w:pStyle w:val="Reference"/>
      </w:pPr>
      <w:r>
        <w:t>——</w:t>
      </w:r>
      <w:r w:rsidR="00050D33">
        <w:t> </w:t>
      </w:r>
      <w:r>
        <w:t xml:space="preserve">2017a, </w:t>
      </w:r>
      <w:r>
        <w:rPr>
          <w:i/>
          <w:iCs/>
        </w:rPr>
        <w:t>Annual Medicare Statistics to Financial Year 1984</w:t>
      </w:r>
      <w:r w:rsidR="00D80FFD">
        <w:rPr>
          <w:i/>
          <w:iCs/>
        </w:rPr>
        <w:noBreakHyphen/>
      </w:r>
      <w:r>
        <w:rPr>
          <w:i/>
          <w:iCs/>
        </w:rPr>
        <w:t>85 to 2015</w:t>
      </w:r>
      <w:r w:rsidR="00D80FFD">
        <w:rPr>
          <w:i/>
          <w:iCs/>
        </w:rPr>
        <w:noBreakHyphen/>
      </w:r>
      <w:r>
        <w:rPr>
          <w:i/>
          <w:iCs/>
        </w:rPr>
        <w:t>16</w:t>
      </w:r>
      <w:r>
        <w:t>.</w:t>
      </w:r>
    </w:p>
    <w:p w14:paraId="1EA39518" w14:textId="79796CAA" w:rsidR="00767039" w:rsidRDefault="00767039" w:rsidP="00F576FE">
      <w:pPr>
        <w:pStyle w:val="Reference"/>
      </w:pPr>
      <w:r>
        <w:t>——</w:t>
      </w:r>
      <w:r w:rsidR="00050D33">
        <w:t> </w:t>
      </w:r>
      <w:r>
        <w:t xml:space="preserve">2017b, </w:t>
      </w:r>
      <w:r>
        <w:rPr>
          <w:i/>
          <w:iCs/>
        </w:rPr>
        <w:t>Portfolio Budget Statements 2017</w:t>
      </w:r>
      <w:r w:rsidR="00D80FFD">
        <w:rPr>
          <w:i/>
          <w:iCs/>
        </w:rPr>
        <w:noBreakHyphen/>
      </w:r>
      <w:r>
        <w:rPr>
          <w:i/>
          <w:iCs/>
        </w:rPr>
        <w:t>18: Budget Related Paper No. 1.10: Health Portfolio</w:t>
      </w:r>
      <w:r>
        <w:t>.</w:t>
      </w:r>
    </w:p>
    <w:p w14:paraId="1EA39519" w14:textId="5EB7B36A" w:rsidR="00767039" w:rsidRDefault="00767039" w:rsidP="00F576FE">
      <w:pPr>
        <w:pStyle w:val="Reference"/>
      </w:pPr>
      <w:r>
        <w:t>——</w:t>
      </w:r>
      <w:r w:rsidR="00050D33">
        <w:t> </w:t>
      </w:r>
      <w:r>
        <w:t xml:space="preserve">2017c, </w:t>
      </w:r>
      <w:r>
        <w:rPr>
          <w:i/>
          <w:iCs/>
        </w:rPr>
        <w:t>Review of Pharmacy Remuneration and Regulation</w:t>
      </w:r>
      <w:r>
        <w:t>, June.</w:t>
      </w:r>
    </w:p>
    <w:p w14:paraId="1EA3951A" w14:textId="01B21265" w:rsidR="00767039" w:rsidRDefault="00767039" w:rsidP="00F576FE">
      <w:pPr>
        <w:pStyle w:val="Reference"/>
      </w:pPr>
      <w:r>
        <w:t>——</w:t>
      </w:r>
      <w:r w:rsidR="00050D33">
        <w:t> </w:t>
      </w:r>
      <w:r>
        <w:t xml:space="preserve">2017d, </w:t>
      </w:r>
      <w:r>
        <w:rPr>
          <w:i/>
          <w:iCs/>
        </w:rPr>
        <w:t>The Pharmaceutical Benefits Scheme: The Safety Net Scheme</w:t>
      </w:r>
      <w:r>
        <w:t>, PBS explanatory notes, www.pbs.gov.au/info/healthpro/explanatory-notes/section1/Section_1_5_Explanatory_Notes (accessed 30 May 2017).</w:t>
      </w:r>
    </w:p>
    <w:p w14:paraId="1EA3951B" w14:textId="14433711" w:rsidR="00767039" w:rsidRDefault="00767039" w:rsidP="00F576FE">
      <w:pPr>
        <w:pStyle w:val="Reference"/>
      </w:pPr>
      <w:r>
        <w:t xml:space="preserve">DoHA </w:t>
      </w:r>
      <w:r w:rsidR="00311035">
        <w:t>(</w:t>
      </w:r>
      <w:r w:rsidR="00B55E9E">
        <w:t>Au</w:t>
      </w:r>
      <w:r w:rsidR="00FF4EB2">
        <w:t>s</w:t>
      </w:r>
      <w:r w:rsidR="00B55E9E">
        <w:t xml:space="preserve">tralian Government </w:t>
      </w:r>
      <w:r w:rsidR="00311035" w:rsidRPr="00311035">
        <w:t>Department of Health and Ageing</w:t>
      </w:r>
      <w:r w:rsidR="00311035">
        <w:t xml:space="preserve">) </w:t>
      </w:r>
      <w:r>
        <w:t xml:space="preserve">2001, </w:t>
      </w:r>
      <w:r>
        <w:rPr>
          <w:i/>
          <w:iCs/>
        </w:rPr>
        <w:t>The Australian Coordinated Care Trials: Final Technical National Evaluation Report on the First Round of Trials</w:t>
      </w:r>
      <w:r w:rsidR="00B55E9E">
        <w:t>.</w:t>
      </w:r>
    </w:p>
    <w:p w14:paraId="1EA3951C" w14:textId="65639DB5" w:rsidR="00767039" w:rsidRDefault="00767039" w:rsidP="00F576FE">
      <w:pPr>
        <w:pStyle w:val="Reference"/>
      </w:pPr>
      <w:r>
        <w:t>——</w:t>
      </w:r>
      <w:r w:rsidR="00050D33">
        <w:t> </w:t>
      </w:r>
      <w:r>
        <w:t xml:space="preserve">2007, </w:t>
      </w:r>
      <w:r>
        <w:rPr>
          <w:i/>
          <w:iCs/>
        </w:rPr>
        <w:t>The National Evaluation of the Second Round of Coordinated Care Trials. Final Report.</w:t>
      </w:r>
    </w:p>
    <w:p w14:paraId="1EA3951D" w14:textId="5EE199CD" w:rsidR="00767039" w:rsidRDefault="00767039" w:rsidP="00F576FE">
      <w:pPr>
        <w:pStyle w:val="Reference"/>
      </w:pPr>
      <w:r>
        <w:t>——</w:t>
      </w:r>
      <w:r w:rsidR="00050D33">
        <w:t> </w:t>
      </w:r>
      <w:r>
        <w:t xml:space="preserve">2008, </w:t>
      </w:r>
      <w:r>
        <w:rPr>
          <w:i/>
          <w:iCs/>
        </w:rPr>
        <w:t>The state of our public hospitals</w:t>
      </w:r>
      <w:r>
        <w:t>.</w:t>
      </w:r>
    </w:p>
    <w:p w14:paraId="1EA3951E" w14:textId="7B278F8A" w:rsidR="00767039" w:rsidRDefault="00767039" w:rsidP="00F576FE">
      <w:pPr>
        <w:pStyle w:val="Reference"/>
      </w:pPr>
      <w:r>
        <w:t>——</w:t>
      </w:r>
      <w:r w:rsidR="00050D33">
        <w:t> </w:t>
      </w:r>
      <w:r>
        <w:t xml:space="preserve">2010a, </w:t>
      </w:r>
      <w:r>
        <w:rPr>
          <w:i/>
          <w:iCs/>
        </w:rPr>
        <w:t>Building a 21st Century Primary Health Care System: Australia’s First National Primary Health Care Strategy</w:t>
      </w:r>
      <w:r>
        <w:t>.</w:t>
      </w:r>
    </w:p>
    <w:p w14:paraId="1EA3951F" w14:textId="12E46A51" w:rsidR="00767039" w:rsidRDefault="00767039" w:rsidP="00F576FE">
      <w:pPr>
        <w:pStyle w:val="Reference"/>
      </w:pPr>
      <w:r>
        <w:t>——</w:t>
      </w:r>
      <w:r w:rsidR="00050D33">
        <w:t> </w:t>
      </w:r>
      <w:r>
        <w:t xml:space="preserve">2010b, </w:t>
      </w:r>
      <w:r>
        <w:rPr>
          <w:i/>
          <w:iCs/>
        </w:rPr>
        <w:t>Evaluation of the DAA/PMP Programs</w:t>
      </w:r>
      <w:r>
        <w:t>, June.</w:t>
      </w:r>
    </w:p>
    <w:p w14:paraId="1EA39520" w14:textId="77777777" w:rsidR="00767039" w:rsidRDefault="00767039" w:rsidP="00F576FE">
      <w:pPr>
        <w:pStyle w:val="Reference"/>
      </w:pPr>
      <w:r>
        <w:t xml:space="preserve">Donaldson, E.A., Cohen, J.E., Rutkow, L., Villanti, A.C., Kanarek, N.F. and Barry, C.L. 2015, ‘Public support for a sugar-sweetened beverage tax and pro-tax messages in a Mid-Atlantic US state’, </w:t>
      </w:r>
      <w:r>
        <w:rPr>
          <w:i/>
          <w:iCs/>
        </w:rPr>
        <w:t>Public Health Nutrition</w:t>
      </w:r>
      <w:r>
        <w:t>, vol. 18, no. 12, pp. 2263–2273.</w:t>
      </w:r>
    </w:p>
    <w:p w14:paraId="1EA39521" w14:textId="77777777" w:rsidR="00767039" w:rsidRDefault="00767039" w:rsidP="00F576FE">
      <w:pPr>
        <w:pStyle w:val="Reference"/>
      </w:pPr>
      <w:r>
        <w:t xml:space="preserve">Doty, M.M., Abrams, M.K., Hernandez, S.E., Stremikis, K. and Beal, A. 2010, </w:t>
      </w:r>
      <w:r>
        <w:rPr>
          <w:i/>
          <w:iCs/>
        </w:rPr>
        <w:t>Enhancing the Capacity of Community Health Centers to Achieve High Performance: Findings from the 2009 Commonwealth Fund National Survey of Federally Qualified Health Centers</w:t>
      </w:r>
      <w:r>
        <w:t>, May, The Commonwealth Fund, New York.</w:t>
      </w:r>
    </w:p>
    <w:p w14:paraId="1EA39522" w14:textId="77777777" w:rsidR="00767039" w:rsidRDefault="00767039" w:rsidP="00F576FE">
      <w:pPr>
        <w:pStyle w:val="Reference"/>
      </w:pPr>
      <w:r>
        <w:t xml:space="preserve">Duckett, S. 2014, ‘What can we learn from other countries’ health systems?’, </w:t>
      </w:r>
      <w:r>
        <w:rPr>
          <w:i/>
          <w:iCs/>
        </w:rPr>
        <w:t>The Conversation</w:t>
      </w:r>
      <w:r>
        <w:t>, 5 September.</w:t>
      </w:r>
    </w:p>
    <w:p w14:paraId="1EA39523" w14:textId="34A504BA" w:rsidR="00767039" w:rsidRDefault="00D34857" w:rsidP="00F576FE">
      <w:pPr>
        <w:pStyle w:val="Reference"/>
      </w:pPr>
      <w:r>
        <w:t>——</w:t>
      </w:r>
      <w:r w:rsidR="00311035">
        <w:t xml:space="preserve">, </w:t>
      </w:r>
      <w:r w:rsidR="00767039">
        <w:t xml:space="preserve">Cuddihy, M. and Newnham, H. 2016, </w:t>
      </w:r>
      <w:r w:rsidR="00767039">
        <w:rPr>
          <w:i/>
          <w:iCs/>
        </w:rPr>
        <w:t>Targeting zero: Supporting the Victorian hospital system to eliminate avoidable harm and strengthen quality of care</w:t>
      </w:r>
      <w:r w:rsidR="00767039">
        <w:t>, Report of the Review of hospital Safety and Quality Assurance in Victoria, Department of Health &amp; Human Services.</w:t>
      </w:r>
    </w:p>
    <w:p w14:paraId="1EA39524" w14:textId="5CD01A94" w:rsidR="00767039" w:rsidRDefault="00311035" w:rsidP="00F576FE">
      <w:pPr>
        <w:pStyle w:val="Reference"/>
      </w:pPr>
      <w:r>
        <w:t xml:space="preserve">—— </w:t>
      </w:r>
      <w:r w:rsidR="00767039">
        <w:t xml:space="preserve">and Swerissen, H. 2016, </w:t>
      </w:r>
      <w:r w:rsidR="00767039">
        <w:rPr>
          <w:i/>
          <w:iCs/>
        </w:rPr>
        <w:t>A sugary drinks tax - Recovering the community costs of obesity</w:t>
      </w:r>
      <w:r w:rsidR="00767039">
        <w:t>, November, Grattan Institute.</w:t>
      </w:r>
    </w:p>
    <w:p w14:paraId="1EA39525" w14:textId="0EE0081A" w:rsidR="00767039" w:rsidRDefault="00767039" w:rsidP="00F576FE">
      <w:pPr>
        <w:pStyle w:val="Reference"/>
      </w:pPr>
      <w:r>
        <w:t>—— and ——</w:t>
      </w:r>
      <w:r w:rsidR="00050D33">
        <w:t> </w:t>
      </w:r>
      <w:r>
        <w:t xml:space="preserve">2017, </w:t>
      </w:r>
      <w:r>
        <w:rPr>
          <w:i/>
          <w:iCs/>
        </w:rPr>
        <w:t>Building better foundations for primary care</w:t>
      </w:r>
      <w:r>
        <w:t>, May, Grattan Institute.</w:t>
      </w:r>
    </w:p>
    <w:p w14:paraId="1EA39526" w14:textId="5BBF100D" w:rsidR="00767039" w:rsidRDefault="00311035" w:rsidP="00F576FE">
      <w:pPr>
        <w:pStyle w:val="Reference"/>
      </w:pPr>
      <w:r>
        <w:t>——</w:t>
      </w:r>
      <w:r w:rsidR="00767039">
        <w:t xml:space="preserve">, Breadon, P. and Romanes, D. 2015, ‘Identifying and acting on potentially inappropriate care’, </w:t>
      </w:r>
      <w:r w:rsidR="00767039">
        <w:rPr>
          <w:i/>
          <w:iCs/>
        </w:rPr>
        <w:t>Medical Journal of Australia</w:t>
      </w:r>
      <w:r w:rsidR="00767039">
        <w:t>, vol. 203, no. 4.</w:t>
      </w:r>
    </w:p>
    <w:p w14:paraId="1EA39527" w14:textId="77777777" w:rsidR="00767039" w:rsidRDefault="00767039" w:rsidP="00F576FE">
      <w:pPr>
        <w:pStyle w:val="Reference"/>
      </w:pPr>
      <w:r>
        <w:t xml:space="preserve">Duke, T. 2015, </w:t>
      </w:r>
      <w:r>
        <w:rPr>
          <w:i/>
          <w:iCs/>
        </w:rPr>
        <w:t>Redcliffe Integrated Chronic Disease Model of Care</w:t>
      </w:r>
      <w:r>
        <w:t>, April, Metro North Hospital and Health Service, Queensland Government, p. 26.</w:t>
      </w:r>
    </w:p>
    <w:p w14:paraId="1EA39528" w14:textId="77777777" w:rsidR="00767039" w:rsidRDefault="00767039" w:rsidP="00F576FE">
      <w:pPr>
        <w:pStyle w:val="Reference"/>
      </w:pPr>
      <w:r>
        <w:t xml:space="preserve">Editorial 2017, ‘Sweet success: will sugar taxes improve health?’, </w:t>
      </w:r>
      <w:r>
        <w:rPr>
          <w:i/>
          <w:iCs/>
        </w:rPr>
        <w:t>The Lancet</w:t>
      </w:r>
      <w:r>
        <w:t>, vol. 5, no. 4, p. 235.</w:t>
      </w:r>
    </w:p>
    <w:p w14:paraId="1EA39529" w14:textId="77777777" w:rsidR="00767039" w:rsidRDefault="00767039" w:rsidP="00F576FE">
      <w:pPr>
        <w:pStyle w:val="Reference"/>
      </w:pPr>
      <w:r>
        <w:t xml:space="preserve">Elder, R.W., Lawrence, B., Ferguson, A., Naimi, T.S., Brewer, R.D., Chattopadhyay, S.K., Toomey, T.L. and Fielding, J.E. 2010, ‘The Effectiveness of Tax Policy Interventions for Reducing Excessive Alcohol Consumption and Related Harms’, </w:t>
      </w:r>
      <w:r>
        <w:rPr>
          <w:i/>
          <w:iCs/>
        </w:rPr>
        <w:t>American journal of preventive medicine</w:t>
      </w:r>
      <w:r>
        <w:t>, vol. 38, no. 2, pp. 217–229.</w:t>
      </w:r>
    </w:p>
    <w:p w14:paraId="1EA3952A" w14:textId="757CB91F" w:rsidR="00767039" w:rsidRDefault="00767039" w:rsidP="00F576FE">
      <w:pPr>
        <w:pStyle w:val="Reference"/>
      </w:pPr>
      <w:r>
        <w:t xml:space="preserve">Ettelt, S., Thomson, S., Nolte, E. and Mays, N. 2006, </w:t>
      </w:r>
      <w:r>
        <w:rPr>
          <w:i/>
          <w:iCs/>
        </w:rPr>
        <w:t>Reimbursing Highly Specialised Hospital Services: The Experience of Activity-based Funding in Eight Countries</w:t>
      </w:r>
      <w:r w:rsidR="00D80FFD">
        <w:t xml:space="preserve">, Monograph, London School of </w:t>
      </w:r>
      <w:r>
        <w:t>Hygiene and Tropical Medicine, London.</w:t>
      </w:r>
    </w:p>
    <w:p w14:paraId="1EA3952B" w14:textId="07DA9AC9" w:rsidR="00767039" w:rsidRDefault="00767039" w:rsidP="00F576FE">
      <w:pPr>
        <w:pStyle w:val="Reference"/>
      </w:pPr>
      <w:r>
        <w:t xml:space="preserve">European Monitoring Centre for Drugs and Drug Addiction 2017, </w:t>
      </w:r>
      <w:r w:rsidR="00D80FFD">
        <w:rPr>
          <w:i/>
          <w:iCs/>
        </w:rPr>
        <w:t xml:space="preserve">Best practice portal: </w:t>
      </w:r>
      <w:r>
        <w:rPr>
          <w:i/>
          <w:iCs/>
        </w:rPr>
        <w:t>Prevention interventions for the general population</w:t>
      </w:r>
      <w:r>
        <w:t>, www.emcdda.europa.eu/best-practice/prevention/general-population (accessed 22 July 2017).</w:t>
      </w:r>
    </w:p>
    <w:p w14:paraId="1EA3952C" w14:textId="77777777" w:rsidR="00767039" w:rsidRDefault="00767039" w:rsidP="00F576FE">
      <w:pPr>
        <w:pStyle w:val="Reference"/>
      </w:pPr>
      <w:r>
        <w:t xml:space="preserve">Evans, C.S., Smith, S., Kobayashi, L. and Chang, D.C. 2015, ‘The effect of community health center (CHC) density on preventable hospital admissions in medicaid and uninsured patients’, </w:t>
      </w:r>
      <w:r>
        <w:rPr>
          <w:i/>
          <w:iCs/>
        </w:rPr>
        <w:t>Journal of Health Care for the Poor and Underserved</w:t>
      </w:r>
      <w:r>
        <w:t>, vol. 26, no. 3, pp. 839–851.</w:t>
      </w:r>
    </w:p>
    <w:p w14:paraId="1EA3952D" w14:textId="77777777" w:rsidR="00767039" w:rsidRDefault="00767039" w:rsidP="00F576FE">
      <w:pPr>
        <w:pStyle w:val="Reference"/>
      </w:pPr>
      <w:r>
        <w:t xml:space="preserve">Evans, H. 2015, </w:t>
      </w:r>
      <w:r>
        <w:rPr>
          <w:i/>
          <w:iCs/>
        </w:rPr>
        <w:t>A Model of Resilience, Burnout and Intention to Quit among General Practitioners</w:t>
      </w:r>
      <w:r>
        <w:t>, Thesis for Doctor of Philosophy, University of Western Sydney.</w:t>
      </w:r>
    </w:p>
    <w:p w14:paraId="1EA3952E" w14:textId="72242327" w:rsidR="00767039" w:rsidRDefault="00767039" w:rsidP="00F576FE">
      <w:pPr>
        <w:pStyle w:val="Reference"/>
      </w:pPr>
      <w:r>
        <w:t xml:space="preserve">EY </w:t>
      </w:r>
      <w:r w:rsidR="00311035">
        <w:t>(</w:t>
      </w:r>
      <w:r w:rsidR="00311035" w:rsidRPr="00311035">
        <w:t>Ernst and Young</w:t>
      </w:r>
      <w:r w:rsidR="00311035">
        <w:t xml:space="preserve">) </w:t>
      </w:r>
      <w:r>
        <w:t xml:space="preserve">2015a, </w:t>
      </w:r>
      <w:r>
        <w:rPr>
          <w:i/>
          <w:iCs/>
        </w:rPr>
        <w:t>A Model for Australian General Practice: The Australian Person-Centred Medical Home: A Sustainable and Scalable Funding Model to Improve Care for People with Chronic and Complex Care Needs. How Can We Make it Happen?</w:t>
      </w:r>
      <w:r>
        <w:t>, Discussion Paper, November.</w:t>
      </w:r>
    </w:p>
    <w:p w14:paraId="1EA3952F" w14:textId="757D0357" w:rsidR="00767039" w:rsidRDefault="00767039" w:rsidP="00F576FE">
      <w:pPr>
        <w:pStyle w:val="Reference"/>
      </w:pPr>
      <w:r>
        <w:t>——</w:t>
      </w:r>
      <w:r w:rsidR="00050D33">
        <w:t> </w:t>
      </w:r>
      <w:r>
        <w:t xml:space="preserve">2015b, </w:t>
      </w:r>
      <w:r>
        <w:rPr>
          <w:i/>
          <w:iCs/>
        </w:rPr>
        <w:t>Review of the Implementation of the National Reform Agenda on Organ and Tissue Donation and Transplantation</w:t>
      </w:r>
      <w:r>
        <w:t>, August, Department of Health.</w:t>
      </w:r>
    </w:p>
    <w:p w14:paraId="1EA39530" w14:textId="673CEB12" w:rsidR="00767039" w:rsidRDefault="00767039" w:rsidP="00F576FE">
      <w:pPr>
        <w:pStyle w:val="Reference"/>
      </w:pPr>
      <w:r>
        <w:t>——</w:t>
      </w:r>
      <w:r w:rsidR="00050D33">
        <w:t> </w:t>
      </w:r>
      <w:r>
        <w:t xml:space="preserve">2017, </w:t>
      </w:r>
      <w:r>
        <w:rPr>
          <w:i/>
          <w:iCs/>
        </w:rPr>
        <w:t>Private Patient Public Hospital Service Utilisation</w:t>
      </w:r>
      <w:r>
        <w:t>, Final Report, 2 March, Independent Hospital Pricing Authority.</w:t>
      </w:r>
    </w:p>
    <w:p w14:paraId="1EA39531" w14:textId="77777777" w:rsidR="00767039" w:rsidRDefault="00767039" w:rsidP="00F576FE">
      <w:pPr>
        <w:pStyle w:val="Reference"/>
      </w:pPr>
      <w:r>
        <w:t xml:space="preserve">Fairhill, K., Bache, L., Dodd, P. and Young, P. 2017, ‘Patient safety: Single-bed versus multi-bed hospital rooms’, </w:t>
      </w:r>
      <w:r>
        <w:rPr>
          <w:i/>
          <w:iCs/>
        </w:rPr>
        <w:t>World Health Design</w:t>
      </w:r>
      <w:r>
        <w:t>.</w:t>
      </w:r>
    </w:p>
    <w:p w14:paraId="1EA39532" w14:textId="77777777" w:rsidR="00767039" w:rsidRDefault="00767039" w:rsidP="00F576FE">
      <w:pPr>
        <w:pStyle w:val="Reference"/>
      </w:pPr>
      <w:r>
        <w:t xml:space="preserve">Falbe, J., Thompson, H.R., Becker, C.M., Rojas, N., McCulloch, C.E. and Madsen, K.A. 2016, ‘Impact of the Berkeley Excise Tax on Sugar-Sweetened Beverage Consumption’, </w:t>
      </w:r>
      <w:r>
        <w:rPr>
          <w:i/>
          <w:iCs/>
        </w:rPr>
        <w:t>American Journal of Public Health</w:t>
      </w:r>
      <w:r>
        <w:t>, vol. 106, no. 10, pp. 1865–1871.</w:t>
      </w:r>
    </w:p>
    <w:p w14:paraId="1EA39533" w14:textId="77777777" w:rsidR="00767039" w:rsidRDefault="00767039" w:rsidP="00F576FE">
      <w:pPr>
        <w:pStyle w:val="Reference"/>
      </w:pPr>
      <w:r>
        <w:t xml:space="preserve">Fletcher, J.M., Frisvold, D.E. and Tefft, N. 2010, ‘The effects of soft drink taxes on child and adolescent consumption and weight outcomes’, </w:t>
      </w:r>
      <w:r>
        <w:rPr>
          <w:i/>
          <w:iCs/>
        </w:rPr>
        <w:t>Journal of Public Economics</w:t>
      </w:r>
      <w:r>
        <w:t>, vol. 94, no. 11, pp. 967–974.</w:t>
      </w:r>
    </w:p>
    <w:p w14:paraId="1EA39534" w14:textId="77777777" w:rsidR="00767039" w:rsidRDefault="00767039" w:rsidP="00F576FE">
      <w:pPr>
        <w:pStyle w:val="Reference"/>
      </w:pPr>
      <w:r>
        <w:t xml:space="preserve">Fountaine, T. and Bennett, C. 2016, ‘Health Care Homes: Lessons from the Diabetes Care Project’, </w:t>
      </w:r>
      <w:r>
        <w:rPr>
          <w:i/>
          <w:iCs/>
        </w:rPr>
        <w:t>Medical Journal of Australia</w:t>
      </w:r>
      <w:r>
        <w:t>, vol. 205, no. 9.</w:t>
      </w:r>
    </w:p>
    <w:p w14:paraId="1EA39535" w14:textId="77777777" w:rsidR="00767039" w:rsidRDefault="00767039" w:rsidP="00F576FE">
      <w:pPr>
        <w:pStyle w:val="Reference"/>
      </w:pPr>
      <w:r>
        <w:t xml:space="preserve">Gardiner, C.K. and Bryan, A.D. 2017, ‘Monetary Incentive Interventions Can Enhance Psychological Factors Related to Fruit and Vegetable Consumption’, </w:t>
      </w:r>
      <w:r>
        <w:rPr>
          <w:i/>
          <w:iCs/>
        </w:rPr>
        <w:t>Annals of Behavioral Medicine</w:t>
      </w:r>
      <w:r>
        <w:t>, pp. 1–11.</w:t>
      </w:r>
    </w:p>
    <w:p w14:paraId="1EA39536" w14:textId="77777777" w:rsidR="00767039" w:rsidRDefault="00767039" w:rsidP="00F576FE">
      <w:pPr>
        <w:pStyle w:val="Reference"/>
      </w:pPr>
      <w:r>
        <w:t xml:space="preserve">Gardner, K. et al. 2016, ‘Usability of Patient Experience Surveys in Australian Primary Health Care: A Scoping Review’, </w:t>
      </w:r>
      <w:r>
        <w:rPr>
          <w:i/>
          <w:iCs/>
        </w:rPr>
        <w:t>Australian Journal of Primary Health</w:t>
      </w:r>
      <w:r>
        <w:t>, vol. 22, no. 2, pp. 93–99.</w:t>
      </w:r>
    </w:p>
    <w:p w14:paraId="1EA39537" w14:textId="77777777" w:rsidR="00767039" w:rsidRDefault="00767039" w:rsidP="00F576FE">
      <w:pPr>
        <w:pStyle w:val="Reference"/>
      </w:pPr>
      <w:r>
        <w:t xml:space="preserve">Gawande, A. 2017, ‘The Heroism of Incremental Care’, </w:t>
      </w:r>
      <w:r>
        <w:rPr>
          <w:i/>
          <w:iCs/>
        </w:rPr>
        <w:t>Annals of Medicine, The New Yorker</w:t>
      </w:r>
      <w:r>
        <w:t>, http://www.newyorker.com/magazine/2017/01/23/the-heroism-of-incremental-care (accessed 5 April 2017).</w:t>
      </w:r>
    </w:p>
    <w:p w14:paraId="1EA39538" w14:textId="77777777" w:rsidR="00767039" w:rsidRDefault="00767039" w:rsidP="00F576FE">
      <w:pPr>
        <w:pStyle w:val="Reference"/>
      </w:pPr>
      <w:r>
        <w:t xml:space="preserve">Gerst-Emerson, K. and Jayawardhana, J. 2015, ‘Loneliness as a Public Health Issue: The Impact of Loneliness on Health Care Utilization Among Older Adults’, </w:t>
      </w:r>
      <w:r>
        <w:rPr>
          <w:i/>
          <w:iCs/>
        </w:rPr>
        <w:t>American Journal of Public Health</w:t>
      </w:r>
      <w:r>
        <w:t>, vol. 105, no. 5, pp. 1013–1019.</w:t>
      </w:r>
    </w:p>
    <w:p w14:paraId="1C459213" w14:textId="77777777" w:rsidR="00D46486" w:rsidRDefault="00D46486" w:rsidP="00F576FE">
      <w:pPr>
        <w:pStyle w:val="Reference"/>
      </w:pPr>
      <w:r>
        <w:t>GIGH et al. (</w:t>
      </w:r>
      <w:r w:rsidRPr="004B35CE">
        <w:t>The George Institute for Global Health</w:t>
      </w:r>
      <w:r>
        <w:t xml:space="preserve">, </w:t>
      </w:r>
      <w:r w:rsidRPr="004B35CE">
        <w:t>Centre for Health Economics Research and Evaluation</w:t>
      </w:r>
      <w:r>
        <w:t xml:space="preserve"> UTS, and </w:t>
      </w:r>
      <w:r w:rsidRPr="004B35CE">
        <w:t xml:space="preserve">UNSW </w:t>
      </w:r>
      <w:r>
        <w:t>R</w:t>
      </w:r>
      <w:r w:rsidRPr="004B35CE">
        <w:t xml:space="preserve">esearch </w:t>
      </w:r>
      <w:r>
        <w:t>C</w:t>
      </w:r>
      <w:r w:rsidRPr="004B35CE">
        <w:t xml:space="preserve">entre for </w:t>
      </w:r>
      <w:r>
        <w:t>P</w:t>
      </w:r>
      <w:r w:rsidRPr="004B35CE">
        <w:t xml:space="preserve">rimary </w:t>
      </w:r>
      <w:r>
        <w:t>H</w:t>
      </w:r>
      <w:r w:rsidRPr="004B35CE">
        <w:t xml:space="preserve">ealth </w:t>
      </w:r>
      <w:r>
        <w:t>C</w:t>
      </w:r>
      <w:r w:rsidRPr="004B35CE">
        <w:t xml:space="preserve">are </w:t>
      </w:r>
      <w:r>
        <w:t>and</w:t>
      </w:r>
      <w:r w:rsidRPr="004B35CE">
        <w:t xml:space="preserve"> </w:t>
      </w:r>
      <w:r>
        <w:t>E</w:t>
      </w:r>
      <w:r w:rsidRPr="004B35CE">
        <w:t>quity</w:t>
      </w:r>
      <w:r>
        <w:t>)</w:t>
      </w:r>
      <w:r w:rsidRPr="004B35CE">
        <w:t xml:space="preserve"> </w:t>
      </w:r>
      <w:r>
        <w:t xml:space="preserve">2014, </w:t>
      </w:r>
      <w:r>
        <w:rPr>
          <w:i/>
          <w:iCs/>
        </w:rPr>
        <w:t>State</w:t>
      </w:r>
      <w:r>
        <w:rPr>
          <w:i/>
          <w:iCs/>
        </w:rPr>
        <w:noBreakHyphen/>
        <w:t>wide evaluation: NSW Health Chronic Disease Management program, Final Report</w:t>
      </w:r>
      <w:r>
        <w:t>, October.</w:t>
      </w:r>
    </w:p>
    <w:p w14:paraId="1EA39539" w14:textId="340190FC" w:rsidR="00767039" w:rsidRDefault="00767039" w:rsidP="00F576FE">
      <w:pPr>
        <w:pStyle w:val="Reference"/>
      </w:pPr>
      <w:r>
        <w:t xml:space="preserve">GIGH and CHF 2016, </w:t>
      </w:r>
      <w:r w:rsidR="00311035">
        <w:t>(</w:t>
      </w:r>
      <w:r w:rsidR="00311035" w:rsidRPr="00311035">
        <w:t xml:space="preserve">The George Institute for Global Health </w:t>
      </w:r>
      <w:r w:rsidR="00311035">
        <w:t xml:space="preserve">and </w:t>
      </w:r>
      <w:r w:rsidR="00311035" w:rsidRPr="00311035">
        <w:t>Consumers Health Forum of Australia</w:t>
      </w:r>
      <w:r w:rsidR="00311035">
        <w:t xml:space="preserve">) </w:t>
      </w:r>
      <w:r>
        <w:rPr>
          <w:i/>
          <w:iCs/>
        </w:rPr>
        <w:t>Putting the consumer ﬁrst: Creating a consumer-centred health system for a 21st century Australia</w:t>
      </w:r>
      <w:r>
        <w:t>, April.</w:t>
      </w:r>
    </w:p>
    <w:p w14:paraId="1EA3953A" w14:textId="77777777" w:rsidR="00767039" w:rsidRDefault="00767039" w:rsidP="00F576FE">
      <w:pPr>
        <w:pStyle w:val="Reference"/>
      </w:pPr>
      <w:r>
        <w:t xml:space="preserve">Gillum, R. 2013, ‘From Papyrus to the Electronic Tablet: A Brief History of the Clinical Medical Record with Lessons for the Digital Age’, </w:t>
      </w:r>
      <w:r>
        <w:rPr>
          <w:i/>
          <w:iCs/>
        </w:rPr>
        <w:t>The American Journal of Medicine</w:t>
      </w:r>
      <w:r>
        <w:t>, vol. 126, no. 10, pp. 853–857.</w:t>
      </w:r>
    </w:p>
    <w:p w14:paraId="1EA3953B" w14:textId="77777777" w:rsidR="00767039" w:rsidRDefault="00767039" w:rsidP="00F576FE">
      <w:pPr>
        <w:pStyle w:val="Reference"/>
      </w:pPr>
      <w:r>
        <w:t xml:space="preserve">Gilmore, W. et al. 2016, ‘Alcohol: taking a population perspective’, </w:t>
      </w:r>
      <w:r>
        <w:rPr>
          <w:i/>
          <w:iCs/>
        </w:rPr>
        <w:t>Nature Reviews Gastroenterology and Hepatology</w:t>
      </w:r>
      <w:r>
        <w:t>, vol. 13, pp. 426–434.</w:t>
      </w:r>
    </w:p>
    <w:p w14:paraId="1EA3953C" w14:textId="77777777" w:rsidR="00767039" w:rsidRDefault="00767039" w:rsidP="00F576FE">
      <w:pPr>
        <w:pStyle w:val="Reference"/>
      </w:pPr>
      <w:r>
        <w:t xml:space="preserve">Gilson, N.D., Pavey, T.G., Wright, O.R., Vandelanotte, C., Duncan, M.J., Gomersall, S., Trost, S.G. and Brown, W.J. 2017, ‘The Impact of an m-Health Financial Incentives Program on the Physical Activity and Diet of Australian Truck Drivers’, </w:t>
      </w:r>
      <w:r>
        <w:rPr>
          <w:i/>
          <w:iCs/>
        </w:rPr>
        <w:t>BMC Public Health</w:t>
      </w:r>
      <w:r>
        <w:t>, vol. 17, p. 467.</w:t>
      </w:r>
    </w:p>
    <w:p w14:paraId="1EA3953D" w14:textId="77777777" w:rsidR="00767039" w:rsidRDefault="00767039" w:rsidP="00F576FE">
      <w:pPr>
        <w:pStyle w:val="Reference"/>
      </w:pPr>
      <w:r>
        <w:t xml:space="preserve">Giuffrida, A. and Torgerson, D. 1997, ‘Should we pay the patient? Review of financial incentives to enhance patient compliance’, </w:t>
      </w:r>
      <w:r>
        <w:rPr>
          <w:i/>
          <w:iCs/>
        </w:rPr>
        <w:t>BMJ</w:t>
      </w:r>
      <w:r>
        <w:t>, vol. 315, pp. 703–707.</w:t>
      </w:r>
    </w:p>
    <w:p w14:paraId="1EA3953E" w14:textId="77777777" w:rsidR="00767039" w:rsidRDefault="00767039" w:rsidP="00F576FE">
      <w:pPr>
        <w:pStyle w:val="Reference"/>
      </w:pPr>
      <w:r>
        <w:t xml:space="preserve">Gravelle, H., Scott, A., Sivey, P. and Yong, J. 2016, ‘Competition, prices and quality in the market for physician consultations’, </w:t>
      </w:r>
      <w:r>
        <w:rPr>
          <w:i/>
          <w:iCs/>
        </w:rPr>
        <w:t>Journal of Industrial Economics</w:t>
      </w:r>
      <w:r>
        <w:t>, vol. 64, no. 1, pp. 135–169.</w:t>
      </w:r>
    </w:p>
    <w:p w14:paraId="1EA3953F" w14:textId="77777777" w:rsidR="00767039" w:rsidRDefault="00767039" w:rsidP="00F576FE">
      <w:pPr>
        <w:pStyle w:val="Reference"/>
      </w:pPr>
      <w:r>
        <w:t xml:space="preserve">Gullery, C. and Hamilton, G. 2015, ‘Towards integrated person-centred healthcare - the Canterbury journey’, </w:t>
      </w:r>
      <w:r>
        <w:rPr>
          <w:i/>
          <w:iCs/>
        </w:rPr>
        <w:t>Future Hospital Journal</w:t>
      </w:r>
      <w:r>
        <w:t>, vol. 2, no. 2, pp. 111–116.</w:t>
      </w:r>
    </w:p>
    <w:p w14:paraId="1EA39540" w14:textId="77777777" w:rsidR="00767039" w:rsidRDefault="00767039" w:rsidP="00F576FE">
      <w:pPr>
        <w:pStyle w:val="Reference"/>
      </w:pPr>
      <w:r>
        <w:t xml:space="preserve">Haas, M. and de Abreu Lourenco, R. 2016, </w:t>
      </w:r>
      <w:r>
        <w:rPr>
          <w:i/>
          <w:iCs/>
        </w:rPr>
        <w:t>The REFinE-PHC Report on Patient Experiences of Primary Care</w:t>
      </w:r>
      <w:r>
        <w:t>, University of Technology Sydney.</w:t>
      </w:r>
    </w:p>
    <w:p w14:paraId="1EA39541" w14:textId="77777777" w:rsidR="00767039" w:rsidRDefault="00767039" w:rsidP="00F576FE">
      <w:pPr>
        <w:pStyle w:val="Reference"/>
      </w:pPr>
      <w:r>
        <w:t xml:space="preserve">Hall, J. 2010, ‘Medicare select: A bold reform?’, </w:t>
      </w:r>
      <w:r>
        <w:rPr>
          <w:i/>
          <w:iCs/>
        </w:rPr>
        <w:t>Australian Economic Review</w:t>
      </w:r>
      <w:r>
        <w:t>, vol. 43, no. 1, pp. 63–70.</w:t>
      </w:r>
    </w:p>
    <w:p w14:paraId="1EA39542" w14:textId="77777777" w:rsidR="00767039" w:rsidRDefault="00767039" w:rsidP="00F576FE">
      <w:pPr>
        <w:pStyle w:val="Reference"/>
      </w:pPr>
      <w:r>
        <w:t xml:space="preserve">Ham, C. 2010, ‘The ten characteristics of the high-performing chronic care system’, </w:t>
      </w:r>
      <w:r>
        <w:rPr>
          <w:i/>
          <w:iCs/>
        </w:rPr>
        <w:t>Health Economics, Policy and Law</w:t>
      </w:r>
      <w:r>
        <w:t>, vol. 5, no. 1, pp. 71–90.</w:t>
      </w:r>
    </w:p>
    <w:p w14:paraId="1EA39543" w14:textId="77777777" w:rsidR="00767039" w:rsidRDefault="00767039" w:rsidP="00F576FE">
      <w:pPr>
        <w:pStyle w:val="Reference"/>
      </w:pPr>
      <w:r>
        <w:t xml:space="preserve">—— and Timmins, N. 2015, </w:t>
      </w:r>
      <w:r>
        <w:rPr>
          <w:i/>
          <w:iCs/>
        </w:rPr>
        <w:t>Managing Health Services through Devolved Governance: A Perspective from Victoria, Australia</w:t>
      </w:r>
      <w:r>
        <w:t>, October, The King’s Fund, London.</w:t>
      </w:r>
    </w:p>
    <w:p w14:paraId="1EA39544" w14:textId="77777777" w:rsidR="00767039" w:rsidRDefault="00767039" w:rsidP="00F576FE">
      <w:pPr>
        <w:pStyle w:val="Reference"/>
      </w:pPr>
      <w:r>
        <w:t xml:space="preserve">——, York, N., Sutch, S. and Shaw, R. 2003, ‘Hospital bed utilisation in the NHS, Kaiser Permanente, and the US Medicare programme: analysis of routine data’, </w:t>
      </w:r>
      <w:r>
        <w:rPr>
          <w:i/>
          <w:iCs/>
        </w:rPr>
        <w:t>BMJ</w:t>
      </w:r>
      <w:r>
        <w:t>, vol. 327, no. 1257.</w:t>
      </w:r>
    </w:p>
    <w:p w14:paraId="1EA39545" w14:textId="77777777" w:rsidR="00767039" w:rsidRDefault="00767039" w:rsidP="00F576FE">
      <w:pPr>
        <w:pStyle w:val="Reference"/>
      </w:pPr>
      <w:r>
        <w:t xml:space="preserve">Hamar, G.B., Rula, E.Y., Coberley, C., Pope, J.E. and Larkin, S. 2015, ‘Long-term impact of a chronic disease management program on hospital utilization and cost in an Australian population with heart disease or diabetes’, </w:t>
      </w:r>
      <w:r>
        <w:rPr>
          <w:i/>
          <w:iCs/>
        </w:rPr>
        <w:t>BMC Health Services Research</w:t>
      </w:r>
      <w:r>
        <w:t>, vol. 15, no. 174.</w:t>
      </w:r>
    </w:p>
    <w:p w14:paraId="1EA39546" w14:textId="77777777" w:rsidR="00767039" w:rsidRDefault="00767039" w:rsidP="00F576FE">
      <w:pPr>
        <w:pStyle w:val="Reference"/>
      </w:pPr>
      <w:r>
        <w:t xml:space="preserve">Hansen, M.P., Hoffmann, T.C., McCullough, A.R., van Driel, M.L. and Del Mar, C.B. 2015, ‘Antibiotic resistance: What are the opportunities for primary care in alleviating the crisis?’, </w:t>
      </w:r>
      <w:r>
        <w:rPr>
          <w:i/>
          <w:iCs/>
        </w:rPr>
        <w:t>Frontiers in Public Health</w:t>
      </w:r>
      <w:r>
        <w:t>, vol. 3, no. 35.</w:t>
      </w:r>
    </w:p>
    <w:p w14:paraId="1EA39547" w14:textId="77777777" w:rsidR="00767039" w:rsidRDefault="00767039" w:rsidP="00F576FE">
      <w:pPr>
        <w:pStyle w:val="Reference"/>
      </w:pPr>
      <w:r>
        <w:t xml:space="preserve">Haque, O.S. and Waytz, A. 2012, ‘Dehumanization in medicine: Causes, solutions, and functions’, </w:t>
      </w:r>
      <w:r>
        <w:rPr>
          <w:i/>
          <w:iCs/>
        </w:rPr>
        <w:t>Perspectives on Psychological Science</w:t>
      </w:r>
      <w:r>
        <w:t>, vol. 7, no. 2, pp. 176–186.</w:t>
      </w:r>
    </w:p>
    <w:p w14:paraId="1EA39548" w14:textId="77777777" w:rsidR="00767039" w:rsidRDefault="00767039" w:rsidP="00F576FE">
      <w:pPr>
        <w:pStyle w:val="Reference"/>
      </w:pPr>
      <w:r>
        <w:t xml:space="preserve">Harris, I. 2016a, </w:t>
      </w:r>
      <w:r>
        <w:rPr>
          <w:i/>
          <w:iCs/>
        </w:rPr>
        <w:t>Orthopaedics, from low value to high value Presentation</w:t>
      </w:r>
      <w:r>
        <w:t>, Presentation to Queensland Clinical Senate meeting on 18 March 2016.</w:t>
      </w:r>
    </w:p>
    <w:p w14:paraId="1EA39549" w14:textId="16CCC815" w:rsidR="00767039" w:rsidRDefault="00BD2643" w:rsidP="00F576FE">
      <w:pPr>
        <w:pStyle w:val="Reference"/>
      </w:pPr>
      <w:r>
        <w:t>——</w:t>
      </w:r>
      <w:r w:rsidR="00050D33">
        <w:t> </w:t>
      </w:r>
      <w:r w:rsidR="00767039">
        <w:t xml:space="preserve">2016b, </w:t>
      </w:r>
      <w:r w:rsidR="00767039">
        <w:rPr>
          <w:i/>
          <w:iCs/>
        </w:rPr>
        <w:t>Surgery, The Ultimate Placebo: A Surgeon Cuts Through the Evidence</w:t>
      </w:r>
      <w:r w:rsidR="00767039">
        <w:t>, NewSouth Publishing, Sydney.</w:t>
      </w:r>
    </w:p>
    <w:p w14:paraId="1EA3954A" w14:textId="77777777" w:rsidR="00767039" w:rsidRDefault="00767039" w:rsidP="00F576FE">
      <w:pPr>
        <w:pStyle w:val="Reference"/>
      </w:pPr>
      <w:r>
        <w:t xml:space="preserve">Harrison, R., Walton, M., Manias, E., Smith-Merry, J., Kelly, P., Iedema, R. and Robinson, L. 2015, ‘The missing evidence: a systematic review of patients’ experiences of adverse events in health care’, </w:t>
      </w:r>
      <w:r>
        <w:rPr>
          <w:i/>
          <w:iCs/>
        </w:rPr>
        <w:t>International Journal For Quality In Health Care</w:t>
      </w:r>
      <w:r>
        <w:t>, vol. 27, no. 6, pp. 424–442.</w:t>
      </w:r>
    </w:p>
    <w:p w14:paraId="1EA3954B" w14:textId="77777777" w:rsidR="00767039" w:rsidRDefault="00767039" w:rsidP="00F576FE">
      <w:pPr>
        <w:pStyle w:val="Reference"/>
      </w:pPr>
      <w:r>
        <w:t>Hawker, M., Acharya, S., Lynch, M., Philcox, A., Beach, P., Parsons, M. and Tay, T. 2016, ‘The Hunter Alliance Diabetes Integration Project’, presented at 2016 Primary Health Care Research Conference, 8 June, Primary Health Care Research and Information Service, Australia.</w:t>
      </w:r>
    </w:p>
    <w:p w14:paraId="1EA3954C" w14:textId="037E9015" w:rsidR="00767039" w:rsidRDefault="00767039" w:rsidP="00F576FE">
      <w:pPr>
        <w:pStyle w:val="Reference"/>
      </w:pPr>
      <w:r>
        <w:t xml:space="preserve">HCIS </w:t>
      </w:r>
      <w:r w:rsidR="00BD2643">
        <w:t>(</w:t>
      </w:r>
      <w:r w:rsidR="00BD2643" w:rsidRPr="00BD2643">
        <w:t>Healthcare Improvement Scotland</w:t>
      </w:r>
      <w:r w:rsidR="00BD2643">
        <w:t xml:space="preserve">) </w:t>
      </w:r>
      <w:r>
        <w:t xml:space="preserve">2016, </w:t>
      </w:r>
      <w:r>
        <w:rPr>
          <w:i/>
          <w:iCs/>
        </w:rPr>
        <w:t>Single room only wards in hospitals compared with non-single room only wards</w:t>
      </w:r>
      <w:r>
        <w:t>, Evidence Note, 63.</w:t>
      </w:r>
    </w:p>
    <w:p w14:paraId="1EA3954D" w14:textId="77777777" w:rsidR="00767039" w:rsidRDefault="00767039" w:rsidP="00F576FE">
      <w:pPr>
        <w:pStyle w:val="Reference"/>
      </w:pPr>
      <w:r>
        <w:t xml:space="preserve">Henderson, A. and Henderson, S. 2015, ‘Provision of a surgeon’s performance data for people considering elective surgery’, </w:t>
      </w:r>
      <w:r>
        <w:rPr>
          <w:i/>
          <w:iCs/>
        </w:rPr>
        <w:t>Cochrane Database of Systematic Reviews</w:t>
      </w:r>
      <w:r>
        <w:t>.</w:t>
      </w:r>
    </w:p>
    <w:p w14:paraId="1EA3954E" w14:textId="77777777" w:rsidR="00767039" w:rsidRDefault="00767039" w:rsidP="00F576FE">
      <w:pPr>
        <w:pStyle w:val="Reference"/>
      </w:pPr>
      <w:r>
        <w:t xml:space="preserve">Herman, K.M., Hopman, W.M., Vandenkerkhof, E.G. and Rosenberg, M.W. 2012, ‘Physical activity, body mass index, and health-related quality of life in Canadian adults’, </w:t>
      </w:r>
      <w:r>
        <w:rPr>
          <w:i/>
          <w:iCs/>
        </w:rPr>
        <w:t>Medicine and Science in Sports and Exercise</w:t>
      </w:r>
      <w:r>
        <w:t>, vol. 44, no. 4, pp. 625–636.</w:t>
      </w:r>
    </w:p>
    <w:p w14:paraId="1EA3954F" w14:textId="77777777" w:rsidR="00767039" w:rsidRDefault="00767039" w:rsidP="00F576FE">
      <w:pPr>
        <w:pStyle w:val="Reference"/>
      </w:pPr>
      <w:r>
        <w:t xml:space="preserve">Higgins, S.T., Davis, D.R. and Kurti, A.N. 2017, ‘Financial Incentives for Reducing Smoking and Promoting Other Health-Related Behavior Change in Vulnerable Populations’, </w:t>
      </w:r>
      <w:r>
        <w:rPr>
          <w:i/>
          <w:iCs/>
        </w:rPr>
        <w:t>Policy Insights from the Behavioral and Brain Sciences</w:t>
      </w:r>
      <w:r>
        <w:t>, vol. 4, no. 1, pp. 33–40.</w:t>
      </w:r>
    </w:p>
    <w:p w14:paraId="1EA39550" w14:textId="77777777" w:rsidR="00767039" w:rsidRDefault="00767039" w:rsidP="00F576FE">
      <w:pPr>
        <w:pStyle w:val="Reference"/>
      </w:pPr>
      <w:r>
        <w:t xml:space="preserve">Hildebrandt, H., Hermann, C., Knittel, R., Richter-Reichhelm, M., Siegel, A. and Witzenrath, W. 2010, ‘Gesundes Kinzigtal Integrated Care: improving population health by a shared health gain approach and a shared savings contract’, </w:t>
      </w:r>
      <w:r>
        <w:rPr>
          <w:i/>
          <w:iCs/>
        </w:rPr>
        <w:t>International Journal of Integrated Care</w:t>
      </w:r>
      <w:r>
        <w:t>, vol. 10, pp. 1–15.</w:t>
      </w:r>
    </w:p>
    <w:p w14:paraId="1EA39551" w14:textId="3738627B" w:rsidR="00767039" w:rsidRDefault="00E46D81" w:rsidP="00F576FE">
      <w:pPr>
        <w:pStyle w:val="Reference"/>
      </w:pPr>
      <w:r>
        <w:t>——</w:t>
      </w:r>
      <w:r w:rsidR="00767039">
        <w:t xml:space="preserve">, Schulte, T. and Stunder, B. 2012, ‘Triple Aim in Kinzigtal, Germany. Improving population health, integrating health care and reducing costs of care - lessons for the UK?’, </w:t>
      </w:r>
      <w:r w:rsidR="00767039">
        <w:rPr>
          <w:i/>
          <w:iCs/>
        </w:rPr>
        <w:t>Journal of Integrated Care</w:t>
      </w:r>
      <w:r w:rsidR="00767039">
        <w:t>, vol. 20, no. 4, pp. 205–222.</w:t>
      </w:r>
    </w:p>
    <w:p w14:paraId="1EA39552" w14:textId="77777777" w:rsidR="00767039" w:rsidRDefault="00767039" w:rsidP="00F576FE">
      <w:pPr>
        <w:pStyle w:val="Reference"/>
      </w:pPr>
      <w:r>
        <w:t>Hill, S. 2016, ‘The Victorian Context and Challenges’, presented at Teaching about Health Literacy in Health Professional Education and Training Symposium 13 September.</w:t>
      </w:r>
    </w:p>
    <w:p w14:paraId="1EA39553" w14:textId="77777777" w:rsidR="00767039" w:rsidRDefault="00767039" w:rsidP="00F576FE">
      <w:pPr>
        <w:pStyle w:val="Reference"/>
      </w:pPr>
      <w:r>
        <w:t xml:space="preserve">Hollingworth, S.A., Donald, M., Zhang, J., Vaikuntam, B.P., Russell, A. and Jackson, C. 2017, ‘Original research: Impact of a general practitioner-led integrated model of care on the cost of potentially preventable diabetes-related hospitalisations’, </w:t>
      </w:r>
      <w:r>
        <w:rPr>
          <w:i/>
          <w:iCs/>
        </w:rPr>
        <w:t>Primary Care Diabetes</w:t>
      </w:r>
      <w:r>
        <w:t>, vol. 11, no. 4, pp. 344–347.</w:t>
      </w:r>
    </w:p>
    <w:p w14:paraId="1EA39554" w14:textId="77777777" w:rsidR="00767039" w:rsidRDefault="00767039" w:rsidP="00F576FE">
      <w:pPr>
        <w:pStyle w:val="Reference"/>
      </w:pPr>
      <w:r>
        <w:t xml:space="preserve">Holman, C., Armstrong, B., Arias, L., Martin, C., Hatton, W., Hayward, L., Salmon, M., Shean, R. and Waddel, V. 1990, </w:t>
      </w:r>
      <w:r>
        <w:rPr>
          <w:i/>
          <w:iCs/>
        </w:rPr>
        <w:t>The quantification of drug causes morbidity and mortality in Australia, 1988</w:t>
      </w:r>
      <w:r>
        <w:t>, Department of Health, Housing, Local Government and Community Service.</w:t>
      </w:r>
    </w:p>
    <w:p w14:paraId="1EA39555" w14:textId="77777777" w:rsidR="00767039" w:rsidRDefault="00767039" w:rsidP="00F576FE">
      <w:pPr>
        <w:pStyle w:val="Reference"/>
      </w:pPr>
      <w:r>
        <w:t xml:space="preserve">Holmes et al. and Purshouse, R.C. 2014, ‘Effects of minimum unit pricing for alcohol on different income and socioeconomic groups: a modelling study’, </w:t>
      </w:r>
      <w:r>
        <w:rPr>
          <w:i/>
          <w:iCs/>
        </w:rPr>
        <w:t>Lancet (London, England)</w:t>
      </w:r>
      <w:r>
        <w:t>, vol. 383, no. 9929, pp. 1655–1664.</w:t>
      </w:r>
    </w:p>
    <w:p w14:paraId="1EA39556" w14:textId="2AC7B75C" w:rsidR="00767039" w:rsidRDefault="00767039" w:rsidP="00F576FE">
      <w:pPr>
        <w:pStyle w:val="Reference"/>
      </w:pPr>
      <w:r>
        <w:t xml:space="preserve">HRSCH </w:t>
      </w:r>
      <w:r w:rsidR="00E46D81">
        <w:t>(</w:t>
      </w:r>
      <w:r w:rsidR="00E46D81" w:rsidRPr="00E46D81">
        <w:t>House of Representatives Standing Committee on Health</w:t>
      </w:r>
      <w:r w:rsidR="00E46D81">
        <w:t xml:space="preserve">) </w:t>
      </w:r>
      <w:r>
        <w:t xml:space="preserve">2016, </w:t>
      </w:r>
      <w:r>
        <w:rPr>
          <w:i/>
          <w:iCs/>
        </w:rPr>
        <w:t>Inquiry into Chronic Disease Prevention and Management in Primary Health Care</w:t>
      </w:r>
      <w:r>
        <w:t>, May, Australian Government.</w:t>
      </w:r>
    </w:p>
    <w:p w14:paraId="1EA39557" w14:textId="77777777" w:rsidR="00767039" w:rsidRDefault="00767039" w:rsidP="00F576FE">
      <w:pPr>
        <w:pStyle w:val="Reference"/>
      </w:pPr>
      <w:r>
        <w:t xml:space="preserve">Hunt, G. 2017a, </w:t>
      </w:r>
      <w:r>
        <w:rPr>
          <w:i/>
          <w:iCs/>
        </w:rPr>
        <w:t>Direction to the Independent Hospital Pricing Authority on the performance of its functions under section 226 of the National Health Reform Act 2011 - No. 2/2016</w:t>
      </w:r>
      <w:r>
        <w:t>, 16 February, Australian Government.</w:t>
      </w:r>
    </w:p>
    <w:p w14:paraId="1EA39558" w14:textId="22AD702F" w:rsidR="00767039" w:rsidRDefault="00767039" w:rsidP="00F576FE">
      <w:pPr>
        <w:pStyle w:val="Reference"/>
      </w:pPr>
      <w:r>
        <w:t>——</w:t>
      </w:r>
      <w:r w:rsidR="00050D33">
        <w:t> </w:t>
      </w:r>
      <w:r>
        <w:t xml:space="preserve">2017b, </w:t>
      </w:r>
      <w:r>
        <w:rPr>
          <w:i/>
          <w:iCs/>
        </w:rPr>
        <w:t>Explanatory Statement: Direction to the Independent Hospital Pricing Authority on the performance of its functions under section 226 of the National Health Reform Act 2011, No. 2/2016</w:t>
      </w:r>
      <w:r>
        <w:t>, 16 February, Australian Government.</w:t>
      </w:r>
    </w:p>
    <w:p w14:paraId="1EA39559" w14:textId="77777777" w:rsidR="00767039" w:rsidRDefault="00767039" w:rsidP="00F576FE">
      <w:pPr>
        <w:pStyle w:val="Reference"/>
      </w:pPr>
      <w:r>
        <w:t xml:space="preserve">Ibrahim, J. 2015, ‘It is not appropriate to dismiss inappropriate care’, </w:t>
      </w:r>
      <w:r>
        <w:rPr>
          <w:i/>
          <w:iCs/>
        </w:rPr>
        <w:t>Medical Journal of Australia</w:t>
      </w:r>
      <w:r>
        <w:t>, vol. 203, no. 4.</w:t>
      </w:r>
    </w:p>
    <w:p w14:paraId="1EA3955A" w14:textId="496BAAC0" w:rsidR="00767039" w:rsidRDefault="00767039" w:rsidP="00F576FE">
      <w:pPr>
        <w:pStyle w:val="Reference"/>
      </w:pPr>
      <w:r>
        <w:t xml:space="preserve">IHPA </w:t>
      </w:r>
      <w:r w:rsidR="00E46D81">
        <w:t>(</w:t>
      </w:r>
      <w:r w:rsidR="00E46D81" w:rsidRPr="00E46D81">
        <w:t>Independent Hospital Pricing Authority</w:t>
      </w:r>
      <w:r w:rsidR="00E46D81">
        <w:t xml:space="preserve">) </w:t>
      </w:r>
      <w:r>
        <w:t xml:space="preserve">2017, </w:t>
      </w:r>
      <w:r>
        <w:rPr>
          <w:i/>
          <w:iCs/>
        </w:rPr>
        <w:t>The Pricing Framework for Australian Public Hospital Services 2017</w:t>
      </w:r>
      <w:r w:rsidR="00D80FFD">
        <w:rPr>
          <w:i/>
          <w:iCs/>
        </w:rPr>
        <w:noBreakHyphen/>
      </w:r>
      <w:r>
        <w:rPr>
          <w:i/>
          <w:iCs/>
        </w:rPr>
        <w:t>18</w:t>
      </w:r>
      <w:r>
        <w:t>, March.</w:t>
      </w:r>
    </w:p>
    <w:p w14:paraId="1EA3955B" w14:textId="77777777" w:rsidR="00767039" w:rsidRDefault="00767039" w:rsidP="00F576FE">
      <w:pPr>
        <w:pStyle w:val="Reference"/>
      </w:pPr>
      <w:r>
        <w:t xml:space="preserve">Inderjeeth, C., Inderjeeth, A. and Raymond, W. 2016, ‘RACGP - Medication selection and patient compliance in the clinical management of osteoporosis’, </w:t>
      </w:r>
      <w:r>
        <w:rPr>
          <w:i/>
          <w:iCs/>
        </w:rPr>
        <w:t>Australian Family Physician</w:t>
      </w:r>
      <w:r>
        <w:t>, vol. 45, no. 11, pp. 814–817.</w:t>
      </w:r>
    </w:p>
    <w:p w14:paraId="1EA3955C" w14:textId="77777777" w:rsidR="00767039" w:rsidRDefault="00767039" w:rsidP="00F576FE">
      <w:pPr>
        <w:pStyle w:val="Reference"/>
      </w:pPr>
      <w:r>
        <w:t xml:space="preserve">Infrastructure NSW 2014, </w:t>
      </w:r>
      <w:r>
        <w:rPr>
          <w:i/>
          <w:iCs/>
        </w:rPr>
        <w:t>State Infrastructure Strategy Update, 2014: Recommendations to the NSW Government</w:t>
      </w:r>
      <w:r>
        <w:t>, November, NSW Government.</w:t>
      </w:r>
    </w:p>
    <w:p w14:paraId="1EA3955D" w14:textId="77777777" w:rsidR="00767039" w:rsidRDefault="00767039" w:rsidP="00F576FE">
      <w:pPr>
        <w:pStyle w:val="Reference"/>
      </w:pPr>
      <w:r>
        <w:t xml:space="preserve">Inkelas, M., Brown, A.F., Vassar, S.D., Sankaré, I.C., Martinez, A.B., Kubicek, K., Kuo, T., Mahajan, A., Gould, M. and Mittman, B.S. 2015, ‘Enhancing Dissemination, Implementation, and Improvement Science in CTSAs through Regional Partnerships’, </w:t>
      </w:r>
      <w:r>
        <w:rPr>
          <w:i/>
          <w:iCs/>
        </w:rPr>
        <w:t>Clinical and Translational Science</w:t>
      </w:r>
      <w:r>
        <w:t>, vol. 8, no. 6, pp. 800–806.</w:t>
      </w:r>
    </w:p>
    <w:p w14:paraId="1EA3955E" w14:textId="77777777" w:rsidR="00767039" w:rsidRDefault="00767039" w:rsidP="00F576FE">
      <w:pPr>
        <w:pStyle w:val="Reference"/>
      </w:pPr>
      <w:r>
        <w:t xml:space="preserve">Isdale, W. and Savulescu, J. 2015, ‘Three proposals to increase Australia’s organ supply’, </w:t>
      </w:r>
      <w:r>
        <w:rPr>
          <w:i/>
          <w:iCs/>
        </w:rPr>
        <w:t>Monash Bioethics Review</w:t>
      </w:r>
      <w:r>
        <w:t>, vol. 33, no. 2–3, pp. 91–101.</w:t>
      </w:r>
    </w:p>
    <w:p w14:paraId="1EA3955F" w14:textId="77777777" w:rsidR="00767039" w:rsidRDefault="00767039" w:rsidP="00F576FE">
      <w:pPr>
        <w:pStyle w:val="Reference"/>
      </w:pPr>
      <w:r>
        <w:t xml:space="preserve">James, B.C. and Poulsen, G.P. 2016, ‘The Case for Capitation’, </w:t>
      </w:r>
      <w:r>
        <w:rPr>
          <w:i/>
          <w:iCs/>
        </w:rPr>
        <w:t>Harvard Business Review</w:t>
      </w:r>
      <w:r>
        <w:t>, July-August 2016.</w:t>
      </w:r>
    </w:p>
    <w:p w14:paraId="1EA39560" w14:textId="77777777" w:rsidR="00767039" w:rsidRDefault="00767039" w:rsidP="00F576FE">
      <w:pPr>
        <w:pStyle w:val="Reference"/>
      </w:pPr>
      <w:r>
        <w:t xml:space="preserve">Janamian, T., Jackson, C.L., Glasson, N. and Nicholson, C. 2014, ‘A systematic review of the challenges to implementation of the patient-centred medical home: lessons for Australia’, </w:t>
      </w:r>
      <w:r>
        <w:rPr>
          <w:i/>
          <w:iCs/>
        </w:rPr>
        <w:t>Medical Journal of Australia</w:t>
      </w:r>
      <w:r>
        <w:t>, vol. 201, 3 Suppl, pp. S69–S73.</w:t>
      </w:r>
    </w:p>
    <w:p w14:paraId="1EA39561" w14:textId="77777777" w:rsidR="00767039" w:rsidRDefault="00767039" w:rsidP="00F576FE">
      <w:pPr>
        <w:pStyle w:val="Reference"/>
      </w:pPr>
      <w:r>
        <w:t xml:space="preserve">Johnson, A. 2014, ‘Health literacy, does it make a difference?’, </w:t>
      </w:r>
      <w:r>
        <w:rPr>
          <w:i/>
          <w:iCs/>
        </w:rPr>
        <w:t>The Australian Journal of Advanced Nursing</w:t>
      </w:r>
      <w:r>
        <w:t>, vol. 31, no. 3, pp. 39–45.</w:t>
      </w:r>
    </w:p>
    <w:p w14:paraId="1EA39562" w14:textId="77777777" w:rsidR="00767039" w:rsidRDefault="00767039" w:rsidP="00F576FE">
      <w:pPr>
        <w:pStyle w:val="Reference"/>
      </w:pPr>
      <w:r>
        <w:t xml:space="preserve">Jolly, R. 2011, </w:t>
      </w:r>
      <w:r>
        <w:rPr>
          <w:i/>
          <w:iCs/>
        </w:rPr>
        <w:t>The e health revolution - easier said than done</w:t>
      </w:r>
      <w:r>
        <w:t>, Parliamentary Library Research Paper, 17 November, 3, Department of Parliamentary Services.</w:t>
      </w:r>
    </w:p>
    <w:p w14:paraId="1EA39563" w14:textId="77777777" w:rsidR="00767039" w:rsidRDefault="00767039" w:rsidP="00F576FE">
      <w:pPr>
        <w:pStyle w:val="Reference"/>
      </w:pPr>
      <w:r>
        <w:t xml:space="preserve">Julia, C., Méjean, C., Vicari, F., Péneau, S. and Hercberg, S. 2015, ‘Public perception and characteristics related to acceptance of the sugar-sweetened beverage taxation launched in France in 2012’, </w:t>
      </w:r>
      <w:r>
        <w:rPr>
          <w:i/>
          <w:iCs/>
        </w:rPr>
        <w:t>Public Health Nutrition</w:t>
      </w:r>
      <w:r>
        <w:t>, vol. 18, no. 14, pp. 2679–2688.</w:t>
      </w:r>
    </w:p>
    <w:p w14:paraId="1EA39564" w14:textId="77777777" w:rsidR="00767039" w:rsidRDefault="00767039" w:rsidP="00F576FE">
      <w:pPr>
        <w:pStyle w:val="Reference"/>
      </w:pPr>
      <w:r>
        <w:t xml:space="preserve">Kaptchuk, T.J. and Miller, F.G. 2015, ‘Placebo Effects in Medicine’, </w:t>
      </w:r>
      <w:r>
        <w:rPr>
          <w:i/>
          <w:iCs/>
        </w:rPr>
        <w:t>New England Journal of Medicine</w:t>
      </w:r>
      <w:r>
        <w:t>, vol. 373, no. 1, pp. 8–9.</w:t>
      </w:r>
    </w:p>
    <w:p w14:paraId="1EA39565" w14:textId="77777777" w:rsidR="00767039" w:rsidRDefault="00767039" w:rsidP="00F576FE">
      <w:pPr>
        <w:pStyle w:val="Reference"/>
      </w:pPr>
      <w:r>
        <w:t xml:space="preserve">Kaul, S., Kirchhoff, A., Morden, N., Vogeli, C. and Campbell, E. 2015, ‘Physician Response to Patient Request for Unnecessary Care’, </w:t>
      </w:r>
      <w:r>
        <w:rPr>
          <w:i/>
          <w:iCs/>
        </w:rPr>
        <w:t>American Journal of Managed Care</w:t>
      </w:r>
      <w:r>
        <w:t>, vol. 21, no. 11.</w:t>
      </w:r>
    </w:p>
    <w:p w14:paraId="1EA39566" w14:textId="77777777" w:rsidR="00767039" w:rsidRDefault="00767039" w:rsidP="00F576FE">
      <w:pPr>
        <w:pStyle w:val="Reference"/>
      </w:pPr>
      <w:r>
        <w:t xml:space="preserve">Keatley, D.A., Hardcastle, S.J., Carragher, N., Chikritzhs, T.N., Daube, M., Lonsdale, A. and Hagger, M.S. 2016, ‘Attitudes and beliefs towards alcohol minimum pricing in Western Australia’, </w:t>
      </w:r>
      <w:r>
        <w:rPr>
          <w:i/>
          <w:iCs/>
        </w:rPr>
        <w:t>Health Promotion International</w:t>
      </w:r>
      <w:r>
        <w:t>, 23 December.</w:t>
      </w:r>
    </w:p>
    <w:p w14:paraId="1EA39567" w14:textId="77777777" w:rsidR="00767039" w:rsidRDefault="00767039" w:rsidP="00F576FE">
      <w:pPr>
        <w:pStyle w:val="Reference"/>
      </w:pPr>
      <w:r>
        <w:t xml:space="preserve">Kecmanovic, M. and Hall, J.P. 2015, ‘The use of financial incentives in Australian general practice’, </w:t>
      </w:r>
      <w:r>
        <w:rPr>
          <w:i/>
          <w:iCs/>
        </w:rPr>
        <w:t>Medical Journal of Australia</w:t>
      </w:r>
      <w:r>
        <w:t>, vol. 202, no. 9, pp. 488–491.</w:t>
      </w:r>
    </w:p>
    <w:p w14:paraId="1EA39568" w14:textId="77777777" w:rsidR="00767039" w:rsidRDefault="00767039" w:rsidP="00F576FE">
      <w:pPr>
        <w:pStyle w:val="Reference"/>
      </w:pPr>
      <w:r>
        <w:t xml:space="preserve">Kelly-Weeder, S., Phillips, K. and Rounseville, S. 2011, ‘Effectiveness of public health programs for decreasing alcohol consumption’, </w:t>
      </w:r>
      <w:r>
        <w:rPr>
          <w:i/>
          <w:iCs/>
        </w:rPr>
        <w:t>Patient intelligence</w:t>
      </w:r>
      <w:r>
        <w:t>, vol. 2011, no. 3, pp. 29–38.</w:t>
      </w:r>
    </w:p>
    <w:p w14:paraId="1EA39569" w14:textId="77777777" w:rsidR="00767039" w:rsidRDefault="00767039" w:rsidP="00F576FE">
      <w:pPr>
        <w:pStyle w:val="Reference"/>
      </w:pPr>
      <w:r>
        <w:t xml:space="preserve">King, D. 2013, </w:t>
      </w:r>
      <w:r>
        <w:rPr>
          <w:i/>
          <w:iCs/>
        </w:rPr>
        <w:t>Private Patients in Public Hospitals</w:t>
      </w:r>
      <w:r>
        <w:t>, April, The Australian Health Service Alliance &amp; Australian Centre for Health Research.</w:t>
      </w:r>
    </w:p>
    <w:p w14:paraId="1EA3956A" w14:textId="77777777" w:rsidR="00767039" w:rsidRDefault="00767039" w:rsidP="00F576FE">
      <w:pPr>
        <w:pStyle w:val="Reference"/>
      </w:pPr>
      <w:r>
        <w:t xml:space="preserve">Knibbs, G. 1917, </w:t>
      </w:r>
      <w:r>
        <w:rPr>
          <w:i/>
          <w:iCs/>
        </w:rPr>
        <w:t>Census of the Commonwealth of Australia Taken foir the Night between 2nd and 3rd April, 1911, Volume 1</w:t>
      </w:r>
      <w:r>
        <w:t>.</w:t>
      </w:r>
    </w:p>
    <w:p w14:paraId="1EA3956B" w14:textId="77777777" w:rsidR="00767039" w:rsidRDefault="00767039" w:rsidP="00F576FE">
      <w:pPr>
        <w:pStyle w:val="Reference"/>
      </w:pPr>
      <w:r>
        <w:t xml:space="preserve">Knight, A. and Lembkie, T. 2013, ‘RACGP - Appointments 101 – how to shape a more effective appointment system’, </w:t>
      </w:r>
      <w:r>
        <w:rPr>
          <w:i/>
          <w:iCs/>
        </w:rPr>
        <w:t>Australian Family Physician</w:t>
      </w:r>
      <w:r>
        <w:t>, vol. 42, no. 3, pp. 152–156.</w:t>
      </w:r>
    </w:p>
    <w:p w14:paraId="1EA3956C" w14:textId="2C53960F" w:rsidR="00767039" w:rsidRDefault="00767039" w:rsidP="00F576FE">
      <w:pPr>
        <w:pStyle w:val="Reference"/>
      </w:pPr>
      <w:r>
        <w:t>Knight, A.W., Padgett, J., George, B. and Datoo, M.R. 2005, ‘Red</w:t>
      </w:r>
      <w:r w:rsidR="00D80FFD">
        <w:t xml:space="preserve">uced waiting times for the GP: </w:t>
      </w:r>
      <w:r>
        <w:t xml:space="preserve">two examples of “advanced access” in Australia’, </w:t>
      </w:r>
      <w:r>
        <w:rPr>
          <w:i/>
          <w:iCs/>
        </w:rPr>
        <w:t>Medical Journal of Australia</w:t>
      </w:r>
      <w:r>
        <w:t>, vol. 183, no. 2.</w:t>
      </w:r>
    </w:p>
    <w:p w14:paraId="1EA3956D" w14:textId="77777777" w:rsidR="00767039" w:rsidRDefault="00767039" w:rsidP="00F576FE">
      <w:pPr>
        <w:pStyle w:val="Reference"/>
      </w:pPr>
      <w:r>
        <w:t xml:space="preserve">Kruse, C.S., Goswamy, R., Raval, Y. and Marawi, S. 2016, ‘Challenges and Opportunities of Big Data in Health Care: A Systematic Review’, </w:t>
      </w:r>
      <w:r>
        <w:rPr>
          <w:i/>
          <w:iCs/>
        </w:rPr>
        <w:t>JMIR Medical Informatics</w:t>
      </w:r>
      <w:r>
        <w:t>, vol. 4, no. 4.</w:t>
      </w:r>
    </w:p>
    <w:p w14:paraId="1EA3956E" w14:textId="77777777" w:rsidR="00767039" w:rsidRDefault="00767039" w:rsidP="00F576FE">
      <w:pPr>
        <w:pStyle w:val="Reference"/>
      </w:pPr>
      <w:r>
        <w:t xml:space="preserve">Laiteerapong, N., Kirby, J., Gao, Y., Yu, T.-C., Sharma, R., Nocon, R., Lee, S.M., Chin, M.H., Nathan, A.G., Ngo-Metzger, Q. and Huang, E.S. 2014, ‘Health care utilization and receipt of preventive care for patients seen at federally funded health centers compared to other sites of primary care’, </w:t>
      </w:r>
      <w:r>
        <w:rPr>
          <w:i/>
          <w:iCs/>
        </w:rPr>
        <w:t>Health Services Research</w:t>
      </w:r>
      <w:r>
        <w:t>, vol. 49, no. 5, pp. 1498–1518.</w:t>
      </w:r>
    </w:p>
    <w:p w14:paraId="1EA3956F" w14:textId="77777777" w:rsidR="00767039" w:rsidRDefault="00767039" w:rsidP="00F576FE">
      <w:pPr>
        <w:pStyle w:val="Reference"/>
      </w:pPr>
      <w:r>
        <w:t xml:space="preserve">Lal, A., Mantilla-Herrera, A.M., Veerman, L., Backholer, K., Sacks, G., Moodie, M., Siahpush, M., Carter, R. and Peeters, A. 2017, ‘Modelled health benefits of a sugar-sweetened beverage tax across different socioeconomic groups in Australia: A cost-effectiveness and equity analysis’, </w:t>
      </w:r>
      <w:r>
        <w:rPr>
          <w:i/>
          <w:iCs/>
        </w:rPr>
        <w:t>PLOS Medicine</w:t>
      </w:r>
      <w:r>
        <w:t>, vol. 14, no. 6, p. e1002326.</w:t>
      </w:r>
    </w:p>
    <w:p w14:paraId="1EA39570" w14:textId="77777777" w:rsidR="00767039" w:rsidRDefault="00767039" w:rsidP="00F576FE">
      <w:pPr>
        <w:pStyle w:val="Reference"/>
      </w:pPr>
      <w:r>
        <w:t>Lazorick, S., Crawford, Y., Gilbird, A., Fang, X., Burr, V., Moore, V. and Hardison, G.T. 2014, ‘Long-term obesity prevention and the Motivating Adolescents with Technology to CHOOSE Health</w:t>
      </w:r>
      <w:r>
        <w:rPr>
          <w:vertAlign w:val="superscript"/>
        </w:rPr>
        <w:t>TM</w:t>
      </w:r>
      <w:r>
        <w:t xml:space="preserve"> program’, </w:t>
      </w:r>
      <w:r>
        <w:rPr>
          <w:i/>
          <w:iCs/>
        </w:rPr>
        <w:t>Childhood Obesity (Print)</w:t>
      </w:r>
      <w:r>
        <w:t>, vol. 10, no. 1, pp. 25–33.</w:t>
      </w:r>
    </w:p>
    <w:p w14:paraId="1EA39571" w14:textId="77777777" w:rsidR="00767039" w:rsidRDefault="00767039" w:rsidP="00F576FE">
      <w:pPr>
        <w:pStyle w:val="Reference"/>
      </w:pPr>
      <w:r>
        <w:t xml:space="preserve">——, Fang, X. and Crawford, Y. 2016, ‘The MATCH Program: Long-Term Obesity Prevention Through a Middle School Based Intervention’, </w:t>
      </w:r>
      <w:r>
        <w:rPr>
          <w:i/>
          <w:iCs/>
        </w:rPr>
        <w:t>Childhood Obesity (Print)</w:t>
      </w:r>
      <w:r>
        <w:t>, vol. 12, no. 2, pp. 103–112.</w:t>
      </w:r>
    </w:p>
    <w:p w14:paraId="1EA39572" w14:textId="77777777" w:rsidR="00767039" w:rsidRDefault="00767039" w:rsidP="00F576FE">
      <w:pPr>
        <w:pStyle w:val="Reference"/>
      </w:pPr>
      <w:r>
        <w:t xml:space="preserve">Lee, N.M., Lucke, J., Hall, W.D., Meurk, C., Boyle, F.M. and Carter, A. 2013, ‘Public Views on Food Addiction and Obesity: Implications for Policy and Treatment’, </w:t>
      </w:r>
      <w:r>
        <w:rPr>
          <w:i/>
          <w:iCs/>
        </w:rPr>
        <w:t>PLOS ONE</w:t>
      </w:r>
      <w:r>
        <w:t>, vol. 8, no. 9, p. e74836.</w:t>
      </w:r>
    </w:p>
    <w:p w14:paraId="1EA39573" w14:textId="77777777" w:rsidR="00767039" w:rsidRDefault="00767039" w:rsidP="00F576FE">
      <w:pPr>
        <w:pStyle w:val="Reference"/>
      </w:pPr>
      <w:r>
        <w:t xml:space="preserve">Levy, H. and Janke, A. 2016, ‘Health Literacy and Access to Care’, </w:t>
      </w:r>
      <w:r>
        <w:rPr>
          <w:i/>
          <w:iCs/>
        </w:rPr>
        <w:t>Journal of Health Communication</w:t>
      </w:r>
      <w:r>
        <w:t>, vol. 21, no. sup1, pp. 43–50.</w:t>
      </w:r>
    </w:p>
    <w:p w14:paraId="1EA39574" w14:textId="77777777" w:rsidR="00767039" w:rsidRDefault="00767039" w:rsidP="00F576FE">
      <w:pPr>
        <w:pStyle w:val="Reference"/>
      </w:pPr>
      <w:r>
        <w:t xml:space="preserve">Lewis, Z.H., Swartz, M.C. and Lyons, E.J. 2016, ‘What’s the Point?: A Review of Reward Systems Implemented in Gamification Interventions’, </w:t>
      </w:r>
      <w:r>
        <w:rPr>
          <w:i/>
          <w:iCs/>
        </w:rPr>
        <w:t>Games for Health Journal</w:t>
      </w:r>
      <w:r>
        <w:t>, vol. 5, no. 2, pp. 93–99.</w:t>
      </w:r>
    </w:p>
    <w:p w14:paraId="1EA39575" w14:textId="77777777" w:rsidR="00767039" w:rsidRDefault="00767039" w:rsidP="00F576FE">
      <w:pPr>
        <w:pStyle w:val="Reference"/>
      </w:pPr>
      <w:r>
        <w:t xml:space="preserve">Ley, S. 2015, </w:t>
      </w:r>
      <w:r>
        <w:rPr>
          <w:i/>
          <w:iCs/>
        </w:rPr>
        <w:t>A New Blueprint for Mental Health Services</w:t>
      </w:r>
      <w:r>
        <w:t>, Media release, 26 November.</w:t>
      </w:r>
    </w:p>
    <w:p w14:paraId="1EA39576" w14:textId="77777777" w:rsidR="00767039" w:rsidRDefault="00767039" w:rsidP="00F576FE">
      <w:pPr>
        <w:pStyle w:val="Reference"/>
      </w:pPr>
      <w:r>
        <w:t xml:space="preserve">Lipworth, W., Little, M., Markham, P., Gordon, J. and Kerridge, I. 2013, ‘Doctors on Status and Respect: A Qualitative Study’, </w:t>
      </w:r>
      <w:r>
        <w:rPr>
          <w:i/>
          <w:iCs/>
        </w:rPr>
        <w:t>Journal of Bioethical Inquiry</w:t>
      </w:r>
      <w:r>
        <w:t>, vol. 10, no. 2, pp. 205–217.</w:t>
      </w:r>
    </w:p>
    <w:p w14:paraId="1EA39577" w14:textId="77777777" w:rsidR="00767039" w:rsidRDefault="00767039" w:rsidP="00F576FE">
      <w:pPr>
        <w:pStyle w:val="Reference"/>
      </w:pPr>
      <w:r>
        <w:t xml:space="preserve">Love, T. 2013, </w:t>
      </w:r>
      <w:r>
        <w:rPr>
          <w:i/>
          <w:iCs/>
        </w:rPr>
        <w:t>Comparison of New Zealand and Canterbury population level measures</w:t>
      </w:r>
      <w:r>
        <w:t>, Report prepared for Canterbury District Health Board, 17 March, Sapere Research Group, Wellington.</w:t>
      </w:r>
    </w:p>
    <w:p w14:paraId="1EA39578" w14:textId="77777777" w:rsidR="00767039" w:rsidRDefault="00767039" w:rsidP="00F576FE">
      <w:pPr>
        <w:pStyle w:val="Reference"/>
      </w:pPr>
      <w:r>
        <w:t>Lynch, M., Acharya, S., Philcox, A., Beach, R., Tay, T., Parsons, M., Cromarty, M., Suthers, B. and Attia, J. 2016, ‘Hunter Alliance Diabetes Integration Project’, presented at GP16, 1 October.</w:t>
      </w:r>
    </w:p>
    <w:p w14:paraId="1EA39579" w14:textId="0420ED16" w:rsidR="00767039" w:rsidRDefault="00767039" w:rsidP="00F576FE">
      <w:pPr>
        <w:pStyle w:val="Reference"/>
      </w:pPr>
      <w:r>
        <w:t xml:space="preserve">Lynch, T. 2013, </w:t>
      </w:r>
      <w:r>
        <w:rPr>
          <w:i/>
          <w:iCs/>
        </w:rPr>
        <w:t xml:space="preserve">Australian Government Primary Schools </w:t>
      </w:r>
      <w:r w:rsidR="00D80FFD">
        <w:rPr>
          <w:i/>
          <w:iCs/>
        </w:rPr>
        <w:t>—</w:t>
      </w:r>
      <w:r>
        <w:rPr>
          <w:i/>
          <w:iCs/>
        </w:rPr>
        <w:t xml:space="preserve"> How are Primary Education Health &amp; Physical Education (HPE) teachers’ best prepared?</w:t>
      </w:r>
      <w:r w:rsidR="00D80FFD">
        <w:t xml:space="preserve">, Monash University, </w:t>
      </w:r>
      <w:r>
        <w:t>Faculty of Education.</w:t>
      </w:r>
    </w:p>
    <w:p w14:paraId="1EA3957A" w14:textId="77777777" w:rsidR="00767039" w:rsidRDefault="00767039" w:rsidP="00F576FE">
      <w:pPr>
        <w:pStyle w:val="Reference"/>
      </w:pPr>
      <w:r>
        <w:t xml:space="preserve">Macinko, J., Starfield, B. and Shi, L. 2003, ‘The Contribution of Primary Care Systems to Health Outcomes within Organization for Economic Cooperation and Development (OECD) Countries, 1970–1998’, </w:t>
      </w:r>
      <w:r>
        <w:rPr>
          <w:i/>
          <w:iCs/>
        </w:rPr>
        <w:t>Health Services Research</w:t>
      </w:r>
      <w:r>
        <w:t>, vol. 38, no. 3, pp. 831–865.</w:t>
      </w:r>
    </w:p>
    <w:p w14:paraId="1EA3957B" w14:textId="77777777" w:rsidR="00767039" w:rsidRDefault="00767039" w:rsidP="00F576FE">
      <w:pPr>
        <w:pStyle w:val="Reference"/>
      </w:pPr>
      <w:r>
        <w:t xml:space="preserve">MacLeod, S., Musich, S., Gulyas, S., Cheng, Y., Tkatch, R., Cempellin, D., Bhattarai, G.R., Hawkins, K. and Yeh, C.S. 2017, ‘The impact of inadequate health literacy on patient satisfaction, healthcare utilization, and expenditures among older adults’, </w:t>
      </w:r>
      <w:r>
        <w:rPr>
          <w:i/>
          <w:iCs/>
        </w:rPr>
        <w:t>Geriatric Nursing</w:t>
      </w:r>
      <w:r>
        <w:t>, vol. In press.</w:t>
      </w:r>
    </w:p>
    <w:p w14:paraId="1EA3957C" w14:textId="77777777" w:rsidR="00767039" w:rsidRDefault="00767039" w:rsidP="00F576FE">
      <w:pPr>
        <w:pStyle w:val="Reference"/>
      </w:pPr>
      <w:r>
        <w:t xml:space="preserve">Mahfouz, C., Bonney, A., Mullan, J. and Rich, W. 2017, ‘An Australian discharge summary quality assessment tool: A pilot study’, </w:t>
      </w:r>
      <w:r>
        <w:rPr>
          <w:i/>
          <w:iCs/>
        </w:rPr>
        <w:t>Australian Family Physician</w:t>
      </w:r>
      <w:r>
        <w:t>, vol. 46, no. 1, pp. 57–63.</w:t>
      </w:r>
    </w:p>
    <w:p w14:paraId="1EA3957D" w14:textId="77777777" w:rsidR="00767039" w:rsidRDefault="00767039" w:rsidP="00F576FE">
      <w:pPr>
        <w:pStyle w:val="Reference"/>
      </w:pPr>
      <w:r>
        <w:t xml:space="preserve">Maneze, D., Dennis, S., Chen, H.-Y., Taggart, J., Vagholkar, S., Bunker, J. and Liaw, S.T. 2014, ‘Multidisciplinary care: experience of patients with complex needs’, </w:t>
      </w:r>
      <w:r>
        <w:rPr>
          <w:i/>
          <w:iCs/>
        </w:rPr>
        <w:t>Australian Journal of Primary Health</w:t>
      </w:r>
      <w:r>
        <w:t>, vol. 20, no. 1, pp. 20–26.</w:t>
      </w:r>
    </w:p>
    <w:p w14:paraId="1EA3957E" w14:textId="77777777" w:rsidR="00767039" w:rsidRDefault="00767039" w:rsidP="00F576FE">
      <w:pPr>
        <w:pStyle w:val="Reference"/>
      </w:pPr>
      <w:r>
        <w:t xml:space="preserve">Manning, M., Smith, C. and Mazerolle, P. 2013, </w:t>
      </w:r>
      <w:r>
        <w:rPr>
          <w:i/>
          <w:iCs/>
        </w:rPr>
        <w:t>The societal costs of alcohol misuse in Australia</w:t>
      </w:r>
      <w:r>
        <w:t>, April, Australian Institute of Criminology.</w:t>
      </w:r>
    </w:p>
    <w:p w14:paraId="1EA3957F" w14:textId="77777777" w:rsidR="00767039" w:rsidRDefault="00767039" w:rsidP="00F576FE">
      <w:pPr>
        <w:pStyle w:val="Reference"/>
      </w:pPr>
      <w:r>
        <w:t xml:space="preserve">Mattke, S., Liu, H., Caloyeras, J., Huang, C.Y., Van Busum, K.R., Khodyakov, D. and Shier, V. 2013, </w:t>
      </w:r>
      <w:r>
        <w:rPr>
          <w:i/>
          <w:iCs/>
        </w:rPr>
        <w:t>Workplace Wellness Programs Study</w:t>
      </w:r>
      <w:r>
        <w:t>, RAND Corporation, Santa Monica, United States.</w:t>
      </w:r>
    </w:p>
    <w:p w14:paraId="1EA39580" w14:textId="77777777" w:rsidR="00767039" w:rsidRDefault="00767039" w:rsidP="00F576FE">
      <w:pPr>
        <w:pStyle w:val="Reference"/>
      </w:pPr>
      <w:r>
        <w:t xml:space="preserve">Mazza, D., Shand, L.K., Warren, N., Keleher, H., Browning, C.J. and Bruce, E.J. 2011, ‘General practice and preventive health care: a view through the eyes of community members’, </w:t>
      </w:r>
      <w:r>
        <w:rPr>
          <w:i/>
          <w:iCs/>
        </w:rPr>
        <w:t>Medical Journal of Australia</w:t>
      </w:r>
      <w:r>
        <w:t>, vol. 195, no. 4, pp. 180–183.</w:t>
      </w:r>
    </w:p>
    <w:p w14:paraId="1EA39581" w14:textId="77777777" w:rsidR="00767039" w:rsidRDefault="00767039" w:rsidP="00F576FE">
      <w:pPr>
        <w:pStyle w:val="Reference"/>
      </w:pPr>
      <w:r>
        <w:t xml:space="preserve">McCaffery, K.J., Morony, S., Muscat, D.M., Smith, S.K., Shepherd, H.L., Dhillon, H.M., Hayen, A., Luxford, K., Meshreky, W., Comings, J. and Nutbeam, D. 2016, ‘Evaluation of an Australian health literacy training program for socially disadvantaged adults attending basic education classes: study protocol for a cluster randomised controlled trial’, </w:t>
      </w:r>
      <w:r>
        <w:rPr>
          <w:i/>
          <w:iCs/>
        </w:rPr>
        <w:t>BMC Public Health</w:t>
      </w:r>
      <w:r>
        <w:t>, vol. 16, p. 454.</w:t>
      </w:r>
    </w:p>
    <w:p w14:paraId="1EA39582" w14:textId="77777777" w:rsidR="00767039" w:rsidRDefault="00767039" w:rsidP="00F576FE">
      <w:pPr>
        <w:pStyle w:val="Reference"/>
      </w:pPr>
      <w:r>
        <w:t xml:space="preserve">McCarthy, D., Mueller, K. and Wrenn, J. 2009, </w:t>
      </w:r>
      <w:r>
        <w:rPr>
          <w:i/>
          <w:iCs/>
        </w:rPr>
        <w:t>Kaiser Permanente: Bridging the Quality Divide with Integrated Practice, Group Accountability and Health Information Technology</w:t>
      </w:r>
      <w:r>
        <w:t>, Case Study Organised Health Care Delivery System, June, 1278, The Commonwealth Fund, New York.</w:t>
      </w:r>
    </w:p>
    <w:p w14:paraId="1EA39583" w14:textId="77777777" w:rsidR="00767039" w:rsidRDefault="00767039" w:rsidP="00F576FE">
      <w:pPr>
        <w:pStyle w:val="Reference"/>
      </w:pPr>
      <w:r>
        <w:t xml:space="preserve">McCuaig, L., Coore, S., Carroll, K., Macdonald, D., Rossi, T., Bush, R., Ostini, R., Hay, P. and Johnson, R. 2012, </w:t>
      </w:r>
      <w:r>
        <w:rPr>
          <w:i/>
          <w:iCs/>
        </w:rPr>
        <w:t>Developing health literacy through school based health education : can reality match rhetoric</w:t>
      </w:r>
      <w:r>
        <w:t>, University of Queensland.</w:t>
      </w:r>
    </w:p>
    <w:p w14:paraId="1EA39584" w14:textId="77777777" w:rsidR="00767039" w:rsidRDefault="00767039" w:rsidP="00F576FE">
      <w:pPr>
        <w:pStyle w:val="Reference"/>
      </w:pPr>
      <w:r>
        <w:t xml:space="preserve">McDonald, J., Cumming, J., Harris, M., Powell-Davies, G. and Burns, P. 2006, </w:t>
      </w:r>
      <w:r>
        <w:rPr>
          <w:i/>
          <w:iCs/>
        </w:rPr>
        <w:t>Systematic Review of Comprehensive Primary Care Models</w:t>
      </w:r>
      <w:r>
        <w:t>, September, Research Centre for Primary Health Care and Equity, School of Public Health and Community Medicine, UNSW.</w:t>
      </w:r>
    </w:p>
    <w:p w14:paraId="1EA39585" w14:textId="77777777" w:rsidR="00767039" w:rsidRDefault="00767039" w:rsidP="00F576FE">
      <w:pPr>
        <w:pStyle w:val="Reference"/>
      </w:pPr>
      <w:r>
        <w:t xml:space="preserve">McDonald, K. 2013, ‘Doctors’ views on patient access to EHRs “need to evolve”’, </w:t>
      </w:r>
      <w:r>
        <w:rPr>
          <w:i/>
          <w:iCs/>
        </w:rPr>
        <w:t>Pulse+IT</w:t>
      </w:r>
      <w:r>
        <w:t>.</w:t>
      </w:r>
    </w:p>
    <w:p w14:paraId="1EA39586" w14:textId="77777777" w:rsidR="00767039" w:rsidRDefault="00767039" w:rsidP="00F576FE">
      <w:pPr>
        <w:pStyle w:val="Reference"/>
      </w:pPr>
      <w:r>
        <w:t xml:space="preserve">McLaughlin, K. 2014, </w:t>
      </w:r>
      <w:r>
        <w:rPr>
          <w:i/>
          <w:iCs/>
        </w:rPr>
        <w:t>Case Study: Frequent User Management in Action</w:t>
      </w:r>
      <w:r>
        <w:t>, Ambulance Service of NSW.</w:t>
      </w:r>
    </w:p>
    <w:p w14:paraId="1EA39587" w14:textId="77777777" w:rsidR="00767039" w:rsidRDefault="00767039" w:rsidP="00F576FE">
      <w:pPr>
        <w:pStyle w:val="Reference"/>
      </w:pPr>
      <w:r>
        <w:t xml:space="preserve">McNab, J. and Gillespie, J. 2015, ‘Bridging the chronic care gap: HealthOne Mt Druitt, Australia’, </w:t>
      </w:r>
      <w:r>
        <w:rPr>
          <w:i/>
          <w:iCs/>
        </w:rPr>
        <w:t>International Journal of Integrated Care</w:t>
      </w:r>
      <w:r>
        <w:t>, vol. 15, no. 6.</w:t>
      </w:r>
    </w:p>
    <w:p w14:paraId="1EA39588" w14:textId="77777777" w:rsidR="00767039" w:rsidRDefault="00767039" w:rsidP="00F576FE">
      <w:pPr>
        <w:pStyle w:val="Reference"/>
      </w:pPr>
      <w:r>
        <w:t xml:space="preserve">McNeil, P. 2014, </w:t>
      </w:r>
      <w:r>
        <w:rPr>
          <w:i/>
          <w:iCs/>
        </w:rPr>
        <w:t>Clinical Champions</w:t>
      </w:r>
      <w:r>
        <w:t>, Master Class - Communication and Medical Engagement, 1-2 May, NSW Department of Health.</w:t>
      </w:r>
    </w:p>
    <w:p w14:paraId="1EA39589" w14:textId="77777777" w:rsidR="00767039" w:rsidRDefault="00767039" w:rsidP="00F576FE">
      <w:pPr>
        <w:pStyle w:val="Reference"/>
      </w:pPr>
      <w:r>
        <w:t xml:space="preserve">Meier, P.S., Holmes, J., Angus, C., Ally, A.K., Meng, Y. and Brennan, A. 2016, ‘Estimated Effects of Different Alcohol Taxation and Price Policies on Health Inequalities: A Mathematical Modelling Study’, </w:t>
      </w:r>
      <w:r>
        <w:rPr>
          <w:i/>
          <w:iCs/>
        </w:rPr>
        <w:t>PLoS medicine</w:t>
      </w:r>
      <w:r>
        <w:t>, vol. 13, no. 2, p. e1001963.</w:t>
      </w:r>
    </w:p>
    <w:p w14:paraId="1EA3958A" w14:textId="77777777" w:rsidR="00767039" w:rsidRDefault="00767039" w:rsidP="00F576FE">
      <w:pPr>
        <w:pStyle w:val="Reference"/>
      </w:pPr>
      <w:r>
        <w:t xml:space="preserve">Molema, C.C.M., Wendel-Vos, G.C.W., Puijk, L., Jensen, J.D., Schuit, A.J. and de Wit, G.A. 2016, ‘A systematic review of financial incentives given in the healthcare setting; do they effectively improve physical activity levels?’, </w:t>
      </w:r>
      <w:r>
        <w:rPr>
          <w:i/>
          <w:iCs/>
        </w:rPr>
        <w:t>BMC Sports Science, Medicine and Rehabilitation</w:t>
      </w:r>
      <w:r>
        <w:t>, vol. 8, p. 15.</w:t>
      </w:r>
    </w:p>
    <w:p w14:paraId="1EA3958B" w14:textId="77777777" w:rsidR="00767039" w:rsidRDefault="00767039" w:rsidP="00F576FE">
      <w:pPr>
        <w:pStyle w:val="Reference"/>
      </w:pPr>
      <w:r>
        <w:t xml:space="preserve">Montague Farm Medical Centre 2012, </w:t>
      </w:r>
      <w:r>
        <w:rPr>
          <w:i/>
          <w:iCs/>
        </w:rPr>
        <w:t>Montague Farm Medical Centre</w:t>
      </w:r>
      <w:r>
        <w:t>.</w:t>
      </w:r>
    </w:p>
    <w:p w14:paraId="1EA3958C" w14:textId="77777777" w:rsidR="00767039" w:rsidRDefault="00767039" w:rsidP="00F576FE">
      <w:pPr>
        <w:pStyle w:val="Reference"/>
      </w:pPr>
      <w:r>
        <w:t xml:space="preserve">Montalto, M. and Dunt, D. 1992, </w:t>
      </w:r>
      <w:r>
        <w:rPr>
          <w:i/>
          <w:iCs/>
        </w:rPr>
        <w:t>The Evaluation of General Practice in Community Health Centres: A Critical Review</w:t>
      </w:r>
      <w:r>
        <w:t>, October, Centre for Health Program Evaluation, Monash University and the University of Melbourne.</w:t>
      </w:r>
    </w:p>
    <w:p w14:paraId="1EA3958D" w14:textId="77777777" w:rsidR="00767039" w:rsidRDefault="00767039" w:rsidP="00F576FE">
      <w:pPr>
        <w:pStyle w:val="Reference"/>
      </w:pPr>
      <w:r>
        <w:t xml:space="preserve">Moretto, N., Kendall, E., Whitty, J., Byrnes, J., Hills, A.P., Gordon, L., Turkstra, E., Scuffham, P. and Comans, T. 2014, ‘Yes, The Government Should Tax Soft Drinks: Findings from a Citizens’ Jury in Australia’, </w:t>
      </w:r>
      <w:r>
        <w:rPr>
          <w:i/>
          <w:iCs/>
        </w:rPr>
        <w:t>International Journal of Environmental Research and Public Health</w:t>
      </w:r>
      <w:r>
        <w:t>, vol. 11, no. 3, pp. 2456–2471.</w:t>
      </w:r>
    </w:p>
    <w:p w14:paraId="1EA3958E" w14:textId="77777777" w:rsidR="00767039" w:rsidRDefault="00767039" w:rsidP="00F576FE">
      <w:pPr>
        <w:pStyle w:val="Reference"/>
      </w:pPr>
      <w:r>
        <w:t xml:space="preserve">Morley, B., Martin, J., Niven, P. and Wakefield, M. 2012, ‘Public opinion on food-related obesity prevention policy initiatives’, </w:t>
      </w:r>
      <w:r>
        <w:rPr>
          <w:i/>
          <w:iCs/>
        </w:rPr>
        <w:t>Health Promotion Journal of Australia: Official Journal of Australian Association of Health Promotion Professionals</w:t>
      </w:r>
      <w:r>
        <w:t>, vol. 23, no. 2, pp. 86–91.</w:t>
      </w:r>
    </w:p>
    <w:p w14:paraId="1EA3958F" w14:textId="77777777" w:rsidR="00767039" w:rsidRDefault="00767039" w:rsidP="00F576FE">
      <w:pPr>
        <w:pStyle w:val="Reference"/>
      </w:pPr>
      <w:r>
        <w:t xml:space="preserve">Mossialos, E., Djordjevic, A., Osborn, R. and Sarnak, D. 2017, </w:t>
      </w:r>
      <w:r>
        <w:rPr>
          <w:i/>
          <w:iCs/>
        </w:rPr>
        <w:t>International Profiles of Health Care Systems</w:t>
      </w:r>
      <w:r>
        <w:t>, 31 May, The Commonwealth Fund, New York.</w:t>
      </w:r>
    </w:p>
    <w:p w14:paraId="1EA39590" w14:textId="77777777" w:rsidR="00767039" w:rsidRDefault="00767039" w:rsidP="00F576FE">
      <w:pPr>
        <w:pStyle w:val="Reference"/>
      </w:pPr>
      <w:r>
        <w:t xml:space="preserve">Mukamel, D.B., White, L.M., Nocon, R.S., Huang, E.S., Sharma, R., Shi, L. and Ngo-Metzger, Q. 2016, ‘Comparing the Cost of Caring for Medicare Beneficiaries in Federally Funded Health Centers to Other Care Settings’, </w:t>
      </w:r>
      <w:r>
        <w:rPr>
          <w:i/>
          <w:iCs/>
        </w:rPr>
        <w:t>Health Services Research</w:t>
      </w:r>
      <w:r>
        <w:t>, vol. 51, no. 2, pp. 625–644.</w:t>
      </w:r>
    </w:p>
    <w:p w14:paraId="1EA39591" w14:textId="77777777" w:rsidR="00767039" w:rsidRDefault="00767039" w:rsidP="00F576FE">
      <w:pPr>
        <w:pStyle w:val="Reference"/>
      </w:pPr>
      <w:r>
        <w:t xml:space="preserve">Murray, K. 2012, ‘How doctors choose to die’, </w:t>
      </w:r>
      <w:r>
        <w:rPr>
          <w:i/>
          <w:iCs/>
        </w:rPr>
        <w:t>The Guardian</w:t>
      </w:r>
      <w:r>
        <w:t>, 9 February.</w:t>
      </w:r>
    </w:p>
    <w:p w14:paraId="1EA39592" w14:textId="77777777" w:rsidR="00767039" w:rsidRDefault="00767039" w:rsidP="00F576FE">
      <w:pPr>
        <w:pStyle w:val="Reference"/>
      </w:pPr>
      <w:r>
        <w:t xml:space="preserve">National Health Strategy (Australia) 1992, </w:t>
      </w:r>
      <w:r>
        <w:rPr>
          <w:i/>
          <w:iCs/>
        </w:rPr>
        <w:t>National Health Strategy: The future of general practice</w:t>
      </w:r>
      <w:r>
        <w:t>, Issues paper, no. 3, National Health Strategy.</w:t>
      </w:r>
    </w:p>
    <w:p w14:paraId="1EA39593" w14:textId="379837C3" w:rsidR="00767039" w:rsidRDefault="00767039" w:rsidP="00F576FE">
      <w:pPr>
        <w:pStyle w:val="Reference"/>
      </w:pPr>
      <w:r>
        <w:t xml:space="preserve">NCOA </w:t>
      </w:r>
      <w:r w:rsidR="00E46D81">
        <w:t>(</w:t>
      </w:r>
      <w:r w:rsidR="00E46D81" w:rsidRPr="00E46D81">
        <w:t>National Commission of Audit</w:t>
      </w:r>
      <w:r w:rsidR="00E46D81">
        <w:t xml:space="preserve">) </w:t>
      </w:r>
      <w:r>
        <w:t xml:space="preserve">2014, </w:t>
      </w:r>
      <w:r>
        <w:rPr>
          <w:i/>
          <w:iCs/>
        </w:rPr>
        <w:t>Towards Responsible Government: The Report of the National Commission of Audit, Phase One</w:t>
      </w:r>
      <w:r>
        <w:t>, February.</w:t>
      </w:r>
    </w:p>
    <w:p w14:paraId="1EA39594" w14:textId="4A2900AB" w:rsidR="00767039" w:rsidRDefault="00767039" w:rsidP="00F576FE">
      <w:pPr>
        <w:pStyle w:val="Reference"/>
      </w:pPr>
      <w:r>
        <w:t xml:space="preserve">New Zealand Controller and Auditor General 2013, </w:t>
      </w:r>
      <w:r>
        <w:rPr>
          <w:i/>
          <w:iCs/>
        </w:rPr>
        <w:t>Health sector: Results of the 2011</w:t>
      </w:r>
      <w:r w:rsidR="00994E86">
        <w:rPr>
          <w:i/>
          <w:iCs/>
        </w:rPr>
        <w:t>/</w:t>
      </w:r>
      <w:r>
        <w:rPr>
          <w:i/>
          <w:iCs/>
        </w:rPr>
        <w:t>12 audits</w:t>
      </w:r>
      <w:r>
        <w:t>, Parliamentary Paper, April, Wellington.</w:t>
      </w:r>
    </w:p>
    <w:p w14:paraId="1EA39595" w14:textId="77777777" w:rsidR="00767039" w:rsidRDefault="00767039" w:rsidP="00F576FE">
      <w:pPr>
        <w:pStyle w:val="Reference"/>
      </w:pPr>
      <w:r>
        <w:t xml:space="preserve">Newall, N., McArthur, J. and Menec, V.H. 2015, ‘A Longitudinal Examination of Social Participation, Loneliness, and Use of Physician and Hospital Services’, </w:t>
      </w:r>
      <w:r>
        <w:rPr>
          <w:i/>
          <w:iCs/>
        </w:rPr>
        <w:t>Journal of Aging and Health</w:t>
      </w:r>
      <w:r>
        <w:t>, vol. 27, no. 3, pp. 500–518.</w:t>
      </w:r>
    </w:p>
    <w:p w14:paraId="1EA39596" w14:textId="7D95106D" w:rsidR="00767039" w:rsidRDefault="00767039" w:rsidP="00F576FE">
      <w:pPr>
        <w:pStyle w:val="Reference"/>
      </w:pPr>
      <w:r>
        <w:t xml:space="preserve">NHHRC </w:t>
      </w:r>
      <w:r w:rsidR="00B56734">
        <w:t>(</w:t>
      </w:r>
      <w:r w:rsidR="00B56734" w:rsidRPr="00B56734">
        <w:t>National Health and Hospitals Reform Commission</w:t>
      </w:r>
      <w:r w:rsidR="00B56734">
        <w:t xml:space="preserve">) </w:t>
      </w:r>
      <w:r>
        <w:t xml:space="preserve">2008, </w:t>
      </w:r>
      <w:r>
        <w:rPr>
          <w:i/>
          <w:iCs/>
        </w:rPr>
        <w:t>Beyond the blame game: accountability and performance benchmarks for the next Australian Health Care Agreements</w:t>
      </w:r>
      <w:r>
        <w:t>, April, National Health and Hospitals Reform Commission.</w:t>
      </w:r>
    </w:p>
    <w:p w14:paraId="1EA39597" w14:textId="35EB0C3F" w:rsidR="00767039" w:rsidRDefault="00767039" w:rsidP="00F576FE">
      <w:pPr>
        <w:pStyle w:val="Reference"/>
      </w:pPr>
      <w:r>
        <w:t>——</w:t>
      </w:r>
      <w:r w:rsidR="00050D33">
        <w:t> </w:t>
      </w:r>
      <w:r>
        <w:t xml:space="preserve">2009, </w:t>
      </w:r>
      <w:r>
        <w:rPr>
          <w:i/>
          <w:iCs/>
        </w:rPr>
        <w:t>A Healthier Future for All Australians</w:t>
      </w:r>
      <w:r>
        <w:t>.</w:t>
      </w:r>
    </w:p>
    <w:p w14:paraId="1EA39598" w14:textId="73F3BF9F" w:rsidR="00767039" w:rsidRDefault="00767039" w:rsidP="00F576FE">
      <w:pPr>
        <w:pStyle w:val="Reference"/>
      </w:pPr>
      <w:r>
        <w:t xml:space="preserve">NHMRC </w:t>
      </w:r>
      <w:r w:rsidR="00B56734">
        <w:t>(</w:t>
      </w:r>
      <w:r w:rsidR="00B56734" w:rsidRPr="00B56734">
        <w:t>National Health and Medical Research Council</w:t>
      </w:r>
      <w:r w:rsidR="00B56734">
        <w:t xml:space="preserve">) </w:t>
      </w:r>
      <w:r>
        <w:t xml:space="preserve">2009, </w:t>
      </w:r>
      <w:r>
        <w:rPr>
          <w:i/>
          <w:iCs/>
        </w:rPr>
        <w:t>Australian Guidelines to Reduce Health Risks from Drinking Alcohol</w:t>
      </w:r>
      <w:r>
        <w:t>, February.</w:t>
      </w:r>
    </w:p>
    <w:p w14:paraId="1EA39599" w14:textId="5841D90F" w:rsidR="00767039" w:rsidRDefault="00767039" w:rsidP="00F576FE">
      <w:pPr>
        <w:pStyle w:val="Reference"/>
      </w:pPr>
      <w:r>
        <w:t xml:space="preserve">NHSNIHR </w:t>
      </w:r>
      <w:r w:rsidR="00B56734">
        <w:t>(</w:t>
      </w:r>
      <w:r w:rsidR="00B56734" w:rsidRPr="00B56734">
        <w:t>NHS National Institute for Health Research</w:t>
      </w:r>
      <w:r w:rsidR="00B56734">
        <w:t xml:space="preserve">) </w:t>
      </w:r>
      <w:r>
        <w:t xml:space="preserve">2015, ‘One size does not fit all </w:t>
      </w:r>
      <w:r w:rsidR="00B82D04">
        <w:t>—</w:t>
      </w:r>
      <w:r>
        <w:t xml:space="preserve"> evaluating the move to a hospital with 100% single rooms’, </w:t>
      </w:r>
      <w:r>
        <w:rPr>
          <w:i/>
          <w:iCs/>
        </w:rPr>
        <w:t>NIHR Signal</w:t>
      </w:r>
      <w:r>
        <w:t>.</w:t>
      </w:r>
    </w:p>
    <w:p w14:paraId="1EA3959A" w14:textId="1FD36AA0" w:rsidR="00767039" w:rsidRDefault="00767039" w:rsidP="00F576FE">
      <w:pPr>
        <w:pStyle w:val="Reference"/>
      </w:pPr>
      <w:r>
        <w:t xml:space="preserve">NICE </w:t>
      </w:r>
      <w:r w:rsidR="00B56734">
        <w:t>(</w:t>
      </w:r>
      <w:r w:rsidR="00B56734" w:rsidRPr="00B56734">
        <w:t>National Institute for Health and Clinical Excellence</w:t>
      </w:r>
      <w:r w:rsidR="00B56734">
        <w:t xml:space="preserve">) </w:t>
      </w:r>
      <w:r>
        <w:t xml:space="preserve">2008, </w:t>
      </w:r>
      <w:r>
        <w:rPr>
          <w:i/>
          <w:iCs/>
        </w:rPr>
        <w:t>Osteoarthritis: the care and management of osteoarthritis in adults</w:t>
      </w:r>
      <w:r>
        <w:t>, Clinical Guideline, CG59, London.</w:t>
      </w:r>
    </w:p>
    <w:p w14:paraId="1EA3959B" w14:textId="508D7903" w:rsidR="00767039" w:rsidRDefault="00767039" w:rsidP="00F576FE">
      <w:pPr>
        <w:pStyle w:val="Reference"/>
      </w:pPr>
      <w:r>
        <w:t>——</w:t>
      </w:r>
      <w:r w:rsidR="00050D33">
        <w:t> </w:t>
      </w:r>
      <w:r>
        <w:t xml:space="preserve">2011, </w:t>
      </w:r>
      <w:r>
        <w:rPr>
          <w:i/>
          <w:iCs/>
        </w:rPr>
        <w:t>Cos</w:t>
      </w:r>
      <w:r w:rsidR="00B82D04">
        <w:rPr>
          <w:i/>
          <w:iCs/>
        </w:rPr>
        <w:t>ting report: Organ donation for</w:t>
      </w:r>
      <w:r>
        <w:rPr>
          <w:i/>
          <w:iCs/>
        </w:rPr>
        <w:t xml:space="preserve"> transplantation, Implementing NICE guidance</w:t>
      </w:r>
      <w:r>
        <w:t>, Clinical Guideline, CG135, London.</w:t>
      </w:r>
    </w:p>
    <w:p w14:paraId="1EA3959C" w14:textId="1F56BC3F" w:rsidR="00767039" w:rsidRDefault="00767039" w:rsidP="00F576FE">
      <w:pPr>
        <w:pStyle w:val="Reference"/>
      </w:pPr>
      <w:r>
        <w:t>——</w:t>
      </w:r>
      <w:r w:rsidR="00050D33">
        <w:t> </w:t>
      </w:r>
      <w:r>
        <w:t xml:space="preserve">2014a, </w:t>
      </w:r>
      <w:r>
        <w:rPr>
          <w:i/>
          <w:iCs/>
        </w:rPr>
        <w:t>Developing NICE guidelines: the manual</w:t>
      </w:r>
      <w:r>
        <w:t>, PMG20, 31 October, London, United Kingdom.</w:t>
      </w:r>
    </w:p>
    <w:p w14:paraId="1EA3959D" w14:textId="3868DD5C" w:rsidR="00767039" w:rsidRDefault="00767039" w:rsidP="00F576FE">
      <w:pPr>
        <w:pStyle w:val="Reference"/>
      </w:pPr>
      <w:r>
        <w:t>——</w:t>
      </w:r>
      <w:r w:rsidR="00050D33">
        <w:t> </w:t>
      </w:r>
      <w:r>
        <w:t xml:space="preserve">2014b, </w:t>
      </w:r>
      <w:r>
        <w:rPr>
          <w:i/>
          <w:iCs/>
        </w:rPr>
        <w:t>Osteoarthritis: care and management</w:t>
      </w:r>
      <w:r>
        <w:t>, Clinical Guideline, CG177, London.</w:t>
      </w:r>
    </w:p>
    <w:p w14:paraId="1EA3959E" w14:textId="77777777" w:rsidR="00767039" w:rsidRDefault="00767039" w:rsidP="00F576FE">
      <w:pPr>
        <w:pStyle w:val="Reference"/>
      </w:pPr>
      <w:r>
        <w:t xml:space="preserve">Nicholson, C., Jackson, C. and Marley, J. 2013, ‘A governance model for integrated primary/secondary care for the health-reforming first world – results of a systematic review’, </w:t>
      </w:r>
      <w:r>
        <w:rPr>
          <w:i/>
          <w:iCs/>
        </w:rPr>
        <w:t>BMC Health Services Research</w:t>
      </w:r>
      <w:r>
        <w:t>, vol. 13, p. 528.</w:t>
      </w:r>
    </w:p>
    <w:p w14:paraId="1EA3959F" w14:textId="0729D9CA" w:rsidR="00767039" w:rsidRDefault="00767039" w:rsidP="00F576FE">
      <w:pPr>
        <w:pStyle w:val="Reference"/>
      </w:pPr>
      <w:r>
        <w:t xml:space="preserve">NNSWLHD and NCPHN </w:t>
      </w:r>
      <w:r w:rsidR="00B56734">
        <w:t>(</w:t>
      </w:r>
      <w:r w:rsidR="00B56734" w:rsidRPr="00B56734">
        <w:t>Northern NSW Local Health District</w:t>
      </w:r>
      <w:r w:rsidR="00B56734">
        <w:t xml:space="preserve"> and </w:t>
      </w:r>
      <w:r w:rsidR="00B56734" w:rsidRPr="00B56734">
        <w:t>North Coast Primary Health Network</w:t>
      </w:r>
      <w:r w:rsidR="00B56734">
        <w:t xml:space="preserve">) </w:t>
      </w:r>
      <w:r>
        <w:t xml:space="preserve">2016, </w:t>
      </w:r>
      <w:r>
        <w:rPr>
          <w:i/>
          <w:iCs/>
        </w:rPr>
        <w:t>Health Literacy Northern NSW: Northern NSW Health Literacy Framework</w:t>
      </w:r>
      <w:r>
        <w:t>, June.</w:t>
      </w:r>
    </w:p>
    <w:p w14:paraId="1EA395A0" w14:textId="4FC9E127" w:rsidR="00767039" w:rsidRDefault="00767039" w:rsidP="00F576FE">
      <w:pPr>
        <w:pStyle w:val="Reference"/>
      </w:pPr>
      <w:r>
        <w:t xml:space="preserve">NSW ACI </w:t>
      </w:r>
      <w:r w:rsidR="00B56734">
        <w:t>(</w:t>
      </w:r>
      <w:r w:rsidR="00B56734" w:rsidRPr="00B56734">
        <w:t>NSW Agency for Clinical Innovation</w:t>
      </w:r>
      <w:r w:rsidR="00B56734">
        <w:t xml:space="preserve">) </w:t>
      </w:r>
      <w:r>
        <w:t xml:space="preserve">2013, </w:t>
      </w:r>
      <w:r>
        <w:rPr>
          <w:i/>
          <w:iCs/>
        </w:rPr>
        <w:t>48 hour follow up: Chronic care for Aboriginal people</w:t>
      </w:r>
      <w:r>
        <w:t>, November, NSW Department of Health.</w:t>
      </w:r>
    </w:p>
    <w:p w14:paraId="1EA395A1" w14:textId="615C5525" w:rsidR="00767039" w:rsidRDefault="00767039" w:rsidP="00F576FE">
      <w:pPr>
        <w:pStyle w:val="Reference"/>
      </w:pPr>
      <w:r>
        <w:t>——</w:t>
      </w:r>
      <w:r w:rsidR="00050D33">
        <w:t> </w:t>
      </w:r>
      <w:r>
        <w:t xml:space="preserve">2015, </w:t>
      </w:r>
      <w:r>
        <w:rPr>
          <w:i/>
          <w:iCs/>
        </w:rPr>
        <w:t>Understanding and Working with General Practice</w:t>
      </w:r>
      <w:r>
        <w:t>, 7 September, NSW Department of Health.</w:t>
      </w:r>
    </w:p>
    <w:p w14:paraId="1EA395A2" w14:textId="25D137B3" w:rsidR="00767039" w:rsidRDefault="00767039" w:rsidP="00F576FE">
      <w:pPr>
        <w:pStyle w:val="Reference"/>
      </w:pPr>
      <w:r>
        <w:t>——</w:t>
      </w:r>
      <w:r w:rsidR="00050D33">
        <w:t> </w:t>
      </w:r>
      <w:r>
        <w:t xml:space="preserve">2016a, </w:t>
      </w:r>
      <w:r>
        <w:rPr>
          <w:i/>
          <w:iCs/>
        </w:rPr>
        <w:t>48 Hour Follow Up Evaluation</w:t>
      </w:r>
      <w:r>
        <w:t>, www.eih.health.nsw.gov.au/initiatives/48-hour-follow-up-evaluation (accessed 4 May 2017).</w:t>
      </w:r>
    </w:p>
    <w:p w14:paraId="1EA395A3" w14:textId="4A2B0D19" w:rsidR="00767039" w:rsidRDefault="00767039" w:rsidP="00F576FE">
      <w:pPr>
        <w:pStyle w:val="Reference"/>
      </w:pPr>
      <w:r>
        <w:t>——</w:t>
      </w:r>
      <w:r w:rsidR="00050D33">
        <w:t> </w:t>
      </w:r>
      <w:r>
        <w:t xml:space="preserve">2016b, ‘Patient Reported Measures Program’, </w:t>
      </w:r>
      <w:r>
        <w:rPr>
          <w:i/>
          <w:iCs/>
        </w:rPr>
        <w:t>Clinician Connect</w:t>
      </w:r>
      <w:r>
        <w:t>, vol. 8, no. 5.</w:t>
      </w:r>
    </w:p>
    <w:p w14:paraId="1EA395A4" w14:textId="60B5E6E2" w:rsidR="00767039" w:rsidRDefault="00767039" w:rsidP="00F576FE">
      <w:pPr>
        <w:pStyle w:val="Reference"/>
      </w:pPr>
      <w:r>
        <w:t>——</w:t>
      </w:r>
      <w:r w:rsidR="00050D33">
        <w:t> </w:t>
      </w:r>
      <w:r>
        <w:t xml:space="preserve">2017, </w:t>
      </w:r>
      <w:r>
        <w:rPr>
          <w:i/>
          <w:iCs/>
        </w:rPr>
        <w:t>Stroke Clinical Audit Process: initial Report</w:t>
      </w:r>
      <w:r>
        <w:t>, NSW Department of Health.</w:t>
      </w:r>
    </w:p>
    <w:p w14:paraId="1EA395A5" w14:textId="0ECF753B" w:rsidR="00767039" w:rsidRDefault="00767039" w:rsidP="00F576FE">
      <w:pPr>
        <w:pStyle w:val="Reference"/>
      </w:pPr>
      <w:r>
        <w:t xml:space="preserve">NSW Ambulance 2015, ‘Today is the day we make tomorrow different’, </w:t>
      </w:r>
      <w:r>
        <w:rPr>
          <w:i/>
          <w:iCs/>
        </w:rPr>
        <w:t>Australasian Ambulance</w:t>
      </w:r>
      <w:r>
        <w:t>, Spring.</w:t>
      </w:r>
    </w:p>
    <w:p w14:paraId="7CB0A319" w14:textId="78079F56" w:rsidR="001D16C8" w:rsidRDefault="00044558" w:rsidP="001D16C8">
      <w:pPr>
        <w:pStyle w:val="Reference"/>
      </w:pPr>
      <w:r>
        <w:t xml:space="preserve">NSW </w:t>
      </w:r>
      <w:r w:rsidR="001D16C8">
        <w:t>BHI (</w:t>
      </w:r>
      <w:r w:rsidR="001D16C8" w:rsidRPr="000D39DE">
        <w:t>NSW Bureau of Health Information</w:t>
      </w:r>
      <w:r w:rsidR="001D16C8">
        <w:t xml:space="preserve">) 2015a, </w:t>
      </w:r>
      <w:r w:rsidR="001D16C8">
        <w:rPr>
          <w:i/>
          <w:iCs/>
        </w:rPr>
        <w:t>Data Matters: Linking data to unlock information, The use of linked data in healthcare performance assessment</w:t>
      </w:r>
      <w:r w:rsidR="001D16C8">
        <w:t>, NSW Government.</w:t>
      </w:r>
    </w:p>
    <w:p w14:paraId="1F6DED85" w14:textId="5303DAD3" w:rsidR="001D16C8" w:rsidRDefault="001D16C8" w:rsidP="001D16C8">
      <w:pPr>
        <w:pStyle w:val="Reference"/>
      </w:pPr>
      <w:r>
        <w:t>——</w:t>
      </w:r>
      <w:r w:rsidR="00050D33">
        <w:t> </w:t>
      </w:r>
      <w:r>
        <w:t xml:space="preserve">2015b, </w:t>
      </w:r>
      <w:r>
        <w:rPr>
          <w:i/>
          <w:iCs/>
        </w:rPr>
        <w:t>Return to acute care following hospitalisation, Spotlight on readmissions</w:t>
      </w:r>
      <w:r>
        <w:t>, NSW Government.</w:t>
      </w:r>
    </w:p>
    <w:p w14:paraId="1EA395A6" w14:textId="3B852078" w:rsidR="00767039" w:rsidRDefault="001D16C8" w:rsidP="00F576FE">
      <w:pPr>
        <w:pStyle w:val="Reference"/>
      </w:pPr>
      <w:r>
        <w:t xml:space="preserve">—— </w:t>
      </w:r>
      <w:r w:rsidR="00767039">
        <w:t xml:space="preserve">2016, </w:t>
      </w:r>
      <w:r w:rsidR="00767039">
        <w:rPr>
          <w:i/>
          <w:iCs/>
        </w:rPr>
        <w:t xml:space="preserve">Patient Perspectives – Hospital </w:t>
      </w:r>
      <w:r w:rsidR="00437310">
        <w:rPr>
          <w:i/>
          <w:iCs/>
        </w:rPr>
        <w:t xml:space="preserve">Care </w:t>
      </w:r>
      <w:r w:rsidR="00767039">
        <w:rPr>
          <w:i/>
          <w:iCs/>
        </w:rPr>
        <w:t>for Aboriginal people</w:t>
      </w:r>
      <w:r w:rsidR="00767039">
        <w:t>, NSW Government.</w:t>
      </w:r>
    </w:p>
    <w:p w14:paraId="1EA395A7" w14:textId="7D3B66D1" w:rsidR="00767039" w:rsidRDefault="00767039" w:rsidP="00F576FE">
      <w:pPr>
        <w:pStyle w:val="Reference"/>
      </w:pPr>
      <w:r>
        <w:t xml:space="preserve">NSW BIU </w:t>
      </w:r>
      <w:r w:rsidR="00B56734">
        <w:t>(</w:t>
      </w:r>
      <w:r w:rsidR="00B56734" w:rsidRPr="00B56734">
        <w:t>NSW Behavioural Insights Unit</w:t>
      </w:r>
      <w:r w:rsidR="00B56734">
        <w:t xml:space="preserve">) </w:t>
      </w:r>
      <w:r>
        <w:t xml:space="preserve">2017, </w:t>
      </w:r>
      <w:r>
        <w:rPr>
          <w:i/>
          <w:iCs/>
        </w:rPr>
        <w:t xml:space="preserve">Behavioural Insights Unit </w:t>
      </w:r>
      <w:r w:rsidR="00437310">
        <w:rPr>
          <w:i/>
          <w:iCs/>
        </w:rPr>
        <w:t xml:space="preserve">— </w:t>
      </w:r>
      <w:r>
        <w:rPr>
          <w:i/>
          <w:iCs/>
        </w:rPr>
        <w:t>Reducing missed hospital appointments</w:t>
      </w:r>
      <w:r>
        <w:t>, NSW Department of Premier and Cabinet.</w:t>
      </w:r>
    </w:p>
    <w:p w14:paraId="1EA395A8" w14:textId="2A5DF415" w:rsidR="00767039" w:rsidRDefault="00F42D36" w:rsidP="00F576FE">
      <w:pPr>
        <w:pStyle w:val="Reference"/>
      </w:pPr>
      <w:r>
        <w:t>NSWM</w:t>
      </w:r>
      <w:r w:rsidR="00767039">
        <w:t xml:space="preserve">oH </w:t>
      </w:r>
      <w:r w:rsidR="00B56734">
        <w:t>(</w:t>
      </w:r>
      <w:r w:rsidRPr="00B56734">
        <w:t>NSW Government Ministry of Health</w:t>
      </w:r>
      <w:r w:rsidR="00B56734">
        <w:t xml:space="preserve">) </w:t>
      </w:r>
      <w:r w:rsidR="00767039">
        <w:t xml:space="preserve">2013, </w:t>
      </w:r>
      <w:r w:rsidR="00767039">
        <w:rPr>
          <w:i/>
          <w:iCs/>
        </w:rPr>
        <w:t>NSW Whole of Hospital Program: Patient Journey Boards</w:t>
      </w:r>
      <w:r w:rsidR="00767039">
        <w:t>, NSW Government.</w:t>
      </w:r>
    </w:p>
    <w:p w14:paraId="1EA395A9" w14:textId="43C4F41B" w:rsidR="00767039" w:rsidRDefault="00F42D36" w:rsidP="00F576FE">
      <w:pPr>
        <w:pStyle w:val="Reference"/>
      </w:pPr>
      <w:r>
        <w:t>——</w:t>
      </w:r>
      <w:r w:rsidR="00050D33">
        <w:t> </w:t>
      </w:r>
      <w:r w:rsidR="00767039">
        <w:t xml:space="preserve">2016, </w:t>
      </w:r>
      <w:r w:rsidR="00767039">
        <w:rPr>
          <w:i/>
          <w:iCs/>
        </w:rPr>
        <w:t>2016/17 Service Agreement Key Performance Indicators and Service Measures Data Dictionary</w:t>
      </w:r>
      <w:r w:rsidR="00767039">
        <w:t>, Information Bulletin, 21 July, NSW Government.</w:t>
      </w:r>
    </w:p>
    <w:p w14:paraId="1EA395AA" w14:textId="08B23F0A" w:rsidR="00767039" w:rsidRDefault="00767039" w:rsidP="00F576FE">
      <w:pPr>
        <w:pStyle w:val="Reference"/>
      </w:pPr>
      <w:r>
        <w:t xml:space="preserve">ODT </w:t>
      </w:r>
      <w:r w:rsidR="00022F9B">
        <w:t>(</w:t>
      </w:r>
      <w:r w:rsidR="00022F9B" w:rsidRPr="00022F9B">
        <w:t>Organ Donation Taskforce</w:t>
      </w:r>
      <w:r w:rsidR="00022F9B">
        <w:t xml:space="preserve">) </w:t>
      </w:r>
      <w:r>
        <w:t xml:space="preserve">2008, </w:t>
      </w:r>
      <w:r>
        <w:rPr>
          <w:i/>
          <w:iCs/>
        </w:rPr>
        <w:t>Organs for Transplants: A report from the Organ Donation Taskforce</w:t>
      </w:r>
      <w:r>
        <w:t>, UK Department of Health, London.</w:t>
      </w:r>
    </w:p>
    <w:p w14:paraId="1EA395AB" w14:textId="431AA99C" w:rsidR="00767039" w:rsidRDefault="00767039" w:rsidP="00F576FE">
      <w:pPr>
        <w:pStyle w:val="Reference"/>
      </w:pPr>
      <w:r>
        <w:t xml:space="preserve">OECD </w:t>
      </w:r>
      <w:r w:rsidR="00EA6BD9">
        <w:t>(</w:t>
      </w:r>
      <w:r w:rsidR="00EA6BD9" w:rsidRPr="003C7CC2">
        <w:t>Organisation for Economic Co-operation and Development</w:t>
      </w:r>
      <w:r w:rsidR="00EA6BD9">
        <w:t xml:space="preserve">) </w:t>
      </w:r>
      <w:r>
        <w:t xml:space="preserve">2015a, </w:t>
      </w:r>
      <w:r>
        <w:rPr>
          <w:i/>
          <w:iCs/>
        </w:rPr>
        <w:t xml:space="preserve">Health at a Glance 2015: OECD </w:t>
      </w:r>
      <w:r w:rsidR="00437310">
        <w:rPr>
          <w:i/>
          <w:iCs/>
        </w:rPr>
        <w:t>I</w:t>
      </w:r>
      <w:r>
        <w:rPr>
          <w:i/>
          <w:iCs/>
        </w:rPr>
        <w:t>ndicators</w:t>
      </w:r>
      <w:r>
        <w:t>, Paris.</w:t>
      </w:r>
    </w:p>
    <w:p w14:paraId="1EA395AC" w14:textId="156C9847" w:rsidR="00767039" w:rsidRDefault="00767039" w:rsidP="00F576FE">
      <w:pPr>
        <w:pStyle w:val="Reference"/>
      </w:pPr>
      <w:r>
        <w:t>——</w:t>
      </w:r>
      <w:r w:rsidR="00050D33">
        <w:t> </w:t>
      </w:r>
      <w:r>
        <w:t xml:space="preserve">2015b, </w:t>
      </w:r>
      <w:r>
        <w:rPr>
          <w:i/>
          <w:iCs/>
        </w:rPr>
        <w:t xml:space="preserve">OECD </w:t>
      </w:r>
      <w:r w:rsidR="00437310">
        <w:rPr>
          <w:i/>
          <w:iCs/>
        </w:rPr>
        <w:t xml:space="preserve">Reviews </w:t>
      </w:r>
      <w:r>
        <w:rPr>
          <w:i/>
          <w:iCs/>
        </w:rPr>
        <w:t>of Health Care Quality: Australia 2015: Raising Standards</w:t>
      </w:r>
      <w:r>
        <w:t>, Paris.</w:t>
      </w:r>
    </w:p>
    <w:p w14:paraId="1EA395AD" w14:textId="2AA3045E" w:rsidR="00767039" w:rsidRDefault="00767039" w:rsidP="00F576FE">
      <w:pPr>
        <w:pStyle w:val="Reference"/>
      </w:pPr>
      <w:r>
        <w:t>——</w:t>
      </w:r>
      <w:r w:rsidR="00050D33">
        <w:t> </w:t>
      </w:r>
      <w:r>
        <w:t xml:space="preserve">2017a, </w:t>
      </w:r>
      <w:r>
        <w:rPr>
          <w:i/>
          <w:iCs/>
        </w:rPr>
        <w:t>Recommendations to OECD Ministers of Health from the High-level Reflection Group on the Future of Health Statistics: Strengthening the international comparison of health system performance through patient-reported indicators</w:t>
      </w:r>
      <w:r>
        <w:t>, Paris.</w:t>
      </w:r>
    </w:p>
    <w:p w14:paraId="1EA395AE" w14:textId="10B51D71" w:rsidR="00767039" w:rsidRDefault="00767039" w:rsidP="00F576FE">
      <w:pPr>
        <w:pStyle w:val="Reference"/>
      </w:pPr>
      <w:r>
        <w:t>——</w:t>
      </w:r>
      <w:r w:rsidR="00050D33">
        <w:t> </w:t>
      </w:r>
      <w:r>
        <w:t xml:space="preserve">2017b, </w:t>
      </w:r>
      <w:r>
        <w:rPr>
          <w:i/>
          <w:iCs/>
        </w:rPr>
        <w:t>Tackling Wasteful Spending on Health</w:t>
      </w:r>
      <w:r>
        <w:t>, Paris.</w:t>
      </w:r>
    </w:p>
    <w:p w14:paraId="1EA395AF" w14:textId="77777777" w:rsidR="00767039" w:rsidRDefault="00767039" w:rsidP="00F576FE">
      <w:pPr>
        <w:pStyle w:val="Reference"/>
      </w:pPr>
      <w:r>
        <w:t xml:space="preserve">Ong, A.D., Uchino, B.N. and Wethington, E. 2016, ‘Loneliness and Health in Older Adults: A Mini-Review and Synthesis’, </w:t>
      </w:r>
      <w:r>
        <w:rPr>
          <w:i/>
          <w:iCs/>
        </w:rPr>
        <w:t>Gerontology</w:t>
      </w:r>
      <w:r>
        <w:t>, vol. 62, no. 4, pp. 443–449.</w:t>
      </w:r>
    </w:p>
    <w:p w14:paraId="1EA395B0" w14:textId="77777777" w:rsidR="00767039" w:rsidRDefault="00767039" w:rsidP="00F576FE">
      <w:pPr>
        <w:pStyle w:val="Reference"/>
      </w:pPr>
      <w:r>
        <w:t xml:space="preserve">Onrust, S. et al. 2016, ‘School-based programmes to reduce and prevent substance use in different age groups: What works for whom? Systematic review and meta-regression analysis’, </w:t>
      </w:r>
      <w:r>
        <w:rPr>
          <w:i/>
          <w:iCs/>
        </w:rPr>
        <w:t>Clinical Psychology Review</w:t>
      </w:r>
      <w:r>
        <w:t>, vol. 44, pp. 45–59.</w:t>
      </w:r>
    </w:p>
    <w:p w14:paraId="1EA395B1" w14:textId="77777777" w:rsidR="00767039" w:rsidRDefault="00767039" w:rsidP="00F576FE">
      <w:pPr>
        <w:pStyle w:val="Reference"/>
      </w:pPr>
      <w:r>
        <w:t xml:space="preserve">Ortun, V., Lopez-Valcarcel, B. and Pinilla, J. 2016, ‘Tax on sugar sweetened beverages in Spain’, </w:t>
      </w:r>
      <w:r>
        <w:rPr>
          <w:i/>
          <w:iCs/>
        </w:rPr>
        <w:t>Revista Espanola de Salud Publica</w:t>
      </w:r>
      <w:r>
        <w:t>, vol. 90, pp. 1–13.</w:t>
      </w:r>
    </w:p>
    <w:p w14:paraId="1EA395B2" w14:textId="77777777" w:rsidR="00767039" w:rsidRDefault="00767039" w:rsidP="00F576FE">
      <w:pPr>
        <w:pStyle w:val="Reference"/>
      </w:pPr>
      <w:r>
        <w:t xml:space="preserve">Osborn, R., Moulds, D., Schneider, E.C., Doty, M.M., Squires, D. and Sarnak, D.O. 2015, ‘Primary Care Physicians In Ten Countries Report Challenges Caring For Patients With Complex Health Needs’, </w:t>
      </w:r>
      <w:r>
        <w:rPr>
          <w:i/>
          <w:iCs/>
        </w:rPr>
        <w:t>Health Affairs</w:t>
      </w:r>
      <w:r>
        <w:t>, vol. 34, no. 12, pp. 2104–2112.</w:t>
      </w:r>
    </w:p>
    <w:p w14:paraId="1EA395B3" w14:textId="77777777" w:rsidR="00767039" w:rsidRDefault="00767039" w:rsidP="00F576FE">
      <w:pPr>
        <w:pStyle w:val="Reference"/>
      </w:pPr>
      <w:r>
        <w:t xml:space="preserve">Osterberg, L. and Blaschke, T. 2005, ‘Adherence to Medication’, </w:t>
      </w:r>
      <w:r>
        <w:rPr>
          <w:i/>
          <w:iCs/>
        </w:rPr>
        <w:t>New England Journal of Medicine</w:t>
      </w:r>
      <w:r>
        <w:t>, vol. 353, no. 5, pp. 487–497.</w:t>
      </w:r>
    </w:p>
    <w:p w14:paraId="1EA395B4" w14:textId="35E96CB0" w:rsidR="00767039" w:rsidRDefault="00767039" w:rsidP="00F576FE">
      <w:pPr>
        <w:pStyle w:val="Reference"/>
      </w:pPr>
      <w:r>
        <w:t xml:space="preserve">OTA </w:t>
      </w:r>
      <w:r w:rsidR="00F1214E">
        <w:t>(</w:t>
      </w:r>
      <w:r w:rsidR="00F1214E" w:rsidRPr="00F1214E">
        <w:t>Australian Organ and Tissue Donation and Transplantation Authority</w:t>
      </w:r>
      <w:r w:rsidR="00F1214E">
        <w:t xml:space="preserve">) </w:t>
      </w:r>
      <w:r>
        <w:t xml:space="preserve">2017, </w:t>
      </w:r>
      <w:r>
        <w:rPr>
          <w:i/>
          <w:iCs/>
        </w:rPr>
        <w:t>Record organ donation and transplantation outcomes in 2016</w:t>
      </w:r>
      <w:r>
        <w:t>, Australian Government.</w:t>
      </w:r>
    </w:p>
    <w:p w14:paraId="1EA395B5" w14:textId="77777777" w:rsidR="00767039" w:rsidRDefault="00767039" w:rsidP="00F576FE">
      <w:pPr>
        <w:pStyle w:val="Reference"/>
      </w:pPr>
      <w:r>
        <w:t xml:space="preserve">Patel, A.V., Hildebrand, J.S. and Gapstur, S.M. 2014, ‘Body Mass Index and All-Cause Mortality in a Large Prospective Cohort of White and Black U.S. Adults’, </w:t>
      </w:r>
      <w:r>
        <w:rPr>
          <w:i/>
          <w:iCs/>
        </w:rPr>
        <w:t>PLoS ONE</w:t>
      </w:r>
      <w:r>
        <w:t>, vol. 9, no. 10.</w:t>
      </w:r>
    </w:p>
    <w:p w14:paraId="1EA395B6" w14:textId="3486F52C" w:rsidR="00767039" w:rsidRDefault="00767039" w:rsidP="00F576FE">
      <w:pPr>
        <w:pStyle w:val="Reference"/>
      </w:pPr>
      <w:r>
        <w:t xml:space="preserve">PC </w:t>
      </w:r>
      <w:r w:rsidR="00F1214E">
        <w:t xml:space="preserve">(Productivity Commission) </w:t>
      </w:r>
      <w:r>
        <w:t xml:space="preserve">2002, </w:t>
      </w:r>
      <w:r>
        <w:rPr>
          <w:i/>
          <w:iCs/>
        </w:rPr>
        <w:t>Managed Competition in Health Care</w:t>
      </w:r>
      <w:r>
        <w:t>, Workshop Proceedings.</w:t>
      </w:r>
    </w:p>
    <w:p w14:paraId="1EA395B7" w14:textId="01E58D87" w:rsidR="00767039" w:rsidRDefault="00767039" w:rsidP="00F576FE">
      <w:pPr>
        <w:pStyle w:val="Reference"/>
      </w:pPr>
      <w:r>
        <w:t>——</w:t>
      </w:r>
      <w:r w:rsidR="00050D33">
        <w:t> </w:t>
      </w:r>
      <w:r>
        <w:t xml:space="preserve">2010, </w:t>
      </w:r>
      <w:r>
        <w:rPr>
          <w:i/>
          <w:iCs/>
        </w:rPr>
        <w:t>Gambling</w:t>
      </w:r>
      <w:r>
        <w:t>, Inquiry Report.</w:t>
      </w:r>
    </w:p>
    <w:p w14:paraId="1EA395B8" w14:textId="15FE3275" w:rsidR="00767039" w:rsidRDefault="00767039" w:rsidP="00F576FE">
      <w:pPr>
        <w:pStyle w:val="Reference"/>
      </w:pPr>
      <w:r>
        <w:t>——</w:t>
      </w:r>
      <w:r w:rsidR="00050D33">
        <w:t> </w:t>
      </w:r>
      <w:r>
        <w:t xml:space="preserve">2013, </w:t>
      </w:r>
      <w:r>
        <w:rPr>
          <w:i/>
          <w:iCs/>
        </w:rPr>
        <w:t>An Ageing Australia: Preparing for the Future</w:t>
      </w:r>
      <w:r>
        <w:t>, Research Paper.</w:t>
      </w:r>
    </w:p>
    <w:p w14:paraId="1EA395B9" w14:textId="04513F07" w:rsidR="00767039" w:rsidRDefault="00767039" w:rsidP="00F576FE">
      <w:pPr>
        <w:pStyle w:val="Reference"/>
      </w:pPr>
      <w:r>
        <w:t>——</w:t>
      </w:r>
      <w:r w:rsidR="00050D33">
        <w:t> </w:t>
      </w:r>
      <w:r>
        <w:t xml:space="preserve">2015, </w:t>
      </w:r>
      <w:r>
        <w:rPr>
          <w:i/>
          <w:iCs/>
        </w:rPr>
        <w:t>Efficiency in Health</w:t>
      </w:r>
      <w:r>
        <w:t>, Research Paper.</w:t>
      </w:r>
    </w:p>
    <w:p w14:paraId="1EA395BA" w14:textId="5B7C3F16" w:rsidR="00767039" w:rsidRDefault="00767039" w:rsidP="00F576FE">
      <w:pPr>
        <w:pStyle w:val="Reference"/>
      </w:pPr>
      <w:r>
        <w:t>——</w:t>
      </w:r>
      <w:r w:rsidR="00050D33">
        <w:t> </w:t>
      </w:r>
      <w:r>
        <w:t xml:space="preserve">2016, </w:t>
      </w:r>
      <w:r>
        <w:rPr>
          <w:i/>
          <w:iCs/>
        </w:rPr>
        <w:t>Labour Force, disability and ill health - spreadsheet dataset</w:t>
      </w:r>
      <w:r>
        <w:t>.</w:t>
      </w:r>
    </w:p>
    <w:p w14:paraId="1EA395BB" w14:textId="4555E37A" w:rsidR="00767039" w:rsidRDefault="00767039" w:rsidP="00F576FE">
      <w:pPr>
        <w:pStyle w:val="Reference"/>
      </w:pPr>
      <w:r>
        <w:t>——</w:t>
      </w:r>
      <w:r w:rsidR="00050D33">
        <w:t> </w:t>
      </w:r>
      <w:r>
        <w:t xml:space="preserve">2017a, </w:t>
      </w:r>
      <w:r>
        <w:rPr>
          <w:i/>
          <w:iCs/>
        </w:rPr>
        <w:t>Data Availability and Use</w:t>
      </w:r>
      <w:r>
        <w:t>, Inquiry Report.</w:t>
      </w:r>
    </w:p>
    <w:p w14:paraId="1EA395BC" w14:textId="214EEDD2" w:rsidR="00767039" w:rsidRDefault="00767039" w:rsidP="00F576FE">
      <w:pPr>
        <w:pStyle w:val="Reference"/>
      </w:pPr>
      <w:r>
        <w:t>——</w:t>
      </w:r>
      <w:r w:rsidR="00050D33">
        <w:t> </w:t>
      </w:r>
      <w:r>
        <w:t xml:space="preserve">2017b, </w:t>
      </w:r>
      <w:r>
        <w:rPr>
          <w:i/>
          <w:iCs/>
        </w:rPr>
        <w:t>Introducing Competition and Informed User Choice into Human Services: Reforms to Human Services</w:t>
      </w:r>
      <w:r>
        <w:t>, Draft Research Report.</w:t>
      </w:r>
    </w:p>
    <w:p w14:paraId="1EA395BD" w14:textId="77777777" w:rsidR="00767039" w:rsidRDefault="00767039" w:rsidP="00F576FE">
      <w:pPr>
        <w:pStyle w:val="Reference"/>
      </w:pPr>
      <w:r>
        <w:t xml:space="preserve">Peckham, S. and Gousia, K. 2014, </w:t>
      </w:r>
      <w:r>
        <w:rPr>
          <w:i/>
          <w:iCs/>
        </w:rPr>
        <w:t>GP payment schemes review</w:t>
      </w:r>
      <w:r>
        <w:t>, November, PruComm, United Kingdom.</w:t>
      </w:r>
    </w:p>
    <w:p w14:paraId="1EA395BE" w14:textId="77777777" w:rsidR="00767039" w:rsidRDefault="00767039" w:rsidP="00F576FE">
      <w:pPr>
        <w:pStyle w:val="Reference"/>
      </w:pPr>
      <w:r>
        <w:t xml:space="preserve">Pennington, H. and Isles, C. 2013, ‘Should hospitals provide all patients with single rooms?’, </w:t>
      </w:r>
      <w:r>
        <w:rPr>
          <w:i/>
          <w:iCs/>
        </w:rPr>
        <w:t>BMJ</w:t>
      </w:r>
      <w:r>
        <w:t>, vol. 347, p. f5695.</w:t>
      </w:r>
    </w:p>
    <w:p w14:paraId="1EA395BF" w14:textId="77777777" w:rsidR="00767039" w:rsidRDefault="00767039" w:rsidP="00F576FE">
      <w:pPr>
        <w:pStyle w:val="Reference"/>
      </w:pPr>
      <w:r>
        <w:t xml:space="preserve">Perry, Y., Petrie, K., Buckley, H., Cavanagh, L., Clarke, D., Winslade, M., Hadzi-Pavlovic, D., Manicavasagar, V. and Christensen, H. 2014, ‘Effects of a classroom-based educational resource on adolescent mental health literacy: a cluster randomized controlled trial’, </w:t>
      </w:r>
      <w:r>
        <w:rPr>
          <w:i/>
          <w:iCs/>
        </w:rPr>
        <w:t>Journal of Adolescence</w:t>
      </w:r>
      <w:r>
        <w:t>, vol. 37, no. 7, pp. 1143–1151.</w:t>
      </w:r>
    </w:p>
    <w:p w14:paraId="1EA395C0" w14:textId="77777777" w:rsidR="00767039" w:rsidRDefault="00767039" w:rsidP="00F576FE">
      <w:pPr>
        <w:pStyle w:val="Reference"/>
      </w:pPr>
      <w:r>
        <w:t xml:space="preserve">Petry, N.M., DePhilippis, D., Rash, C.J., Drapkin, M. and McKay, J.R. 2014, ‘Nationwide dissemination of contingency management: the Veterans Administration initiative’, </w:t>
      </w:r>
      <w:r>
        <w:rPr>
          <w:i/>
          <w:iCs/>
        </w:rPr>
        <w:t>The American Journal on Addictions</w:t>
      </w:r>
      <w:r>
        <w:t>, vol. 23, no. 3, pp. 205–210.</w:t>
      </w:r>
    </w:p>
    <w:p w14:paraId="1EA395C1" w14:textId="6C7618FA" w:rsidR="00767039" w:rsidRDefault="00767039" w:rsidP="00F576FE">
      <w:pPr>
        <w:pStyle w:val="Reference"/>
      </w:pPr>
      <w:r>
        <w:t xml:space="preserve">PHA </w:t>
      </w:r>
      <w:r w:rsidR="00F1214E">
        <w:t>(</w:t>
      </w:r>
      <w:r w:rsidR="00F1214E" w:rsidRPr="00F1214E">
        <w:t>Private Healthcare Australia</w:t>
      </w:r>
      <w:r w:rsidR="00F1214E">
        <w:t xml:space="preserve">) </w:t>
      </w:r>
      <w:r>
        <w:t xml:space="preserve">2017, </w:t>
      </w:r>
      <w:r>
        <w:rPr>
          <w:i/>
          <w:iCs/>
        </w:rPr>
        <w:t>Pre-Budget Submission 2017</w:t>
      </w:r>
      <w:r w:rsidR="00B82D04">
        <w:rPr>
          <w:i/>
          <w:iCs/>
        </w:rPr>
        <w:noBreakHyphen/>
      </w:r>
      <w:r>
        <w:rPr>
          <w:i/>
          <w:iCs/>
        </w:rPr>
        <w:t>18</w:t>
      </w:r>
      <w:r>
        <w:t>, 19 January.</w:t>
      </w:r>
    </w:p>
    <w:p w14:paraId="1EA395C2" w14:textId="64E68A86" w:rsidR="00767039" w:rsidRDefault="00767039" w:rsidP="00F576FE">
      <w:pPr>
        <w:pStyle w:val="Reference"/>
      </w:pPr>
      <w:r>
        <w:t xml:space="preserve">PHCAG </w:t>
      </w:r>
      <w:r w:rsidR="00F1214E">
        <w:t>(</w:t>
      </w:r>
      <w:r w:rsidR="00F1214E" w:rsidRPr="00F1214E">
        <w:t>Primary Health Care Advisory Group</w:t>
      </w:r>
      <w:r w:rsidR="00F1214E">
        <w:t xml:space="preserve">) </w:t>
      </w:r>
      <w:r>
        <w:t xml:space="preserve">2016, </w:t>
      </w:r>
      <w:r>
        <w:rPr>
          <w:i/>
          <w:iCs/>
        </w:rPr>
        <w:t>Better outcomes for people with chronic and complex health conditions</w:t>
      </w:r>
      <w:r>
        <w:t>, Australian Government.</w:t>
      </w:r>
    </w:p>
    <w:p w14:paraId="1EA395C3" w14:textId="77777777" w:rsidR="00767039" w:rsidRDefault="00767039" w:rsidP="00F576FE">
      <w:pPr>
        <w:pStyle w:val="Reference"/>
      </w:pPr>
      <w:r>
        <w:t xml:space="preserve">Philpott, L. 2016, ‘Dispensing: Robots give rise to the future of dispensing’, </w:t>
      </w:r>
      <w:r>
        <w:rPr>
          <w:i/>
          <w:iCs/>
        </w:rPr>
        <w:t>The Australian Journal of Pharmacy</w:t>
      </w:r>
      <w:r>
        <w:t>, vol. 97, no. 1150, p. 59.</w:t>
      </w:r>
    </w:p>
    <w:p w14:paraId="1EA395C4" w14:textId="7BB86E23" w:rsidR="00767039" w:rsidRDefault="00767039" w:rsidP="00F576FE">
      <w:pPr>
        <w:pStyle w:val="Reference"/>
      </w:pPr>
      <w:r>
        <w:t>Potiriadis, M., Chondros, P., Gilchrist, G., Hegarty, K., Blashki, G. and Gunn, J.M. 2008, ‘How do Australian patients rate their general practitioner? A descriptive</w:t>
      </w:r>
      <w:r w:rsidR="00B82D04">
        <w:t xml:space="preserve"> study using the </w:t>
      </w:r>
      <w:r>
        <w:t xml:space="preserve">General Practice Assessment Questionnaire’, </w:t>
      </w:r>
      <w:r>
        <w:rPr>
          <w:i/>
          <w:iCs/>
        </w:rPr>
        <w:t>Medical Journal of Australia</w:t>
      </w:r>
      <w:r>
        <w:t>, vol. 189, no. 4.</w:t>
      </w:r>
    </w:p>
    <w:p w14:paraId="1EA395C5" w14:textId="77777777" w:rsidR="00767039" w:rsidRDefault="00767039" w:rsidP="00F576FE">
      <w:pPr>
        <w:pStyle w:val="Reference"/>
      </w:pPr>
      <w:r>
        <w:t xml:space="preserve">Potter, B. 2017, ‘Australian Unity aims to dent $11bn mental health bill’, </w:t>
      </w:r>
      <w:r>
        <w:rPr>
          <w:i/>
          <w:iCs/>
        </w:rPr>
        <w:t>Australian Financial Review</w:t>
      </w:r>
      <w:r>
        <w:t>, 9 January.</w:t>
      </w:r>
    </w:p>
    <w:p w14:paraId="1EA395C6" w14:textId="77777777" w:rsidR="00767039" w:rsidRDefault="00767039" w:rsidP="00F576FE">
      <w:pPr>
        <w:pStyle w:val="Reference"/>
      </w:pPr>
      <w:r>
        <w:t xml:space="preserve">Priebe, S., Bremner, S.A., Lauber, C., Henderson, C. and Burns, T. 2016, ‘Financial incentives to improve adherence to antipsychotic maintenance medication in non-adherent patients: a cluster randomised controlled trial’, </w:t>
      </w:r>
      <w:r>
        <w:rPr>
          <w:i/>
          <w:iCs/>
        </w:rPr>
        <w:t>Health Technology Assessment</w:t>
      </w:r>
      <w:r>
        <w:t>, vol. 20, no. 70, pp. 1–122.</w:t>
      </w:r>
    </w:p>
    <w:p w14:paraId="1EA395C7" w14:textId="201CB26B" w:rsidR="00767039" w:rsidRDefault="00767039" w:rsidP="00F576FE">
      <w:pPr>
        <w:pStyle w:val="Reference"/>
      </w:pPr>
      <w:r>
        <w:t xml:space="preserve">QGSO </w:t>
      </w:r>
      <w:r w:rsidR="00F1214E">
        <w:t>(</w:t>
      </w:r>
      <w:r w:rsidR="00F1214E" w:rsidRPr="00F1214E">
        <w:t>Queensland Government Statistician’s Office</w:t>
      </w:r>
      <w:r w:rsidR="00F1214E">
        <w:t xml:space="preserve">) </w:t>
      </w:r>
      <w:r>
        <w:t xml:space="preserve">2016, </w:t>
      </w:r>
      <w:r>
        <w:rPr>
          <w:i/>
          <w:iCs/>
        </w:rPr>
        <w:t>Emergency Department Patient Experience Survey 2015</w:t>
      </w:r>
      <w:r>
        <w:t>, 18 May, Queensland Government.</w:t>
      </w:r>
    </w:p>
    <w:p w14:paraId="1EA395C8" w14:textId="21F38A61" w:rsidR="00767039" w:rsidRDefault="00767039" w:rsidP="00F576FE">
      <w:pPr>
        <w:pStyle w:val="Reference"/>
      </w:pPr>
      <w:r>
        <w:t xml:space="preserve">Queensland Department of Health 2016a, </w:t>
      </w:r>
      <w:r>
        <w:rPr>
          <w:i/>
          <w:iCs/>
        </w:rPr>
        <w:t>Health funding principles and guidelines, 2016</w:t>
      </w:r>
      <w:r w:rsidR="00B82D04">
        <w:rPr>
          <w:i/>
          <w:iCs/>
        </w:rPr>
        <w:noBreakHyphen/>
      </w:r>
      <w:r>
        <w:rPr>
          <w:i/>
          <w:iCs/>
        </w:rPr>
        <w:t>17 Financial Year</w:t>
      </w:r>
      <w:r>
        <w:t>, Queensland Government.</w:t>
      </w:r>
    </w:p>
    <w:p w14:paraId="1EA395C9" w14:textId="0722678D" w:rsidR="00767039" w:rsidRDefault="00767039" w:rsidP="00F576FE">
      <w:pPr>
        <w:pStyle w:val="Reference"/>
      </w:pPr>
      <w:r>
        <w:t>——</w:t>
      </w:r>
      <w:r w:rsidR="00050D33">
        <w:t> </w:t>
      </w:r>
      <w:r>
        <w:t xml:space="preserve">2016b, </w:t>
      </w:r>
      <w:r>
        <w:rPr>
          <w:i/>
          <w:iCs/>
        </w:rPr>
        <w:t>Integrated Care Innovation Fund Guidelines</w:t>
      </w:r>
      <w:r>
        <w:t>, January, Queensland Government.</w:t>
      </w:r>
    </w:p>
    <w:p w14:paraId="1EA395CA" w14:textId="3AD08959" w:rsidR="00767039" w:rsidRDefault="00767039" w:rsidP="00F576FE">
      <w:pPr>
        <w:pStyle w:val="Reference"/>
      </w:pPr>
      <w:r>
        <w:t xml:space="preserve">RACGP </w:t>
      </w:r>
      <w:r w:rsidR="00F1214E">
        <w:t>(</w:t>
      </w:r>
      <w:r w:rsidR="00F1214E" w:rsidRPr="00F1214E">
        <w:t>Royal Australasian College of General Practitioners</w:t>
      </w:r>
      <w:r w:rsidR="00F1214E">
        <w:t xml:space="preserve">) </w:t>
      </w:r>
      <w:r>
        <w:t xml:space="preserve">2016, </w:t>
      </w:r>
      <w:r>
        <w:rPr>
          <w:i/>
          <w:iCs/>
        </w:rPr>
        <w:t>Guidelines for preventive activities in general practice (The Red Book)</w:t>
      </w:r>
      <w:r>
        <w:t>, 9th edition.</w:t>
      </w:r>
    </w:p>
    <w:p w14:paraId="1EA395CB" w14:textId="1865F91A" w:rsidR="00767039" w:rsidRDefault="00767039" w:rsidP="00F576FE">
      <w:pPr>
        <w:pStyle w:val="Reference"/>
      </w:pPr>
      <w:r>
        <w:t xml:space="preserve">RACP </w:t>
      </w:r>
      <w:r w:rsidR="00F1214E">
        <w:t>(</w:t>
      </w:r>
      <w:r w:rsidR="00F1214E" w:rsidRPr="00F1214E">
        <w:t>Royal Australasian College of Physicians</w:t>
      </w:r>
      <w:r w:rsidR="00F1214E">
        <w:t xml:space="preserve">) </w:t>
      </w:r>
      <w:r>
        <w:t xml:space="preserve">2015, </w:t>
      </w:r>
      <w:r>
        <w:rPr>
          <w:i/>
          <w:iCs/>
        </w:rPr>
        <w:t>Integrated Care and Physicians</w:t>
      </w:r>
      <w:r>
        <w:t>.</w:t>
      </w:r>
    </w:p>
    <w:p w14:paraId="1EA395CC" w14:textId="082215B6" w:rsidR="00767039" w:rsidRDefault="00767039" w:rsidP="00F576FE">
      <w:pPr>
        <w:pStyle w:val="Reference"/>
      </w:pPr>
      <w:r>
        <w:t>——</w:t>
      </w:r>
      <w:r w:rsidR="00050D33">
        <w:t> </w:t>
      </w:r>
      <w:r>
        <w:t xml:space="preserve">2016, </w:t>
      </w:r>
      <w:r>
        <w:rPr>
          <w:i/>
          <w:iCs/>
        </w:rPr>
        <w:t>Improving Care at the End of Life: Our Roles and Responsibilities</w:t>
      </w:r>
      <w:r>
        <w:t>, May.</w:t>
      </w:r>
    </w:p>
    <w:p w14:paraId="1EA395CD" w14:textId="61707FCF" w:rsidR="00767039" w:rsidRDefault="00767039" w:rsidP="00F576FE">
      <w:pPr>
        <w:pStyle w:val="Reference"/>
      </w:pPr>
      <w:r>
        <w:t xml:space="preserve">RACS </w:t>
      </w:r>
      <w:r w:rsidR="00F1214E">
        <w:t>(</w:t>
      </w:r>
      <w:r w:rsidR="00F1214E" w:rsidRPr="00F1214E">
        <w:t>Royal Australasian College of Surgeons</w:t>
      </w:r>
      <w:r w:rsidR="00F1214E">
        <w:t xml:space="preserve">) </w:t>
      </w:r>
      <w:r>
        <w:t xml:space="preserve">2016a, </w:t>
      </w:r>
      <w:r>
        <w:rPr>
          <w:i/>
          <w:iCs/>
        </w:rPr>
        <w:t>Alcohol-related harm</w:t>
      </w:r>
      <w:r>
        <w:t>, REL-GOV_025.</w:t>
      </w:r>
    </w:p>
    <w:p w14:paraId="1EA395CE" w14:textId="5E1270A9" w:rsidR="00767039" w:rsidRDefault="00767039" w:rsidP="00F576FE">
      <w:pPr>
        <w:pStyle w:val="Reference"/>
      </w:pPr>
      <w:r>
        <w:t>——</w:t>
      </w:r>
      <w:r w:rsidR="00050D33">
        <w:t> </w:t>
      </w:r>
      <w:r>
        <w:t xml:space="preserve">2016b, </w:t>
      </w:r>
      <w:r>
        <w:rPr>
          <w:i/>
          <w:iCs/>
        </w:rPr>
        <w:t>Surgical Variance Report: Orthopaedic Procedures</w:t>
      </w:r>
      <w:r>
        <w:t>.</w:t>
      </w:r>
    </w:p>
    <w:p w14:paraId="1EA395CF" w14:textId="77777777" w:rsidR="00767039" w:rsidRDefault="00767039" w:rsidP="00F576FE">
      <w:pPr>
        <w:pStyle w:val="Reference"/>
      </w:pPr>
      <w:r>
        <w:t xml:space="preserve">Rapport, F., Clay-Williams, R., Churruca, K., Shih, P., Hogden, A. and Braithwaite, J. 2017, ‘The struggle of translating science into action: Foundational concepts of implementation science’, </w:t>
      </w:r>
      <w:r>
        <w:rPr>
          <w:i/>
          <w:iCs/>
        </w:rPr>
        <w:t>Journal of Evaluation in Clinical Practice</w:t>
      </w:r>
      <w:r>
        <w:t>.</w:t>
      </w:r>
    </w:p>
    <w:p w14:paraId="1EA395D0" w14:textId="77777777" w:rsidR="00767039" w:rsidRDefault="00767039" w:rsidP="00F576FE">
      <w:pPr>
        <w:pStyle w:val="Reference"/>
      </w:pPr>
      <w:r>
        <w:t xml:space="preserve">Ray, K., Chari, A., Engberg, J., Bertolet, M. and Mehrotra, A. 2015, ‘Opportunity Costs of Ambulatory Medical Care in the United States’, </w:t>
      </w:r>
      <w:r>
        <w:rPr>
          <w:i/>
          <w:iCs/>
        </w:rPr>
        <w:t>American Journal of Managed Care</w:t>
      </w:r>
      <w:r>
        <w:t>, vol. 21, no. 8.</w:t>
      </w:r>
    </w:p>
    <w:p w14:paraId="1EA395D1" w14:textId="77777777" w:rsidR="00767039" w:rsidRDefault="00767039" w:rsidP="00F576FE">
      <w:pPr>
        <w:pStyle w:val="Reference"/>
      </w:pPr>
      <w:r>
        <w:t xml:space="preserve">Reeve, B. and Jones, A. 2016, ‘Time to commit to good food policy’, </w:t>
      </w:r>
      <w:r>
        <w:rPr>
          <w:i/>
          <w:iCs/>
        </w:rPr>
        <w:t>MJA InSight</w:t>
      </w:r>
      <w:r>
        <w:t>, no. 25, https://www.doctorportal.com.au/mjainsight/2016/25/time-commit-good-food-policy/ (accessed 5 July 2017).</w:t>
      </w:r>
    </w:p>
    <w:p w14:paraId="1EA395D2" w14:textId="77777777" w:rsidR="00767039" w:rsidRDefault="00767039" w:rsidP="00F576FE">
      <w:pPr>
        <w:pStyle w:val="Reference"/>
      </w:pPr>
      <w:r>
        <w:t xml:space="preserve">Reid, J., Crane, M., McCullough, K. and Bruce, E. 2017, </w:t>
      </w:r>
      <w:r>
        <w:rPr>
          <w:i/>
          <w:iCs/>
        </w:rPr>
        <w:t>Risk Equalisation: Time to Think Differently?</w:t>
      </w:r>
      <w:r>
        <w:t>, Finity Consulting.</w:t>
      </w:r>
    </w:p>
    <w:p w14:paraId="1EA395D3" w14:textId="77777777" w:rsidR="00767039" w:rsidRDefault="00767039" w:rsidP="00F576FE">
      <w:pPr>
        <w:pStyle w:val="Reference"/>
      </w:pPr>
      <w:r>
        <w:t xml:space="preserve">Rethink Sugary Drink Alliance 2017, </w:t>
      </w:r>
      <w:r>
        <w:rPr>
          <w:i/>
          <w:iCs/>
        </w:rPr>
        <w:t>Health Levy on Sugar-sweetened Beverages: Rethink Sugary Drink Position Statement</w:t>
      </w:r>
      <w:r>
        <w:t>, March.</w:t>
      </w:r>
    </w:p>
    <w:p w14:paraId="1EA395D4" w14:textId="77777777" w:rsidR="00767039" w:rsidRDefault="00767039" w:rsidP="00F576FE">
      <w:pPr>
        <w:pStyle w:val="Reference"/>
      </w:pPr>
      <w:r>
        <w:t xml:space="preserve">Reuser, M., Bonneux, L. and Willekens, F. 2008, ‘The burden of mortality of obesity at middle and old age is small. A life table analysis of the US Health and Retirement Survey’, </w:t>
      </w:r>
      <w:r>
        <w:rPr>
          <w:i/>
          <w:iCs/>
        </w:rPr>
        <w:t>European Journal of Epidemiology</w:t>
      </w:r>
      <w:r>
        <w:t>, vol. 23, no. 9, pp. 601–607.</w:t>
      </w:r>
    </w:p>
    <w:p w14:paraId="1EA395D5" w14:textId="77777777" w:rsidR="00767039" w:rsidRDefault="00767039" w:rsidP="00F576FE">
      <w:pPr>
        <w:pStyle w:val="Reference"/>
      </w:pPr>
      <w:r>
        <w:t xml:space="preserve">Robinson, B. 2016, </w:t>
      </w:r>
      <w:r>
        <w:rPr>
          <w:i/>
          <w:iCs/>
        </w:rPr>
        <w:t>Reviews of the Medicare Benefits Schedule and the NHMRC</w:t>
      </w:r>
      <w:r>
        <w:t>, 18 April, MBS Review Taskforce, Australian Government.</w:t>
      </w:r>
    </w:p>
    <w:p w14:paraId="1EA395D6" w14:textId="77777777" w:rsidR="00767039" w:rsidRDefault="00767039" w:rsidP="00F576FE">
      <w:pPr>
        <w:pStyle w:val="Reference"/>
      </w:pPr>
      <w:r>
        <w:t xml:space="preserve">Robinson, J.C. 2001, ‘Theory and practice in the design of physician payment incentives’, </w:t>
      </w:r>
      <w:r>
        <w:rPr>
          <w:i/>
          <w:iCs/>
        </w:rPr>
        <w:t>The Milbank Quarterly</w:t>
      </w:r>
      <w:r>
        <w:t>, vol. 79, no. 2, pp. 149–177.</w:t>
      </w:r>
    </w:p>
    <w:p w14:paraId="1EA395D7" w14:textId="77777777" w:rsidR="00767039" w:rsidRDefault="00767039" w:rsidP="00F576FE">
      <w:pPr>
        <w:pStyle w:val="Reference"/>
      </w:pPr>
      <w:r>
        <w:t xml:space="preserve">Rogers, M.E., Creed, P.A. and Searle, J. 2012, ‘Assessment of junior doctors’ perceptions of difficulty of medical specialty training programs’, </w:t>
      </w:r>
      <w:r>
        <w:rPr>
          <w:i/>
          <w:iCs/>
        </w:rPr>
        <w:t>Journal of Vocational Education &amp; Training</w:t>
      </w:r>
      <w:r>
        <w:t>, vol. 64, no. 2, pp. 199–210.</w:t>
      </w:r>
    </w:p>
    <w:p w14:paraId="1EA395D8" w14:textId="77777777" w:rsidR="00767039" w:rsidRDefault="00767039" w:rsidP="00F576FE">
      <w:pPr>
        <w:pStyle w:val="Reference"/>
      </w:pPr>
      <w:r>
        <w:t xml:space="preserve">Rollins, A. 2016, ‘A Tax on Sugar Works: WHO’, </w:t>
      </w:r>
      <w:r>
        <w:rPr>
          <w:i/>
          <w:iCs/>
        </w:rPr>
        <w:t>Australian Medicine</w:t>
      </w:r>
      <w:r>
        <w:t>, 8 November.</w:t>
      </w:r>
    </w:p>
    <w:p w14:paraId="1EA395D9" w14:textId="77777777" w:rsidR="00767039" w:rsidRDefault="00767039" w:rsidP="00F576FE">
      <w:pPr>
        <w:pStyle w:val="Reference"/>
      </w:pPr>
      <w:r>
        <w:t xml:space="preserve">Rosen, P. 2017, ‘The Patient as Consumer and the Measurement of Bedside Manner’, </w:t>
      </w:r>
      <w:r>
        <w:rPr>
          <w:i/>
          <w:iCs/>
        </w:rPr>
        <w:t>The New England Journal of Medicine Catalyst</w:t>
      </w:r>
      <w:r>
        <w:t>.</w:t>
      </w:r>
    </w:p>
    <w:p w14:paraId="1EA395DA" w14:textId="200A7CD8" w:rsidR="00767039" w:rsidRDefault="00767039" w:rsidP="00F576FE">
      <w:pPr>
        <w:pStyle w:val="Reference"/>
      </w:pPr>
      <w:r>
        <w:t xml:space="preserve">SA AG </w:t>
      </w:r>
      <w:r w:rsidR="00F1214E">
        <w:t>(</w:t>
      </w:r>
      <w:r w:rsidR="00F1214E" w:rsidRPr="00F1214E">
        <w:t>South Australian Auditor-General</w:t>
      </w:r>
      <w:r w:rsidR="00F1214E">
        <w:t xml:space="preserve">) </w:t>
      </w:r>
      <w:r>
        <w:t xml:space="preserve">2016, </w:t>
      </w:r>
      <w:r>
        <w:rPr>
          <w:i/>
          <w:iCs/>
        </w:rPr>
        <w:t>Enterprise Patient Administration System: June 2016</w:t>
      </w:r>
      <w:r>
        <w:t>, Supplementary Report for the year ended 30 June 2015, 5 July, Report of the Auditor-General, South Australian Government.</w:t>
      </w:r>
    </w:p>
    <w:p w14:paraId="1EA395DB" w14:textId="47410B12" w:rsidR="00767039" w:rsidRDefault="00767039" w:rsidP="00F576FE">
      <w:pPr>
        <w:pStyle w:val="Reference"/>
      </w:pPr>
      <w:r>
        <w:t xml:space="preserve">SA DoHA </w:t>
      </w:r>
      <w:r w:rsidR="00F1214E">
        <w:t>(</w:t>
      </w:r>
      <w:r w:rsidR="00F1214E" w:rsidRPr="00F1214E">
        <w:t>South Australian Department for Health and Ageing</w:t>
      </w:r>
      <w:r w:rsidR="00F1214E">
        <w:t xml:space="preserve">) </w:t>
      </w:r>
      <w:r>
        <w:t xml:space="preserve">2017, </w:t>
      </w:r>
      <w:r>
        <w:rPr>
          <w:i/>
          <w:iCs/>
        </w:rPr>
        <w:t xml:space="preserve">Enterprise Patient </w:t>
      </w:r>
      <w:r w:rsidR="00F1214E">
        <w:rPr>
          <w:i/>
          <w:iCs/>
        </w:rPr>
        <w:t>Administration</w:t>
      </w:r>
      <w:r>
        <w:rPr>
          <w:i/>
          <w:iCs/>
        </w:rPr>
        <w:t xml:space="preserve"> Systems: Frequently Asked Questions</w:t>
      </w:r>
      <w:r>
        <w:t>, February, South Australian Government.</w:t>
      </w:r>
    </w:p>
    <w:p w14:paraId="1EA395DC" w14:textId="77777777" w:rsidR="00767039" w:rsidRDefault="00767039" w:rsidP="00F576FE">
      <w:pPr>
        <w:pStyle w:val="Reference"/>
      </w:pPr>
      <w:r>
        <w:t xml:space="preserve">Saunders, C. and Carter, D.J. 2016, ‘Right care, right place, right time: improving the timeliness of health care in New South Wales through a public–private hospital partnership’, </w:t>
      </w:r>
      <w:r>
        <w:rPr>
          <w:i/>
          <w:iCs/>
        </w:rPr>
        <w:t>Australian Health Review</w:t>
      </w:r>
      <w:r>
        <w:t>.</w:t>
      </w:r>
    </w:p>
    <w:p w14:paraId="1EA395DD" w14:textId="3753A0B0" w:rsidR="00767039" w:rsidRDefault="00767039" w:rsidP="00F576FE">
      <w:pPr>
        <w:pStyle w:val="Reference"/>
      </w:pPr>
      <w:r>
        <w:t xml:space="preserve">SCARC </w:t>
      </w:r>
      <w:r w:rsidR="00F1214E">
        <w:t>(</w:t>
      </w:r>
      <w:r w:rsidR="00F1214E" w:rsidRPr="00F1214E">
        <w:t>Senate Community Affairs References Committee</w:t>
      </w:r>
      <w:r w:rsidR="00F1214E">
        <w:t xml:space="preserve">) </w:t>
      </w:r>
      <w:r>
        <w:t xml:space="preserve">2014, </w:t>
      </w:r>
      <w:r>
        <w:rPr>
          <w:i/>
          <w:iCs/>
        </w:rPr>
        <w:t>Out-of-pocket costs in Australian healthcare</w:t>
      </w:r>
      <w:r>
        <w:t>, August, Australian Government.</w:t>
      </w:r>
    </w:p>
    <w:p w14:paraId="1EA395DE" w14:textId="77777777" w:rsidR="00767039" w:rsidRDefault="00767039" w:rsidP="00F576FE">
      <w:pPr>
        <w:pStyle w:val="Reference"/>
      </w:pPr>
      <w:r>
        <w:t xml:space="preserve">Schadewaldt, V., McInnes, E., Hiller, J.E. and Gardner, A. 2013, ‘Views and experiences of nurse practitioners and medical practitioners with collaborative practice in primary health care - an integrative review’, </w:t>
      </w:r>
      <w:r>
        <w:rPr>
          <w:i/>
          <w:iCs/>
        </w:rPr>
        <w:t>BMC family practice</w:t>
      </w:r>
      <w:r>
        <w:t>, vol. 14, p. 132.</w:t>
      </w:r>
    </w:p>
    <w:p w14:paraId="1EA395DF" w14:textId="77777777" w:rsidR="00767039" w:rsidRDefault="00767039" w:rsidP="00F576FE">
      <w:pPr>
        <w:pStyle w:val="Reference"/>
      </w:pPr>
      <w:r>
        <w:t xml:space="preserve">Schane, R.E., Ling, P.M. and Glantz, S.A. 2010, ‘Health Effects of Light and Intermittent Smoking: A Review’, </w:t>
      </w:r>
      <w:r>
        <w:rPr>
          <w:i/>
          <w:iCs/>
        </w:rPr>
        <w:t>Circulation</w:t>
      </w:r>
      <w:r>
        <w:t>, vol. 121, no. 13, pp. 1518–1522.</w:t>
      </w:r>
    </w:p>
    <w:p w14:paraId="1EA395E0" w14:textId="77777777" w:rsidR="00767039" w:rsidRDefault="00767039" w:rsidP="00F576FE">
      <w:pPr>
        <w:pStyle w:val="Reference"/>
      </w:pPr>
      <w:r>
        <w:t xml:space="preserve">Schoen et al. 2009, ‘In Chronic Condition: Experiences Of Patients With Complex Health Care Needs, In Eight Countries, 2008’, </w:t>
      </w:r>
      <w:r>
        <w:rPr>
          <w:i/>
          <w:iCs/>
        </w:rPr>
        <w:t>Health Affairs</w:t>
      </w:r>
      <w:r>
        <w:t>, vol. 28, no. 1, pp. w1–w16.</w:t>
      </w:r>
    </w:p>
    <w:p w14:paraId="1EA395E1" w14:textId="594E2F33" w:rsidR="00767039" w:rsidRDefault="00767039" w:rsidP="00F576FE">
      <w:pPr>
        <w:pStyle w:val="Reference"/>
      </w:pPr>
      <w:r>
        <w:t>Schubert, I., Siegel, A., Köster, I. and Ihl</w:t>
      </w:r>
      <w:r w:rsidR="00B82D04">
        <w:t xml:space="preserve">e, P. 2016, ‘Evaluation of the </w:t>
      </w:r>
      <w:r>
        <w:t xml:space="preserve">population-based “Integrated Health Care System Gesundes Kinzigtal” (IHGK). Findings on health care based on administrative data’, </w:t>
      </w:r>
      <w:r>
        <w:rPr>
          <w:i/>
          <w:iCs/>
        </w:rPr>
        <w:t>Zeitschrift für Evidenz, Fortbildung und Qualität im Gesundheitswesen</w:t>
      </w:r>
      <w:r>
        <w:t>, vol. 117, pp. 27–37.</w:t>
      </w:r>
    </w:p>
    <w:p w14:paraId="1EA395E2" w14:textId="77777777" w:rsidR="00767039" w:rsidRDefault="00767039" w:rsidP="00F576FE">
      <w:pPr>
        <w:pStyle w:val="Reference"/>
      </w:pPr>
      <w:r>
        <w:t xml:space="preserve">Scollo, M. and Winstanley, M. 2016, </w:t>
      </w:r>
      <w:r>
        <w:rPr>
          <w:i/>
          <w:iCs/>
        </w:rPr>
        <w:t>Tobacco in Australia: Facts and Issues</w:t>
      </w:r>
      <w:r>
        <w:t>, Cancer Council Victoria.</w:t>
      </w:r>
    </w:p>
    <w:p w14:paraId="1EA395E3" w14:textId="77777777" w:rsidR="00767039" w:rsidRDefault="00767039" w:rsidP="00F576FE">
      <w:pPr>
        <w:pStyle w:val="Reference"/>
      </w:pPr>
      <w:r>
        <w:t xml:space="preserve">Scott, A. 2017, </w:t>
      </w:r>
      <w:r>
        <w:rPr>
          <w:i/>
          <w:iCs/>
        </w:rPr>
        <w:t>General Practice Trends</w:t>
      </w:r>
      <w:r>
        <w:t>, ANZ - Melbourne Institute Health Sector Report.</w:t>
      </w:r>
    </w:p>
    <w:p w14:paraId="1EA395E4" w14:textId="10E61C20" w:rsidR="00767039" w:rsidRDefault="001D16C8" w:rsidP="00F576FE">
      <w:pPr>
        <w:pStyle w:val="Reference"/>
      </w:pPr>
      <w:r>
        <w:t>——</w:t>
      </w:r>
      <w:r w:rsidR="00767039">
        <w:t xml:space="preserve">, Sivey, P., Ait Ouakrim, D., Willenberg, L., Naccarella, L., Furler, J. and Young, D. 2011, ‘The effect of financial incentives on the quality of health care provided by primary care physicians’, </w:t>
      </w:r>
      <w:r w:rsidR="00767039">
        <w:rPr>
          <w:i/>
          <w:iCs/>
        </w:rPr>
        <w:t>Cochrane Database of Systematic Reviews</w:t>
      </w:r>
      <w:r w:rsidR="00767039">
        <w:t>, 9. Art. No.: CD008451.</w:t>
      </w:r>
    </w:p>
    <w:p w14:paraId="1EA395E5" w14:textId="77777777" w:rsidR="00767039" w:rsidRDefault="00767039" w:rsidP="00F576FE">
      <w:pPr>
        <w:pStyle w:val="Reference"/>
      </w:pPr>
      <w:r>
        <w:t xml:space="preserve">Scott, I.A., Soon, J., Elshaug, A.G. and Lindner, R. 2017, ‘Countering cognitive biases in minimising low value care’, </w:t>
      </w:r>
      <w:r>
        <w:rPr>
          <w:i/>
          <w:iCs/>
        </w:rPr>
        <w:t>Medical Journal of Australia</w:t>
      </w:r>
      <w:r>
        <w:t>, vol. 206, no. 9.</w:t>
      </w:r>
    </w:p>
    <w:p w14:paraId="1EA395E6" w14:textId="77777777" w:rsidR="00767039" w:rsidRDefault="00767039" w:rsidP="00F576FE">
      <w:pPr>
        <w:pStyle w:val="Reference"/>
      </w:pPr>
      <w:r>
        <w:t xml:space="preserve">Scotton, R. 1995, ‘Managed competition: issues for Australia’, </w:t>
      </w:r>
      <w:r>
        <w:rPr>
          <w:i/>
          <w:iCs/>
        </w:rPr>
        <w:t>Australian Health Review</w:t>
      </w:r>
      <w:r>
        <w:t>, vol. 18, no. 1, pp. 82–104.</w:t>
      </w:r>
    </w:p>
    <w:p w14:paraId="1EA395E7" w14:textId="29EFD9FE" w:rsidR="00767039" w:rsidRDefault="00767039" w:rsidP="00F576FE">
      <w:pPr>
        <w:pStyle w:val="Reference"/>
      </w:pPr>
      <w:r>
        <w:t xml:space="preserve">SCRGSP </w:t>
      </w:r>
      <w:r w:rsidR="00F1214E">
        <w:t>(</w:t>
      </w:r>
      <w:r w:rsidR="00F1214E" w:rsidRPr="00F1214E">
        <w:t>Steering Committee for the Review of Government Service Provision</w:t>
      </w:r>
      <w:r w:rsidR="00F1214E">
        <w:t xml:space="preserve">) </w:t>
      </w:r>
      <w:r>
        <w:t xml:space="preserve">2017, </w:t>
      </w:r>
      <w:r>
        <w:rPr>
          <w:i/>
          <w:iCs/>
        </w:rPr>
        <w:t>Report on Government Services 2017</w:t>
      </w:r>
      <w:r>
        <w:t>, Productivity Commission.</w:t>
      </w:r>
    </w:p>
    <w:p w14:paraId="1EA395E8" w14:textId="77777777" w:rsidR="00767039" w:rsidRDefault="00767039" w:rsidP="00F576FE">
      <w:pPr>
        <w:pStyle w:val="Reference"/>
      </w:pPr>
      <w:r>
        <w:t xml:space="preserve">Sharma, A., Vandenberg, B. and Hollingsworth, B. 2014, ‘Minimum Pricing of Alcohol versus Volumetric Taxation: Which Policy Will Reduce Heavy Consumption without Adversely Affecting Light and Moderate Consumers?’, </w:t>
      </w:r>
      <w:r>
        <w:rPr>
          <w:i/>
          <w:iCs/>
        </w:rPr>
        <w:t>PLoS ONE</w:t>
      </w:r>
      <w:r>
        <w:t>, vol. 9, no. 1.</w:t>
      </w:r>
    </w:p>
    <w:p w14:paraId="1EA395E9" w14:textId="77777777" w:rsidR="00767039" w:rsidRDefault="00767039" w:rsidP="00F576FE">
      <w:pPr>
        <w:pStyle w:val="Reference"/>
      </w:pPr>
      <w:r>
        <w:t xml:space="preserve">Sharma, R., Lebrun-Harris, L.A. and Ngo-Metzger, Q. 2014, ‘Costs and Clinical Quality Among Medicare Beneficiaries: Associations with Health Center Penetration of Low-Income Residents’, </w:t>
      </w:r>
      <w:r>
        <w:rPr>
          <w:i/>
          <w:iCs/>
        </w:rPr>
        <w:t>Medicare &amp; Medicaid Research Review</w:t>
      </w:r>
      <w:r>
        <w:t>, vol. 4, no. 3.</w:t>
      </w:r>
    </w:p>
    <w:p w14:paraId="1EA395EA" w14:textId="77777777" w:rsidR="00767039" w:rsidRDefault="00767039" w:rsidP="00F576FE">
      <w:pPr>
        <w:pStyle w:val="Reference"/>
      </w:pPr>
      <w:r>
        <w:t xml:space="preserve">Shaw, E.K., Howard, J., West, D.R., Crabtree, B.F., Nease, D.E., Tutt, B. and Nutting, P.A. 2012, ‘The Role of the Champion in Primary Care Change Efforts’, </w:t>
      </w:r>
      <w:r>
        <w:rPr>
          <w:i/>
          <w:iCs/>
        </w:rPr>
        <w:t>Journal of the American Board of Family Medicine</w:t>
      </w:r>
      <w:r>
        <w:t>, vol. 25, no. 5, pp. 676–685.</w:t>
      </w:r>
    </w:p>
    <w:p w14:paraId="1EA395EB" w14:textId="77777777" w:rsidR="00767039" w:rsidRDefault="00767039" w:rsidP="00F576FE">
      <w:pPr>
        <w:pStyle w:val="Reference"/>
      </w:pPr>
      <w:r>
        <w:t xml:space="preserve">Shaw, J., Taylor, R. and Dix, K. 2015, </w:t>
      </w:r>
      <w:r>
        <w:rPr>
          <w:i/>
          <w:iCs/>
        </w:rPr>
        <w:t>Uses and abuses of performance data in healthcare</w:t>
      </w:r>
      <w:r>
        <w:t>, April, Dr Foster, London, www.drfoster.com/updates/recent-publications/uses-and-abuses-of-performance-data-in-healthcare/ (accessed 17 July 2017).</w:t>
      </w:r>
    </w:p>
    <w:p w14:paraId="1EA395EC" w14:textId="77777777" w:rsidR="00767039" w:rsidRDefault="00767039" w:rsidP="00F576FE">
      <w:pPr>
        <w:pStyle w:val="Reference"/>
      </w:pPr>
      <w:r>
        <w:t xml:space="preserve">Sherwin, H.N., McKeown, M., Evans, M.F. and Bhattacharyya, O.K. 2013, ‘The waiting room “wait”’, </w:t>
      </w:r>
      <w:r>
        <w:rPr>
          <w:i/>
          <w:iCs/>
        </w:rPr>
        <w:t>Canadian Family Physician</w:t>
      </w:r>
      <w:r>
        <w:t>, vol. 59, no. 5, pp. 479–481.</w:t>
      </w:r>
    </w:p>
    <w:p w14:paraId="1EA395ED" w14:textId="77777777" w:rsidR="00767039" w:rsidRDefault="00767039" w:rsidP="00F576FE">
      <w:pPr>
        <w:pStyle w:val="Reference"/>
      </w:pPr>
      <w:r>
        <w:t xml:space="preserve">Shuval, K., Leonard, T., Drope, J., Katz, D.L., Patel, A.V., Maitin-Shepard, M., Amir, O. and Grinstein, A. 2017, ‘Physical activity counseling in primary care: Insights from public health and behavioral economics’, </w:t>
      </w:r>
      <w:r>
        <w:rPr>
          <w:i/>
          <w:iCs/>
        </w:rPr>
        <w:t>CA: A Cancer Journal for Clinicians</w:t>
      </w:r>
      <w:r>
        <w:t>, vol. 67, no. 3, pp. 233–244.</w:t>
      </w:r>
    </w:p>
    <w:p w14:paraId="1EA395EE" w14:textId="77777777" w:rsidR="00767039" w:rsidRDefault="00767039" w:rsidP="00F576FE">
      <w:pPr>
        <w:pStyle w:val="Reference"/>
      </w:pPr>
      <w:r>
        <w:t xml:space="preserve">Si, D., Bailie, R.S., Togni, S.J., d’Abbs, P.H.N. and Robinson, G.W. 2006, ‘Aboriginal health workers and diabetes care in remote community health centres: a mixed method analysis’, </w:t>
      </w:r>
      <w:r>
        <w:rPr>
          <w:i/>
          <w:iCs/>
        </w:rPr>
        <w:t>Medical Journal of Australia</w:t>
      </w:r>
      <w:r>
        <w:t>, vol. 185, no. 1.</w:t>
      </w:r>
    </w:p>
    <w:p w14:paraId="1EA395EF" w14:textId="77777777" w:rsidR="00767039" w:rsidRDefault="00767039" w:rsidP="00F576FE">
      <w:pPr>
        <w:pStyle w:val="Reference"/>
      </w:pPr>
      <w:r>
        <w:t xml:space="preserve">Siegel, A. and Stobel, U. 2017, ‘Selected results of the GkKiM study - second survey, part II: Determinants of insurants’ overall satisfaction with GKIH’, </w:t>
      </w:r>
      <w:r>
        <w:rPr>
          <w:i/>
          <w:iCs/>
        </w:rPr>
        <w:t>EKIV Newsletter</w:t>
      </w:r>
      <w:r>
        <w:t>, vol. 1/2017, pp. 3–6.</w:t>
      </w:r>
    </w:p>
    <w:p w14:paraId="1EA395F0" w14:textId="77777777" w:rsidR="00767039" w:rsidRDefault="00767039" w:rsidP="00F576FE">
      <w:pPr>
        <w:pStyle w:val="Reference"/>
      </w:pPr>
      <w:r>
        <w:t xml:space="preserve">Siemieniuk, R.A.C., Harris, I.A., Agoritsas, T., Poolman, R.W., Brignardello-Petersen, R., Velde, S.V. de, Buchbinder, R., Englund, M., Lytvyn, L., Quinlan, C., Helsingen, L., Knutsen, G., Olsen, N.R., Macdonald, H., Hailey, L., Wilson, H.M., Lydiatt, A. and Kristiansen, A. 2017, ‘Arthroscopic surgery for degenerative knee arthritis and meniscal tears: a clinical practice guideline’, </w:t>
      </w:r>
      <w:r>
        <w:rPr>
          <w:i/>
          <w:iCs/>
        </w:rPr>
        <w:t>BMJ</w:t>
      </w:r>
      <w:r>
        <w:t>, vol. 357: j1982.</w:t>
      </w:r>
    </w:p>
    <w:p w14:paraId="1EA395F1" w14:textId="77777777" w:rsidR="00767039" w:rsidRDefault="00767039" w:rsidP="00F576FE">
      <w:pPr>
        <w:pStyle w:val="Reference"/>
      </w:pPr>
      <w:r>
        <w:t xml:space="preserve">Silver, L.D., Ng, S.W., Ryan-Ibarra, S., Taillie, L.S., Induni, M., Miles, D.R., Poti, J.M. and Popkin, B.M. 2017, ‘Changes in prices, sales, consumer spending, and beverage consumption one year after a tax on sugar-sweetened beverages in Berkeley, California, US: A before-and-after study’, </w:t>
      </w:r>
      <w:r>
        <w:rPr>
          <w:i/>
          <w:iCs/>
        </w:rPr>
        <w:t>PLoS Medicine</w:t>
      </w:r>
      <w:r>
        <w:t>, vol. 14, no. 4, p. e1002283.</w:t>
      </w:r>
    </w:p>
    <w:p w14:paraId="1EA395F2" w14:textId="77777777" w:rsidR="00767039" w:rsidRDefault="00767039" w:rsidP="00F576FE">
      <w:pPr>
        <w:pStyle w:val="Reference"/>
      </w:pPr>
      <w:r>
        <w:t xml:space="preserve">Sinsky, C., Colligan, L., Li, L., Prgomet, M., Reynolds, S., Goeders, L., Westbrook, J., Tutty, M. and Blike, G. 2016, ‘Allocation of Physician Time in Ambulatory Practice: A Time and Motion Study in 4 Specialties’, </w:t>
      </w:r>
      <w:r>
        <w:rPr>
          <w:i/>
          <w:iCs/>
        </w:rPr>
        <w:t>Annals of Internal Medicine</w:t>
      </w:r>
      <w:r>
        <w:t>, vol. 165, no. 11, pp. 753–760.</w:t>
      </w:r>
    </w:p>
    <w:p w14:paraId="1EA395F3" w14:textId="77777777" w:rsidR="00767039" w:rsidRDefault="00767039" w:rsidP="00F576FE">
      <w:pPr>
        <w:pStyle w:val="Reference"/>
      </w:pPr>
      <w:r>
        <w:t xml:space="preserve">Sjögren, H., Eriksson, A., Broström, G. and Alm, K. 2001, ‘Quantification of alcohol-related mortality in Sweden’, </w:t>
      </w:r>
      <w:r>
        <w:rPr>
          <w:i/>
          <w:iCs/>
        </w:rPr>
        <w:t>Alcohol and Alcoholism</w:t>
      </w:r>
      <w:r>
        <w:t>, pp. 601–611.</w:t>
      </w:r>
    </w:p>
    <w:p w14:paraId="1EA395F4" w14:textId="77777777" w:rsidR="00767039" w:rsidRDefault="00767039" w:rsidP="00F576FE">
      <w:pPr>
        <w:pStyle w:val="Reference"/>
      </w:pPr>
      <w:r>
        <w:t xml:space="preserve">Skinner, J. and Staiger, D. 2015, ‘Technology Diffusion and Productivity Growth in Health Care’, </w:t>
      </w:r>
      <w:r>
        <w:rPr>
          <w:i/>
          <w:iCs/>
        </w:rPr>
        <w:t>The review of economics and statistics</w:t>
      </w:r>
      <w:r>
        <w:t>, vol. 97, no. 5, pp. 951–964.</w:t>
      </w:r>
    </w:p>
    <w:p w14:paraId="1EA395F5" w14:textId="77777777" w:rsidR="00767039" w:rsidRDefault="00767039" w:rsidP="00F576FE">
      <w:pPr>
        <w:pStyle w:val="Reference"/>
      </w:pPr>
      <w:r>
        <w:t xml:space="preserve">Sørensen, K., Van den Broucke, S., Fullam, J., Doyle, G., Pelikan, J., Slonska, Z. and Brand, H. 2012, ‘Health literacy and public health: A systematic review and integration of definitions and models’, </w:t>
      </w:r>
      <w:r>
        <w:rPr>
          <w:i/>
          <w:iCs/>
        </w:rPr>
        <w:t>BMC Public Health</w:t>
      </w:r>
      <w:r>
        <w:t>, vol. 12, p. 80.</w:t>
      </w:r>
    </w:p>
    <w:p w14:paraId="1EA395F6" w14:textId="77777777" w:rsidR="00767039" w:rsidRDefault="00767039" w:rsidP="00F576FE">
      <w:pPr>
        <w:pStyle w:val="Reference"/>
      </w:pPr>
      <w:r>
        <w:t xml:space="preserve">Spinks, J. et al. 2017, ‘Disruptive innovation in community pharmacy – Impact of automation on the pharmacist workforce’, </w:t>
      </w:r>
      <w:r>
        <w:rPr>
          <w:i/>
          <w:iCs/>
        </w:rPr>
        <w:t>Reserach in Social and Administrative Pharmacy</w:t>
      </w:r>
      <w:r>
        <w:t>, vol. 13, no. 2, pp. 394–397.</w:t>
      </w:r>
    </w:p>
    <w:p w14:paraId="1EA395F7" w14:textId="77777777" w:rsidR="00767039" w:rsidRDefault="00767039" w:rsidP="00F576FE">
      <w:pPr>
        <w:pStyle w:val="Reference"/>
      </w:pPr>
      <w:r>
        <w:t xml:space="preserve">Stall, N. 2012, ‘Private rooms: A choice between infection and profit’, </w:t>
      </w:r>
      <w:r>
        <w:rPr>
          <w:i/>
          <w:iCs/>
        </w:rPr>
        <w:t>Canadian Medical Association Journal</w:t>
      </w:r>
      <w:r>
        <w:t>, vol. 184, no. 1, pp. 24–25.</w:t>
      </w:r>
    </w:p>
    <w:p w14:paraId="1EA395F8" w14:textId="77777777" w:rsidR="00767039" w:rsidRDefault="00767039" w:rsidP="00F576FE">
      <w:pPr>
        <w:pStyle w:val="Reference"/>
      </w:pPr>
      <w:r>
        <w:t xml:space="preserve">Steele, L.S., Durbin, A., Sibley, L.M. and Glazier, R. 2013, ‘Inclusion of persons with mental illness in patient-centred medical homes: cross-sectional findings from Ontario, Canada’, </w:t>
      </w:r>
      <w:r>
        <w:rPr>
          <w:i/>
          <w:iCs/>
        </w:rPr>
        <w:t>Open Medicine</w:t>
      </w:r>
      <w:r>
        <w:t>, vol. 7, no. 1, pp. e9-20.</w:t>
      </w:r>
    </w:p>
    <w:p w14:paraId="1EA395F9" w14:textId="77777777" w:rsidR="00767039" w:rsidRDefault="00767039" w:rsidP="00F576FE">
      <w:pPr>
        <w:pStyle w:val="Reference"/>
      </w:pPr>
      <w:r>
        <w:t xml:space="preserve">Stephenson, M., Campbell, J., Lisy, K., Hong Chu, W. and Aromataris, E. 2015, </w:t>
      </w:r>
      <w:r>
        <w:rPr>
          <w:i/>
          <w:iCs/>
        </w:rPr>
        <w:t>Providing integrated care: experiences of healthcare providers: A rapid review for NSW Health</w:t>
      </w:r>
      <w:r>
        <w:t>, July, Joanna Briggs Institute.</w:t>
      </w:r>
    </w:p>
    <w:p w14:paraId="1EA395FA" w14:textId="77777777" w:rsidR="00767039" w:rsidRDefault="00767039" w:rsidP="00F576FE">
      <w:pPr>
        <w:pStyle w:val="Reference"/>
      </w:pPr>
      <w:r>
        <w:t xml:space="preserve">Stoelwinder, J. 2014, ‘Creating a better health system: lessons from the Netherlands’, </w:t>
      </w:r>
      <w:r>
        <w:rPr>
          <w:i/>
          <w:iCs/>
        </w:rPr>
        <w:t>The Conversation</w:t>
      </w:r>
      <w:r>
        <w:t>.</w:t>
      </w:r>
    </w:p>
    <w:p w14:paraId="1EA395FB" w14:textId="37E50BB6" w:rsidR="00767039" w:rsidRDefault="004B35CE" w:rsidP="00F576FE">
      <w:pPr>
        <w:pStyle w:val="Reference"/>
      </w:pPr>
      <w:r>
        <w:t>——</w:t>
      </w:r>
      <w:r w:rsidR="00767039">
        <w:t xml:space="preserve"> and Paolucci, F. 2009, ‘Sustaining Medicare through consumer choice of health funds: lessons from the Netherlands’, </w:t>
      </w:r>
      <w:r w:rsidR="00767039">
        <w:rPr>
          <w:i/>
          <w:iCs/>
        </w:rPr>
        <w:t>Medical Journal of Australia</w:t>
      </w:r>
      <w:r w:rsidR="00767039">
        <w:t>, vol. 191, no. 1.</w:t>
      </w:r>
    </w:p>
    <w:p w14:paraId="1EA395FC" w14:textId="77777777" w:rsidR="00767039" w:rsidRDefault="00767039" w:rsidP="00F576FE">
      <w:pPr>
        <w:pStyle w:val="Reference"/>
      </w:pPr>
      <w:r>
        <w:t xml:space="preserve">Street, A., O’Reilly, J., Ward, P. and Mason, A. 2011, ‘DRG-based hospital payment and efficiency: Theory, evidence and challenges’, </w:t>
      </w:r>
      <w:r>
        <w:rPr>
          <w:i/>
          <w:iCs/>
        </w:rPr>
        <w:t>Diagnosis-related groups in Europe: Moving towards transparency, efficiency and quality in hospitals</w:t>
      </w:r>
      <w:r>
        <w:t>, World Health Organisation and European Observatory on Health Systems and Policies, Berkshire, England, pp. 93–114.</w:t>
      </w:r>
    </w:p>
    <w:p w14:paraId="1EA395FD" w14:textId="77777777" w:rsidR="00767039" w:rsidRDefault="00767039" w:rsidP="00F576FE">
      <w:pPr>
        <w:pStyle w:val="Reference"/>
      </w:pPr>
      <w:r>
        <w:t xml:space="preserve">Street, D. and Cossman, J.S. 2010, ‘Does familiarity breed respect? Physician attitudes toward nurse practitioners in a medically underserved state’, </w:t>
      </w:r>
      <w:r>
        <w:rPr>
          <w:i/>
          <w:iCs/>
        </w:rPr>
        <w:t>Journal of the American Academy of Nurse Practitioners</w:t>
      </w:r>
      <w:r>
        <w:t>, vol. 22, no. 8, pp. 431–439.</w:t>
      </w:r>
    </w:p>
    <w:p w14:paraId="1EA395FE" w14:textId="77777777" w:rsidR="00767039" w:rsidRDefault="00767039" w:rsidP="00F576FE">
      <w:pPr>
        <w:pStyle w:val="Reference"/>
      </w:pPr>
      <w:r>
        <w:t xml:space="preserve">Struckmann, V., Boerma, W. and van Ginneken, E. 2015, </w:t>
      </w:r>
      <w:r>
        <w:rPr>
          <w:i/>
          <w:iCs/>
        </w:rPr>
        <w:t>The Gesundes Kinzigtal programme, Germany</w:t>
      </w:r>
      <w:r>
        <w:t>, ICARE4EU (Innovating care for people with multiple chronic conditions in Europe).</w:t>
      </w:r>
    </w:p>
    <w:p w14:paraId="1EA395FF" w14:textId="77777777" w:rsidR="00767039" w:rsidRDefault="00767039" w:rsidP="00F576FE">
      <w:pPr>
        <w:pStyle w:val="Reference"/>
      </w:pPr>
      <w:r>
        <w:t xml:space="preserve">Suter, E., Oelke, N.D., Adair, C.E. and Armitage, G.D. 2009, ‘Ten Key Principles for Successful Health Systems Integration’, </w:t>
      </w:r>
      <w:r>
        <w:rPr>
          <w:i/>
          <w:iCs/>
        </w:rPr>
        <w:t>Healthcare quarterly</w:t>
      </w:r>
      <w:r>
        <w:t>, vol. 13, pp. 16–23.</w:t>
      </w:r>
    </w:p>
    <w:p w14:paraId="1EA39600" w14:textId="77777777" w:rsidR="00767039" w:rsidRDefault="00767039" w:rsidP="00F576FE">
      <w:pPr>
        <w:pStyle w:val="Reference"/>
      </w:pPr>
      <w:r>
        <w:t xml:space="preserve">Swerissen, H. and Duckett, S. 2014, </w:t>
      </w:r>
      <w:r>
        <w:rPr>
          <w:i/>
          <w:iCs/>
        </w:rPr>
        <w:t>Dying well</w:t>
      </w:r>
      <w:r>
        <w:t>, September, Grattan Institute.</w:t>
      </w:r>
    </w:p>
    <w:p w14:paraId="1EA39601" w14:textId="1C708468" w:rsidR="00767039" w:rsidRDefault="004B35CE" w:rsidP="00F576FE">
      <w:pPr>
        <w:pStyle w:val="Reference"/>
      </w:pPr>
      <w:r>
        <w:t xml:space="preserve">—— </w:t>
      </w:r>
      <w:r w:rsidR="00767039">
        <w:t xml:space="preserve">and Duckett, S. 2016, </w:t>
      </w:r>
      <w:r w:rsidR="00767039">
        <w:rPr>
          <w:i/>
          <w:iCs/>
        </w:rPr>
        <w:t>Chronic failure in primary medical care</w:t>
      </w:r>
      <w:r w:rsidR="00767039">
        <w:t>, March, Grattan Institute.</w:t>
      </w:r>
    </w:p>
    <w:p w14:paraId="1EA39602" w14:textId="77777777" w:rsidR="00767039" w:rsidRDefault="00767039" w:rsidP="00F576FE">
      <w:pPr>
        <w:pStyle w:val="Reference"/>
      </w:pPr>
      <w:r>
        <w:t xml:space="preserve">Taube, E., Kristensson, J., Sandberg, M., Midlöv, P. and Jakobsson, U. 2015, ‘Loneliness and health care consumption among older people’, </w:t>
      </w:r>
      <w:r>
        <w:rPr>
          <w:i/>
          <w:iCs/>
        </w:rPr>
        <w:t>Scandinavian Journal of Caring Sciences</w:t>
      </w:r>
      <w:r>
        <w:t>, vol. 29, no. 3, pp. 435–443.</w:t>
      </w:r>
    </w:p>
    <w:p w14:paraId="1EA39603" w14:textId="77777777" w:rsidR="00767039" w:rsidRDefault="00767039" w:rsidP="00F576FE">
      <w:pPr>
        <w:pStyle w:val="Reference"/>
      </w:pPr>
      <w:r>
        <w:t xml:space="preserve">Taylor, A. 2015, </w:t>
      </w:r>
      <w:r>
        <w:rPr>
          <w:i/>
          <w:iCs/>
        </w:rPr>
        <w:t>What’s Hip in Hip Fracture Care</w:t>
      </w:r>
      <w:r>
        <w:t>, ANZONA Conference, 12 November.</w:t>
      </w:r>
    </w:p>
    <w:p w14:paraId="1EA39604" w14:textId="77777777" w:rsidR="00767039" w:rsidRDefault="00767039" w:rsidP="00F576FE">
      <w:pPr>
        <w:pStyle w:val="Reference"/>
      </w:pPr>
      <w:r>
        <w:t xml:space="preserve">Thorlund, J.B., Juhl, C.B., Roos, E.M. and Lohmander, L.S. 2015, ‘Arthroscopic surgery for degenerative knee: systematic review and meta-analysis of benefits and harms’, </w:t>
      </w:r>
      <w:r>
        <w:rPr>
          <w:i/>
          <w:iCs/>
        </w:rPr>
        <w:t>BMJ</w:t>
      </w:r>
      <w:r>
        <w:t>, vol. 350. h2747.</w:t>
      </w:r>
    </w:p>
    <w:p w14:paraId="1EA39605" w14:textId="77777777" w:rsidR="00767039" w:rsidRDefault="00767039" w:rsidP="00F576FE">
      <w:pPr>
        <w:pStyle w:val="Reference"/>
      </w:pPr>
      <w:r>
        <w:t xml:space="preserve">Tierney, E., O’Sullivan, M., Hickey, L., Hannigan, A., May, C., Cullen, W., Kennedy, N., Kineen, L. and MacFarlane, A. 2016, ‘Do primary care professionals agree about progress with implementation of primary care teams: results from a cross sectional study’, </w:t>
      </w:r>
      <w:r>
        <w:rPr>
          <w:i/>
          <w:iCs/>
        </w:rPr>
        <w:t>BMC family practice</w:t>
      </w:r>
      <w:r>
        <w:t>, vol. 17, no. 1, p. 163.</w:t>
      </w:r>
    </w:p>
    <w:p w14:paraId="1EA39606" w14:textId="77777777" w:rsidR="00767039" w:rsidRDefault="00767039" w:rsidP="00F576FE">
      <w:pPr>
        <w:pStyle w:val="Reference"/>
      </w:pPr>
      <w:r>
        <w:t xml:space="preserve">Timmins, N. and Ham, C. 2013, </w:t>
      </w:r>
      <w:r>
        <w:rPr>
          <w:i/>
          <w:iCs/>
        </w:rPr>
        <w:t>The quest for integrated health and social care. A case study in Canterbury, New Zealand</w:t>
      </w:r>
      <w:r>
        <w:t>, 12 September, The King’s Fund, London.</w:t>
      </w:r>
    </w:p>
    <w:p w14:paraId="1EA39607" w14:textId="77777777" w:rsidR="00767039" w:rsidRDefault="00767039" w:rsidP="00F576FE">
      <w:pPr>
        <w:pStyle w:val="Reference"/>
      </w:pPr>
      <w:r>
        <w:t xml:space="preserve">Ting, J. 2017, ‘Rising burden of emergency department congestion’, </w:t>
      </w:r>
      <w:r>
        <w:rPr>
          <w:i/>
          <w:iCs/>
        </w:rPr>
        <w:t>MJA InSight</w:t>
      </w:r>
      <w:r>
        <w:t>, no. 3, https://www.doctorportal.com.au/mjainsight/2017/3/rising-burden-of-emergency-department-congestion/ (accessed 9 May 2017).</w:t>
      </w:r>
    </w:p>
    <w:p w14:paraId="1EA39608" w14:textId="77777777" w:rsidR="00767039" w:rsidRDefault="00767039" w:rsidP="00F576FE">
      <w:pPr>
        <w:pStyle w:val="Reference"/>
      </w:pPr>
      <w:r>
        <w:t xml:space="preserve">Tomlinson, J. 2014, ‘Lessons from “the other side”: teaching and learning from doctors’ illness narratives’, </w:t>
      </w:r>
      <w:r>
        <w:rPr>
          <w:i/>
          <w:iCs/>
        </w:rPr>
        <w:t>BMJ</w:t>
      </w:r>
      <w:r>
        <w:t>.</w:t>
      </w:r>
    </w:p>
    <w:p w14:paraId="1EA39609" w14:textId="77777777" w:rsidR="00767039" w:rsidRDefault="00767039" w:rsidP="00F576FE">
      <w:pPr>
        <w:pStyle w:val="Reference"/>
      </w:pPr>
      <w:r>
        <w:t xml:space="preserve">Topol, E. 2016, </w:t>
      </w:r>
      <w:r>
        <w:rPr>
          <w:i/>
          <w:iCs/>
        </w:rPr>
        <w:t>The Patient Will See You Now: The Future of Medicine Is in Your Hands</w:t>
      </w:r>
      <w:r>
        <w:t>, Basic Books, New York.</w:t>
      </w:r>
    </w:p>
    <w:p w14:paraId="1EA3960A" w14:textId="77777777" w:rsidR="00767039" w:rsidRDefault="00767039" w:rsidP="00F576FE">
      <w:pPr>
        <w:pStyle w:val="Reference"/>
      </w:pPr>
      <w:r>
        <w:t xml:space="preserve">Towers, A., Philipp, M., Dulin, P. and Allen, J. 2016, ‘The “Health Benefits” of Moderate Drinking in Older Adults may be Better Explained by Socioeconomic Status’, </w:t>
      </w:r>
      <w:r>
        <w:rPr>
          <w:i/>
          <w:iCs/>
        </w:rPr>
        <w:t>The Journals of Gerontology. Series B</w:t>
      </w:r>
      <w:r>
        <w:t>, 7 December.</w:t>
      </w:r>
    </w:p>
    <w:p w14:paraId="1EA3960B" w14:textId="5068825E" w:rsidR="00767039" w:rsidRDefault="00767039" w:rsidP="00F576FE">
      <w:pPr>
        <w:pStyle w:val="Reference"/>
      </w:pPr>
      <w:r>
        <w:t xml:space="preserve">UKLGA </w:t>
      </w:r>
      <w:r w:rsidR="004B35CE">
        <w:t>(</w:t>
      </w:r>
      <w:r w:rsidR="004B35CE" w:rsidRPr="004B35CE">
        <w:t>UK Local Government Association</w:t>
      </w:r>
      <w:r w:rsidR="004B35CE">
        <w:t xml:space="preserve">) </w:t>
      </w:r>
      <w:r>
        <w:t xml:space="preserve">2016, </w:t>
      </w:r>
      <w:r>
        <w:rPr>
          <w:i/>
          <w:iCs/>
        </w:rPr>
        <w:t>Combating loneliness: A guide for local authorities</w:t>
      </w:r>
      <w:r>
        <w:t>.</w:t>
      </w:r>
    </w:p>
    <w:p w14:paraId="1EA3960D" w14:textId="3733C485" w:rsidR="00767039" w:rsidRDefault="00767039" w:rsidP="00F576FE">
      <w:pPr>
        <w:pStyle w:val="Reference"/>
      </w:pPr>
      <w:r>
        <w:t>Ulrich, R. 2007, ‘Effects of Single versus Multi-bed Accommodation and Outcomes’, presented at Symposium on Single B</w:t>
      </w:r>
      <w:r w:rsidR="00D46486">
        <w:t>ed Ward Accommodation, Cardiff.</w:t>
      </w:r>
    </w:p>
    <w:p w14:paraId="1EA3960E" w14:textId="77777777" w:rsidR="00767039" w:rsidRDefault="00767039" w:rsidP="00F576FE">
      <w:pPr>
        <w:pStyle w:val="Reference"/>
      </w:pPr>
      <w:r>
        <w:t xml:space="preserve">Valtorta, N.K., Kanaan, M., Gilbody, S., Ronzi, S. and Hanratty, B. 2016, ‘Loneliness and social isolation as risk factors for coronary heart disease and stroke: systematic review and meta-analysis of longitudinal observational studies’, </w:t>
      </w:r>
      <w:r>
        <w:rPr>
          <w:i/>
          <w:iCs/>
        </w:rPr>
        <w:t>BMJ Heart</w:t>
      </w:r>
      <w:r>
        <w:t>, vol. 102, no. 13, pp. 1009–1016.</w:t>
      </w:r>
    </w:p>
    <w:p w14:paraId="1EA3960F" w14:textId="77777777" w:rsidR="00767039" w:rsidRDefault="00767039" w:rsidP="00F576FE">
      <w:pPr>
        <w:pStyle w:val="Reference"/>
      </w:pPr>
      <w:r>
        <w:t xml:space="preserve">Van der Spiegel, S. 2013, ‘Economic costs and benefits of transplantation’, presented at the </w:t>
      </w:r>
      <w:r>
        <w:rPr>
          <w:i/>
          <w:iCs/>
        </w:rPr>
        <w:t>Journalist workshop on Organ Donation and Transplantation</w:t>
      </w:r>
      <w:r>
        <w:t>, European Commission, 7 October.</w:t>
      </w:r>
    </w:p>
    <w:p w14:paraId="1EA39610" w14:textId="77777777" w:rsidR="00767039" w:rsidRDefault="00767039" w:rsidP="00F576FE">
      <w:pPr>
        <w:pStyle w:val="Reference"/>
      </w:pPr>
      <w:r>
        <w:t xml:space="preserve">Vandenberg, B. and Sharma, A. 2016, ‘Are Alcohol Taxation and Pricing Policies Regressive? Product-Level Effects of a Specific Tax and a Minimum Unit Price for Alcohol’, </w:t>
      </w:r>
      <w:r>
        <w:rPr>
          <w:i/>
          <w:iCs/>
        </w:rPr>
        <w:t>Alcohol and Alcoholism</w:t>
      </w:r>
      <w:r>
        <w:t>, vol. 51, no. 4, pp. 493–502.</w:t>
      </w:r>
    </w:p>
    <w:p w14:paraId="1EA39614" w14:textId="5CA0A27C" w:rsidR="00767039" w:rsidRDefault="00767039" w:rsidP="00F576FE">
      <w:pPr>
        <w:pStyle w:val="Reference"/>
      </w:pPr>
      <w:r>
        <w:t xml:space="preserve">Vic DHS </w:t>
      </w:r>
      <w:r w:rsidR="00906D9C">
        <w:t xml:space="preserve">(Victorian Department of Human Services) </w:t>
      </w:r>
      <w:r>
        <w:t xml:space="preserve">2006, </w:t>
      </w:r>
      <w:r>
        <w:rPr>
          <w:i/>
          <w:iCs/>
        </w:rPr>
        <w:t>Improving care: Hospital Admission Risk Program: Public Report</w:t>
      </w:r>
      <w:r>
        <w:t>, Public Report, August.</w:t>
      </w:r>
    </w:p>
    <w:p w14:paraId="1EA39615" w14:textId="66A753D5" w:rsidR="00767039" w:rsidRDefault="00725CDA" w:rsidP="00F576FE">
      <w:pPr>
        <w:pStyle w:val="Reference"/>
      </w:pPr>
      <w:r>
        <w:t>VicDHHS</w:t>
      </w:r>
      <w:r w:rsidR="000E59D9">
        <w:t xml:space="preserve"> </w:t>
      </w:r>
      <w:r>
        <w:t xml:space="preserve">(Victorian Department of Health and Human Services) </w:t>
      </w:r>
      <w:r w:rsidR="00767039">
        <w:t>——</w:t>
      </w:r>
      <w:r w:rsidR="00050D33">
        <w:t> </w:t>
      </w:r>
      <w:r w:rsidR="00767039">
        <w:t xml:space="preserve">2009, </w:t>
      </w:r>
      <w:r w:rsidR="00767039">
        <w:rPr>
          <w:i/>
          <w:iCs/>
        </w:rPr>
        <w:t>Guide to developing an optimal business model for general practice in community health</w:t>
      </w:r>
      <w:r w:rsidR="00767039">
        <w:t>, February, Victorian Government.</w:t>
      </w:r>
    </w:p>
    <w:p w14:paraId="1EA39616" w14:textId="4469FC36" w:rsidR="00767039" w:rsidRDefault="000E59D9" w:rsidP="00F576FE">
      <w:pPr>
        <w:pStyle w:val="Reference"/>
      </w:pPr>
      <w:r>
        <w:t>——</w:t>
      </w:r>
      <w:r w:rsidR="00050D33">
        <w:t> </w:t>
      </w:r>
      <w:r w:rsidR="00767039">
        <w:t xml:space="preserve">2011, </w:t>
      </w:r>
      <w:r w:rsidR="00767039">
        <w:rPr>
          <w:i/>
          <w:iCs/>
        </w:rPr>
        <w:t>Final report: Evaluation of the Council of Australian Governments Long Stay Older Patients (COAG LSOP) Victorian Initiative 2006-10</w:t>
      </w:r>
      <w:r w:rsidR="00767039">
        <w:t>, Final Report, 17 October, Victorian Government.</w:t>
      </w:r>
    </w:p>
    <w:p w14:paraId="32D8F4D4" w14:textId="4E2ADE7B" w:rsidR="00B61BAD" w:rsidRDefault="00B61BAD" w:rsidP="00F576FE">
      <w:pPr>
        <w:pStyle w:val="Reference"/>
      </w:pPr>
      <w:r>
        <w:t>——</w:t>
      </w:r>
      <w:r w:rsidR="00050D33">
        <w:t> </w:t>
      </w:r>
      <w:r>
        <w:t xml:space="preserve">2015, </w:t>
      </w:r>
      <w:r>
        <w:rPr>
          <w:i/>
          <w:iCs/>
        </w:rPr>
        <w:t>High-performing health services: Victorian health service performance monitoring framework 2015</w:t>
      </w:r>
      <w:r w:rsidR="0047788E">
        <w:rPr>
          <w:i/>
          <w:iCs/>
        </w:rPr>
        <w:noBreakHyphen/>
      </w:r>
      <w:r>
        <w:rPr>
          <w:i/>
          <w:iCs/>
        </w:rPr>
        <w:t>16</w:t>
      </w:r>
      <w:r>
        <w:t>, August, Victorian Government.</w:t>
      </w:r>
    </w:p>
    <w:p w14:paraId="1EA39617" w14:textId="212B63CC" w:rsidR="00767039" w:rsidRDefault="00767039" w:rsidP="00F576FE">
      <w:pPr>
        <w:pStyle w:val="Reference"/>
      </w:pPr>
      <w:r>
        <w:t>——</w:t>
      </w:r>
      <w:r w:rsidR="00050D33">
        <w:t> </w:t>
      </w:r>
      <w:r>
        <w:t xml:space="preserve">2016a, </w:t>
      </w:r>
      <w:r>
        <w:rPr>
          <w:i/>
          <w:iCs/>
        </w:rPr>
        <w:t>Carrington Health case study: Care delivery models that integrate with specialist services</w:t>
      </w:r>
      <w:r>
        <w:t>, November.</w:t>
      </w:r>
    </w:p>
    <w:p w14:paraId="1EA39618" w14:textId="33BD201F" w:rsidR="00767039" w:rsidRDefault="00767039" w:rsidP="00F576FE">
      <w:pPr>
        <w:pStyle w:val="Reference"/>
      </w:pPr>
      <w:r>
        <w:t>——</w:t>
      </w:r>
      <w:r w:rsidR="00050D33">
        <w:t> </w:t>
      </w:r>
      <w:r>
        <w:t xml:space="preserve">2016b, </w:t>
      </w:r>
      <w:r w:rsidR="00822856">
        <w:rPr>
          <w:i/>
          <w:iCs/>
        </w:rPr>
        <w:t>C</w:t>
      </w:r>
      <w:r>
        <w:rPr>
          <w:i/>
          <w:iCs/>
        </w:rPr>
        <w:t>ohealth case study: New model of care for people with chronic conditions</w:t>
      </w:r>
      <w:r>
        <w:t>, Case Study, November.</w:t>
      </w:r>
    </w:p>
    <w:p w14:paraId="1EA39619" w14:textId="294E96A7" w:rsidR="00767039" w:rsidRDefault="00767039" w:rsidP="00F576FE">
      <w:pPr>
        <w:pStyle w:val="Reference"/>
      </w:pPr>
      <w:r>
        <w:t>——</w:t>
      </w:r>
      <w:r w:rsidR="00050D33">
        <w:t> </w:t>
      </w:r>
      <w:r>
        <w:t xml:space="preserve">2016c, </w:t>
      </w:r>
      <w:r>
        <w:rPr>
          <w:i/>
          <w:iCs/>
        </w:rPr>
        <w:t>Dianella case study: Supporting integration of diabetes care</w:t>
      </w:r>
      <w:r>
        <w:t>, Case Study, November.</w:t>
      </w:r>
    </w:p>
    <w:p w14:paraId="1EA3961A" w14:textId="632FD512" w:rsidR="00767039" w:rsidRDefault="00767039" w:rsidP="00F576FE">
      <w:pPr>
        <w:pStyle w:val="Reference"/>
      </w:pPr>
      <w:r>
        <w:t>——</w:t>
      </w:r>
      <w:r w:rsidR="00050D33">
        <w:t> </w:t>
      </w:r>
      <w:r>
        <w:t xml:space="preserve">2016d, </w:t>
      </w:r>
      <w:r>
        <w:rPr>
          <w:i/>
          <w:iCs/>
        </w:rPr>
        <w:t>Inner South Community Health case study: Implementing a new model of practice</w:t>
      </w:r>
      <w:r>
        <w:t>, Case Study, November.</w:t>
      </w:r>
    </w:p>
    <w:p w14:paraId="1EA3961B" w14:textId="34AD9E04" w:rsidR="00767039" w:rsidRDefault="00767039" w:rsidP="00F576FE">
      <w:pPr>
        <w:pStyle w:val="Reference"/>
      </w:pPr>
      <w:r>
        <w:t>——</w:t>
      </w:r>
      <w:r w:rsidR="00050D33">
        <w:t> </w:t>
      </w:r>
      <w:r>
        <w:t xml:space="preserve">2016e, </w:t>
      </w:r>
      <w:r>
        <w:rPr>
          <w:i/>
          <w:iCs/>
        </w:rPr>
        <w:t>Latrobe Community Health Case Study</w:t>
      </w:r>
      <w:r>
        <w:t>, November, Victorian Government.</w:t>
      </w:r>
    </w:p>
    <w:p w14:paraId="1EA3961C" w14:textId="626AA4DE" w:rsidR="00767039" w:rsidRDefault="00767039" w:rsidP="00F576FE">
      <w:pPr>
        <w:pStyle w:val="Reference"/>
      </w:pPr>
      <w:r>
        <w:t>——</w:t>
      </w:r>
      <w:r w:rsidR="00050D33">
        <w:t> </w:t>
      </w:r>
      <w:r>
        <w:t xml:space="preserve">2016f, </w:t>
      </w:r>
      <w:r>
        <w:rPr>
          <w:i/>
          <w:iCs/>
        </w:rPr>
        <w:t>Wimmera hub and spoke model case study: Improving access to cardiac rehabilitation in rural communities</w:t>
      </w:r>
      <w:r>
        <w:t>, Case Study, November.</w:t>
      </w:r>
    </w:p>
    <w:p w14:paraId="058E9910" w14:textId="1AD23686" w:rsidR="00906D9C" w:rsidRDefault="00906D9C" w:rsidP="00F576FE">
      <w:pPr>
        <w:pStyle w:val="Reference"/>
      </w:pPr>
      <w:r>
        <w:t>——</w:t>
      </w:r>
      <w:r w:rsidR="00050D33">
        <w:t> </w:t>
      </w:r>
      <w:r>
        <w:t xml:space="preserve">2017, </w:t>
      </w:r>
      <w:r>
        <w:rPr>
          <w:i/>
          <w:iCs/>
        </w:rPr>
        <w:t>Community Health Program in Victoria</w:t>
      </w:r>
      <w:r>
        <w:t>, Victorian Government</w:t>
      </w:r>
    </w:p>
    <w:p w14:paraId="6647A225" w14:textId="77777777" w:rsidR="009776BC" w:rsidRDefault="009776BC" w:rsidP="009776BC">
      <w:pPr>
        <w:pStyle w:val="Reference"/>
      </w:pPr>
      <w:r>
        <w:t>VicHealth (</w:t>
      </w:r>
      <w:r w:rsidRPr="002D7083">
        <w:t>Victorian Health Promotion Foundation</w:t>
      </w:r>
      <w:r>
        <w:t xml:space="preserve">) 2009, </w:t>
      </w:r>
      <w:r>
        <w:rPr>
          <w:i/>
          <w:iCs/>
        </w:rPr>
        <w:t>Fairer health: Case studies on improving health for all</w:t>
      </w:r>
      <w:r>
        <w:t>, Case study, Victorian Government.</w:t>
      </w:r>
    </w:p>
    <w:p w14:paraId="65245143" w14:textId="5DDA5BBB" w:rsidR="009776BC" w:rsidRDefault="009776BC" w:rsidP="009776BC">
      <w:pPr>
        <w:pStyle w:val="Reference"/>
      </w:pPr>
      <w:r>
        <w:t>——</w:t>
      </w:r>
      <w:r w:rsidR="00050D33">
        <w:t> </w:t>
      </w:r>
      <w:r>
        <w:t xml:space="preserve">2016, </w:t>
      </w:r>
      <w:r>
        <w:rPr>
          <w:i/>
          <w:iCs/>
        </w:rPr>
        <w:t>Behavioural insights and healthier lives</w:t>
      </w:r>
      <w:r>
        <w:t>, Victorian Government.</w:t>
      </w:r>
    </w:p>
    <w:p w14:paraId="1EA3961E" w14:textId="77777777" w:rsidR="00767039" w:rsidRDefault="00767039" w:rsidP="00F576FE">
      <w:pPr>
        <w:pStyle w:val="Reference"/>
      </w:pPr>
      <w:r>
        <w:t xml:space="preserve">Volandes, A.E. and Paasche-Orlow, M.K. 2007, ‘Health literacy, health inequality and a just healthcare system’, </w:t>
      </w:r>
      <w:r>
        <w:rPr>
          <w:i/>
          <w:iCs/>
        </w:rPr>
        <w:t>The American journal of bioethics</w:t>
      </w:r>
      <w:r>
        <w:t>, vol. 7, no. 11, pp. 5–10.</w:t>
      </w:r>
    </w:p>
    <w:p w14:paraId="1EA3961F" w14:textId="77777777" w:rsidR="00767039" w:rsidRDefault="00767039" w:rsidP="00F576FE">
      <w:pPr>
        <w:pStyle w:val="Reference"/>
      </w:pPr>
      <w:r>
        <w:t xml:space="preserve">Volker, N., Williams, L.T., Davey, R.C., Cochrane, T. and Clancy, T. 2017, ‘Implementation of cardiovascular disease prevention in primary health care: enhancing understanding using normalisation process theory’, </w:t>
      </w:r>
      <w:r>
        <w:rPr>
          <w:i/>
          <w:iCs/>
        </w:rPr>
        <w:t>BMC Family Practice</w:t>
      </w:r>
      <w:r>
        <w:t>, vol. 18, p. 28.</w:t>
      </w:r>
    </w:p>
    <w:p w14:paraId="1EA39620" w14:textId="77777777" w:rsidR="00767039" w:rsidRDefault="00767039" w:rsidP="00F576FE">
      <w:pPr>
        <w:pStyle w:val="Reference"/>
      </w:pPr>
      <w:r>
        <w:t xml:space="preserve">Volpp, K.G., Troxel, A.B., Pauly, M.V., Glick, H.A., Puig, A., Asch, D.A., Galvin, R., Zhu, J., Wan, F., DeGuzman, J., Corbett, E., Weiner, J. and Audrain-McGovern, J. 2009, ‘A Randomized, Controlled Trial of Financial Incentives for Smoking Cessation’, </w:t>
      </w:r>
      <w:r>
        <w:rPr>
          <w:i/>
          <w:iCs/>
        </w:rPr>
        <w:t>New England Journal of Medicine</w:t>
      </w:r>
      <w:r>
        <w:t>, vol. 360, no. 7, pp. 699–709.</w:t>
      </w:r>
    </w:p>
    <w:p w14:paraId="1EA39621" w14:textId="708AC0AB" w:rsidR="00767039" w:rsidRDefault="00767039" w:rsidP="00F576FE">
      <w:pPr>
        <w:pStyle w:val="Reference"/>
      </w:pPr>
      <w:r>
        <w:t xml:space="preserve">WA DoH </w:t>
      </w:r>
      <w:r w:rsidR="00E20EA5">
        <w:t xml:space="preserve">(Western Australia Department of Health) </w:t>
      </w:r>
      <w:r>
        <w:t xml:space="preserve">2011, </w:t>
      </w:r>
      <w:r>
        <w:rPr>
          <w:i/>
          <w:iCs/>
        </w:rPr>
        <w:t>Primary Health Care Strategy</w:t>
      </w:r>
      <w:r>
        <w:t>, Western Australian Government.</w:t>
      </w:r>
    </w:p>
    <w:p w14:paraId="1EA39622" w14:textId="23493692" w:rsidR="00767039" w:rsidRDefault="00767039" w:rsidP="00F576FE">
      <w:pPr>
        <w:pStyle w:val="Reference"/>
      </w:pPr>
      <w:r>
        <w:t>——</w:t>
      </w:r>
      <w:r w:rsidR="00050D33">
        <w:t> </w:t>
      </w:r>
      <w:r>
        <w:t xml:space="preserve">2016, </w:t>
      </w:r>
      <w:r>
        <w:rPr>
          <w:i/>
          <w:iCs/>
        </w:rPr>
        <w:t>Implementation of models of care and frameworks - progress report 2015</w:t>
      </w:r>
      <w:r>
        <w:t>, Western Australian Government.</w:t>
      </w:r>
    </w:p>
    <w:p w14:paraId="1EA39623" w14:textId="5E5C36B6" w:rsidR="00767039" w:rsidRDefault="00767039" w:rsidP="00F576FE">
      <w:pPr>
        <w:pStyle w:val="Reference"/>
      </w:pPr>
      <w:r>
        <w:t xml:space="preserve">WA PHA </w:t>
      </w:r>
      <w:r w:rsidR="00E20EA5">
        <w:t>(</w:t>
      </w:r>
      <w:r w:rsidR="00E20EA5" w:rsidRPr="00E20EA5">
        <w:t>Western Australian Primary Health Alliance</w:t>
      </w:r>
      <w:r w:rsidR="00E20EA5">
        <w:t xml:space="preserve">) </w:t>
      </w:r>
      <w:r>
        <w:t xml:space="preserve">2016, </w:t>
      </w:r>
      <w:r>
        <w:rPr>
          <w:i/>
          <w:iCs/>
        </w:rPr>
        <w:t>Comprehensive Primary Care: What Patient Centred Medical Home models mean for Australian primary health care</w:t>
      </w:r>
      <w:r>
        <w:t>, September.</w:t>
      </w:r>
    </w:p>
    <w:p w14:paraId="1EA39624" w14:textId="77777777" w:rsidR="00767039" w:rsidRDefault="00767039" w:rsidP="00F576FE">
      <w:pPr>
        <w:pStyle w:val="Reference"/>
      </w:pPr>
      <w:r>
        <w:t xml:space="preserve">Wagenaar, A.C., Salois, M.J. and Komro, K.A. 2009, ‘Effects of beverage alcohol price and tax levels on drinking: a meta-analysis of 1003 estimates from 112 studies’, </w:t>
      </w:r>
      <w:r>
        <w:rPr>
          <w:i/>
          <w:iCs/>
        </w:rPr>
        <w:t>Addiction (Abingdon, England)</w:t>
      </w:r>
      <w:r>
        <w:t>, vol. 104, no. 2, pp. 179–190.</w:t>
      </w:r>
    </w:p>
    <w:p w14:paraId="1EA39625" w14:textId="77777777" w:rsidR="00767039" w:rsidRDefault="00767039" w:rsidP="00F576FE">
      <w:pPr>
        <w:pStyle w:val="Reference"/>
      </w:pPr>
      <w:r>
        <w:t xml:space="preserve">Wammes, J.J.G., van den Akker-van Marle, M.E., Verkerk, E.W., van Dulmen, S.A., Westert, G.P., van Asselt, A.D.I. and Kool, R.B. 2016, ‘Identifying and prioritizing lower value services from Dutch specialist guidelines and a comparison with the UK do-not-do list’, </w:t>
      </w:r>
      <w:r>
        <w:rPr>
          <w:i/>
          <w:iCs/>
        </w:rPr>
        <w:t>BMC Medicine</w:t>
      </w:r>
      <w:r>
        <w:t>, vol. 14, no. 196.</w:t>
      </w:r>
    </w:p>
    <w:p w14:paraId="1EA39626" w14:textId="77777777" w:rsidR="00767039" w:rsidRDefault="00767039" w:rsidP="00F576FE">
      <w:pPr>
        <w:pStyle w:val="Reference"/>
      </w:pPr>
      <w:r>
        <w:t xml:space="preserve">Weber, M., Yap, S., Goldsbury, D., Manners, D., Tammemagi, M., Marshall, H., Brims, F., McWilliams, A., Fong, K., Kang, Y.J., Caruana, M., Banks, E. and Canfell, K. 2017, ‘Identifying high risk individuals for targeted lung cancer screening: Independent validation of the PLCOm2012 risk prediction tool’, </w:t>
      </w:r>
      <w:r>
        <w:rPr>
          <w:i/>
          <w:iCs/>
        </w:rPr>
        <w:t>International Journal of Cancer</w:t>
      </w:r>
      <w:r>
        <w:t>, vol. 141, no. 2, pp. 242–253.</w:t>
      </w:r>
    </w:p>
    <w:p w14:paraId="1EA39627" w14:textId="77777777" w:rsidR="00767039" w:rsidRDefault="00767039" w:rsidP="00F576FE">
      <w:pPr>
        <w:pStyle w:val="Reference"/>
      </w:pPr>
      <w:r>
        <w:t xml:space="preserve">Weiss, B.D., Mays, M.Z., Martz, W., Castro, K.M., DeWalt, D.A., Pignone, M.P., Mockbee, J. and Hale, F.A. 2005, ‘Quick Assessment of Literacy in Primary Care: The Newest Vital Sign’, </w:t>
      </w:r>
      <w:r>
        <w:rPr>
          <w:i/>
          <w:iCs/>
        </w:rPr>
        <w:t>Annals of Family Medicine</w:t>
      </w:r>
      <w:r>
        <w:t>, vol. 3, no. 6, pp. 514–522.</w:t>
      </w:r>
    </w:p>
    <w:p w14:paraId="1EA39628" w14:textId="77777777" w:rsidR="00767039" w:rsidRDefault="00767039" w:rsidP="00F576FE">
      <w:pPr>
        <w:pStyle w:val="Reference"/>
      </w:pPr>
      <w:r>
        <w:t xml:space="preserve">Welch, K.A. 2017, ‘Alcohol consumption and brain health’, </w:t>
      </w:r>
      <w:r>
        <w:rPr>
          <w:i/>
          <w:iCs/>
        </w:rPr>
        <w:t>BMJ</w:t>
      </w:r>
      <w:r>
        <w:t>, vol. 357, p. j2645.</w:t>
      </w:r>
    </w:p>
    <w:p w14:paraId="1EA39629" w14:textId="77777777" w:rsidR="00767039" w:rsidRDefault="00767039" w:rsidP="00F576FE">
      <w:pPr>
        <w:pStyle w:val="Reference"/>
      </w:pPr>
      <w:r>
        <w:t xml:space="preserve">Wentworth Healthcare 2017, </w:t>
      </w:r>
      <w:r>
        <w:rPr>
          <w:i/>
          <w:iCs/>
        </w:rPr>
        <w:t>MBS incentives for chronic disease prevention and management</w:t>
      </w:r>
      <w:r>
        <w:t>.</w:t>
      </w:r>
    </w:p>
    <w:p w14:paraId="1EA3962A" w14:textId="022ADA6F" w:rsidR="00767039" w:rsidRDefault="00767039" w:rsidP="00F576FE">
      <w:pPr>
        <w:pStyle w:val="Reference"/>
      </w:pPr>
      <w:r>
        <w:t xml:space="preserve">WHO </w:t>
      </w:r>
      <w:r w:rsidR="00BD1CEB">
        <w:t xml:space="preserve">(World Health Organisation) </w:t>
      </w:r>
      <w:r>
        <w:t xml:space="preserve">2014, </w:t>
      </w:r>
      <w:r>
        <w:rPr>
          <w:i/>
          <w:iCs/>
        </w:rPr>
        <w:t>Global status report on alcohol and health 2014</w:t>
      </w:r>
      <w:r>
        <w:t>, May.</w:t>
      </w:r>
    </w:p>
    <w:p w14:paraId="1EA3962B" w14:textId="77777777" w:rsidR="00767039" w:rsidRDefault="00767039" w:rsidP="00F576FE">
      <w:pPr>
        <w:pStyle w:val="Reference"/>
      </w:pPr>
      <w:r>
        <w:t xml:space="preserve">Wildon, P. 2014, </w:t>
      </w:r>
      <w:r>
        <w:rPr>
          <w:i/>
          <w:iCs/>
        </w:rPr>
        <w:t>Frequent User Initiative</w:t>
      </w:r>
      <w:r>
        <w:t>, Ambulance Service of NSW.</w:t>
      </w:r>
    </w:p>
    <w:p w14:paraId="1EA3962C" w14:textId="77777777" w:rsidR="00767039" w:rsidRDefault="00767039" w:rsidP="00F576FE">
      <w:pPr>
        <w:pStyle w:val="Reference"/>
      </w:pPr>
      <w:r>
        <w:t xml:space="preserve">Willett, K. 2015, </w:t>
      </w:r>
      <w:r>
        <w:rPr>
          <w:i/>
          <w:iCs/>
        </w:rPr>
        <w:t>Tackling loneliness helps pensioners and the NHS this winter</w:t>
      </w:r>
      <w:r>
        <w:t>, 17 November, NHS England.</w:t>
      </w:r>
    </w:p>
    <w:p w14:paraId="1EA3962D" w14:textId="77777777" w:rsidR="00767039" w:rsidRDefault="00767039" w:rsidP="00F576FE">
      <w:pPr>
        <w:pStyle w:val="Reference"/>
      </w:pPr>
      <w:r>
        <w:t xml:space="preserve">Williams, K., Sansoni, J., Morris, D., Grootemaat, P. and Thompson, C. 2016a, </w:t>
      </w:r>
      <w:r>
        <w:rPr>
          <w:i/>
          <w:iCs/>
        </w:rPr>
        <w:t>Patient-reported outcome measures: Literature review</w:t>
      </w:r>
      <w:r>
        <w:t>, ACSQHC.</w:t>
      </w:r>
    </w:p>
    <w:p w14:paraId="1EA3962E" w14:textId="77777777" w:rsidR="00767039" w:rsidRDefault="00767039" w:rsidP="00F576FE">
      <w:pPr>
        <w:pStyle w:val="Reference"/>
      </w:pPr>
      <w:r>
        <w:t xml:space="preserve">Williams, S., O’Meara, L., Ames, K., Saluja, S., Lawson, C. and Vandelanotte, C. 2016b, </w:t>
      </w:r>
      <w:r>
        <w:rPr>
          <w:i/>
          <w:iCs/>
        </w:rPr>
        <w:t>Improving health literacy of Australian adults: What do we need to do?</w:t>
      </w:r>
      <w:r>
        <w:t>, 14 October, Central Queensland University.</w:t>
      </w:r>
    </w:p>
    <w:p w14:paraId="1EA3962F" w14:textId="77777777" w:rsidR="00767039" w:rsidRDefault="00767039" w:rsidP="00F576FE">
      <w:pPr>
        <w:pStyle w:val="Reference"/>
      </w:pPr>
      <w:r>
        <w:t xml:space="preserve">Wong, G., Howard, K., Chapman, J.R., Chadban, S., Cross, N., Tong, A., Webster, A.C. and Craig, J.C. 2012, ‘Comparative Survival and Economic Benefits of Deceased Donor Kidney Transplantation and Dialysis in People with Varying Ages and Co-Morbidities’, </w:t>
      </w:r>
      <w:r>
        <w:rPr>
          <w:i/>
          <w:iCs/>
        </w:rPr>
        <w:t>PLoS ONE</w:t>
      </w:r>
      <w:r>
        <w:t>, vol. 7, no. 1.</w:t>
      </w:r>
    </w:p>
    <w:p w14:paraId="1EA39630" w14:textId="77777777" w:rsidR="00767039" w:rsidRDefault="00767039" w:rsidP="00F576FE">
      <w:pPr>
        <w:pStyle w:val="Reference"/>
      </w:pPr>
      <w:r>
        <w:t xml:space="preserve">Wong, P.D., Dave, M.G., Tulloch, T., Feldman, M.L., Ford-Jones, E.L., Parkin, P.C., Tetley, A. and Moodie, R.G. 2015, ‘Community health centres: Potential opportunities for community paediatrics. From interprofessional clinical care to board governance’, </w:t>
      </w:r>
      <w:r>
        <w:rPr>
          <w:i/>
          <w:iCs/>
        </w:rPr>
        <w:t>Paediatrics &amp; Child Health</w:t>
      </w:r>
      <w:r>
        <w:t>, vol. 20, no. 1, pp. 12–14.</w:t>
      </w:r>
    </w:p>
    <w:p w14:paraId="1EA39631" w14:textId="77777777" w:rsidR="00767039" w:rsidRDefault="00767039" w:rsidP="00F576FE">
      <w:pPr>
        <w:pStyle w:val="Reference"/>
      </w:pPr>
      <w:r>
        <w:t xml:space="preserve">Woodley, N. 2017, </w:t>
      </w:r>
      <w:r>
        <w:rPr>
          <w:i/>
          <w:iCs/>
        </w:rPr>
        <w:t>CSIRO says red tape holding back Australia’s medical technology, pharmaceutical industries</w:t>
      </w:r>
      <w:r>
        <w:t>, 4 April, Australian Broadcasting Commission.</w:t>
      </w:r>
    </w:p>
    <w:p w14:paraId="1EA39632" w14:textId="77777777" w:rsidR="00767039" w:rsidRDefault="00767039" w:rsidP="00F576FE">
      <w:pPr>
        <w:pStyle w:val="Reference"/>
      </w:pPr>
      <w:r>
        <w:t>Worthington, J. 2014, ‘Evaluation of the state</w:t>
      </w:r>
      <w:r>
        <w:rPr>
          <w:rFonts w:ascii="Cambria Math" w:hAnsi="Cambria Math" w:cs="Cambria Math"/>
        </w:rPr>
        <w:t>‐</w:t>
      </w:r>
      <w:r>
        <w:t>wide stroke thrombolysis program in NSW. Actions from the NSW Stroke Network 2014’, presented at Leadership Forum, NSW Agency for Clinical Innovation, 4 April.</w:t>
      </w:r>
    </w:p>
    <w:p w14:paraId="1EA39633" w14:textId="48F74092" w:rsidR="00767039" w:rsidRDefault="00767039" w:rsidP="00F576FE">
      <w:pPr>
        <w:pStyle w:val="Reference"/>
      </w:pPr>
      <w:r>
        <w:t>——</w:t>
      </w:r>
      <w:r w:rsidR="00050D33">
        <w:t> </w:t>
      </w:r>
      <w:r>
        <w:t>2016, ‘SCAP: Stroke Clinical Audit Process Assessing and addressing unwarranted clinical variation’, presented at Stroke: Reducing Unwarranted Clinical Variation Forum 2016, NSW Agency for Clinical Innovation, 28 April.</w:t>
      </w:r>
    </w:p>
    <w:p w14:paraId="1EA39634" w14:textId="77777777" w:rsidR="00767039" w:rsidRDefault="00767039" w:rsidP="00F576FE">
      <w:pPr>
        <w:pStyle w:val="Reference"/>
      </w:pPr>
      <w:r>
        <w:t xml:space="preserve">Wright, A., Smith, K.E. and Hellowell, M. 2017, ‘Policy lessons from health taxes: a systematic review of empirical studies’, </w:t>
      </w:r>
      <w:r>
        <w:rPr>
          <w:i/>
          <w:iCs/>
        </w:rPr>
        <w:t>BMC Public Health</w:t>
      </w:r>
      <w:r>
        <w:t>, vol. 17.</w:t>
      </w:r>
    </w:p>
    <w:p w14:paraId="1EA39635" w14:textId="21FA5644" w:rsidR="00767039" w:rsidRDefault="00767039" w:rsidP="00F576FE">
      <w:pPr>
        <w:pStyle w:val="Reference"/>
      </w:pPr>
      <w:r>
        <w:t xml:space="preserve">WSLHD and PHNWS </w:t>
      </w:r>
      <w:r w:rsidR="00BD1CEB">
        <w:t>(</w:t>
      </w:r>
      <w:r w:rsidR="00BD1CEB" w:rsidRPr="00BD1CEB">
        <w:t xml:space="preserve">Western Sydney Local Health District </w:t>
      </w:r>
      <w:r w:rsidR="00BD1CEB">
        <w:t xml:space="preserve">and </w:t>
      </w:r>
      <w:r w:rsidR="00BD1CEB" w:rsidRPr="00BD1CEB">
        <w:t>Primary Health Network Western Sydney</w:t>
      </w:r>
      <w:r w:rsidR="00BD1CEB">
        <w:t xml:space="preserve">) </w:t>
      </w:r>
      <w:r>
        <w:t xml:space="preserve">2016a, </w:t>
      </w:r>
      <w:r>
        <w:rPr>
          <w:i/>
          <w:iCs/>
        </w:rPr>
        <w:t>Laying the foundations: Integrated Care Demonstrator Midterm Report May 2016</w:t>
      </w:r>
      <w:r>
        <w:t>, May.</w:t>
      </w:r>
    </w:p>
    <w:p w14:paraId="1EA39636" w14:textId="42A9E5B8" w:rsidR="00767039" w:rsidRDefault="00767039" w:rsidP="00F576FE">
      <w:pPr>
        <w:pStyle w:val="Reference"/>
      </w:pPr>
      <w:r>
        <w:t>—— and ——</w:t>
      </w:r>
      <w:r w:rsidR="00050D33">
        <w:t> </w:t>
      </w:r>
      <w:r>
        <w:t xml:space="preserve">2016b, </w:t>
      </w:r>
      <w:r>
        <w:rPr>
          <w:i/>
          <w:iCs/>
        </w:rPr>
        <w:t>Taking the heat out of our diabetes hotspot: Western Sydney Diabetes Score Card</w:t>
      </w:r>
      <w:r>
        <w:t>.</w:t>
      </w:r>
    </w:p>
    <w:p w14:paraId="1EA39637" w14:textId="77777777" w:rsidR="00767039" w:rsidRDefault="00767039" w:rsidP="00F576FE">
      <w:pPr>
        <w:pStyle w:val="Reference"/>
      </w:pPr>
      <w:r>
        <w:t xml:space="preserve">Yadav, R. and Kobayashi, M. 2015, ‘A systematic review: effectiveness of mass media campaigns for reducing alcohol impaired driving and alcohol-related crashes’, </w:t>
      </w:r>
      <w:r>
        <w:rPr>
          <w:i/>
          <w:iCs/>
        </w:rPr>
        <w:t>BMC Public Health</w:t>
      </w:r>
      <w:r>
        <w:t>, vol. 15, no. 857.</w:t>
      </w:r>
    </w:p>
    <w:p w14:paraId="1EA39638" w14:textId="77777777" w:rsidR="00767039" w:rsidRDefault="00767039" w:rsidP="00F576FE">
      <w:pPr>
        <w:pStyle w:val="Reference"/>
      </w:pPr>
      <w:r>
        <w:t xml:space="preserve">Young, C., Edwards, C. and Singh, I. 2017, ‘Impact of Hospital Design on Acutely Unwell Patients with Dementia’, </w:t>
      </w:r>
      <w:r>
        <w:rPr>
          <w:i/>
          <w:iCs/>
        </w:rPr>
        <w:t>Geriatrics</w:t>
      </w:r>
      <w:r>
        <w:t>, vol. 2, no. 1, p. 4.</w:t>
      </w:r>
    </w:p>
    <w:p w14:paraId="1EA39639" w14:textId="77777777" w:rsidR="008D1331" w:rsidRDefault="00767039" w:rsidP="00F576FE">
      <w:pPr>
        <w:pStyle w:val="Reference"/>
      </w:pPr>
      <w:r>
        <w:t xml:space="preserve">Zhang, J., Donald, M., Baxter, K.A., Ware, R.S., Burridge, L., Russell, A.W. and Jackson, C.L. 2015, ‘Impact of an integrated model of care on potentially preventable hospitalizations for people with Type 2 diabetes mellitus’, </w:t>
      </w:r>
      <w:r>
        <w:rPr>
          <w:i/>
          <w:iCs/>
        </w:rPr>
        <w:t>Diabetic Medicine</w:t>
      </w:r>
      <w:r>
        <w:t>, no.</w:t>
      </w:r>
      <w:r w:rsidR="00F576FE">
        <w:t> 7, p. 872.</w:t>
      </w:r>
    </w:p>
    <w:sectPr w:rsidR="008D1331" w:rsidSect="00E6063C">
      <w:type w:val="oddPage"/>
      <w:pgSz w:w="11907" w:h="16840" w:code="9"/>
      <w:pgMar w:top="1985" w:right="1304" w:bottom="1247" w:left="1814" w:header="1701" w:footer="397" w:gutter="0"/>
      <w:pgNumType w:chapSep="period"/>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B15C97" w14:textId="77777777" w:rsidR="001C2773" w:rsidRDefault="001C2773">
      <w:r>
        <w:separator/>
      </w:r>
    </w:p>
  </w:endnote>
  <w:endnote w:type="continuationSeparator" w:id="0">
    <w:p w14:paraId="0B62C2B6" w14:textId="77777777" w:rsidR="001C2773" w:rsidRDefault="001C2773">
      <w:r>
        <w:continuationSeparator/>
      </w:r>
    </w:p>
  </w:endnote>
  <w:endnote w:type="continuationNotice" w:id="1">
    <w:p w14:paraId="02AD9A01" w14:textId="77777777" w:rsidR="001C2773" w:rsidRDefault="001C27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Neo Sans Std Medium">
    <w:altName w:val="Neo Sans Std Medium"/>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39672" w14:textId="77777777" w:rsidR="001C2773" w:rsidRDefault="001C2773" w:rsidP="0019293B">
    <w:pPr>
      <w:pStyle w:val="FooterEnd"/>
    </w:pPr>
  </w:p>
  <w:p w14:paraId="1EA39673" w14:textId="77777777" w:rsidR="001C2773" w:rsidRDefault="001C2773">
    <w:pPr>
      <w:pStyle w:val="FooterEn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1C2773" w14:paraId="1EA396BC" w14:textId="77777777" w:rsidTr="005F48ED">
      <w:trPr>
        <w:trHeight w:hRule="exact" w:val="567"/>
      </w:trPr>
      <w:tc>
        <w:tcPr>
          <w:tcW w:w="510" w:type="dxa"/>
        </w:tcPr>
        <w:p w14:paraId="1EA396B9" w14:textId="77777777" w:rsidR="001C2773" w:rsidRDefault="001C2773">
          <w:pPr>
            <w:pStyle w:val="Footer"/>
            <w:ind w:right="360" w:firstLine="360"/>
          </w:pPr>
        </w:p>
      </w:tc>
      <w:tc>
        <w:tcPr>
          <w:tcW w:w="7767" w:type="dxa"/>
        </w:tcPr>
        <w:p w14:paraId="1EA396BA" w14:textId="2ED6E739" w:rsidR="001C2773" w:rsidRPr="00BA5B14" w:rsidRDefault="001E2021" w:rsidP="005D7B2D">
          <w:pPr>
            <w:pStyle w:val="Footer"/>
            <w:jc w:val="right"/>
            <w:rPr>
              <w:rFonts w:cs="Arial"/>
            </w:rPr>
          </w:pPr>
          <w:bookmarkStart w:id="148" w:name="DraftReportOdd"/>
          <w:bookmarkEnd w:id="148"/>
          <w:r>
            <w:rPr>
              <w:rFonts w:cs="Arial"/>
            </w:rPr>
            <w:t>SP 5</w:t>
          </w:r>
          <w:r w:rsidR="001C2773">
            <w:rPr>
              <w:rFonts w:cs="Arial"/>
            </w:rPr>
            <w:t xml:space="preserve"> – integrated care in australia</w:t>
          </w:r>
        </w:p>
      </w:tc>
      <w:tc>
        <w:tcPr>
          <w:tcW w:w="510" w:type="dxa"/>
        </w:tcPr>
        <w:p w14:paraId="1EA396BB" w14:textId="77777777" w:rsidR="001C2773" w:rsidRPr="00A24443" w:rsidRDefault="001C2773">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B60A52">
            <w:rPr>
              <w:rStyle w:val="PageNumber"/>
              <w:caps w:val="0"/>
              <w:noProof/>
            </w:rPr>
            <w:t>205</w:t>
          </w:r>
          <w:r w:rsidRPr="00A24443">
            <w:rPr>
              <w:rStyle w:val="PageNumber"/>
              <w:caps w:val="0"/>
            </w:rPr>
            <w:fldChar w:fldCharType="end"/>
          </w:r>
        </w:p>
      </w:tc>
    </w:tr>
  </w:tbl>
  <w:p w14:paraId="1EA396BD" w14:textId="77777777" w:rsidR="001C2773" w:rsidRDefault="001C2773">
    <w:pPr>
      <w:pStyle w:val="FooterEnd"/>
    </w:pPr>
  </w:p>
  <w:p w14:paraId="1EA396BE" w14:textId="77777777" w:rsidR="001C2773" w:rsidRDefault="001C2773" w:rsidP="00C33974">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39678" w14:textId="77777777" w:rsidR="001C2773" w:rsidRDefault="001C2773">
    <w:pPr>
      <w:pStyle w:val="FooterEnd"/>
    </w:pPr>
  </w:p>
  <w:p w14:paraId="1EA39679" w14:textId="77777777" w:rsidR="001C2773" w:rsidRDefault="001C2773">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1C2773" w14:paraId="1EA39686" w14:textId="77777777" w:rsidTr="005F48ED">
      <w:trPr>
        <w:trHeight w:hRule="exact" w:val="567"/>
      </w:trPr>
      <w:tc>
        <w:tcPr>
          <w:tcW w:w="510" w:type="dxa"/>
        </w:tcPr>
        <w:p w14:paraId="1EA39683" w14:textId="77777777" w:rsidR="001C2773" w:rsidRPr="00A24443" w:rsidRDefault="001C2773"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B60A52">
            <w:rPr>
              <w:rStyle w:val="PageNumber"/>
              <w:caps w:val="0"/>
              <w:noProof/>
            </w:rPr>
            <w:t>2</w:t>
          </w:r>
          <w:r w:rsidRPr="00A24443">
            <w:rPr>
              <w:rStyle w:val="PageNumber"/>
              <w:caps w:val="0"/>
            </w:rPr>
            <w:fldChar w:fldCharType="end"/>
          </w:r>
        </w:p>
      </w:tc>
      <w:tc>
        <w:tcPr>
          <w:tcW w:w="7767" w:type="dxa"/>
        </w:tcPr>
        <w:p w14:paraId="1EA39684" w14:textId="77777777" w:rsidR="001C2773" w:rsidRPr="0013739A" w:rsidRDefault="001C2773" w:rsidP="0013739A">
          <w:pPr>
            <w:pStyle w:val="Footer"/>
            <w:rPr>
              <w:rFonts w:cs="Arial"/>
            </w:rPr>
          </w:pPr>
          <w:r>
            <w:rPr>
              <w:rFonts w:cs="Arial"/>
            </w:rPr>
            <w:t>Productivity REview</w:t>
          </w:r>
          <w:r w:rsidRPr="00BA5B14">
            <w:rPr>
              <w:rFonts w:cs="Arial"/>
            </w:rPr>
            <w:fldChar w:fldCharType="begin"/>
          </w:r>
          <w:r w:rsidRPr="00BA5B14">
            <w:rPr>
              <w:rFonts w:cs="Arial"/>
            </w:rPr>
            <w:instrText xml:space="preserve"> SUBJECT  \* MERGEFORMAT </w:instrText>
          </w:r>
          <w:r w:rsidRPr="00BA5B14">
            <w:rPr>
              <w:rFonts w:cs="Arial"/>
            </w:rPr>
            <w:fldChar w:fldCharType="end"/>
          </w:r>
        </w:p>
      </w:tc>
      <w:tc>
        <w:tcPr>
          <w:tcW w:w="510" w:type="dxa"/>
        </w:tcPr>
        <w:p w14:paraId="1EA39685" w14:textId="77777777" w:rsidR="001C2773" w:rsidRDefault="001C2773" w:rsidP="0019293B">
          <w:pPr>
            <w:pStyle w:val="Footer"/>
          </w:pPr>
        </w:p>
      </w:tc>
    </w:tr>
  </w:tbl>
  <w:p w14:paraId="1EA39687" w14:textId="77777777" w:rsidR="001C2773" w:rsidRDefault="001C2773" w:rsidP="0019293B">
    <w:pPr>
      <w:pStyle w:val="FooterEnd"/>
    </w:pPr>
  </w:p>
  <w:p w14:paraId="1EA39688" w14:textId="77777777" w:rsidR="001C2773" w:rsidRDefault="001C2773">
    <w:pPr>
      <w:pStyle w:val="FooterE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1C2773" w14:paraId="1EA3968C" w14:textId="77777777" w:rsidTr="005F48ED">
      <w:trPr>
        <w:trHeight w:hRule="exact" w:val="567"/>
      </w:trPr>
      <w:tc>
        <w:tcPr>
          <w:tcW w:w="510" w:type="dxa"/>
        </w:tcPr>
        <w:p w14:paraId="1EA39689" w14:textId="77777777" w:rsidR="001C2773" w:rsidRDefault="001C2773">
          <w:pPr>
            <w:pStyle w:val="Footer"/>
            <w:ind w:right="360" w:firstLine="360"/>
          </w:pPr>
        </w:p>
      </w:tc>
      <w:tc>
        <w:tcPr>
          <w:tcW w:w="7767" w:type="dxa"/>
        </w:tcPr>
        <w:p w14:paraId="1EA3968A" w14:textId="0B42CD9B" w:rsidR="001C2773" w:rsidRPr="00BA5B14" w:rsidRDefault="001C2773" w:rsidP="00F813E7">
          <w:pPr>
            <w:pStyle w:val="Footer"/>
            <w:jc w:val="right"/>
            <w:rPr>
              <w:rFonts w:cs="Arial"/>
            </w:rPr>
          </w:pPr>
          <w:r>
            <w:rPr>
              <w:rFonts w:cs="Arial"/>
            </w:rPr>
            <w:t>SP 5 – integrated care in australia</w:t>
          </w:r>
        </w:p>
      </w:tc>
      <w:tc>
        <w:tcPr>
          <w:tcW w:w="510" w:type="dxa"/>
        </w:tcPr>
        <w:p w14:paraId="1EA3968B" w14:textId="77777777" w:rsidR="001C2773" w:rsidRPr="00A24443" w:rsidRDefault="001C2773">
          <w:pPr>
            <w:pStyle w:val="Footer"/>
            <w:jc w:val="right"/>
            <w:rPr>
              <w:caps w:val="0"/>
            </w:rPr>
          </w:pPr>
          <w:r w:rsidRPr="006342E6">
            <w:rPr>
              <w:caps w:val="0"/>
            </w:rPr>
            <w:fldChar w:fldCharType="begin"/>
          </w:r>
          <w:r w:rsidRPr="006342E6">
            <w:rPr>
              <w:caps w:val="0"/>
            </w:rPr>
            <w:instrText xml:space="preserve"> PAGE   \* MERGEFORMAT </w:instrText>
          </w:r>
          <w:r w:rsidRPr="006342E6">
            <w:rPr>
              <w:caps w:val="0"/>
            </w:rPr>
            <w:fldChar w:fldCharType="separate"/>
          </w:r>
          <w:r w:rsidR="00B60A52">
            <w:rPr>
              <w:caps w:val="0"/>
              <w:noProof/>
            </w:rPr>
            <w:t>1</w:t>
          </w:r>
          <w:r w:rsidRPr="006342E6">
            <w:rPr>
              <w:caps w:val="0"/>
              <w:noProof/>
            </w:rPr>
            <w:fldChar w:fldCharType="end"/>
          </w:r>
        </w:p>
      </w:tc>
    </w:tr>
  </w:tbl>
  <w:p w14:paraId="1EA3968D" w14:textId="77777777" w:rsidR="001C2773" w:rsidRDefault="001C2773">
    <w:pPr>
      <w:pStyle w:val="FooterEnd"/>
    </w:pPr>
  </w:p>
  <w:p w14:paraId="1EA3968E" w14:textId="77777777" w:rsidR="001C2773" w:rsidRDefault="001C2773">
    <w:pPr>
      <w:pStyle w:val="FooterEn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1C2773" w14:paraId="1EA3969A" w14:textId="77777777" w:rsidTr="005F48ED">
      <w:trPr>
        <w:trHeight w:hRule="exact" w:val="567"/>
      </w:trPr>
      <w:tc>
        <w:tcPr>
          <w:tcW w:w="510" w:type="dxa"/>
        </w:tcPr>
        <w:p w14:paraId="1EA39697" w14:textId="77777777" w:rsidR="001C2773" w:rsidRPr="00A24443" w:rsidRDefault="001C2773"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B60A52">
            <w:rPr>
              <w:rStyle w:val="PageNumber"/>
              <w:caps w:val="0"/>
              <w:noProof/>
            </w:rPr>
            <w:t>82</w:t>
          </w:r>
          <w:r w:rsidRPr="00A24443">
            <w:rPr>
              <w:rStyle w:val="PageNumber"/>
              <w:caps w:val="0"/>
            </w:rPr>
            <w:fldChar w:fldCharType="end"/>
          </w:r>
        </w:p>
      </w:tc>
      <w:tc>
        <w:tcPr>
          <w:tcW w:w="7767" w:type="dxa"/>
        </w:tcPr>
        <w:p w14:paraId="1EA39698" w14:textId="77777777" w:rsidR="001C2773" w:rsidRPr="0013739A" w:rsidRDefault="001C2773" w:rsidP="0013739A">
          <w:pPr>
            <w:pStyle w:val="Footer"/>
            <w:rPr>
              <w:rFonts w:cs="Arial"/>
            </w:rPr>
          </w:pPr>
          <w:r>
            <w:rPr>
              <w:rFonts w:cs="Arial"/>
            </w:rPr>
            <w:t>Productivity Review</w:t>
          </w:r>
          <w:r w:rsidRPr="00BA5B14">
            <w:rPr>
              <w:rFonts w:cs="Arial"/>
            </w:rPr>
            <w:t xml:space="preserve"> </w:t>
          </w:r>
          <w:r w:rsidRPr="00BA5B14">
            <w:rPr>
              <w:rFonts w:cs="Arial"/>
            </w:rPr>
            <w:fldChar w:fldCharType="begin"/>
          </w:r>
          <w:r w:rsidRPr="00BA5B14">
            <w:rPr>
              <w:rFonts w:cs="Arial"/>
            </w:rPr>
            <w:instrText xml:space="preserve"> SUBJECT  \* MERGEFORMAT </w:instrText>
          </w:r>
          <w:r w:rsidRPr="00BA5B14">
            <w:rPr>
              <w:rFonts w:cs="Arial"/>
            </w:rPr>
            <w:fldChar w:fldCharType="end"/>
          </w:r>
        </w:p>
      </w:tc>
      <w:tc>
        <w:tcPr>
          <w:tcW w:w="510" w:type="dxa"/>
        </w:tcPr>
        <w:p w14:paraId="1EA39699" w14:textId="77777777" w:rsidR="001C2773" w:rsidRDefault="001C2773" w:rsidP="0019293B">
          <w:pPr>
            <w:pStyle w:val="Footer"/>
          </w:pPr>
        </w:p>
      </w:tc>
    </w:tr>
  </w:tbl>
  <w:p w14:paraId="1EA3969B" w14:textId="77777777" w:rsidR="001C2773" w:rsidRDefault="001C2773" w:rsidP="0019293B">
    <w:pPr>
      <w:pStyle w:val="FooterEnd"/>
    </w:pPr>
  </w:p>
  <w:p w14:paraId="1EA3969C" w14:textId="77777777" w:rsidR="001C2773" w:rsidRDefault="001C2773">
    <w:pPr>
      <w:pStyle w:val="FooterEn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1C2773" w14:paraId="1EA396A0" w14:textId="77777777" w:rsidTr="005F48ED">
      <w:trPr>
        <w:trHeight w:hRule="exact" w:val="567"/>
      </w:trPr>
      <w:tc>
        <w:tcPr>
          <w:tcW w:w="510" w:type="dxa"/>
        </w:tcPr>
        <w:p w14:paraId="1EA3969D" w14:textId="77777777" w:rsidR="001C2773" w:rsidRDefault="001C2773">
          <w:pPr>
            <w:pStyle w:val="Footer"/>
            <w:ind w:right="360" w:firstLine="360"/>
          </w:pPr>
        </w:p>
      </w:tc>
      <w:tc>
        <w:tcPr>
          <w:tcW w:w="7767" w:type="dxa"/>
        </w:tcPr>
        <w:p w14:paraId="1EA3969E" w14:textId="0B2A6B9A" w:rsidR="001C2773" w:rsidRPr="00BA5B14" w:rsidRDefault="001E2021" w:rsidP="00CA301B">
          <w:pPr>
            <w:pStyle w:val="Footer"/>
            <w:jc w:val="right"/>
            <w:rPr>
              <w:rFonts w:cs="Arial"/>
            </w:rPr>
          </w:pPr>
          <w:r>
            <w:rPr>
              <w:rFonts w:cs="Arial"/>
            </w:rPr>
            <w:t>SP 5</w:t>
          </w:r>
          <w:r w:rsidR="001C2773">
            <w:rPr>
              <w:rFonts w:cs="Arial"/>
            </w:rPr>
            <w:t xml:space="preserve"> – integrated care in australia</w:t>
          </w:r>
        </w:p>
      </w:tc>
      <w:tc>
        <w:tcPr>
          <w:tcW w:w="510" w:type="dxa"/>
        </w:tcPr>
        <w:p w14:paraId="1EA3969F" w14:textId="77777777" w:rsidR="001C2773" w:rsidRPr="00A24443" w:rsidRDefault="001C2773">
          <w:pPr>
            <w:pStyle w:val="Footer"/>
            <w:jc w:val="right"/>
            <w:rPr>
              <w:caps w:val="0"/>
            </w:rPr>
          </w:pPr>
          <w:r w:rsidRPr="006342E6">
            <w:rPr>
              <w:caps w:val="0"/>
            </w:rPr>
            <w:fldChar w:fldCharType="begin"/>
          </w:r>
          <w:r w:rsidRPr="006342E6">
            <w:rPr>
              <w:caps w:val="0"/>
            </w:rPr>
            <w:instrText xml:space="preserve"> PAGE   \* MERGEFORMAT </w:instrText>
          </w:r>
          <w:r w:rsidRPr="006342E6">
            <w:rPr>
              <w:caps w:val="0"/>
            </w:rPr>
            <w:fldChar w:fldCharType="separate"/>
          </w:r>
          <w:r w:rsidR="00B60A52">
            <w:rPr>
              <w:caps w:val="0"/>
              <w:noProof/>
            </w:rPr>
            <w:t>83</w:t>
          </w:r>
          <w:r w:rsidRPr="006342E6">
            <w:rPr>
              <w:caps w:val="0"/>
              <w:noProof/>
            </w:rPr>
            <w:fldChar w:fldCharType="end"/>
          </w:r>
        </w:p>
      </w:tc>
    </w:tr>
  </w:tbl>
  <w:p w14:paraId="1EA396A1" w14:textId="77777777" w:rsidR="001C2773" w:rsidRDefault="001C2773">
    <w:pPr>
      <w:pStyle w:val="FooterEnd"/>
    </w:pPr>
  </w:p>
  <w:p w14:paraId="1EA396A2" w14:textId="77777777" w:rsidR="001C2773" w:rsidRDefault="001C2773">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396A5" w14:textId="77777777" w:rsidR="001C2773" w:rsidRDefault="001C2773">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B60A52">
      <w:rPr>
        <w:rStyle w:val="PageNumber"/>
        <w:noProof/>
      </w:rPr>
      <w:t>138</w:t>
    </w:r>
    <w:r>
      <w:rPr>
        <w:rStyle w:val="PageNumber"/>
      </w:rPr>
      <w:fldChar w:fldCharType="end"/>
    </w:r>
  </w:p>
  <w:p w14:paraId="1EA396A6" w14:textId="77777777" w:rsidR="001C2773" w:rsidRDefault="001C2773">
    <w:pPr>
      <w:pStyle w:val="FooterEnd"/>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396A7" w14:textId="77777777" w:rsidR="001C2773" w:rsidRDefault="001C2773">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B60A52">
      <w:rPr>
        <w:rStyle w:val="PageNumber"/>
        <w:noProof/>
      </w:rPr>
      <w:t>137</w:t>
    </w:r>
    <w:r>
      <w:rPr>
        <w:rStyle w:val="PageNumber"/>
      </w:rPr>
      <w:fldChar w:fldCharType="end"/>
    </w:r>
  </w:p>
  <w:p w14:paraId="1EA396A8" w14:textId="77777777" w:rsidR="001C2773" w:rsidRDefault="001C2773">
    <w:pPr>
      <w:pStyle w:val="Footer"/>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D7FB4" w14:paraId="515544B5" w14:textId="77777777" w:rsidTr="005F48ED">
      <w:trPr>
        <w:trHeight w:hRule="exact" w:val="567"/>
      </w:trPr>
      <w:tc>
        <w:tcPr>
          <w:tcW w:w="510" w:type="dxa"/>
        </w:tcPr>
        <w:p w14:paraId="740FFF67" w14:textId="77777777" w:rsidR="00FD7FB4" w:rsidRPr="00A24443" w:rsidRDefault="00FD7FB4"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B60A52">
            <w:rPr>
              <w:rStyle w:val="PageNumber"/>
              <w:caps w:val="0"/>
              <w:noProof/>
            </w:rPr>
            <w:t>206</w:t>
          </w:r>
          <w:r w:rsidRPr="00A24443">
            <w:rPr>
              <w:rStyle w:val="PageNumber"/>
              <w:caps w:val="0"/>
            </w:rPr>
            <w:fldChar w:fldCharType="end"/>
          </w:r>
        </w:p>
      </w:tc>
      <w:tc>
        <w:tcPr>
          <w:tcW w:w="7767" w:type="dxa"/>
        </w:tcPr>
        <w:p w14:paraId="24C60E6D" w14:textId="1914B2E4" w:rsidR="00FD7FB4" w:rsidRPr="0013739A" w:rsidRDefault="00FD7FB4" w:rsidP="0013739A">
          <w:pPr>
            <w:pStyle w:val="Footer"/>
            <w:rPr>
              <w:rFonts w:cs="Arial"/>
            </w:rPr>
          </w:pPr>
          <w:r>
            <w:rPr>
              <w:rFonts w:cs="Arial"/>
            </w:rPr>
            <w:t>PRODUCTIVITY REVIEW</w:t>
          </w:r>
          <w:r w:rsidRPr="00BA5B14">
            <w:rPr>
              <w:rFonts w:cs="Arial"/>
            </w:rPr>
            <w:fldChar w:fldCharType="begin"/>
          </w:r>
          <w:r w:rsidRPr="00BA5B14">
            <w:rPr>
              <w:rFonts w:cs="Arial"/>
            </w:rPr>
            <w:instrText xml:space="preserve"> SUBJECT  \* MERGEFORMAT </w:instrText>
          </w:r>
          <w:r w:rsidRPr="00BA5B14">
            <w:rPr>
              <w:rFonts w:cs="Arial"/>
            </w:rPr>
            <w:fldChar w:fldCharType="end"/>
          </w:r>
          <w:bookmarkStart w:id="147" w:name="DraftReportEven"/>
          <w:bookmarkEnd w:id="147"/>
        </w:p>
      </w:tc>
      <w:tc>
        <w:tcPr>
          <w:tcW w:w="510" w:type="dxa"/>
        </w:tcPr>
        <w:p w14:paraId="5D2436C0" w14:textId="77777777" w:rsidR="00FD7FB4" w:rsidRDefault="00FD7FB4" w:rsidP="0019293B">
          <w:pPr>
            <w:pStyle w:val="Footer"/>
          </w:pPr>
        </w:p>
      </w:tc>
    </w:tr>
  </w:tbl>
  <w:p w14:paraId="4F39AF3E" w14:textId="77777777" w:rsidR="00FD7FB4" w:rsidRDefault="00FD7FB4" w:rsidP="0019293B">
    <w:pPr>
      <w:pStyle w:val="FooterEnd"/>
    </w:pPr>
  </w:p>
  <w:p w14:paraId="1EA396B8" w14:textId="77777777" w:rsidR="001C2773" w:rsidRDefault="001C2773" w:rsidP="00C33974">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70A93C" w14:textId="77777777" w:rsidR="001C2773" w:rsidRDefault="001C2773">
      <w:r>
        <w:separator/>
      </w:r>
    </w:p>
  </w:footnote>
  <w:footnote w:type="continuationSeparator" w:id="0">
    <w:p w14:paraId="08E6E08C" w14:textId="77777777" w:rsidR="001C2773" w:rsidRDefault="001C2773">
      <w:r>
        <w:continuationSeparator/>
      </w:r>
    </w:p>
  </w:footnote>
  <w:footnote w:type="continuationNotice" w:id="1">
    <w:p w14:paraId="0670EF30" w14:textId="77777777" w:rsidR="001C2773" w:rsidRDefault="001C2773"/>
  </w:footnote>
  <w:footnote w:id="2">
    <w:p w14:paraId="1EA396BF" w14:textId="77777777" w:rsidR="001C2773" w:rsidRDefault="001C2773" w:rsidP="00984D8A">
      <w:pPr>
        <w:pStyle w:val="FootnoteText"/>
      </w:pPr>
      <w:r w:rsidRPr="003D243B">
        <w:rPr>
          <w:rStyle w:val="FootnoteReference"/>
        </w:rPr>
        <w:footnoteRef/>
      </w:r>
      <w:r>
        <w:tab/>
        <w:t>For instance, o</w:t>
      </w:r>
      <w:r w:rsidRPr="00D50490">
        <w:t xml:space="preserve">ne researcher </w:t>
      </w:r>
      <w:r>
        <w:t>found</w:t>
      </w:r>
      <w:r w:rsidRPr="00D50490">
        <w:t xml:space="preserve"> </w:t>
      </w:r>
      <w:r>
        <w:t>about</w:t>
      </w:r>
      <w:r w:rsidRPr="00D50490">
        <w:t xml:space="preserve"> 175 overlapping definitions </w:t>
      </w:r>
      <w:r>
        <w:t>of integrated care </w:t>
      </w:r>
      <w:r w:rsidRPr="00A90C6E">
        <w:rPr>
          <w:szCs w:val="24"/>
        </w:rPr>
        <w:t>(Armitage et al. 2009, p. 4)</w:t>
      </w:r>
      <w:r>
        <w:t>.</w:t>
      </w:r>
    </w:p>
  </w:footnote>
  <w:footnote w:id="3">
    <w:p w14:paraId="1EA396C0" w14:textId="77777777" w:rsidR="001C2773" w:rsidRDefault="001C2773" w:rsidP="006049BB">
      <w:pPr>
        <w:pStyle w:val="FootnoteText"/>
      </w:pPr>
      <w:r w:rsidRPr="003D243B">
        <w:rPr>
          <w:rStyle w:val="FootnoteReference"/>
        </w:rPr>
        <w:footnoteRef/>
      </w:r>
      <w:r>
        <w:tab/>
        <w:t>In 2017, the original NSW Whole of Hospital Program was transitioned to a Whole of Health Program, though its focus still remains on processes in public hospitals.</w:t>
      </w:r>
    </w:p>
  </w:footnote>
  <w:footnote w:id="4">
    <w:p w14:paraId="1EA396C1" w14:textId="77777777" w:rsidR="001C2773" w:rsidRDefault="001C2773">
      <w:pPr>
        <w:pStyle w:val="FootnoteText"/>
      </w:pPr>
      <w:r w:rsidRPr="003D243B">
        <w:rPr>
          <w:rStyle w:val="FootnoteReference"/>
        </w:rPr>
        <w:footnoteRef/>
      </w:r>
      <w:r>
        <w:tab/>
        <w:t>For example, telehealth is still embryonic, and its diffusion is discouraged by restrictions in payment models. More generally, the adoption of E health has had a protracted and troubled history in Australia that are only now being resolved </w:t>
      </w:r>
      <w:r w:rsidRPr="00774BAB">
        <w:rPr>
          <w:szCs w:val="24"/>
        </w:rPr>
        <w:t>(Jolly 2011)</w:t>
      </w:r>
      <w:r>
        <w:t>.</w:t>
      </w:r>
    </w:p>
  </w:footnote>
  <w:footnote w:id="5">
    <w:p w14:paraId="1EA396C2" w14:textId="77777777" w:rsidR="001C2773" w:rsidRDefault="001C2773" w:rsidP="00D06842">
      <w:pPr>
        <w:pStyle w:val="FootnoteText"/>
      </w:pPr>
      <w:r w:rsidRPr="003D243B">
        <w:rPr>
          <w:rStyle w:val="FootnoteReference"/>
        </w:rPr>
        <w:footnoteRef/>
      </w:r>
      <w:r>
        <w:tab/>
        <w:t>The Productivity Commission has examined end</w:t>
      </w:r>
      <w:r>
        <w:noBreakHyphen/>
        <w:t>of</w:t>
      </w:r>
      <w:r>
        <w:noBreakHyphen/>
        <w:t>life care as one of the key areas where choice and patient empowerment — typically achieved through access to high quality palliative care — can play a major role in improving outcomes for people </w:t>
      </w:r>
      <w:r w:rsidRPr="00D96FF6">
        <w:t>(PC 2017b; Swerissen and Duckett 2014)</w:t>
      </w:r>
      <w:r>
        <w:t>. Many people would prefer to die at home or some other non</w:t>
      </w:r>
      <w:r>
        <w:noBreakHyphen/>
        <w:t>acute care setting. Yet access to high quality end</w:t>
      </w:r>
      <w:r>
        <w:noBreakHyphen/>
        <w:t>of</w:t>
      </w:r>
      <w:r>
        <w:noBreakHyphen/>
        <w:t>life care is inadequate.</w:t>
      </w:r>
    </w:p>
  </w:footnote>
  <w:footnote w:id="6">
    <w:p w14:paraId="1A3A4611" w14:textId="77777777" w:rsidR="001C2773" w:rsidRDefault="001C2773" w:rsidP="007A37B5">
      <w:pPr>
        <w:pStyle w:val="FootnoteText"/>
      </w:pPr>
      <w:r w:rsidRPr="003D243B">
        <w:rPr>
          <w:rStyle w:val="FootnoteReference"/>
        </w:rPr>
        <w:footnoteRef/>
      </w:r>
      <w:r>
        <w:tab/>
        <w:t xml:space="preserve">In the United States, where it appears lost time is greater, it has been estimated that the lost economic value from physician visits were US$52 billion, though these estimates related to the total opportunity costs of time and not just the avoidable ones, as in the Commission’s estimates </w:t>
      </w:r>
      <w:r w:rsidRPr="00C65A42">
        <w:rPr>
          <w:szCs w:val="24"/>
        </w:rPr>
        <w:t>(Ray et al. 2015)</w:t>
      </w:r>
      <w:r>
        <w:t xml:space="preserve">. </w:t>
      </w:r>
    </w:p>
  </w:footnote>
  <w:footnote w:id="7">
    <w:p w14:paraId="489EB239" w14:textId="77777777" w:rsidR="001C2773" w:rsidRDefault="001C2773" w:rsidP="007A37B5">
      <w:pPr>
        <w:pStyle w:val="FootnoteText"/>
      </w:pPr>
      <w:r w:rsidRPr="003D243B">
        <w:rPr>
          <w:rStyle w:val="FootnoteReference"/>
        </w:rPr>
        <w:footnoteRef/>
      </w:r>
      <w:r>
        <w:tab/>
        <w:t xml:space="preserve">This includes total non-referred attendances of 141 million (including GPs, enhanced primary care, practice nurses) and specialist attendances of 29 million </w:t>
      </w:r>
      <w:r w:rsidRPr="00C65A42">
        <w:rPr>
          <w:szCs w:val="24"/>
        </w:rPr>
        <w:t>(DoH 2017a)</w:t>
      </w:r>
      <w:r>
        <w:t>.</w:t>
      </w:r>
    </w:p>
  </w:footnote>
  <w:footnote w:id="8">
    <w:p w14:paraId="0B280974" w14:textId="77777777" w:rsidR="001C2773" w:rsidRDefault="001C2773" w:rsidP="007A37B5">
      <w:pPr>
        <w:pStyle w:val="FootnoteText"/>
      </w:pPr>
      <w:r w:rsidRPr="003D243B">
        <w:rPr>
          <w:rStyle w:val="FootnoteReference"/>
        </w:rPr>
        <w:footnoteRef/>
      </w:r>
      <w:r>
        <w:tab/>
      </w:r>
      <w:r w:rsidRPr="00593967">
        <w:t>A barrier to such consultations is that they are generally not covered by the Medical Benefits Schedule. There are grounds for relaxing this, but with oversight to reduce the risk of over-servicing and excessive cost blowouts.</w:t>
      </w:r>
    </w:p>
  </w:footnote>
  <w:footnote w:id="9">
    <w:p w14:paraId="1EA396C6" w14:textId="77777777" w:rsidR="001C2773" w:rsidRDefault="001C2773" w:rsidP="00154337">
      <w:pPr>
        <w:pStyle w:val="FootnoteText"/>
      </w:pPr>
      <w:r w:rsidRPr="003D243B">
        <w:rPr>
          <w:rStyle w:val="FootnoteReference"/>
        </w:rPr>
        <w:footnoteRef/>
      </w:r>
      <w:r>
        <w:tab/>
        <w:t xml:space="preserve">Defined as having competencies of level one or two on a five level scale (ABS 2008, </w:t>
      </w:r>
      <w:r>
        <w:rPr>
          <w:i/>
        </w:rPr>
        <w:t>Health Literacy Australia, 2006</w:t>
      </w:r>
      <w:r>
        <w:t>, Cat. no. 4233.0).</w:t>
      </w:r>
    </w:p>
  </w:footnote>
  <w:footnote w:id="10">
    <w:p w14:paraId="1EA396C7" w14:textId="77777777" w:rsidR="001C2773" w:rsidRDefault="001C2773">
      <w:pPr>
        <w:pStyle w:val="FootnoteText"/>
      </w:pPr>
      <w:r w:rsidRPr="003D243B">
        <w:rPr>
          <w:rStyle w:val="FootnoteReference"/>
        </w:rPr>
        <w:footnoteRef/>
      </w:r>
      <w:r>
        <w:tab/>
        <w:t xml:space="preserve">See </w:t>
      </w:r>
      <w:r w:rsidRPr="00DB5EE2">
        <w:t>http://www.choosingwisely.org.au/home#consumers</w:t>
      </w:r>
      <w:r>
        <w:t>.</w:t>
      </w:r>
    </w:p>
  </w:footnote>
  <w:footnote w:id="11">
    <w:p w14:paraId="1EA396C8" w14:textId="77777777" w:rsidR="001C2773" w:rsidRDefault="001C2773">
      <w:pPr>
        <w:pStyle w:val="FootnoteText"/>
      </w:pPr>
      <w:r w:rsidRPr="003D243B">
        <w:rPr>
          <w:rStyle w:val="FootnoteReference"/>
        </w:rPr>
        <w:footnoteRef/>
      </w:r>
      <w:r>
        <w:tab/>
      </w:r>
      <w:r w:rsidRPr="002B6AFD">
        <w:t xml:space="preserve">While My Health </w:t>
      </w:r>
      <w:r>
        <w:t xml:space="preserve">Record </w:t>
      </w:r>
      <w:r w:rsidRPr="002B6AFD">
        <w:t xml:space="preserve">could usefully be an access point for reliable information, it should </w:t>
      </w:r>
      <w:r>
        <w:t xml:space="preserve">also </w:t>
      </w:r>
      <w:r w:rsidRPr="002B6AFD">
        <w:t xml:space="preserve">be emphasised that </w:t>
      </w:r>
      <w:r>
        <w:t xml:space="preserve">people will </w:t>
      </w:r>
      <w:r w:rsidRPr="002B6AFD">
        <w:t xml:space="preserve">always seek </w:t>
      </w:r>
      <w:r>
        <w:t xml:space="preserve">information from diverse sources </w:t>
      </w:r>
      <w:r w:rsidRPr="002B6AFD">
        <w:t>even if high quality government</w:t>
      </w:r>
      <w:r>
        <w:noBreakHyphen/>
      </w:r>
      <w:r w:rsidRPr="002B6AFD">
        <w:t xml:space="preserve">endorsed information </w:t>
      </w:r>
      <w:r>
        <w:t>is available. A</w:t>
      </w:r>
      <w:r w:rsidRPr="002B6AFD">
        <w:t xml:space="preserve"> major goal of raising health literacy is </w:t>
      </w:r>
      <w:r>
        <w:t xml:space="preserve">therefore </w:t>
      </w:r>
      <w:r w:rsidRPr="002B6AFD">
        <w:t xml:space="preserve">to enable people to </w:t>
      </w:r>
      <w:r>
        <w:t xml:space="preserve">access </w:t>
      </w:r>
      <w:r w:rsidRPr="002B6AFD">
        <w:t xml:space="preserve">information from </w:t>
      </w:r>
      <w:r w:rsidRPr="002B6AFD">
        <w:rPr>
          <w:i/>
        </w:rPr>
        <w:t>diverse</w:t>
      </w:r>
      <w:r w:rsidRPr="002B6AFD">
        <w:t xml:space="preserve"> sources and to discriminate between high and low quality advice. Sorting the wheat from the chaff is </w:t>
      </w:r>
      <w:r>
        <w:t>a</w:t>
      </w:r>
      <w:r w:rsidRPr="002B6AFD">
        <w:t xml:space="preserve"> key skill.</w:t>
      </w:r>
    </w:p>
  </w:footnote>
  <w:footnote w:id="12">
    <w:p w14:paraId="1EA396C9" w14:textId="77777777" w:rsidR="001C2773" w:rsidRDefault="001C2773" w:rsidP="00A375E5">
      <w:pPr>
        <w:pStyle w:val="FootnoteText"/>
      </w:pPr>
      <w:r w:rsidRPr="003D243B">
        <w:rPr>
          <w:rStyle w:val="FootnoteReference"/>
        </w:rPr>
        <w:footnoteRef/>
      </w:r>
      <w:r>
        <w:tab/>
        <w:t xml:space="preserve">For instance, the </w:t>
      </w:r>
      <w:r w:rsidRPr="00D04795">
        <w:t>Northern Sydney Local Health District</w:t>
      </w:r>
      <w:r>
        <w:t xml:space="preserve"> </w:t>
      </w:r>
      <w:r w:rsidRPr="00D04795">
        <w:t>Oste</w:t>
      </w:r>
      <w:r>
        <w:t>oarthritis Chronic Care Program includes PREMs and PROMs as part of an explicit patient</w:t>
      </w:r>
      <w:r>
        <w:noBreakHyphen/>
        <w:t xml:space="preserve">centred approach </w:t>
      </w:r>
      <w:r w:rsidRPr="00D96FF6">
        <w:rPr>
          <w:szCs w:val="24"/>
        </w:rPr>
        <w:t>(NSW ACI 2016b)</w:t>
      </w:r>
      <w:r>
        <w:t>.</w:t>
      </w:r>
    </w:p>
  </w:footnote>
  <w:footnote w:id="13">
    <w:p w14:paraId="1EA396CA" w14:textId="77777777" w:rsidR="001C2773" w:rsidRDefault="001C2773" w:rsidP="00A375E5">
      <w:pPr>
        <w:pStyle w:val="FootnoteText"/>
      </w:pPr>
      <w:r w:rsidRPr="003D243B">
        <w:rPr>
          <w:rStyle w:val="FootnoteReference"/>
        </w:rPr>
        <w:footnoteRef/>
      </w:r>
      <w:r>
        <w:tab/>
        <w:t xml:space="preserve">The </w:t>
      </w:r>
      <w:r w:rsidRPr="00256CCE">
        <w:t xml:space="preserve">VCOR is </w:t>
      </w:r>
      <w:r>
        <w:t>a Victorian Government</w:t>
      </w:r>
      <w:r>
        <w:noBreakHyphen/>
        <w:t xml:space="preserve">funded collaboration between Monash University, </w:t>
      </w:r>
      <w:r w:rsidRPr="00256CCE">
        <w:t xml:space="preserve">the Victorian Cardiac Clinical Network and </w:t>
      </w:r>
      <w:r>
        <w:t>various Victorian hospitals</w:t>
      </w:r>
      <w:r w:rsidRPr="00256CCE">
        <w:t xml:space="preserve">. </w:t>
      </w:r>
      <w:r>
        <w:t>It</w:t>
      </w:r>
      <w:r w:rsidRPr="00256CCE">
        <w:t xml:space="preserve"> collects data about patients undergoing cardiac treatments, procedures and interventions</w:t>
      </w:r>
      <w:r>
        <w:t>.</w:t>
      </w:r>
      <w:r w:rsidRPr="00256CCE">
        <w:t xml:space="preserve"> </w:t>
      </w:r>
      <w:r>
        <w:t>It</w:t>
      </w:r>
      <w:r w:rsidRPr="00256CCE">
        <w:t xml:space="preserve"> follows up medical outcomes and complications up to 30 days after </w:t>
      </w:r>
      <w:r>
        <w:t>hospital discharge</w:t>
      </w:r>
      <w:r w:rsidRPr="00256CCE">
        <w:t xml:space="preserve">. This information is used to report the outcomes of interventions and treatments back to hospitals and </w:t>
      </w:r>
      <w:r>
        <w:t>others</w:t>
      </w:r>
      <w:r w:rsidRPr="00256CCE">
        <w:t xml:space="preserve"> to help determine </w:t>
      </w:r>
      <w:r>
        <w:t>the</w:t>
      </w:r>
      <w:r w:rsidRPr="00256CCE">
        <w:t xml:space="preserve"> factors </w:t>
      </w:r>
      <w:r>
        <w:t xml:space="preserve">that </w:t>
      </w:r>
      <w:r w:rsidRPr="00256CCE">
        <w:t xml:space="preserve">contribute to and promote better patient outcomes. It also helps to identify </w:t>
      </w:r>
      <w:r>
        <w:t>the</w:t>
      </w:r>
      <w:r w:rsidRPr="00256CCE">
        <w:t xml:space="preserve"> issues</w:t>
      </w:r>
      <w:r>
        <w:t xml:space="preserve"> that may be impede</w:t>
      </w:r>
      <w:r w:rsidRPr="00256CCE">
        <w:t xml:space="preserve"> </w:t>
      </w:r>
      <w:r>
        <w:t>better</w:t>
      </w:r>
      <w:r w:rsidRPr="00256CCE">
        <w:t xml:space="preserve"> outcomes.</w:t>
      </w:r>
      <w:r>
        <w:t xml:space="preserve"> (</w:t>
      </w:r>
      <w:r w:rsidRPr="00293BEC">
        <w:t>https://vcor.org.au/</w:t>
      </w:r>
      <w:r>
        <w:t>).</w:t>
      </w:r>
    </w:p>
  </w:footnote>
  <w:footnote w:id="14">
    <w:p w14:paraId="1EA396CB" w14:textId="77777777" w:rsidR="001C2773" w:rsidRDefault="001C2773">
      <w:pPr>
        <w:pStyle w:val="FootnoteText"/>
      </w:pPr>
      <w:r w:rsidRPr="003D243B">
        <w:rPr>
          <w:rStyle w:val="FootnoteReference"/>
        </w:rPr>
        <w:footnoteRef/>
      </w:r>
      <w:r>
        <w:tab/>
      </w:r>
      <w:r w:rsidRPr="00F6349F">
        <w:t>The role, governance and names of LHNs vary across state and territory jurisdictions. Generally, they are responsible for delivering or procuring hospital services, public dental services, and community and public health primary services. Except in the ACT, they are a separate government agency from the department of health. LHNs are known as Local Health Districts in New South Wales, hospitals or Health Services in Victoria, Hospital and Health Services in Queensland, Health Services in Western Australia, Local Health Networks in South Australia, the Tasmanian Health Service, Health Services in the Northern Territory and the Local Hospital Network in the ACT.</w:t>
      </w:r>
    </w:p>
  </w:footnote>
  <w:footnote w:id="15">
    <w:p w14:paraId="1EA396CC" w14:textId="77777777" w:rsidR="001C2773" w:rsidRDefault="001C2773" w:rsidP="00823A13">
      <w:pPr>
        <w:pStyle w:val="FootnoteText"/>
      </w:pPr>
      <w:r w:rsidRPr="003D243B">
        <w:rPr>
          <w:rStyle w:val="FootnoteReference"/>
        </w:rPr>
        <w:footnoteRef/>
      </w:r>
      <w:r>
        <w:tab/>
        <w:t xml:space="preserve">There is a voluminous — largely qualitative literature — on such attitudes across most Western health systems </w:t>
      </w:r>
      <w:r w:rsidRPr="00C65A42">
        <w:rPr>
          <w:szCs w:val="24"/>
        </w:rPr>
        <w:t>(Clarin 2007; Lipworth et al. 2013; Rogers, Creed and Searle 2012; Schadewaldt et al. 2013; Street and Cossman 2010; Tierney et al. 2016)</w:t>
      </w:r>
      <w:r>
        <w:t>.</w:t>
      </w:r>
    </w:p>
  </w:footnote>
  <w:footnote w:id="16">
    <w:p w14:paraId="1EA396CD" w14:textId="77777777" w:rsidR="001C2773" w:rsidRDefault="001C2773" w:rsidP="00D611BE">
      <w:pPr>
        <w:pStyle w:val="FootnoteText"/>
      </w:pPr>
      <w:r w:rsidRPr="003D243B">
        <w:rPr>
          <w:rStyle w:val="FootnoteReference"/>
        </w:rPr>
        <w:footnoteRef/>
      </w:r>
      <w:r>
        <w:tab/>
        <w:t xml:space="preserve">For instance, Gerst-Emerson and </w:t>
      </w:r>
      <w:r w:rsidRPr="007B2A1A">
        <w:t>Jayawardhana</w:t>
      </w:r>
      <w:r>
        <w:t xml:space="preserve"> </w:t>
      </w:r>
      <w:r w:rsidRPr="00C65A42">
        <w:t>(2015)</w:t>
      </w:r>
      <w:r>
        <w:t xml:space="preserve">; Newall et al. </w:t>
      </w:r>
      <w:r w:rsidRPr="00C65A42">
        <w:t>(2015)</w:t>
      </w:r>
      <w:r>
        <w:t xml:space="preserve">; Ong et al. </w:t>
      </w:r>
      <w:r w:rsidRPr="00C65A42">
        <w:t>(2016)</w:t>
      </w:r>
      <w:r>
        <w:t xml:space="preserve">; and Taube et al. </w:t>
      </w:r>
      <w:r w:rsidRPr="00C65A42">
        <w:t>(2015)</w:t>
      </w:r>
      <w:r>
        <w:t>.</w:t>
      </w:r>
    </w:p>
  </w:footnote>
  <w:footnote w:id="17">
    <w:p w14:paraId="1EA396CE" w14:textId="77777777" w:rsidR="001C2773" w:rsidRDefault="001C2773" w:rsidP="00D611BE">
      <w:pPr>
        <w:pStyle w:val="FootnoteText"/>
      </w:pPr>
      <w:r w:rsidRPr="003D243B">
        <w:rPr>
          <w:rStyle w:val="FootnoteReference"/>
        </w:rPr>
        <w:footnoteRef/>
      </w:r>
      <w:r>
        <w:tab/>
      </w:r>
      <w:r w:rsidRPr="00591ADA">
        <w:t>Example</w:t>
      </w:r>
      <w:r>
        <w:t>s</w:t>
      </w:r>
      <w:r w:rsidRPr="00591ADA">
        <w:t xml:space="preserve"> include the various </w:t>
      </w:r>
      <w:r>
        <w:t>behavioural i</w:t>
      </w:r>
      <w:r w:rsidRPr="00591ADA">
        <w:t xml:space="preserve">nsight </w:t>
      </w:r>
      <w:r>
        <w:t>u</w:t>
      </w:r>
      <w:r w:rsidRPr="00591ADA">
        <w:t xml:space="preserve">nits, the NSW Bureau of </w:t>
      </w:r>
      <w:r>
        <w:t>H</w:t>
      </w:r>
      <w:r w:rsidRPr="00591ADA">
        <w:t xml:space="preserve">ealth Information, the NSW Agency for Clinical Innovation, and specialist functions in all of the </w:t>
      </w:r>
      <w:r>
        <w:t xml:space="preserve">jurisdictions’ </w:t>
      </w:r>
      <w:r w:rsidRPr="00591ADA">
        <w:t>departments that have responsibility for health care.</w:t>
      </w:r>
    </w:p>
  </w:footnote>
  <w:footnote w:id="18">
    <w:p w14:paraId="1EA396CF" w14:textId="77777777" w:rsidR="001C2773" w:rsidRDefault="001C2773">
      <w:pPr>
        <w:pStyle w:val="FootnoteText"/>
      </w:pPr>
      <w:r w:rsidRPr="003D243B">
        <w:rPr>
          <w:rStyle w:val="FootnoteReference"/>
        </w:rPr>
        <w:footnoteRef/>
      </w:r>
      <w:r>
        <w:tab/>
        <w:t>For example, the New South Wales Agency for Clinical Innovation and WA Health have been working as part of a broader partnership between the two states to improve the treatment of musculoskeletal conditions like arthritis and osteoporosis </w:t>
      </w:r>
      <w:r w:rsidRPr="00C65A42">
        <w:rPr>
          <w:szCs w:val="24"/>
        </w:rPr>
        <w:t>(Briggs 2017)</w:t>
      </w:r>
      <w:r>
        <w:t xml:space="preserve">. </w:t>
      </w:r>
    </w:p>
  </w:footnote>
  <w:footnote w:id="19">
    <w:p w14:paraId="1EA396D0" w14:textId="77777777" w:rsidR="001C2773" w:rsidRDefault="001C2773" w:rsidP="001C65CF">
      <w:pPr>
        <w:pStyle w:val="FootnoteText"/>
      </w:pPr>
      <w:r w:rsidRPr="003D243B">
        <w:rPr>
          <w:rStyle w:val="FootnoteReference"/>
        </w:rPr>
        <w:footnoteRef/>
      </w:r>
      <w:r>
        <w:tab/>
        <w:t xml:space="preserve">Block funding continues to be used for some hospital services, such as some of those in remote and regional settings where ABF is not practicable. While teaching, training and research are currently block funded, the IHPA is looking to introduce ABF after the development of a robust methodology </w:t>
      </w:r>
      <w:r w:rsidRPr="00C65A42">
        <w:rPr>
          <w:szCs w:val="24"/>
        </w:rPr>
        <w:t>(IHPA 2017)</w:t>
      </w:r>
      <w:r>
        <w:t>.</w:t>
      </w:r>
    </w:p>
  </w:footnote>
  <w:footnote w:id="20">
    <w:p w14:paraId="1EA396D1" w14:textId="77777777" w:rsidR="001C2773" w:rsidRDefault="001C2773">
      <w:pPr>
        <w:pStyle w:val="FootnoteText"/>
      </w:pPr>
      <w:r w:rsidRPr="003D243B">
        <w:rPr>
          <w:rStyle w:val="FootnoteReference"/>
        </w:rPr>
        <w:footnoteRef/>
      </w:r>
      <w:r>
        <w:tab/>
        <w:t>Ettelt, Thomson, Nolte and Mays </w:t>
      </w:r>
      <w:r w:rsidRPr="00C65A42">
        <w:t>(2006)</w:t>
      </w:r>
      <w:r>
        <w:t xml:space="preserve"> find that the introduction of ABF in Australia led to a decline in unit costs, but an increase in activity. A rise in hospital admissions has also tended to follow the introduction of ABF in other countries </w:t>
      </w:r>
      <w:r w:rsidRPr="00C65A42">
        <w:rPr>
          <w:szCs w:val="24"/>
        </w:rPr>
        <w:t>(Street et al. 2011)</w:t>
      </w:r>
      <w:r>
        <w:t xml:space="preserve">. Of course, it cannot be assumed that an increase in activities is always bad, as one of the goals of ABF was to improve waiting times. </w:t>
      </w:r>
    </w:p>
  </w:footnote>
  <w:footnote w:id="21">
    <w:p w14:paraId="1EA396D2" w14:textId="77777777" w:rsidR="001C2773" w:rsidRDefault="001C2773">
      <w:pPr>
        <w:pStyle w:val="FootnoteText"/>
      </w:pPr>
      <w:r w:rsidRPr="003D243B">
        <w:rPr>
          <w:rStyle w:val="FootnoteReference"/>
        </w:rPr>
        <w:footnoteRef/>
      </w:r>
      <w:r>
        <w:tab/>
        <w:t>An obvious practical concern is the risk of over</w:t>
      </w:r>
      <w:r>
        <w:noBreakHyphen/>
        <w:t>servicing and fraud.</w:t>
      </w:r>
    </w:p>
  </w:footnote>
  <w:footnote w:id="22">
    <w:p w14:paraId="1EA396D3" w14:textId="77777777" w:rsidR="001C2773" w:rsidRDefault="001C2773" w:rsidP="00293260">
      <w:pPr>
        <w:pStyle w:val="FootnoteText"/>
      </w:pPr>
      <w:r w:rsidRPr="003D243B">
        <w:rPr>
          <w:rStyle w:val="FootnoteReference"/>
        </w:rPr>
        <w:footnoteRef/>
      </w:r>
      <w:r>
        <w:tab/>
        <w:t>While ethical convictions also apply to individual clinicians in hospitals, they are less free to act on them autonomously under a system where the hospital as a whole is the funded entity.</w:t>
      </w:r>
    </w:p>
  </w:footnote>
  <w:footnote w:id="23">
    <w:p w14:paraId="17DDD829" w14:textId="77777777" w:rsidR="001C2773" w:rsidRDefault="001C2773" w:rsidP="009659D4">
      <w:pPr>
        <w:pStyle w:val="FootnoteText"/>
      </w:pPr>
      <w:r w:rsidRPr="003D243B">
        <w:rPr>
          <w:rStyle w:val="FootnoteReference"/>
        </w:rPr>
        <w:footnoteRef/>
      </w:r>
      <w:r>
        <w:tab/>
        <w:t>The program involved approximately a $100 million dollar investment and provided phone</w:t>
      </w:r>
      <w:r>
        <w:noBreakHyphen/>
        <w:t xml:space="preserve">based support to about 40 000 members </w:t>
      </w:r>
      <w:r w:rsidRPr="00C65A42">
        <w:rPr>
          <w:szCs w:val="24"/>
        </w:rPr>
        <w:t>(HRSCH 2016, p. 61)</w:t>
      </w:r>
      <w:r>
        <w:t>.</w:t>
      </w:r>
    </w:p>
  </w:footnote>
  <w:footnote w:id="24">
    <w:p w14:paraId="34BA6DF8" w14:textId="77777777" w:rsidR="001C2773" w:rsidRDefault="001C2773" w:rsidP="009659D4">
      <w:pPr>
        <w:pStyle w:val="FootnoteText"/>
      </w:pPr>
      <w:r w:rsidRPr="003D243B">
        <w:rPr>
          <w:rStyle w:val="FootnoteReference"/>
        </w:rPr>
        <w:footnoteRef/>
      </w:r>
      <w:r>
        <w:tab/>
        <w:t>See</w:t>
      </w:r>
      <w:r w:rsidRPr="00FD0F1F">
        <w:t xml:space="preserve"> </w:t>
      </w:r>
      <w:r w:rsidRPr="00084511">
        <w:t>http://carecomplete.com.au/</w:t>
      </w:r>
      <w:r w:rsidRPr="00FD0F1F">
        <w:t>.</w:t>
      </w:r>
    </w:p>
  </w:footnote>
  <w:footnote w:id="25">
    <w:p w14:paraId="1EA396D6" w14:textId="77777777" w:rsidR="001C2773" w:rsidRDefault="001C2773">
      <w:pPr>
        <w:pStyle w:val="FootnoteText"/>
      </w:pPr>
      <w:r w:rsidRPr="003D243B">
        <w:rPr>
          <w:rStyle w:val="FootnoteReference"/>
        </w:rPr>
        <w:footnoteRef/>
      </w:r>
      <w:r>
        <w:tab/>
      </w:r>
      <w:r w:rsidRPr="00C1530E">
        <w:t xml:space="preserve">Some have argued strongly in favour of the clinical and social advantages of single rooms </w:t>
      </w:r>
      <w:r w:rsidRPr="00944790">
        <w:t>(Fairhill et al. 2017; Pennington and Isles 2013; Stall 2012; Ulrich 2007)</w:t>
      </w:r>
      <w:r w:rsidRPr="00C1530E">
        <w:t xml:space="preserve">. On the other hand, the UK NHS National Institute for Health Research found patients generally preferred single rooms, but that they cost more and did not appear to produce clinical benefits </w:t>
      </w:r>
      <w:r w:rsidRPr="00944790">
        <w:t>(NHSNIHR 2015)</w:t>
      </w:r>
      <w:r w:rsidRPr="00C1530E">
        <w:t xml:space="preserve">. A review by Healthcare Improvement Scotland found it was not possible to reach firm conclusions about their clinical benefits </w:t>
      </w:r>
      <w:r w:rsidRPr="00944790">
        <w:t>(HCIS 2016)</w:t>
      </w:r>
      <w:r w:rsidRPr="00C1530E">
        <w:t xml:space="preserve">. Others suggest negative effects </w:t>
      </w:r>
      <w:r w:rsidRPr="00944790">
        <w:t>(Young, Edwards and Singh 2017)</w:t>
      </w:r>
      <w:r w:rsidRPr="00C1530E">
        <w:t>.</w:t>
      </w:r>
      <w:r>
        <w:t xml:space="preserve"> </w:t>
      </w:r>
    </w:p>
  </w:footnote>
  <w:footnote w:id="26">
    <w:p w14:paraId="1EA396D7" w14:textId="77777777" w:rsidR="001C2773" w:rsidRDefault="001C2773">
      <w:pPr>
        <w:pStyle w:val="FootnoteText"/>
      </w:pPr>
      <w:r w:rsidRPr="003D243B">
        <w:rPr>
          <w:rStyle w:val="FootnoteReference"/>
        </w:rPr>
        <w:footnoteRef/>
      </w:r>
      <w:r>
        <w:tab/>
        <w:t>There have been other proposals along these lines. For example, Ham and Timmins </w:t>
      </w:r>
      <w:r w:rsidRPr="00C65A42">
        <w:t>(2015)</w:t>
      </w:r>
      <w:r>
        <w:t xml:space="preserve"> review of the Victorian health system supported experimenting with adaptations of ABF to reward LHNs for preventing hospital admissions. They raised the idea of a bundled care approach in which LHNs could be paid an annual amount (a ‘year of care’) to oversee the care of patients with multiple chronic conditions — effectively a capitation payment that could pool the funds from all the various health budgets for the integrated care of patients in greatest need of care.</w:t>
      </w:r>
    </w:p>
  </w:footnote>
  <w:footnote w:id="27">
    <w:p w14:paraId="1EA396D8" w14:textId="77777777" w:rsidR="001C2773" w:rsidRDefault="001C2773" w:rsidP="000967BD">
      <w:pPr>
        <w:pStyle w:val="FootnoteText"/>
      </w:pPr>
      <w:r w:rsidRPr="003D243B">
        <w:rPr>
          <w:rStyle w:val="FootnoteReference"/>
        </w:rPr>
        <w:footnoteRef/>
      </w:r>
      <w:r>
        <w:tab/>
        <w:t>PC projections are based on year</w:t>
      </w:r>
      <w:r>
        <w:noBreakHyphen/>
        <w:t>to</w:t>
      </w:r>
      <w:r>
        <w:noBreakHyphen/>
        <w:t>date expenditure published in January 2017 by</w:t>
      </w:r>
      <w:r w:rsidRPr="0067026F">
        <w:t xml:space="preserve"> </w:t>
      </w:r>
      <w:r>
        <w:t xml:space="preserve">Administrator of the National Health Funding Pool </w:t>
      </w:r>
      <w:r w:rsidRPr="00C65A42">
        <w:t>(2017)</w:t>
      </w:r>
      <w:r>
        <w:t>.</w:t>
      </w:r>
    </w:p>
  </w:footnote>
  <w:footnote w:id="28">
    <w:p w14:paraId="1EA396D9" w14:textId="77777777" w:rsidR="001C2773" w:rsidRDefault="001C2773">
      <w:pPr>
        <w:pStyle w:val="FootnoteText"/>
      </w:pPr>
      <w:r w:rsidRPr="003D243B">
        <w:rPr>
          <w:rStyle w:val="FootnoteReference"/>
        </w:rPr>
        <w:footnoteRef/>
      </w:r>
      <w:r>
        <w:tab/>
        <w:t>S</w:t>
      </w:r>
      <w:r w:rsidRPr="00BC54A6">
        <w:t xml:space="preserve">hort and long consultations (the dominant MBS items used by general practice) </w:t>
      </w:r>
      <w:r>
        <w:t>are</w:t>
      </w:r>
      <w:r w:rsidRPr="00BC54A6">
        <w:t xml:space="preserve"> also be</w:t>
      </w:r>
      <w:r>
        <w:t>ing</w:t>
      </w:r>
      <w:r w:rsidRPr="00BC54A6">
        <w:t xml:space="preserve"> used for prevention and management of disease, but the invisible nature of these consultations means that nothing is known about </w:t>
      </w:r>
      <w:r>
        <w:t>their relative significance</w:t>
      </w:r>
      <w:r w:rsidRPr="00BC54A6">
        <w:t>.</w:t>
      </w:r>
    </w:p>
  </w:footnote>
  <w:footnote w:id="29">
    <w:p w14:paraId="1EA396DA" w14:textId="77777777" w:rsidR="001C2773" w:rsidRDefault="001C2773">
      <w:pPr>
        <w:pStyle w:val="FootnoteText"/>
      </w:pPr>
      <w:r w:rsidRPr="003D243B">
        <w:rPr>
          <w:rStyle w:val="FootnoteReference"/>
        </w:rPr>
        <w:footnoteRef/>
      </w:r>
      <w:r>
        <w:tab/>
        <w:t>The data are from the online Medicare Statistics database managed by the Department of Human Services.</w:t>
      </w:r>
    </w:p>
  </w:footnote>
  <w:footnote w:id="30">
    <w:p w14:paraId="1EA396DB" w14:textId="77777777" w:rsidR="001C2773" w:rsidRDefault="001C2773" w:rsidP="00143E7E">
      <w:pPr>
        <w:pStyle w:val="FootnoteText"/>
      </w:pPr>
      <w:r w:rsidRPr="003D243B">
        <w:rPr>
          <w:rStyle w:val="FootnoteReference"/>
        </w:rPr>
        <w:footnoteRef/>
      </w:r>
      <w:r>
        <w:tab/>
        <w:t xml:space="preserve">The new program will retain payments that fund </w:t>
      </w:r>
      <w:r w:rsidRPr="00B57C53">
        <w:t xml:space="preserve">eHealth, </w:t>
      </w:r>
      <w:r>
        <w:t>provision of a</w:t>
      </w:r>
      <w:r w:rsidRPr="00B57C53">
        <w:t>fter-</w:t>
      </w:r>
      <w:r>
        <w:t>h</w:t>
      </w:r>
      <w:r w:rsidRPr="00B57C53">
        <w:t>ours</w:t>
      </w:r>
      <w:r>
        <w:t xml:space="preserve"> services</w:t>
      </w:r>
      <w:r w:rsidRPr="00B57C53">
        <w:t xml:space="preserve">, </w:t>
      </w:r>
      <w:r>
        <w:t>a r</w:t>
      </w:r>
      <w:r w:rsidRPr="00B57C53">
        <w:t xml:space="preserve">ural </w:t>
      </w:r>
      <w:r>
        <w:t>l</w:t>
      </w:r>
      <w:r w:rsidRPr="00B57C53">
        <w:t xml:space="preserve">oading, </w:t>
      </w:r>
      <w:r>
        <w:t>a t</w:t>
      </w:r>
      <w:r w:rsidRPr="00B57C53">
        <w:t xml:space="preserve">eaching </w:t>
      </w:r>
      <w:r>
        <w:t>p</w:t>
      </w:r>
      <w:r w:rsidRPr="00B57C53">
        <w:t xml:space="preserve">ayment, Indigenous </w:t>
      </w:r>
      <w:r>
        <w:t>h</w:t>
      </w:r>
      <w:r w:rsidRPr="00B57C53">
        <w:t xml:space="preserve">ealth, and </w:t>
      </w:r>
      <w:r>
        <w:t xml:space="preserve">the </w:t>
      </w:r>
      <w:r w:rsidRPr="00B57C53">
        <w:t>Procedural General Practitioner Payment.</w:t>
      </w:r>
    </w:p>
  </w:footnote>
  <w:footnote w:id="31">
    <w:p w14:paraId="1EA396DC" w14:textId="77777777" w:rsidR="001C2773" w:rsidRDefault="001C2773">
      <w:pPr>
        <w:pStyle w:val="FootnoteText"/>
      </w:pPr>
      <w:r w:rsidRPr="003D243B">
        <w:rPr>
          <w:rStyle w:val="FootnoteReference"/>
        </w:rPr>
        <w:footnoteRef/>
      </w:r>
      <w:r>
        <w:tab/>
        <w:t xml:space="preserve">It could only be ‘somewhat’ because, unlike the pooled funding model, there would be few (immediate) savings on MBS expenditure, so that funding would need to be mindful of the Australian Government’s fiscal position. </w:t>
      </w:r>
    </w:p>
  </w:footnote>
  <w:footnote w:id="32">
    <w:p w14:paraId="1EA396DD" w14:textId="77777777" w:rsidR="001C2773" w:rsidRDefault="001C2773" w:rsidP="004A19CF">
      <w:pPr>
        <w:pStyle w:val="FootnoteText"/>
      </w:pPr>
      <w:r w:rsidRPr="003D243B">
        <w:rPr>
          <w:rStyle w:val="FootnoteReference"/>
        </w:rPr>
        <w:footnoteRef/>
      </w:r>
      <w:r>
        <w:tab/>
        <w:t xml:space="preserve">Such equalisation is also used in Australia to underpin community rating of </w:t>
      </w:r>
      <w:r w:rsidRPr="00F6129E">
        <w:rPr>
          <w:i/>
        </w:rPr>
        <w:t>private</w:t>
      </w:r>
      <w:r>
        <w:t xml:space="preserve"> health insurance.</w:t>
      </w:r>
    </w:p>
  </w:footnote>
  <w:footnote w:id="33">
    <w:p w14:paraId="1EA396DE" w14:textId="77777777" w:rsidR="001C2773" w:rsidRDefault="001C2773" w:rsidP="004A19CF">
      <w:pPr>
        <w:pStyle w:val="FootnoteText"/>
      </w:pPr>
      <w:r w:rsidRPr="003D243B">
        <w:rPr>
          <w:rStyle w:val="FootnoteReference"/>
        </w:rPr>
        <w:footnoteRef/>
      </w:r>
      <w:r>
        <w:tab/>
        <w:t xml:space="preserve">Though there is some evidence that waiting times for elective surgery is less, which while involving expenditure, might still be beneficial </w:t>
      </w:r>
      <w:r w:rsidRPr="00C65A42">
        <w:rPr>
          <w:szCs w:val="24"/>
        </w:rPr>
        <w:t>(Stoelwinder 2014)</w:t>
      </w:r>
      <w:r>
        <w:t>.</w:t>
      </w:r>
    </w:p>
  </w:footnote>
  <w:footnote w:id="34">
    <w:p w14:paraId="1EA396DF" w14:textId="77777777" w:rsidR="001C2773" w:rsidRDefault="001C2773" w:rsidP="00E65F91">
      <w:pPr>
        <w:pStyle w:val="FootnoteText"/>
      </w:pPr>
      <w:r w:rsidRPr="003D243B">
        <w:rPr>
          <w:rStyle w:val="FootnoteReference"/>
        </w:rPr>
        <w:footnoteRef/>
      </w:r>
      <w:r>
        <w:tab/>
        <w:t xml:space="preserve">This excludes readmissions for some purposes, such as mental health assistance and chemotherapy. </w:t>
      </w:r>
    </w:p>
  </w:footnote>
  <w:footnote w:id="35">
    <w:p w14:paraId="1EA396E0" w14:textId="77777777" w:rsidR="001C2773" w:rsidRDefault="001C2773" w:rsidP="0088242F">
      <w:pPr>
        <w:pStyle w:val="FootnoteText"/>
      </w:pPr>
      <w:r w:rsidRPr="003D243B">
        <w:rPr>
          <w:rStyle w:val="FootnoteReference"/>
        </w:rPr>
        <w:footnoteRef/>
      </w:r>
      <w:r>
        <w:tab/>
        <w:t xml:space="preserve">The difference was more than eight fold if a simple unadjusted measure was used — so the adjustments here did not alter the results much here in any case. </w:t>
      </w:r>
    </w:p>
  </w:footnote>
  <w:footnote w:id="36">
    <w:p w14:paraId="1EA396E1" w14:textId="77777777" w:rsidR="001C2773" w:rsidRDefault="001C2773" w:rsidP="00D01E17">
      <w:pPr>
        <w:pStyle w:val="FootnoteText"/>
      </w:pPr>
      <w:r w:rsidRPr="003D243B">
        <w:rPr>
          <w:rStyle w:val="FootnoteReference"/>
        </w:rPr>
        <w:footnoteRef/>
      </w:r>
      <w:r>
        <w:tab/>
      </w:r>
      <w:r w:rsidRPr="003176AD">
        <w:t xml:space="preserve">In Australia, there were </w:t>
      </w:r>
      <w:r>
        <w:t>about</w:t>
      </w:r>
      <w:r w:rsidRPr="003176AD">
        <w:t xml:space="preserve"> 33</w:t>
      </w:r>
      <w:r>
        <w:t> </w:t>
      </w:r>
      <w:r w:rsidRPr="003176AD">
        <w:t>000 knee arthroscopies for people aged 55 years and over in 2012</w:t>
      </w:r>
      <w:r>
        <w:noBreakHyphen/>
      </w:r>
      <w:r w:rsidRPr="003176AD">
        <w:t>13</w:t>
      </w:r>
      <w:r>
        <w:t xml:space="preserve"> in all surgical settings, </w:t>
      </w:r>
      <w:r w:rsidRPr="003176AD">
        <w:t>a group for whom degenerat</w:t>
      </w:r>
      <w:r>
        <w:t xml:space="preserve">ive knee disease is most common </w:t>
      </w:r>
      <w:r w:rsidRPr="00C65A42">
        <w:rPr>
          <w:szCs w:val="24"/>
        </w:rPr>
        <w:t>(ACSQHC 2015, p. 110)</w:t>
      </w:r>
      <w:r>
        <w:t>. In 2010</w:t>
      </w:r>
      <w:r>
        <w:noBreakHyphen/>
        <w:t xml:space="preserve">11, there were 71 000 knee arthroscopies </w:t>
      </w:r>
      <w:r w:rsidRPr="003176AD">
        <w:t>for all ages</w:t>
      </w:r>
      <w:r>
        <w:t xml:space="preserve">, many of which would still not be clinically justified </w:t>
      </w:r>
      <w:r w:rsidRPr="005159A6">
        <w:rPr>
          <w:szCs w:val="24"/>
        </w:rPr>
        <w:t>(ACSQHC &amp; AIHW 2014, p. 27)</w:t>
      </w:r>
      <w:r>
        <w:t>. From 2010</w:t>
      </w:r>
      <w:r>
        <w:noBreakHyphen/>
        <w:t>11 to 2015</w:t>
      </w:r>
      <w:r>
        <w:noBreakHyphen/>
        <w:t>16, MBS data, which ignores public patients in public hospitals, show a decline in arthroscopies of 18 per cent (based on DSS online Medicare data). That suggests that a rough estimate of total arthroscopies in 2015</w:t>
      </w:r>
      <w:r>
        <w:noBreakHyphen/>
        <w:t>16 might be 58 000. If 30 per cent of these were clinically justified, and the cost per arthroscopy was about $5000 (based on HCF data), then the waste from unneeded arthroscopies would be of the order of $200 million annually.</w:t>
      </w:r>
    </w:p>
  </w:footnote>
  <w:footnote w:id="37">
    <w:p w14:paraId="1EA396E2" w14:textId="77777777" w:rsidR="001C2773" w:rsidRDefault="001C2773" w:rsidP="00B24D26">
      <w:pPr>
        <w:pStyle w:val="FootnoteText"/>
      </w:pPr>
      <w:r w:rsidRPr="003D243B">
        <w:rPr>
          <w:rStyle w:val="FootnoteReference"/>
        </w:rPr>
        <w:footnoteRef/>
      </w:r>
      <w:r>
        <w:tab/>
        <w:t>This is more than</w:t>
      </w:r>
      <w:r w:rsidRPr="00325F29">
        <w:t xml:space="preserve"> </w:t>
      </w:r>
      <w:r>
        <w:t>is</w:t>
      </w:r>
      <w:r w:rsidRPr="00325F29">
        <w:t xml:space="preserve"> </w:t>
      </w:r>
      <w:r>
        <w:t>reported in the portfolio budget papers</w:t>
      </w:r>
      <w:r>
        <w:rPr>
          <w:szCs w:val="24"/>
        </w:rPr>
        <w:t xml:space="preserve">, </w:t>
      </w:r>
      <w:r w:rsidRPr="00D329C8">
        <w:rPr>
          <w:szCs w:val="24"/>
        </w:rPr>
        <w:t>which amounted to $5.95 billion of direct subsidies in 2015-16</w:t>
      </w:r>
      <w:r>
        <w:rPr>
          <w:szCs w:val="24"/>
        </w:rPr>
        <w:t xml:space="preserve"> </w:t>
      </w:r>
      <w:r w:rsidRPr="00F26CC2">
        <w:rPr>
          <w:szCs w:val="24"/>
        </w:rPr>
        <w:t>(DoH 2016b, p. 88)</w:t>
      </w:r>
      <w:r>
        <w:rPr>
          <w:szCs w:val="24"/>
        </w:rPr>
        <w:t xml:space="preserve">. The </w:t>
      </w:r>
      <w:r>
        <w:t xml:space="preserve">exemption from the Medicare Levy Surcharge for those who hold insurance also represents an implicit transfer — estimated to be approximately $2.5 billion </w:t>
      </w:r>
      <w:r w:rsidRPr="00D329C8">
        <w:rPr>
          <w:szCs w:val="24"/>
        </w:rPr>
        <w:t>(Doggett and McAuley 2015)</w:t>
      </w:r>
      <w:r>
        <w:t>. (There is also notionally revenue forgone of $1.69 billion because the rebate is not counted as income for the beneficiary. However, non-taxation of a subsidy does not represent a genuine loss to taxpayers because were there to be no subsidy, there would be no income to tax.)</w:t>
      </w:r>
    </w:p>
  </w:footnote>
  <w:footnote w:id="38">
    <w:p w14:paraId="1EA396E3" w14:textId="77777777" w:rsidR="001C2773" w:rsidRDefault="001C2773">
      <w:pPr>
        <w:pStyle w:val="FootnoteText"/>
      </w:pPr>
      <w:r w:rsidRPr="003D243B">
        <w:rPr>
          <w:rStyle w:val="FootnoteReference"/>
        </w:rPr>
        <w:footnoteRef/>
      </w:r>
      <w:r>
        <w:tab/>
        <w:t xml:space="preserve">Other data form </w:t>
      </w:r>
      <w:r w:rsidRPr="00EF4CE7">
        <w:t>the Commonwealth Fund’s 2016 International Health Pol</w:t>
      </w:r>
      <w:r>
        <w:t>icy Survey found that 14 per </w:t>
      </w:r>
      <w:r w:rsidRPr="00EF4CE7">
        <w:t xml:space="preserve">cent of Australians said that they had not filled a prescription, did not see a doctor or did not otherwise get recommended care because of cost </w:t>
      </w:r>
      <w:r w:rsidRPr="007F28E6">
        <w:rPr>
          <w:szCs w:val="24"/>
        </w:rPr>
        <w:t>(Mossialos et al. 2017)</w:t>
      </w:r>
      <w:r w:rsidRPr="00EF4CE7">
        <w:t>.</w:t>
      </w:r>
    </w:p>
  </w:footnote>
  <w:footnote w:id="39">
    <w:p w14:paraId="1EA396E4" w14:textId="77777777" w:rsidR="001C2773" w:rsidRDefault="001C2773" w:rsidP="00D60B4F">
      <w:pPr>
        <w:pStyle w:val="FootnoteText"/>
      </w:pPr>
      <w:r w:rsidRPr="003D243B">
        <w:rPr>
          <w:rStyle w:val="FootnoteReference"/>
        </w:rPr>
        <w:footnoteRef/>
      </w:r>
      <w:r>
        <w:tab/>
        <w:t xml:space="preserve">The annual expenditure threshold in early 2017 for a Safety Net Concession Card was $1494.90 for ‘general patients’, with subsequent scripts costing $6.30 </w:t>
      </w:r>
      <w:r w:rsidRPr="00D96FF6">
        <w:rPr>
          <w:szCs w:val="24"/>
        </w:rPr>
        <w:t>(DoH 2017d)</w:t>
      </w:r>
      <w:r>
        <w:t xml:space="preserve">. There were just over 91 000 cards issued in 2015 </w:t>
      </w:r>
      <w:r w:rsidRPr="00F26CC2">
        <w:rPr>
          <w:szCs w:val="24"/>
        </w:rPr>
        <w:t>(Table 17(b) of DoH 2016e)</w:t>
      </w:r>
      <w:r>
        <w:t>.</w:t>
      </w:r>
    </w:p>
  </w:footnote>
  <w:footnote w:id="40">
    <w:p w14:paraId="1EA396E5" w14:textId="77777777" w:rsidR="001C2773" w:rsidRDefault="001C2773" w:rsidP="00D60B4F">
      <w:pPr>
        <w:pStyle w:val="FootnoteText"/>
      </w:pPr>
      <w:r w:rsidRPr="003D243B">
        <w:rPr>
          <w:rStyle w:val="FootnoteReference"/>
        </w:rPr>
        <w:footnoteRef/>
      </w:r>
      <w:r>
        <w:tab/>
        <w:t>Rewards have been applied in areas as diverse as rehabilitation for cocaine dependency; motivation of weight loss and physical exercise; smoking reduction; treatment of tuberculosis;</w:t>
      </w:r>
      <w:r w:rsidRPr="00CA6358">
        <w:t xml:space="preserve"> postpartum appointment keeping</w:t>
      </w:r>
      <w:r>
        <w:t xml:space="preserve"> for low</w:t>
      </w:r>
      <w:r>
        <w:noBreakHyphen/>
        <w:t>income pregnant teenagers; preventative dentistry; eating fruit and vegetables; adherence to long</w:t>
      </w:r>
      <w:r>
        <w:noBreakHyphen/>
        <w:t xml:space="preserve">term antipsychotic injectable drugs; and substance abuse problems in veterans. For a small sample of a diverse literature, see </w:t>
      </w:r>
      <w:r w:rsidRPr="00970894">
        <w:t>Cahill, Hartmann-Boyce and Perera</w:t>
      </w:r>
      <w:r>
        <w:t xml:space="preserve"> </w:t>
      </w:r>
      <w:r w:rsidRPr="00C65A42">
        <w:t>(2015)</w:t>
      </w:r>
      <w:r>
        <w:t xml:space="preserve">; </w:t>
      </w:r>
      <w:r w:rsidRPr="00970894">
        <w:t>Gardiner and Bryan</w:t>
      </w:r>
      <w:r>
        <w:t xml:space="preserve"> </w:t>
      </w:r>
      <w:r w:rsidRPr="00C65A42">
        <w:t>(2017)</w:t>
      </w:r>
      <w:r>
        <w:t xml:space="preserve">; </w:t>
      </w:r>
      <w:r w:rsidRPr="00970894">
        <w:t>Giuffrida and Torgerson</w:t>
      </w:r>
      <w:r>
        <w:t xml:space="preserve"> </w:t>
      </w:r>
      <w:r w:rsidRPr="00C65A42">
        <w:t>(1997)</w:t>
      </w:r>
      <w:r>
        <w:t>;</w:t>
      </w:r>
      <w:r w:rsidRPr="00970894">
        <w:t xml:space="preserve"> </w:t>
      </w:r>
      <w:r>
        <w:t xml:space="preserve">Higgins et al. </w:t>
      </w:r>
      <w:r w:rsidRPr="00C65A42">
        <w:t>(2017)</w:t>
      </w:r>
      <w:r>
        <w:t xml:space="preserve">; </w:t>
      </w:r>
      <w:r w:rsidRPr="00970894">
        <w:t>Mattke et al.</w:t>
      </w:r>
      <w:r>
        <w:t xml:space="preserve"> </w:t>
      </w:r>
      <w:r w:rsidRPr="00C65A42">
        <w:t>(2013)</w:t>
      </w:r>
      <w:r w:rsidRPr="00970894">
        <w:t>; Petry et al.</w:t>
      </w:r>
      <w:r>
        <w:t xml:space="preserve"> </w:t>
      </w:r>
      <w:r w:rsidRPr="00C65A42">
        <w:t>(2014)</w:t>
      </w:r>
      <w:r>
        <w:t xml:space="preserve">; and </w:t>
      </w:r>
      <w:r w:rsidRPr="00970894">
        <w:t>Priebe et al.</w:t>
      </w:r>
      <w:r>
        <w:t xml:space="preserve"> </w:t>
      </w:r>
      <w:r w:rsidRPr="00C65A42">
        <w:t>(2016)</w:t>
      </w:r>
      <w:r>
        <w:t>.</w:t>
      </w:r>
    </w:p>
  </w:footnote>
  <w:footnote w:id="41">
    <w:p w14:paraId="1EA396E6" w14:textId="77777777" w:rsidR="001C2773" w:rsidRDefault="001C2773" w:rsidP="00D60B4F">
      <w:pPr>
        <w:pStyle w:val="FootnoteText"/>
      </w:pPr>
      <w:r w:rsidRPr="003D243B">
        <w:rPr>
          <w:rStyle w:val="FootnoteReference"/>
        </w:rPr>
        <w:footnoteRef/>
      </w:r>
      <w:r>
        <w:tab/>
      </w:r>
      <w:r w:rsidRPr="00CB6991">
        <w:t>Of all adolescents at the healthy weight at baseline, 2 per cent of the intervention group became overweight after five years, while 13 per cent of the comparison group increased to overweight or obese (p=0.02) after four years</w:t>
      </w:r>
      <w:r>
        <w:t xml:space="preserve"> </w:t>
      </w:r>
      <w:r w:rsidRPr="00C65A42">
        <w:rPr>
          <w:szCs w:val="24"/>
        </w:rPr>
        <w:t>(Lazorick et al. 2014)</w:t>
      </w:r>
      <w:r>
        <w:t xml:space="preserve">. Follow-up research showed persisting benefits </w:t>
      </w:r>
      <w:r w:rsidRPr="00C65A42">
        <w:rPr>
          <w:szCs w:val="24"/>
        </w:rPr>
        <w:t>(Lazorick, Fang and Crawford 2016)</w:t>
      </w:r>
      <w:r>
        <w:t xml:space="preserve">. </w:t>
      </w:r>
    </w:p>
  </w:footnote>
  <w:footnote w:id="42">
    <w:p w14:paraId="1EA396E7" w14:textId="77777777" w:rsidR="001C2773" w:rsidRDefault="001C2773" w:rsidP="00D60B4F">
      <w:pPr>
        <w:pStyle w:val="FootnoteText"/>
      </w:pPr>
      <w:r w:rsidRPr="003D243B">
        <w:rPr>
          <w:rStyle w:val="FootnoteReference"/>
        </w:rPr>
        <w:footnoteRef/>
      </w:r>
      <w:r>
        <w:tab/>
        <w:t xml:space="preserve">A broader review cited more positive results and also proposed some guides for the future use of incentives, drawing on behavioural economics </w:t>
      </w:r>
      <w:r w:rsidRPr="00C65A42">
        <w:rPr>
          <w:szCs w:val="24"/>
        </w:rPr>
        <w:t>(Shuval et al. 2017)</w:t>
      </w:r>
      <w:r>
        <w:t>.</w:t>
      </w:r>
    </w:p>
  </w:footnote>
  <w:footnote w:id="43">
    <w:p w14:paraId="1EA396E8" w14:textId="77777777" w:rsidR="001C2773" w:rsidRDefault="001C2773" w:rsidP="006E29CE">
      <w:pPr>
        <w:pStyle w:val="FootnoteText"/>
      </w:pPr>
      <w:r w:rsidRPr="003D243B">
        <w:rPr>
          <w:rStyle w:val="FootnoteReference"/>
        </w:rPr>
        <w:footnoteRef/>
      </w:r>
      <w:r>
        <w:tab/>
        <w:t xml:space="preserve">Based on practice numbers reported in Scott </w:t>
      </w:r>
      <w:r w:rsidRPr="00C65A42">
        <w:t>(2017)</w:t>
      </w:r>
      <w:r>
        <w:t xml:space="preserve"> and GP registrations recorded by the ADHA </w:t>
      </w:r>
      <w:r w:rsidRPr="00C65A42">
        <w:t>(2017)</w:t>
      </w:r>
      <w:r>
        <w:t>.</w:t>
      </w:r>
    </w:p>
  </w:footnote>
  <w:footnote w:id="44">
    <w:p w14:paraId="1EA396E9" w14:textId="77777777" w:rsidR="001C2773" w:rsidRDefault="001C2773">
      <w:pPr>
        <w:pStyle w:val="FootnoteText"/>
      </w:pPr>
      <w:r w:rsidRPr="003D243B">
        <w:rPr>
          <w:rStyle w:val="FootnoteReference"/>
        </w:rPr>
        <w:footnoteRef/>
      </w:r>
      <w:r>
        <w:tab/>
        <w:t xml:space="preserve">Many of these are described in the PC’s inquiry into </w:t>
      </w:r>
      <w:r w:rsidRPr="00827015">
        <w:rPr>
          <w:i/>
        </w:rPr>
        <w:t>Data Availability and Use</w:t>
      </w:r>
      <w:r>
        <w:t xml:space="preserve"> and the burgeoning analysis of the obstacles and solutions to the use of data in the health system </w:t>
      </w:r>
      <w:r w:rsidRPr="00C65A42">
        <w:rPr>
          <w:szCs w:val="24"/>
        </w:rPr>
        <w:t>(Kruse et al. 2016)</w:t>
      </w:r>
      <w:r>
        <w:t>.</w:t>
      </w:r>
    </w:p>
  </w:footnote>
  <w:footnote w:id="45">
    <w:p w14:paraId="1EA396EA" w14:textId="77777777" w:rsidR="001C2773" w:rsidRDefault="001C2773" w:rsidP="003D11ED">
      <w:pPr>
        <w:pStyle w:val="FootnoteText"/>
      </w:pPr>
      <w:r w:rsidRPr="003D243B">
        <w:rPr>
          <w:rStyle w:val="FootnoteReference"/>
        </w:rPr>
        <w:footnoteRef/>
      </w:r>
      <w:r>
        <w:tab/>
      </w:r>
      <w:r w:rsidRPr="008564CF">
        <w:t>SURE was established to facilitate large-scale research projects to address major health and social issues confronting Australia.</w:t>
      </w:r>
    </w:p>
  </w:footnote>
  <w:footnote w:id="46">
    <w:p w14:paraId="1EA396EB" w14:textId="77777777" w:rsidR="001C2773" w:rsidRDefault="001C2773" w:rsidP="002837CA">
      <w:pPr>
        <w:pStyle w:val="FootnoteText"/>
      </w:pPr>
      <w:r w:rsidRPr="003D243B">
        <w:rPr>
          <w:rStyle w:val="FootnoteReference"/>
        </w:rPr>
        <w:footnoteRef/>
      </w:r>
      <w:r>
        <w:tab/>
        <w:t>There are thirty</w:t>
      </w:r>
      <w:r>
        <w:noBreakHyphen/>
        <w:t>one Primary Health Networks with boundaries that are generally aligned with the one hundred and thirty</w:t>
      </w:r>
      <w:r>
        <w:noBreakHyphen/>
        <w:t>five regionally defined Local Hospital Networks.</w:t>
      </w:r>
    </w:p>
  </w:footnote>
  <w:footnote w:id="47">
    <w:p w14:paraId="1EA396EC" w14:textId="77777777" w:rsidR="001C2773" w:rsidRDefault="001C2773" w:rsidP="00F576FE">
      <w:pPr>
        <w:pStyle w:val="FootnoteText"/>
      </w:pPr>
      <w:r w:rsidRPr="003D243B">
        <w:rPr>
          <w:rStyle w:val="FootnoteReference"/>
        </w:rPr>
        <w:footnoteRef/>
      </w:r>
      <w:r>
        <w:tab/>
        <w:t xml:space="preserve">Notwithstanding their origin nearly 50 years ago, Australia was a relatively latecomer to the concept. CHCs have been in Canada since the 1920s </w:t>
      </w:r>
      <w:r w:rsidRPr="00C65A42">
        <w:rPr>
          <w:szCs w:val="24"/>
        </w:rPr>
        <w:t>(Wong et al. 2015)</w:t>
      </w:r>
      <w:r>
        <w:t>.</w:t>
      </w:r>
    </w:p>
  </w:footnote>
  <w:footnote w:id="48">
    <w:p w14:paraId="1EA396ED" w14:textId="77777777" w:rsidR="001C2773" w:rsidRDefault="001C2773" w:rsidP="00D31F5D">
      <w:pPr>
        <w:pStyle w:val="FootnoteText"/>
      </w:pPr>
      <w:r w:rsidRPr="003D243B">
        <w:rPr>
          <w:rStyle w:val="FootnoteReference"/>
        </w:rPr>
        <w:footnoteRef/>
      </w:r>
      <w:r>
        <w:tab/>
      </w:r>
      <w:r w:rsidRPr="00EE768F">
        <w:t xml:space="preserve">In NSW, funding was </w:t>
      </w:r>
      <w:r>
        <w:t>about</w:t>
      </w:r>
      <w:r w:rsidRPr="00EE768F">
        <w:t xml:space="preserve"> $900 million for ‘Primary and Community Based Services’, but this includes a broader range of services</w:t>
      </w:r>
      <w:r>
        <w:t xml:space="preserve"> (NSW Budget 2016</w:t>
      </w:r>
      <w:r>
        <w:noBreakHyphen/>
        <w:t>17, Health Cluster).</w:t>
      </w:r>
      <w:r w:rsidRPr="00EE768F">
        <w:t xml:space="preserve"> One of the complications of assessing coordinated care arrangements across Australia that fit broadly under the rubric of community health is that their scope varies.</w:t>
      </w:r>
    </w:p>
  </w:footnote>
  <w:footnote w:id="49">
    <w:p w14:paraId="1EA396EE" w14:textId="5ACF3C7E" w:rsidR="001C2773" w:rsidRDefault="001C2773" w:rsidP="00D31F5D">
      <w:pPr>
        <w:pStyle w:val="FootnoteText"/>
      </w:pPr>
      <w:r w:rsidRPr="003D243B">
        <w:rPr>
          <w:rStyle w:val="FootnoteReference"/>
        </w:rPr>
        <w:footnoteRef/>
      </w:r>
      <w:r>
        <w:tab/>
        <w:t xml:space="preserve">While the evidence is dated, about 40 per cent of Victorian CHSs offered GP services — </w:t>
      </w:r>
      <w:r>
        <w:rPr>
          <w:szCs w:val="24"/>
        </w:rPr>
        <w:t>(Vic</w:t>
      </w:r>
      <w:r w:rsidRPr="00DA3429">
        <w:rPr>
          <w:szCs w:val="24"/>
        </w:rPr>
        <w:t>D</w:t>
      </w:r>
      <w:r>
        <w:rPr>
          <w:szCs w:val="24"/>
        </w:rPr>
        <w:t>H</w:t>
      </w:r>
      <w:r w:rsidRPr="00DA3429">
        <w:rPr>
          <w:szCs w:val="24"/>
        </w:rPr>
        <w:t>HS 2009)</w:t>
      </w:r>
      <w:r>
        <w:t xml:space="preserve">. Use of GPs in CHCs in other jurisdictions can be much lower, and </w:t>
      </w:r>
      <w:r w:rsidRPr="00D528D6">
        <w:t>sometimes CHCs aim to address primary health care needs in areas</w:t>
      </w:r>
      <w:r>
        <w:t xml:space="preserve"> where GPs are in short supply. </w:t>
      </w:r>
    </w:p>
  </w:footnote>
  <w:footnote w:id="50">
    <w:p w14:paraId="1EA396EF" w14:textId="77777777" w:rsidR="001C2773" w:rsidRDefault="001C2773" w:rsidP="00D31F5D">
      <w:pPr>
        <w:pStyle w:val="FootnoteText"/>
      </w:pPr>
      <w:r w:rsidRPr="003D243B">
        <w:rPr>
          <w:rStyle w:val="FootnoteReference"/>
        </w:rPr>
        <w:footnoteRef/>
      </w:r>
      <w:r>
        <w:tab/>
      </w:r>
      <w:r w:rsidRPr="00084511">
        <w:t>https://www2.health.vic.gov.au/primary-and-community-health/community-health/community-health-program/chronic-care-guide</w:t>
      </w:r>
      <w:r w:rsidRPr="00012D28">
        <w:t xml:space="preserve"> (accessed on 17 M</w:t>
      </w:r>
      <w:r>
        <w:t>ay 2017).</w:t>
      </w:r>
    </w:p>
  </w:footnote>
  <w:footnote w:id="51">
    <w:p w14:paraId="1EA396F0" w14:textId="77777777" w:rsidR="001C2773" w:rsidRDefault="001C2773" w:rsidP="00D31F5D">
      <w:pPr>
        <w:pStyle w:val="FootnoteText"/>
      </w:pPr>
      <w:r w:rsidRPr="003D243B">
        <w:rPr>
          <w:rStyle w:val="FootnoteReference"/>
        </w:rPr>
        <w:footnoteRef/>
      </w:r>
      <w:r>
        <w:tab/>
        <w:t xml:space="preserve">Such as Evans et al. </w:t>
      </w:r>
      <w:r w:rsidRPr="00C65A42">
        <w:t>(2015)</w:t>
      </w:r>
      <w:r>
        <w:t xml:space="preserve">; Mukamel et al. </w:t>
      </w:r>
      <w:r w:rsidRPr="00C65A42">
        <w:t>(2016)</w:t>
      </w:r>
      <w:r>
        <w:t xml:space="preserve">; Sharma et al. </w:t>
      </w:r>
      <w:r w:rsidRPr="00C65A42">
        <w:t>(2014)</w:t>
      </w:r>
      <w:r>
        <w:t xml:space="preserve">; and </w:t>
      </w:r>
      <w:r w:rsidRPr="00BD0C0B">
        <w:rPr>
          <w:szCs w:val="24"/>
        </w:rPr>
        <w:t>Laiteerapong</w:t>
      </w:r>
      <w:r>
        <w:t xml:space="preserve"> etal. </w:t>
      </w:r>
      <w:r w:rsidRPr="00C65A42">
        <w:t>(2014)</w:t>
      </w:r>
      <w:r>
        <w:t>.</w:t>
      </w:r>
    </w:p>
  </w:footnote>
  <w:footnote w:id="52">
    <w:p w14:paraId="1EA396F1" w14:textId="77777777" w:rsidR="001C2773" w:rsidRDefault="001C2773">
      <w:pPr>
        <w:pStyle w:val="FootnoteText"/>
      </w:pPr>
      <w:r w:rsidRPr="003D243B">
        <w:rPr>
          <w:rStyle w:val="FootnoteReference"/>
        </w:rPr>
        <w:footnoteRef/>
      </w:r>
      <w:r>
        <w:tab/>
        <w:t>The roll</w:t>
      </w:r>
      <w:r w:rsidRPr="00F0494E">
        <w:t xml:space="preserve">out of Health care homes trial was delayed from its original start date following advice </w:t>
      </w:r>
      <w:r>
        <w:t>from</w:t>
      </w:r>
      <w:r w:rsidRPr="00F0494E">
        <w:t xml:space="preserve"> the clinician-led implementation advisory group.</w:t>
      </w:r>
    </w:p>
  </w:footnote>
  <w:footnote w:id="53">
    <w:p w14:paraId="1EA396F2" w14:textId="77777777" w:rsidR="001C2773" w:rsidRDefault="001C2773">
      <w:pPr>
        <w:pStyle w:val="FootnoteText"/>
      </w:pPr>
      <w:r w:rsidRPr="003D243B">
        <w:rPr>
          <w:rStyle w:val="FootnoteReference"/>
        </w:rPr>
        <w:footnoteRef/>
      </w:r>
      <w:r>
        <w:tab/>
      </w:r>
      <w:r w:rsidRPr="00807293">
        <w:t>This involves motivating people to consider donation, encouraging would be donors to discuss their preferences with family members, and engagement in hospitals with the families of willing potential donors.</w:t>
      </w:r>
    </w:p>
  </w:footnote>
  <w:footnote w:id="54">
    <w:p w14:paraId="1EA396F3" w14:textId="77777777" w:rsidR="001C2773" w:rsidRDefault="001C2773">
      <w:pPr>
        <w:pStyle w:val="FootnoteText"/>
      </w:pPr>
      <w:r w:rsidRPr="003D243B">
        <w:rPr>
          <w:rStyle w:val="FootnoteReference"/>
        </w:rPr>
        <w:footnoteRef/>
      </w:r>
      <w:r>
        <w:tab/>
        <w:t xml:space="preserve">This assumes </w:t>
      </w:r>
      <w:r w:rsidRPr="00ED44D7">
        <w:t xml:space="preserve">that the </w:t>
      </w:r>
      <w:r>
        <w:t xml:space="preserve">incidence of </w:t>
      </w:r>
      <w:r w:rsidRPr="00ED44D7">
        <w:t>accident and emergency outcomes that lead to brain death are sufficient to support this rate, that transplant success rates remain fixed, and that there remains an excess demand for transplants</w:t>
      </w:r>
      <w:r>
        <w:t>.</w:t>
      </w:r>
    </w:p>
  </w:footnote>
  <w:footnote w:id="55">
    <w:p w14:paraId="1EA396F4" w14:textId="52CDD2F0" w:rsidR="001C2773" w:rsidRDefault="001C2773" w:rsidP="00B96321">
      <w:pPr>
        <w:pStyle w:val="FootnoteText"/>
      </w:pPr>
      <w:r w:rsidRPr="003D243B">
        <w:rPr>
          <w:rStyle w:val="FootnoteReference"/>
        </w:rPr>
        <w:footnoteRef/>
      </w:r>
      <w:r>
        <w:t xml:space="preserve"> A European Union paper suggests that the annual savings from renal transplants in Spain were of the order of €21 000, though this seems well outside the range of any other estimates </w:t>
      </w:r>
      <w:r w:rsidRPr="00C65A42">
        <w:rPr>
          <w:szCs w:val="24"/>
        </w:rPr>
        <w:t>(Van der Spiegel 2013)</w:t>
      </w:r>
      <w:r>
        <w:t xml:space="preserve">. In the United Kingdom, it was estimated that annual dialysis costs for a person with renal failure were just over £23 000, compared with a kidney transplant cost of £42 000 followed by annual maintenance costs of £6500 </w:t>
      </w:r>
      <w:r w:rsidRPr="00C65A42">
        <w:rPr>
          <w:szCs w:val="24"/>
        </w:rPr>
        <w:t>(ODT 2008, p. 51)</w:t>
      </w:r>
      <w:r>
        <w:t xml:space="preserve">. A more contemporary cost assessment by the UK National Institute for Health and Clinical Excellence also substantiated net accumulated savings from kidney transplants, though these were not large </w:t>
      </w:r>
      <w:r w:rsidRPr="00C65A42">
        <w:rPr>
          <w:szCs w:val="24"/>
        </w:rPr>
        <w:t>(NICE 2011)</w:t>
      </w:r>
      <w:r>
        <w:t>. An Australian study found likely cumulative health care savings of between $14</w:t>
      </w:r>
      <w:r>
        <w:noBreakHyphen/>
        <w:t>56 million in present value terms over the period from 2009</w:t>
      </w:r>
      <w:r>
        <w:noBreakHyphen/>
        <w:t xml:space="preserve">2020 from a 50 per cent increase in kidney transplants </w:t>
      </w:r>
      <w:r w:rsidRPr="00C65A42">
        <w:rPr>
          <w:szCs w:val="24"/>
        </w:rPr>
        <w:t>(Cass et al. 2010)</w:t>
      </w:r>
      <w:r>
        <w:t xml:space="preserve">. It would save an estimated 3000 incremental life years. In contrast, a US study found net </w:t>
      </w:r>
      <w:r w:rsidRPr="00ED4AE7">
        <w:rPr>
          <w:i/>
        </w:rPr>
        <w:t>costs</w:t>
      </w:r>
      <w:r>
        <w:t xml:space="preserve"> from kidney transplants other than for young people without comorbidities, but the dollars spent per life year saved were relatively small, and superior to many other health interventions </w:t>
      </w:r>
      <w:r w:rsidRPr="00C65A42">
        <w:rPr>
          <w:szCs w:val="24"/>
        </w:rPr>
        <w:t>(Wong et al. 2012)</w:t>
      </w:r>
      <w:r>
        <w:t xml:space="preserve">. </w:t>
      </w:r>
    </w:p>
  </w:footnote>
  <w:footnote w:id="56">
    <w:p w14:paraId="1EA396F5" w14:textId="2D86E5D1" w:rsidR="001C2773" w:rsidRDefault="001C2773" w:rsidP="002837CA">
      <w:pPr>
        <w:pStyle w:val="FootnoteText"/>
      </w:pPr>
      <w:r w:rsidRPr="003D243B">
        <w:rPr>
          <w:rStyle w:val="FootnoteReference"/>
        </w:rPr>
        <w:footnoteRef/>
      </w:r>
      <w:r>
        <w:tab/>
      </w:r>
      <w:r w:rsidRPr="00EE0B6D">
        <w:t>Health</w:t>
      </w:r>
      <w:r>
        <w:t xml:space="preserve"> </w:t>
      </w:r>
      <w:r w:rsidRPr="00EE0B6D">
        <w:t xml:space="preserve">Pathways </w:t>
      </w:r>
      <w:r>
        <w:t xml:space="preserve">originated in Canterbury, New Zealand, but have been adapted to Western Sydney’s circumstances. They are also widely used in some other Australian regions. Health Pathways </w:t>
      </w:r>
      <w:r w:rsidRPr="00EE0B6D">
        <w:t xml:space="preserve">are agreements between GPs and hospital physicians </w:t>
      </w:r>
      <w:r>
        <w:t>based on the medical evidence that guide the</w:t>
      </w:r>
      <w:r w:rsidRPr="00EE0B6D">
        <w:t xml:space="preserve"> treat</w:t>
      </w:r>
      <w:r>
        <w:t>ment of</w:t>
      </w:r>
      <w:r w:rsidRPr="00EE0B6D">
        <w:t xml:space="preserve"> particular condition</w:t>
      </w:r>
      <w:r>
        <w:t>s</w:t>
      </w:r>
      <w:r w:rsidRPr="00EE0B6D">
        <w:t xml:space="preserve"> including the interaction of primary, specialist and other hospital services</w:t>
      </w:r>
      <w:r>
        <w:t>.</w:t>
      </w:r>
    </w:p>
  </w:footnote>
  <w:footnote w:id="57">
    <w:p w14:paraId="1EA396F6" w14:textId="77777777" w:rsidR="001C2773" w:rsidRDefault="001C2773" w:rsidP="0012268A">
      <w:pPr>
        <w:pStyle w:val="FootnoteText"/>
      </w:pPr>
      <w:r w:rsidRPr="003D243B">
        <w:rPr>
          <w:rStyle w:val="FootnoteReference"/>
        </w:rPr>
        <w:footnoteRef/>
      </w:r>
      <w:r>
        <w:tab/>
        <w:t>After controlling for the effects of differences in the traits of the participants and non</w:t>
      </w:r>
      <w:r>
        <w:noBreakHyphen/>
        <w:t>participants.</w:t>
      </w:r>
    </w:p>
  </w:footnote>
  <w:footnote w:id="58">
    <w:p w14:paraId="1EA396F7" w14:textId="77777777" w:rsidR="001C2773" w:rsidRDefault="001C2773" w:rsidP="0012268A">
      <w:pPr>
        <w:pStyle w:val="FootnoteText"/>
      </w:pPr>
      <w:r w:rsidRPr="003D243B">
        <w:rPr>
          <w:rStyle w:val="FootnoteReference"/>
        </w:rPr>
        <w:footnoteRef/>
      </w:r>
      <w:r>
        <w:tab/>
        <w:t xml:space="preserve">In two of the five domains, the improvements may have arisen due to chance alone, and this was also true for the single instance where the control group outperformed the GKIC system. </w:t>
      </w:r>
    </w:p>
  </w:footnote>
  <w:footnote w:id="59">
    <w:p w14:paraId="1EA396F8" w14:textId="77777777" w:rsidR="001C2773" w:rsidRDefault="001C2773" w:rsidP="00012D28">
      <w:pPr>
        <w:pStyle w:val="FootnoteText"/>
      </w:pPr>
      <w:r w:rsidRPr="003D243B">
        <w:rPr>
          <w:rStyle w:val="FootnoteReference"/>
        </w:rPr>
        <w:footnoteRef/>
      </w:r>
      <w:r>
        <w:tab/>
        <w:t>Additional testimony to the benefits of a regional approach is that the United States Veteran Affairs has found a regional approach to be the best approach to integrated care, notwithstanding that VA is a federal body (</w:t>
      </w:r>
      <w:r w:rsidRPr="00DB3E73">
        <w:t>Curry and Ham 2010</w:t>
      </w:r>
      <w:r>
        <w:t>).</w:t>
      </w:r>
      <w:r w:rsidRPr="00DB3E73">
        <w:t xml:space="preserve"> </w:t>
      </w:r>
    </w:p>
  </w:footnote>
  <w:footnote w:id="60">
    <w:p w14:paraId="1EA396F9" w14:textId="0642BA13" w:rsidR="001C2773" w:rsidRDefault="001C2773" w:rsidP="00A03E40">
      <w:pPr>
        <w:pStyle w:val="FootnoteText"/>
      </w:pPr>
      <w:r w:rsidRPr="003D243B">
        <w:rPr>
          <w:rStyle w:val="FootnoteReference"/>
        </w:rPr>
        <w:footnoteRef/>
      </w:r>
      <w:r>
        <w:tab/>
        <w:t xml:space="preserve">Other than dental practitioners (whose numbers still grew), the numbers of people employed as health professionals grew well above the growth in employment overall (based on ABS 2016, </w:t>
      </w:r>
      <w:r w:rsidRPr="00F43C92">
        <w:rPr>
          <w:i/>
        </w:rPr>
        <w:t>Labour Force, Australia, Detailed, Quarterly, Nov</w:t>
      </w:r>
      <w:r>
        <w:t>, Cat. no. 6291.0.55.003 at the ANZSCO 4 digit level).</w:t>
      </w:r>
    </w:p>
  </w:footnote>
  <w:footnote w:id="61">
    <w:p w14:paraId="1EA396FA" w14:textId="77777777" w:rsidR="001C2773" w:rsidRDefault="001C2773" w:rsidP="00FF500A">
      <w:pPr>
        <w:pStyle w:val="FootnoteText"/>
      </w:pPr>
      <w:r w:rsidRPr="003D243B">
        <w:rPr>
          <w:rStyle w:val="FootnoteReference"/>
        </w:rPr>
        <w:footnoteRef/>
      </w:r>
      <w:r>
        <w:tab/>
        <w:t xml:space="preserve">An Australian Government review into various natural remedies — widely available in pharmacies — suggested that most had no strong evidence in favour of them </w:t>
      </w:r>
      <w:r w:rsidRPr="001465B8">
        <w:rPr>
          <w:szCs w:val="24"/>
        </w:rPr>
        <w:t>(Baggoley 2015)</w:t>
      </w:r>
      <w:r>
        <w:t>.</w:t>
      </w:r>
    </w:p>
  </w:footnote>
  <w:footnote w:id="62">
    <w:p w14:paraId="1EA396FB" w14:textId="77777777" w:rsidR="001C2773" w:rsidRDefault="001C2773">
      <w:pPr>
        <w:pStyle w:val="FootnoteText"/>
      </w:pPr>
      <w:r w:rsidRPr="003D243B">
        <w:rPr>
          <w:rStyle w:val="FootnoteReference"/>
        </w:rPr>
        <w:footnoteRef/>
      </w:r>
      <w:r>
        <w:tab/>
      </w:r>
      <w:r w:rsidRPr="00783AF9">
        <w:t xml:space="preserve">A minor issue for automatic dispensing outside a hospital setting is that they are not suited to uncommon and high cost medicines (such as the newly listed hepatitis C drugs, which cost tens of thousands of dollars). </w:t>
      </w:r>
      <w:r>
        <w:t>E</w:t>
      </w:r>
      <w:r w:rsidRPr="00783AF9">
        <w:t>-scripts and e-dispensing could solve this. A script could go to an internet pharmacist who dispatches the medicine to the patient by courier.</w:t>
      </w:r>
    </w:p>
  </w:footnote>
  <w:footnote w:id="63">
    <w:p w14:paraId="1EA396FC" w14:textId="77777777" w:rsidR="001C2773" w:rsidRDefault="001C2773" w:rsidP="00FF500A">
      <w:pPr>
        <w:pStyle w:val="FootnoteText"/>
      </w:pPr>
      <w:r w:rsidRPr="003D243B">
        <w:rPr>
          <w:rStyle w:val="FootnoteReference"/>
        </w:rPr>
        <w:footnoteRef/>
      </w:r>
      <w:r>
        <w:tab/>
      </w:r>
      <w:r w:rsidRPr="00D16D2B">
        <w:t>That is also true of even the current arrangements in pharmacy — as observed by the interim report of the current review into pharmacy</w:t>
      </w:r>
      <w:r>
        <w:t xml:space="preserve"> </w:t>
      </w:r>
      <w:r w:rsidRPr="00D96FF6">
        <w:rPr>
          <w:szCs w:val="24"/>
        </w:rPr>
        <w:t>(DoH 2017c)</w:t>
      </w:r>
      <w:r>
        <w:t>.</w:t>
      </w:r>
    </w:p>
  </w:footnote>
  <w:footnote w:id="64">
    <w:p w14:paraId="1EA396FD" w14:textId="77777777" w:rsidR="001C2773" w:rsidRDefault="001C2773" w:rsidP="004B0C3D">
      <w:pPr>
        <w:pStyle w:val="FootnoteText"/>
      </w:pPr>
      <w:r w:rsidRPr="003D243B">
        <w:rPr>
          <w:rStyle w:val="FootnoteReference"/>
        </w:rPr>
        <w:footnoteRef/>
      </w:r>
      <w:r>
        <w:tab/>
        <w:t>The burden of disease is the impact of a disease or injury on disability</w:t>
      </w:r>
      <w:r>
        <w:noBreakHyphen/>
        <w:t xml:space="preserve">adjusted life years. The </w:t>
      </w:r>
      <w:r w:rsidRPr="00401E16">
        <w:t>attributable</w:t>
      </w:r>
      <w:r>
        <w:t xml:space="preserve"> disease burden is the reduction in the total burden of disease that would have occurred had the exposure to the risk factor been at its theoretical minimum (for example, zero alcohol consumption). So eliminating a risk factor reduces the prevalence and incidence of diseases (such as the 36 per cent of respiratory disease associated with tobacco use) that lead to reduced functioning (disability) and longevity. </w:t>
      </w:r>
    </w:p>
  </w:footnote>
  <w:footnote w:id="65">
    <w:p w14:paraId="1EA396FE" w14:textId="77777777" w:rsidR="001C2773" w:rsidRDefault="001C2773">
      <w:pPr>
        <w:pStyle w:val="FootnoteText"/>
      </w:pPr>
      <w:r w:rsidRPr="003D243B">
        <w:rPr>
          <w:rStyle w:val="FootnoteReference"/>
        </w:rPr>
        <w:footnoteRef/>
      </w:r>
      <w:r>
        <w:tab/>
        <w:t xml:space="preserve">On the other hand, claims about the </w:t>
      </w:r>
      <w:r w:rsidRPr="00C506CC">
        <w:rPr>
          <w:i/>
        </w:rPr>
        <w:t>beneficial</w:t>
      </w:r>
      <w:r>
        <w:t xml:space="preserve"> health impacts of moderate alcohol consumption may reflect the confounding impact of socioeconomic status, rather than alcohol itself </w:t>
      </w:r>
      <w:r w:rsidRPr="001B2A47">
        <w:rPr>
          <w:szCs w:val="24"/>
        </w:rPr>
        <w:t>(Towers et al. 2016)</w:t>
      </w:r>
      <w:r>
        <w:t>.</w:t>
      </w:r>
    </w:p>
  </w:footnote>
  <w:footnote w:id="66">
    <w:p w14:paraId="1EA396FF" w14:textId="77777777" w:rsidR="001C2773" w:rsidRDefault="001C2773" w:rsidP="00F108F6">
      <w:pPr>
        <w:pStyle w:val="FootnoteText"/>
      </w:pPr>
      <w:r w:rsidRPr="003D243B">
        <w:rPr>
          <w:rStyle w:val="FootnoteReference"/>
        </w:rPr>
        <w:footnoteRef/>
      </w:r>
      <w:r>
        <w:tab/>
        <w:t xml:space="preserve">Some evidence suggests that overweight people may be more healthy than lower weight people, even after controlling for smoking </w:t>
      </w:r>
      <w:r w:rsidRPr="005070C0">
        <w:rPr>
          <w:szCs w:val="24"/>
        </w:rPr>
        <w:t>(Carnethon et al. 2012; Dahl et al. 2013; Diehr et al. 2008; Reuser, Bonneux and Willekens 2008)</w:t>
      </w:r>
      <w:r>
        <w:t>.</w:t>
      </w:r>
    </w:p>
  </w:footnote>
  <w:footnote w:id="67">
    <w:p w14:paraId="1EA39700" w14:textId="1643A5FC" w:rsidR="001C2773" w:rsidRDefault="001C2773" w:rsidP="00DD6A24">
      <w:pPr>
        <w:pStyle w:val="FootnoteText"/>
      </w:pPr>
      <w:r w:rsidRPr="003D243B">
        <w:rPr>
          <w:rStyle w:val="FootnoteReference"/>
        </w:rPr>
        <w:footnoteRef/>
      </w:r>
      <w:r>
        <w:tab/>
        <w:t xml:space="preserve">For example, Duckett and Swerissen </w:t>
      </w:r>
      <w:r w:rsidRPr="00DA0F80">
        <w:t>(2016)</w:t>
      </w:r>
      <w:r>
        <w:t xml:space="preserve">, Reeve and Jones </w:t>
      </w:r>
      <w:r w:rsidRPr="00DA0F80">
        <w:t>(2016)</w:t>
      </w:r>
      <w:r>
        <w:t xml:space="preserve">, and Colagiuri </w:t>
      </w:r>
      <w:r w:rsidRPr="006F3433">
        <w:t>(2017)</w:t>
      </w:r>
      <w:r>
        <w:t>.</w:t>
      </w:r>
      <w:r w:rsidRPr="007D47B1">
        <w:t xml:space="preserve"> </w:t>
      </w:r>
      <w:r>
        <w:t xml:space="preserve">Public health experts have generally favoured taxes on SSBs </w:t>
      </w:r>
      <w:r w:rsidRPr="00B356F0">
        <w:rPr>
          <w:szCs w:val="24"/>
        </w:rPr>
        <w:t>(exemplified by an editorial in the Lancet and a statement by the Australian Healthcare and Hospital Association - AHHA 2016; Editorial 2017)</w:t>
      </w:r>
      <w:r>
        <w:t xml:space="preserve">. </w:t>
      </w:r>
    </w:p>
  </w:footnote>
  <w:footnote w:id="68">
    <w:p w14:paraId="1EA39701" w14:textId="77777777" w:rsidR="001C2773" w:rsidRDefault="001C2773">
      <w:pPr>
        <w:pStyle w:val="FootnoteText"/>
      </w:pPr>
      <w:r w:rsidRPr="003D243B">
        <w:rPr>
          <w:rStyle w:val="FootnoteReference"/>
        </w:rPr>
        <w:footnoteRef/>
      </w:r>
      <w:r>
        <w:tab/>
        <w:t>A study considering price pass through shortly after the tax found a pass-through of 43 per cent </w:t>
      </w:r>
      <w:r w:rsidRPr="005B71A0">
        <w:rPr>
          <w:szCs w:val="24"/>
        </w:rPr>
        <w:t>(Cawley and Frisvold 2015)</w:t>
      </w:r>
      <w:r>
        <w:t xml:space="preserve">. </w:t>
      </w:r>
    </w:p>
  </w:footnote>
  <w:footnote w:id="69">
    <w:p w14:paraId="1EA39702" w14:textId="77777777" w:rsidR="001C2773" w:rsidRDefault="001C2773" w:rsidP="0049292A">
      <w:pPr>
        <w:pStyle w:val="FootnoteText"/>
      </w:pPr>
      <w:r w:rsidRPr="003D243B">
        <w:rPr>
          <w:rStyle w:val="FootnoteReference"/>
        </w:rPr>
        <w:footnoteRef/>
      </w:r>
      <w:r>
        <w:tab/>
      </w:r>
      <w:r w:rsidRPr="00200674">
        <w:t>Hungary’</w:t>
      </w:r>
      <w:r>
        <w:t xml:space="preserve">s </w:t>
      </w:r>
      <w:r w:rsidRPr="00200674">
        <w:t>SSB tax is part of a tax on sugars more generally</w:t>
      </w:r>
      <w:r>
        <w:t>.</w:t>
      </w:r>
    </w:p>
  </w:footnote>
  <w:footnote w:id="70">
    <w:p w14:paraId="1EA39703" w14:textId="68CAFBBE" w:rsidR="001C2773" w:rsidRDefault="001C2773" w:rsidP="008C000D">
      <w:pPr>
        <w:pStyle w:val="FootnoteText"/>
      </w:pPr>
      <w:r w:rsidRPr="003D243B">
        <w:rPr>
          <w:rStyle w:val="FootnoteReference"/>
        </w:rPr>
        <w:footnoteRef/>
      </w:r>
      <w:r>
        <w:tab/>
      </w:r>
      <w:r w:rsidRPr="00704E0A">
        <w:t xml:space="preserve">The UK levy is also poorly designed in that it is a constant price per litre of SSB, not a volumetric sugar tax. Accordingly, a one litre beverage with 15.9 grams of sugar (a particular brand in the UK) will attract a 24 pence tax, the same tax as another beverage with 10.6 grams of sugar. There is therefore the potential for consumers to switch to high sugar low priced SSBs. This repeats the flaws of many alcohol taxes, such </w:t>
      </w:r>
      <w:r>
        <w:t>as that in Australia (chapter 2</w:t>
      </w:r>
      <w:r w:rsidRPr="00704E0A">
        <w:t xml:space="preserve"> in the main report).</w:t>
      </w:r>
    </w:p>
  </w:footnote>
  <w:footnote w:id="71">
    <w:p w14:paraId="1EA39704" w14:textId="77777777" w:rsidR="001C2773" w:rsidRDefault="001C2773" w:rsidP="008C76BA">
      <w:pPr>
        <w:pStyle w:val="FootnoteText"/>
      </w:pPr>
      <w:r w:rsidRPr="003D243B">
        <w:rPr>
          <w:rStyle w:val="FootnoteReference"/>
        </w:rPr>
        <w:footnoteRef/>
      </w:r>
      <w:r>
        <w:tab/>
        <w:t xml:space="preserve">ABS 2015, </w:t>
      </w:r>
      <w:r w:rsidRPr="0068058B">
        <w:rPr>
          <w:i/>
        </w:rPr>
        <w:t>Australian Health Survey: Nutrition First Results – Foods and Nutrients, 2011–12 — Australia</w:t>
      </w:r>
      <w:r>
        <w:t>, Cat. no. </w:t>
      </w:r>
      <w:r w:rsidRPr="0068058B">
        <w:t>4364</w:t>
      </w:r>
      <w:r>
        <w:t>.0, released 16 October.</w:t>
      </w:r>
    </w:p>
  </w:footnote>
  <w:footnote w:id="72">
    <w:p w14:paraId="1EA39705" w14:textId="77777777" w:rsidR="001C2773" w:rsidRDefault="001C2773">
      <w:pPr>
        <w:pStyle w:val="FootnoteText"/>
      </w:pPr>
      <w:r w:rsidRPr="003D243B">
        <w:rPr>
          <w:rStyle w:val="FootnoteReference"/>
        </w:rPr>
        <w:footnoteRef/>
      </w:r>
      <w:r>
        <w:tab/>
        <w:t>While t</w:t>
      </w:r>
      <w:r w:rsidRPr="00E45613">
        <w:t>he design of the UK SSB levy</w:t>
      </w:r>
      <w:r>
        <w:t xml:space="preserve"> is imperfect because it is not based on the volume of sugar, its outcomes nevertheless can yield insights into behaviour by consumers and producers that will provide a better evidence base for any policies in Australia.</w:t>
      </w:r>
    </w:p>
  </w:footnote>
  <w:footnote w:id="73">
    <w:p w14:paraId="1EA39706" w14:textId="77777777" w:rsidR="001C2773" w:rsidRDefault="001C2773" w:rsidP="003F147A">
      <w:pPr>
        <w:pStyle w:val="FootnoteText"/>
      </w:pPr>
      <w:r w:rsidRPr="003D243B">
        <w:rPr>
          <w:rStyle w:val="FootnoteReference"/>
        </w:rPr>
        <w:footnoteRef/>
      </w:r>
      <w:r>
        <w:tab/>
        <w:t xml:space="preserve">This is for a Marshallian demand elasticity (which includes pure price responsiveness and the income effects in one elasticity), as used by Duckett and Swerisson.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1C2773" w14:paraId="1EA3967C" w14:textId="77777777">
      <w:tc>
        <w:tcPr>
          <w:tcW w:w="2155" w:type="dxa"/>
          <w:tcBorders>
            <w:top w:val="single" w:sz="24" w:space="0" w:color="auto"/>
          </w:tcBorders>
        </w:tcPr>
        <w:p w14:paraId="1EA3967A" w14:textId="77777777" w:rsidR="001C2773" w:rsidRDefault="001C2773" w:rsidP="0019293B">
          <w:pPr>
            <w:pStyle w:val="HeaderEven"/>
          </w:pPr>
        </w:p>
      </w:tc>
      <w:tc>
        <w:tcPr>
          <w:tcW w:w="6634" w:type="dxa"/>
          <w:tcBorders>
            <w:top w:val="single" w:sz="6" w:space="0" w:color="auto"/>
          </w:tcBorders>
        </w:tcPr>
        <w:p w14:paraId="1EA3967B" w14:textId="77777777" w:rsidR="001C2773" w:rsidRDefault="001C2773" w:rsidP="0019293B">
          <w:pPr>
            <w:pStyle w:val="HeaderEven"/>
          </w:pPr>
        </w:p>
      </w:tc>
    </w:tr>
  </w:tbl>
  <w:p w14:paraId="1EA3967D" w14:textId="77777777" w:rsidR="001C2773" w:rsidRDefault="001C2773" w:rsidP="0019293B">
    <w:pPr>
      <w:pStyle w:val="HeaderEnd"/>
    </w:pPr>
  </w:p>
  <w:p w14:paraId="1EA3967E" w14:textId="77777777" w:rsidR="001C2773" w:rsidRDefault="001C2773" w:rsidP="00CA301B">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1C2773" w14:paraId="1EA39681" w14:textId="77777777">
      <w:tc>
        <w:tcPr>
          <w:tcW w:w="6634" w:type="dxa"/>
          <w:tcBorders>
            <w:top w:val="single" w:sz="6" w:space="0" w:color="auto"/>
          </w:tcBorders>
        </w:tcPr>
        <w:p w14:paraId="1EA3967F" w14:textId="77777777" w:rsidR="001C2773" w:rsidRDefault="001C2773">
          <w:pPr>
            <w:pStyle w:val="HeaderOdd"/>
          </w:pPr>
        </w:p>
      </w:tc>
      <w:tc>
        <w:tcPr>
          <w:tcW w:w="2155" w:type="dxa"/>
          <w:tcBorders>
            <w:top w:val="single" w:sz="24" w:space="0" w:color="auto"/>
          </w:tcBorders>
        </w:tcPr>
        <w:p w14:paraId="1EA39680" w14:textId="77777777" w:rsidR="001C2773" w:rsidRDefault="001C2773">
          <w:pPr>
            <w:pStyle w:val="HeaderOdd"/>
          </w:pPr>
        </w:p>
      </w:tc>
    </w:tr>
  </w:tbl>
  <w:p w14:paraId="1EA39682" w14:textId="77777777" w:rsidR="001C2773" w:rsidRDefault="001C2773">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1C2773" w14:paraId="1EA39691" w14:textId="77777777">
      <w:tc>
        <w:tcPr>
          <w:tcW w:w="2155" w:type="dxa"/>
          <w:tcBorders>
            <w:top w:val="single" w:sz="24" w:space="0" w:color="auto"/>
          </w:tcBorders>
        </w:tcPr>
        <w:p w14:paraId="1EA3968F" w14:textId="77777777" w:rsidR="001C2773" w:rsidRDefault="001C2773">
          <w:pPr>
            <w:pStyle w:val="HeaderEven"/>
          </w:pPr>
        </w:p>
      </w:tc>
      <w:tc>
        <w:tcPr>
          <w:tcW w:w="6634" w:type="dxa"/>
          <w:tcBorders>
            <w:top w:val="single" w:sz="6" w:space="0" w:color="auto"/>
          </w:tcBorders>
        </w:tcPr>
        <w:p w14:paraId="1EA39690" w14:textId="77777777" w:rsidR="001C2773" w:rsidRDefault="001C2773">
          <w:pPr>
            <w:pStyle w:val="HeaderEven"/>
          </w:pPr>
        </w:p>
      </w:tc>
    </w:tr>
  </w:tbl>
  <w:p w14:paraId="1EA39692" w14:textId="77777777" w:rsidR="001C2773" w:rsidRDefault="001C2773">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1C2773" w14:paraId="1EA39695" w14:textId="77777777">
      <w:tc>
        <w:tcPr>
          <w:tcW w:w="6634" w:type="dxa"/>
          <w:tcBorders>
            <w:top w:val="single" w:sz="6" w:space="0" w:color="auto"/>
          </w:tcBorders>
        </w:tcPr>
        <w:p w14:paraId="1EA39693" w14:textId="77777777" w:rsidR="001C2773" w:rsidRDefault="001C2773">
          <w:pPr>
            <w:pStyle w:val="HeaderOdd"/>
          </w:pPr>
        </w:p>
      </w:tc>
      <w:tc>
        <w:tcPr>
          <w:tcW w:w="2155" w:type="dxa"/>
          <w:tcBorders>
            <w:top w:val="single" w:sz="24" w:space="0" w:color="auto"/>
          </w:tcBorders>
        </w:tcPr>
        <w:p w14:paraId="1EA39694" w14:textId="77777777" w:rsidR="001C2773" w:rsidRDefault="001C2773">
          <w:pPr>
            <w:pStyle w:val="HeaderOdd"/>
          </w:pPr>
        </w:p>
      </w:tc>
    </w:tr>
  </w:tbl>
  <w:p w14:paraId="1EA39696" w14:textId="77777777" w:rsidR="001C2773" w:rsidRDefault="001C2773">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396A3" w14:textId="77777777" w:rsidR="001C2773" w:rsidRDefault="001C2773">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396A4" w14:textId="77777777" w:rsidR="001C2773" w:rsidRDefault="001C2773">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1C2773" w14:paraId="1EA396AB" w14:textId="77777777">
      <w:tc>
        <w:tcPr>
          <w:tcW w:w="2155" w:type="dxa"/>
          <w:tcBorders>
            <w:top w:val="single" w:sz="24" w:space="0" w:color="auto"/>
          </w:tcBorders>
        </w:tcPr>
        <w:p w14:paraId="1EA396A9" w14:textId="77777777" w:rsidR="001C2773" w:rsidRDefault="001C2773" w:rsidP="0019293B">
          <w:pPr>
            <w:pStyle w:val="HeaderEven"/>
          </w:pPr>
        </w:p>
      </w:tc>
      <w:tc>
        <w:tcPr>
          <w:tcW w:w="6634" w:type="dxa"/>
          <w:tcBorders>
            <w:top w:val="single" w:sz="6" w:space="0" w:color="auto"/>
          </w:tcBorders>
        </w:tcPr>
        <w:p w14:paraId="1EA396AA" w14:textId="77777777" w:rsidR="001C2773" w:rsidRDefault="001C2773" w:rsidP="0019293B">
          <w:pPr>
            <w:pStyle w:val="HeaderEven"/>
          </w:pPr>
        </w:p>
      </w:tc>
    </w:tr>
  </w:tbl>
  <w:p w14:paraId="1EA396AC" w14:textId="77777777" w:rsidR="001C2773" w:rsidRDefault="001C2773" w:rsidP="0019293B">
    <w:pPr>
      <w:pStyle w:val="HeaderEnd"/>
    </w:pPr>
  </w:p>
  <w:p w14:paraId="1EA396AD" w14:textId="77777777" w:rsidR="001C2773" w:rsidRDefault="001C2773" w:rsidP="00C33974">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1C2773" w14:paraId="1EA396B0" w14:textId="77777777">
      <w:tc>
        <w:tcPr>
          <w:tcW w:w="6634" w:type="dxa"/>
          <w:tcBorders>
            <w:top w:val="single" w:sz="6" w:space="0" w:color="auto"/>
          </w:tcBorders>
        </w:tcPr>
        <w:p w14:paraId="1EA396AE" w14:textId="77777777" w:rsidR="001C2773" w:rsidRDefault="001C2773" w:rsidP="00E669E2">
          <w:pPr>
            <w:pStyle w:val="HeaderOdd"/>
          </w:pPr>
        </w:p>
      </w:tc>
      <w:tc>
        <w:tcPr>
          <w:tcW w:w="2155" w:type="dxa"/>
          <w:tcBorders>
            <w:top w:val="single" w:sz="24" w:space="0" w:color="auto"/>
          </w:tcBorders>
        </w:tcPr>
        <w:p w14:paraId="1EA396AF" w14:textId="77777777" w:rsidR="001C2773" w:rsidRDefault="001C2773" w:rsidP="00E669E2">
          <w:pPr>
            <w:pStyle w:val="HeaderOdd"/>
          </w:pPr>
        </w:p>
      </w:tc>
    </w:tr>
  </w:tbl>
  <w:p w14:paraId="1EA396B1" w14:textId="77777777" w:rsidR="001C2773" w:rsidRDefault="001C2773" w:rsidP="00E669E2">
    <w:pPr>
      <w:pStyle w:val="HeaderEnd"/>
    </w:pPr>
  </w:p>
  <w:p w14:paraId="1EA396B2" w14:textId="77777777" w:rsidR="001C2773" w:rsidRDefault="001C2773" w:rsidP="00C33974">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AEFC9C0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20F2A1D"/>
    <w:multiLevelType w:val="hybridMultilevel"/>
    <w:tmpl w:val="B9C8D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700B76"/>
    <w:multiLevelType w:val="hybridMultilevel"/>
    <w:tmpl w:val="15A23036"/>
    <w:lvl w:ilvl="0" w:tplc="38965876">
      <w:start w:val="1"/>
      <w:numFmt w:val="lowerRoman"/>
      <w:lvlText w:val="(%1)"/>
      <w:lvlJc w:val="left"/>
      <w:pPr>
        <w:ind w:left="1060" w:hanging="720"/>
      </w:pPr>
      <w:rPr>
        <w:rFonts w:hint="default"/>
      </w:r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6" w15:restartNumberingAfterBreak="0">
    <w:nsid w:val="04794E3C"/>
    <w:multiLevelType w:val="hybridMultilevel"/>
    <w:tmpl w:val="934C4AEE"/>
    <w:lvl w:ilvl="0" w:tplc="1AC6A46C">
      <w:start w:val="1"/>
      <w:numFmt w:val="lowerRoman"/>
      <w:lvlText w:val="(%1)"/>
      <w:lvlJc w:val="left"/>
      <w:pPr>
        <w:ind w:left="720" w:hanging="360"/>
      </w:pPr>
      <w:rPr>
        <w:rFonts w:ascii="Times New Roman" w:eastAsia="Times New Roman" w:hAnsi="Times New Roman"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8" w15:restartNumberingAfterBreak="0">
    <w:nsid w:val="06047589"/>
    <w:multiLevelType w:val="hybridMultilevel"/>
    <w:tmpl w:val="93FCD6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10"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3" w15:restartNumberingAfterBreak="0">
    <w:nsid w:val="12893C54"/>
    <w:multiLevelType w:val="hybridMultilevel"/>
    <w:tmpl w:val="D1901D08"/>
    <w:lvl w:ilvl="0" w:tplc="DFBA975A">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1A58594A"/>
    <w:multiLevelType w:val="hybridMultilevel"/>
    <w:tmpl w:val="1D327C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7"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9" w15:restartNumberingAfterBreak="0">
    <w:nsid w:val="32940C5E"/>
    <w:multiLevelType w:val="hybridMultilevel"/>
    <w:tmpl w:val="58E4BBE4"/>
    <w:lvl w:ilvl="0" w:tplc="871CCCDA">
      <w:start w:val="1"/>
      <w:numFmt w:val="lowerRoman"/>
      <w:lvlText w:val="%1)"/>
      <w:lvlJc w:val="left"/>
      <w:pPr>
        <w:ind w:left="1060" w:hanging="720"/>
      </w:pPr>
      <w:rPr>
        <w:rFonts w:hint="default"/>
      </w:r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20" w15:restartNumberingAfterBreak="0">
    <w:nsid w:val="41AF1943"/>
    <w:multiLevelType w:val="hybridMultilevel"/>
    <w:tmpl w:val="776628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04D61A4"/>
    <w:multiLevelType w:val="hybridMultilevel"/>
    <w:tmpl w:val="2BA260B6"/>
    <w:lvl w:ilvl="0" w:tplc="706C55A8">
      <w:start w:val="1"/>
      <w:numFmt w:val="bullet"/>
      <w:lvlText w:val=""/>
      <w:lvlJc w:val="left"/>
      <w:pPr>
        <w:ind w:left="720" w:hanging="360"/>
      </w:pPr>
      <w:rPr>
        <w:rFonts w:ascii="Symbol" w:hAnsi="Symbol" w:hint="default"/>
        <w:color w:val="1C4373" w:themeColor="accent2" w:themeShade="BF"/>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24"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5"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6"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7"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9" w15:restartNumberingAfterBreak="0">
    <w:nsid w:val="67C37B82"/>
    <w:multiLevelType w:val="hybridMultilevel"/>
    <w:tmpl w:val="F6C0DB00"/>
    <w:lvl w:ilvl="0" w:tplc="706C55A8">
      <w:start w:val="1"/>
      <w:numFmt w:val="bullet"/>
      <w:lvlText w:val=""/>
      <w:lvlJc w:val="left"/>
      <w:pPr>
        <w:ind w:left="720" w:hanging="360"/>
      </w:pPr>
      <w:rPr>
        <w:rFonts w:ascii="Symbol" w:hAnsi="Symbol" w:hint="default"/>
        <w:color w:val="1C4373" w:themeColor="accent2" w:themeShade="BF"/>
      </w:rPr>
    </w:lvl>
    <w:lvl w:ilvl="1" w:tplc="D3E0D982">
      <w:start w:val="1"/>
      <w:numFmt w:val="bullet"/>
      <w:lvlText w:val="-"/>
      <w:lvlJc w:val="left"/>
      <w:pPr>
        <w:ind w:left="644"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8E97135"/>
    <w:multiLevelType w:val="hybridMultilevel"/>
    <w:tmpl w:val="05421586"/>
    <w:lvl w:ilvl="0" w:tplc="69C8788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A9B078B"/>
    <w:multiLevelType w:val="hybridMultilevel"/>
    <w:tmpl w:val="8F262500"/>
    <w:lvl w:ilvl="0" w:tplc="DC40178A">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BEE64F7"/>
    <w:multiLevelType w:val="hybridMultilevel"/>
    <w:tmpl w:val="15A23036"/>
    <w:lvl w:ilvl="0" w:tplc="38965876">
      <w:start w:val="1"/>
      <w:numFmt w:val="lowerRoman"/>
      <w:lvlText w:val="(%1)"/>
      <w:lvlJc w:val="left"/>
      <w:pPr>
        <w:ind w:left="1060" w:hanging="720"/>
      </w:pPr>
      <w:rPr>
        <w:rFonts w:hint="default"/>
      </w:r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33"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34" w15:restartNumberingAfterBreak="0">
    <w:nsid w:val="7BB10B50"/>
    <w:multiLevelType w:val="hybridMultilevel"/>
    <w:tmpl w:val="D8049856"/>
    <w:lvl w:ilvl="0" w:tplc="E95C0D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8"/>
  </w:num>
  <w:num w:numId="2">
    <w:abstractNumId w:val="4"/>
  </w:num>
  <w:num w:numId="3">
    <w:abstractNumId w:val="23"/>
  </w:num>
  <w:num w:numId="4">
    <w:abstractNumId w:val="7"/>
  </w:num>
  <w:num w:numId="5">
    <w:abstractNumId w:val="28"/>
  </w:num>
  <w:num w:numId="6">
    <w:abstractNumId w:val="25"/>
  </w:num>
  <w:num w:numId="7">
    <w:abstractNumId w:val="12"/>
  </w:num>
  <w:num w:numId="8">
    <w:abstractNumId w:val="24"/>
  </w:num>
  <w:num w:numId="9">
    <w:abstractNumId w:val="11"/>
  </w:num>
  <w:num w:numId="10">
    <w:abstractNumId w:val="10"/>
  </w:num>
  <w:num w:numId="11">
    <w:abstractNumId w:val="16"/>
  </w:num>
  <w:num w:numId="12">
    <w:abstractNumId w:val="17"/>
  </w:num>
  <w:num w:numId="13">
    <w:abstractNumId w:val="9"/>
  </w:num>
  <w:num w:numId="14">
    <w:abstractNumId w:val="26"/>
  </w:num>
  <w:num w:numId="15">
    <w:abstractNumId w:val="33"/>
  </w:num>
  <w:num w:numId="16">
    <w:abstractNumId w:val="21"/>
  </w:num>
  <w:num w:numId="17">
    <w:abstractNumId w:val="35"/>
  </w:num>
  <w:num w:numId="18">
    <w:abstractNumId w:val="0"/>
  </w:num>
  <w:num w:numId="19">
    <w:abstractNumId w:val="2"/>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0">
    <w:abstractNumId w:val="27"/>
  </w:num>
  <w:num w:numId="21">
    <w:abstractNumId w:val="14"/>
  </w:num>
  <w:num w:numId="22">
    <w:abstractNumId w:val="6"/>
  </w:num>
  <w:num w:numId="23">
    <w:abstractNumId w:val="15"/>
  </w:num>
  <w:num w:numId="24">
    <w:abstractNumId w:val="1"/>
  </w:num>
  <w:num w:numId="25">
    <w:abstractNumId w:val="20"/>
  </w:num>
  <w:num w:numId="26">
    <w:abstractNumId w:val="32"/>
  </w:num>
  <w:num w:numId="27">
    <w:abstractNumId w:val="5"/>
  </w:num>
  <w:num w:numId="28">
    <w:abstractNumId w:val="30"/>
  </w:num>
  <w:num w:numId="29">
    <w:abstractNumId w:val="22"/>
  </w:num>
  <w:num w:numId="30">
    <w:abstractNumId w:val="29"/>
  </w:num>
  <w:num w:numId="31">
    <w:abstractNumId w:val="3"/>
  </w:num>
  <w:num w:numId="32">
    <w:abstractNumId w:val="23"/>
  </w:num>
  <w:num w:numId="33">
    <w:abstractNumId w:val="23"/>
  </w:num>
  <w:num w:numId="34">
    <w:abstractNumId w:val="23"/>
  </w:num>
  <w:num w:numId="35">
    <w:abstractNumId w:val="23"/>
  </w:num>
  <w:num w:numId="36">
    <w:abstractNumId w:val="34"/>
  </w:num>
  <w:num w:numId="37">
    <w:abstractNumId w:val="31"/>
  </w:num>
  <w:num w:numId="38">
    <w:abstractNumId w:val="13"/>
  </w:num>
  <w:num w:numId="39">
    <w:abstractNumId w:val="8"/>
  </w:num>
  <w:num w:numId="40">
    <w:abstractNumId w:val="19"/>
  </w:num>
  <w:num w:numId="41">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mirrorMargins/>
  <w:attachedTemplate r:id="rId1"/>
  <w:linkStyle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655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indingOptions" w:val="1"/>
    <w:docVar w:name="RecOptions" w:val="111"/>
    <w:docVar w:name="ShortChapterTitle" w:val="Integrated care?"/>
    <w:docVar w:name="ShortReportTitle" w:val="Productivity Review"/>
  </w:docVars>
  <w:rsids>
    <w:rsidRoot w:val="00977233"/>
    <w:rsid w:val="00000360"/>
    <w:rsid w:val="00000E32"/>
    <w:rsid w:val="0000102A"/>
    <w:rsid w:val="000013B1"/>
    <w:rsid w:val="00001770"/>
    <w:rsid w:val="0000234C"/>
    <w:rsid w:val="000026F7"/>
    <w:rsid w:val="00002AFF"/>
    <w:rsid w:val="00002D64"/>
    <w:rsid w:val="000034D0"/>
    <w:rsid w:val="000035BB"/>
    <w:rsid w:val="0000365F"/>
    <w:rsid w:val="000039AE"/>
    <w:rsid w:val="00003AF9"/>
    <w:rsid w:val="00003C2A"/>
    <w:rsid w:val="00003FB7"/>
    <w:rsid w:val="00004B1A"/>
    <w:rsid w:val="00004F6E"/>
    <w:rsid w:val="00005180"/>
    <w:rsid w:val="000054A9"/>
    <w:rsid w:val="00006334"/>
    <w:rsid w:val="00006864"/>
    <w:rsid w:val="00006944"/>
    <w:rsid w:val="00010348"/>
    <w:rsid w:val="000103C8"/>
    <w:rsid w:val="000109CC"/>
    <w:rsid w:val="0001100B"/>
    <w:rsid w:val="00011836"/>
    <w:rsid w:val="000123CC"/>
    <w:rsid w:val="00012A1F"/>
    <w:rsid w:val="00012BEE"/>
    <w:rsid w:val="00012C04"/>
    <w:rsid w:val="00012D28"/>
    <w:rsid w:val="000134F4"/>
    <w:rsid w:val="00013C5B"/>
    <w:rsid w:val="0001400F"/>
    <w:rsid w:val="00014284"/>
    <w:rsid w:val="00016350"/>
    <w:rsid w:val="00016FB6"/>
    <w:rsid w:val="00017276"/>
    <w:rsid w:val="0002055D"/>
    <w:rsid w:val="00021C84"/>
    <w:rsid w:val="00021D7C"/>
    <w:rsid w:val="00021E4C"/>
    <w:rsid w:val="00022422"/>
    <w:rsid w:val="000224A3"/>
    <w:rsid w:val="000227D5"/>
    <w:rsid w:val="000228A6"/>
    <w:rsid w:val="00022F9B"/>
    <w:rsid w:val="000231ED"/>
    <w:rsid w:val="000236E8"/>
    <w:rsid w:val="00023CCF"/>
    <w:rsid w:val="000243E8"/>
    <w:rsid w:val="000245AA"/>
    <w:rsid w:val="00024776"/>
    <w:rsid w:val="00024C9D"/>
    <w:rsid w:val="00025289"/>
    <w:rsid w:val="000252D1"/>
    <w:rsid w:val="00025963"/>
    <w:rsid w:val="00025E00"/>
    <w:rsid w:val="00027C8C"/>
    <w:rsid w:val="00027DF4"/>
    <w:rsid w:val="00030119"/>
    <w:rsid w:val="00030172"/>
    <w:rsid w:val="000305DA"/>
    <w:rsid w:val="000306D1"/>
    <w:rsid w:val="00030A42"/>
    <w:rsid w:val="0003125C"/>
    <w:rsid w:val="000316CD"/>
    <w:rsid w:val="00031D83"/>
    <w:rsid w:val="00031DB5"/>
    <w:rsid w:val="00031FEE"/>
    <w:rsid w:val="00033006"/>
    <w:rsid w:val="000335AE"/>
    <w:rsid w:val="00033E8D"/>
    <w:rsid w:val="0003450A"/>
    <w:rsid w:val="00034F5F"/>
    <w:rsid w:val="00035346"/>
    <w:rsid w:val="000359FA"/>
    <w:rsid w:val="0003664B"/>
    <w:rsid w:val="000369BC"/>
    <w:rsid w:val="00037947"/>
    <w:rsid w:val="00040365"/>
    <w:rsid w:val="00040714"/>
    <w:rsid w:val="0004111F"/>
    <w:rsid w:val="000423A3"/>
    <w:rsid w:val="000424DF"/>
    <w:rsid w:val="000438E1"/>
    <w:rsid w:val="000438F3"/>
    <w:rsid w:val="0004412C"/>
    <w:rsid w:val="00044558"/>
    <w:rsid w:val="00044B0B"/>
    <w:rsid w:val="00044C04"/>
    <w:rsid w:val="00045816"/>
    <w:rsid w:val="00045F7D"/>
    <w:rsid w:val="00046402"/>
    <w:rsid w:val="00046744"/>
    <w:rsid w:val="00046C5B"/>
    <w:rsid w:val="0005035E"/>
    <w:rsid w:val="00050ABE"/>
    <w:rsid w:val="00050D33"/>
    <w:rsid w:val="00051B38"/>
    <w:rsid w:val="00052F4E"/>
    <w:rsid w:val="000547EC"/>
    <w:rsid w:val="00054FB3"/>
    <w:rsid w:val="00055077"/>
    <w:rsid w:val="000557C7"/>
    <w:rsid w:val="00055A5C"/>
    <w:rsid w:val="000565B3"/>
    <w:rsid w:val="00056D32"/>
    <w:rsid w:val="0005762D"/>
    <w:rsid w:val="000578F5"/>
    <w:rsid w:val="00057B3E"/>
    <w:rsid w:val="000607AF"/>
    <w:rsid w:val="00060D91"/>
    <w:rsid w:val="000619A9"/>
    <w:rsid w:val="00061EE7"/>
    <w:rsid w:val="00062A96"/>
    <w:rsid w:val="00062C71"/>
    <w:rsid w:val="000630E0"/>
    <w:rsid w:val="00063421"/>
    <w:rsid w:val="000634F9"/>
    <w:rsid w:val="0006360E"/>
    <w:rsid w:val="00065E45"/>
    <w:rsid w:val="00066011"/>
    <w:rsid w:val="00066490"/>
    <w:rsid w:val="00066AC0"/>
    <w:rsid w:val="00067D75"/>
    <w:rsid w:val="0007146F"/>
    <w:rsid w:val="0007150B"/>
    <w:rsid w:val="000722FD"/>
    <w:rsid w:val="0007331F"/>
    <w:rsid w:val="00075281"/>
    <w:rsid w:val="00075773"/>
    <w:rsid w:val="00075F00"/>
    <w:rsid w:val="0007670C"/>
    <w:rsid w:val="00076790"/>
    <w:rsid w:val="00076798"/>
    <w:rsid w:val="000775DB"/>
    <w:rsid w:val="00077FD7"/>
    <w:rsid w:val="00080158"/>
    <w:rsid w:val="0008142E"/>
    <w:rsid w:val="00081E7F"/>
    <w:rsid w:val="0008354C"/>
    <w:rsid w:val="000838F0"/>
    <w:rsid w:val="00084511"/>
    <w:rsid w:val="00085575"/>
    <w:rsid w:val="00085E08"/>
    <w:rsid w:val="00086A30"/>
    <w:rsid w:val="00086F9B"/>
    <w:rsid w:val="0008756A"/>
    <w:rsid w:val="000904F9"/>
    <w:rsid w:val="00090650"/>
    <w:rsid w:val="00090961"/>
    <w:rsid w:val="00090993"/>
    <w:rsid w:val="00090D75"/>
    <w:rsid w:val="00090D76"/>
    <w:rsid w:val="0009127F"/>
    <w:rsid w:val="00092665"/>
    <w:rsid w:val="000926B6"/>
    <w:rsid w:val="000938F5"/>
    <w:rsid w:val="00093AEE"/>
    <w:rsid w:val="00095663"/>
    <w:rsid w:val="00095BA4"/>
    <w:rsid w:val="000963C4"/>
    <w:rsid w:val="000967BD"/>
    <w:rsid w:val="0009695E"/>
    <w:rsid w:val="00096E55"/>
    <w:rsid w:val="0009783E"/>
    <w:rsid w:val="00097B18"/>
    <w:rsid w:val="00097EBF"/>
    <w:rsid w:val="000A0049"/>
    <w:rsid w:val="000A0EA4"/>
    <w:rsid w:val="000A10BF"/>
    <w:rsid w:val="000A11F2"/>
    <w:rsid w:val="000A1497"/>
    <w:rsid w:val="000A1F9D"/>
    <w:rsid w:val="000A26D4"/>
    <w:rsid w:val="000A285E"/>
    <w:rsid w:val="000A3CF9"/>
    <w:rsid w:val="000A4BCB"/>
    <w:rsid w:val="000A5BC0"/>
    <w:rsid w:val="000A5CCD"/>
    <w:rsid w:val="000A6380"/>
    <w:rsid w:val="000A688E"/>
    <w:rsid w:val="000A6D80"/>
    <w:rsid w:val="000B0C9C"/>
    <w:rsid w:val="000B1022"/>
    <w:rsid w:val="000B106E"/>
    <w:rsid w:val="000B19A9"/>
    <w:rsid w:val="000B2EA4"/>
    <w:rsid w:val="000B337F"/>
    <w:rsid w:val="000B375B"/>
    <w:rsid w:val="000B3830"/>
    <w:rsid w:val="000B5169"/>
    <w:rsid w:val="000B5699"/>
    <w:rsid w:val="000B5C96"/>
    <w:rsid w:val="000B601B"/>
    <w:rsid w:val="000B6A85"/>
    <w:rsid w:val="000B7287"/>
    <w:rsid w:val="000B7ABC"/>
    <w:rsid w:val="000C0180"/>
    <w:rsid w:val="000C03F6"/>
    <w:rsid w:val="000C04DF"/>
    <w:rsid w:val="000C098D"/>
    <w:rsid w:val="000C0CEC"/>
    <w:rsid w:val="000C207E"/>
    <w:rsid w:val="000C21D7"/>
    <w:rsid w:val="000C2C65"/>
    <w:rsid w:val="000C2D72"/>
    <w:rsid w:val="000C35FC"/>
    <w:rsid w:val="000C3686"/>
    <w:rsid w:val="000C3B62"/>
    <w:rsid w:val="000C50E0"/>
    <w:rsid w:val="000C523E"/>
    <w:rsid w:val="000C5B99"/>
    <w:rsid w:val="000D0794"/>
    <w:rsid w:val="000D13E3"/>
    <w:rsid w:val="000D1466"/>
    <w:rsid w:val="000D2E90"/>
    <w:rsid w:val="000D3523"/>
    <w:rsid w:val="000D3975"/>
    <w:rsid w:val="000D39DE"/>
    <w:rsid w:val="000D41E9"/>
    <w:rsid w:val="000D4B9C"/>
    <w:rsid w:val="000D4BF9"/>
    <w:rsid w:val="000D4D28"/>
    <w:rsid w:val="000D4F5D"/>
    <w:rsid w:val="000D6896"/>
    <w:rsid w:val="000D7464"/>
    <w:rsid w:val="000D7E45"/>
    <w:rsid w:val="000E15F0"/>
    <w:rsid w:val="000E1CF8"/>
    <w:rsid w:val="000E2F73"/>
    <w:rsid w:val="000E3050"/>
    <w:rsid w:val="000E3089"/>
    <w:rsid w:val="000E3206"/>
    <w:rsid w:val="000E3285"/>
    <w:rsid w:val="000E33B8"/>
    <w:rsid w:val="000E3E17"/>
    <w:rsid w:val="000E403B"/>
    <w:rsid w:val="000E4088"/>
    <w:rsid w:val="000E428D"/>
    <w:rsid w:val="000E46EB"/>
    <w:rsid w:val="000E59D9"/>
    <w:rsid w:val="000E5E69"/>
    <w:rsid w:val="000E633E"/>
    <w:rsid w:val="000E668C"/>
    <w:rsid w:val="000F0035"/>
    <w:rsid w:val="000F04E7"/>
    <w:rsid w:val="000F060A"/>
    <w:rsid w:val="000F1278"/>
    <w:rsid w:val="000F16CA"/>
    <w:rsid w:val="000F1714"/>
    <w:rsid w:val="000F334F"/>
    <w:rsid w:val="000F33FE"/>
    <w:rsid w:val="000F420B"/>
    <w:rsid w:val="000F4969"/>
    <w:rsid w:val="000F4F36"/>
    <w:rsid w:val="000F51C2"/>
    <w:rsid w:val="000F52A7"/>
    <w:rsid w:val="000F539C"/>
    <w:rsid w:val="000F5728"/>
    <w:rsid w:val="000F5CC2"/>
    <w:rsid w:val="000F5CD1"/>
    <w:rsid w:val="000F60B6"/>
    <w:rsid w:val="000F65FE"/>
    <w:rsid w:val="000F7970"/>
    <w:rsid w:val="0010024B"/>
    <w:rsid w:val="001010B8"/>
    <w:rsid w:val="001010C8"/>
    <w:rsid w:val="0010165A"/>
    <w:rsid w:val="00101A1E"/>
    <w:rsid w:val="00101B3F"/>
    <w:rsid w:val="00102B54"/>
    <w:rsid w:val="0010348A"/>
    <w:rsid w:val="00103A7C"/>
    <w:rsid w:val="00103D3D"/>
    <w:rsid w:val="0010533B"/>
    <w:rsid w:val="0010557E"/>
    <w:rsid w:val="00105C92"/>
    <w:rsid w:val="00106C59"/>
    <w:rsid w:val="0010779B"/>
    <w:rsid w:val="00107A5D"/>
    <w:rsid w:val="0011001F"/>
    <w:rsid w:val="00110116"/>
    <w:rsid w:val="001103C8"/>
    <w:rsid w:val="00110C96"/>
    <w:rsid w:val="00110E15"/>
    <w:rsid w:val="00111A6D"/>
    <w:rsid w:val="00111CBB"/>
    <w:rsid w:val="00112A4B"/>
    <w:rsid w:val="00113811"/>
    <w:rsid w:val="001148D4"/>
    <w:rsid w:val="00114AE6"/>
    <w:rsid w:val="00114B08"/>
    <w:rsid w:val="00114CBA"/>
    <w:rsid w:val="00115631"/>
    <w:rsid w:val="00115B1F"/>
    <w:rsid w:val="00115BF8"/>
    <w:rsid w:val="00116246"/>
    <w:rsid w:val="00116EDB"/>
    <w:rsid w:val="001171DD"/>
    <w:rsid w:val="00117266"/>
    <w:rsid w:val="001172DC"/>
    <w:rsid w:val="001174CE"/>
    <w:rsid w:val="00120072"/>
    <w:rsid w:val="0012100F"/>
    <w:rsid w:val="00121A3D"/>
    <w:rsid w:val="0012268A"/>
    <w:rsid w:val="001233FD"/>
    <w:rsid w:val="001236ED"/>
    <w:rsid w:val="00123BD7"/>
    <w:rsid w:val="00123ED3"/>
    <w:rsid w:val="00124170"/>
    <w:rsid w:val="0012431D"/>
    <w:rsid w:val="00124A31"/>
    <w:rsid w:val="00125BE4"/>
    <w:rsid w:val="00126153"/>
    <w:rsid w:val="00126EB8"/>
    <w:rsid w:val="001274D4"/>
    <w:rsid w:val="00127CB6"/>
    <w:rsid w:val="00130035"/>
    <w:rsid w:val="001303A8"/>
    <w:rsid w:val="00130976"/>
    <w:rsid w:val="0013114E"/>
    <w:rsid w:val="00131492"/>
    <w:rsid w:val="001317DB"/>
    <w:rsid w:val="0013277E"/>
    <w:rsid w:val="00133B1A"/>
    <w:rsid w:val="00134470"/>
    <w:rsid w:val="00134B47"/>
    <w:rsid w:val="00134B6F"/>
    <w:rsid w:val="00134EDD"/>
    <w:rsid w:val="00135266"/>
    <w:rsid w:val="00135CA6"/>
    <w:rsid w:val="00135DEF"/>
    <w:rsid w:val="001362C9"/>
    <w:rsid w:val="001363AA"/>
    <w:rsid w:val="001363E3"/>
    <w:rsid w:val="00137330"/>
    <w:rsid w:val="0013739A"/>
    <w:rsid w:val="001379EB"/>
    <w:rsid w:val="00137F92"/>
    <w:rsid w:val="00140AEA"/>
    <w:rsid w:val="00141969"/>
    <w:rsid w:val="00142165"/>
    <w:rsid w:val="00142BD1"/>
    <w:rsid w:val="00142F93"/>
    <w:rsid w:val="0014353F"/>
    <w:rsid w:val="00143C57"/>
    <w:rsid w:val="00143E7E"/>
    <w:rsid w:val="001446F5"/>
    <w:rsid w:val="00144A1A"/>
    <w:rsid w:val="00145889"/>
    <w:rsid w:val="00146080"/>
    <w:rsid w:val="00146713"/>
    <w:rsid w:val="0014671B"/>
    <w:rsid w:val="0014764A"/>
    <w:rsid w:val="00150727"/>
    <w:rsid w:val="001509B3"/>
    <w:rsid w:val="00150C56"/>
    <w:rsid w:val="00150E84"/>
    <w:rsid w:val="00150F42"/>
    <w:rsid w:val="001511C5"/>
    <w:rsid w:val="0015134E"/>
    <w:rsid w:val="00151B33"/>
    <w:rsid w:val="0015300E"/>
    <w:rsid w:val="00153DE8"/>
    <w:rsid w:val="001541AF"/>
    <w:rsid w:val="00154337"/>
    <w:rsid w:val="001549D8"/>
    <w:rsid w:val="00154E2D"/>
    <w:rsid w:val="00155062"/>
    <w:rsid w:val="0015509D"/>
    <w:rsid w:val="00155839"/>
    <w:rsid w:val="00155861"/>
    <w:rsid w:val="00156722"/>
    <w:rsid w:val="0015679D"/>
    <w:rsid w:val="00156BB4"/>
    <w:rsid w:val="00156CC2"/>
    <w:rsid w:val="00157266"/>
    <w:rsid w:val="001605B9"/>
    <w:rsid w:val="00160662"/>
    <w:rsid w:val="00160A3C"/>
    <w:rsid w:val="00160F1D"/>
    <w:rsid w:val="0016133A"/>
    <w:rsid w:val="00161AB2"/>
    <w:rsid w:val="00161E2F"/>
    <w:rsid w:val="001623AB"/>
    <w:rsid w:val="00162434"/>
    <w:rsid w:val="0016282D"/>
    <w:rsid w:val="00163317"/>
    <w:rsid w:val="00164289"/>
    <w:rsid w:val="001645EC"/>
    <w:rsid w:val="001649FD"/>
    <w:rsid w:val="00164F6E"/>
    <w:rsid w:val="001658D3"/>
    <w:rsid w:val="00165C03"/>
    <w:rsid w:val="00166036"/>
    <w:rsid w:val="001678E0"/>
    <w:rsid w:val="00167ACA"/>
    <w:rsid w:val="00167F62"/>
    <w:rsid w:val="0017020D"/>
    <w:rsid w:val="00170F1C"/>
    <w:rsid w:val="00171C46"/>
    <w:rsid w:val="00171C5F"/>
    <w:rsid w:val="00172A78"/>
    <w:rsid w:val="00172E18"/>
    <w:rsid w:val="00173545"/>
    <w:rsid w:val="00173793"/>
    <w:rsid w:val="001739DE"/>
    <w:rsid w:val="00175402"/>
    <w:rsid w:val="00175473"/>
    <w:rsid w:val="001754BF"/>
    <w:rsid w:val="00175A3E"/>
    <w:rsid w:val="00175AB9"/>
    <w:rsid w:val="00176685"/>
    <w:rsid w:val="00176E36"/>
    <w:rsid w:val="001777D2"/>
    <w:rsid w:val="00180349"/>
    <w:rsid w:val="00180927"/>
    <w:rsid w:val="00181C31"/>
    <w:rsid w:val="00182271"/>
    <w:rsid w:val="001823A4"/>
    <w:rsid w:val="001823CD"/>
    <w:rsid w:val="00182C3D"/>
    <w:rsid w:val="00182FEA"/>
    <w:rsid w:val="001836A4"/>
    <w:rsid w:val="0018379C"/>
    <w:rsid w:val="00183A4F"/>
    <w:rsid w:val="00183E82"/>
    <w:rsid w:val="001842EA"/>
    <w:rsid w:val="001849E4"/>
    <w:rsid w:val="001851B1"/>
    <w:rsid w:val="0018534C"/>
    <w:rsid w:val="0018643F"/>
    <w:rsid w:val="0018692E"/>
    <w:rsid w:val="00186C89"/>
    <w:rsid w:val="00186EC1"/>
    <w:rsid w:val="001878B5"/>
    <w:rsid w:val="001878BB"/>
    <w:rsid w:val="00191138"/>
    <w:rsid w:val="00191259"/>
    <w:rsid w:val="00191AE0"/>
    <w:rsid w:val="0019293B"/>
    <w:rsid w:val="00193642"/>
    <w:rsid w:val="00193DB9"/>
    <w:rsid w:val="0019426B"/>
    <w:rsid w:val="001944BF"/>
    <w:rsid w:val="00194790"/>
    <w:rsid w:val="001948E3"/>
    <w:rsid w:val="0019493E"/>
    <w:rsid w:val="00194AF9"/>
    <w:rsid w:val="001960DE"/>
    <w:rsid w:val="001963CA"/>
    <w:rsid w:val="001964EC"/>
    <w:rsid w:val="00196A5A"/>
    <w:rsid w:val="00197AD0"/>
    <w:rsid w:val="00197ECB"/>
    <w:rsid w:val="00197F62"/>
    <w:rsid w:val="001A017F"/>
    <w:rsid w:val="001A0390"/>
    <w:rsid w:val="001A0ED0"/>
    <w:rsid w:val="001A1A4C"/>
    <w:rsid w:val="001A1A96"/>
    <w:rsid w:val="001A3E43"/>
    <w:rsid w:val="001A3FFD"/>
    <w:rsid w:val="001A4089"/>
    <w:rsid w:val="001A4A62"/>
    <w:rsid w:val="001A555F"/>
    <w:rsid w:val="001A6512"/>
    <w:rsid w:val="001A672B"/>
    <w:rsid w:val="001A6A29"/>
    <w:rsid w:val="001A6A4B"/>
    <w:rsid w:val="001A78AB"/>
    <w:rsid w:val="001A79F9"/>
    <w:rsid w:val="001A7E4D"/>
    <w:rsid w:val="001B0300"/>
    <w:rsid w:val="001B13C6"/>
    <w:rsid w:val="001B16FF"/>
    <w:rsid w:val="001B2A47"/>
    <w:rsid w:val="001B2F7A"/>
    <w:rsid w:val="001B36F7"/>
    <w:rsid w:val="001B4DBD"/>
    <w:rsid w:val="001B5E07"/>
    <w:rsid w:val="001B6113"/>
    <w:rsid w:val="001B69D2"/>
    <w:rsid w:val="001B740B"/>
    <w:rsid w:val="001B7428"/>
    <w:rsid w:val="001B7808"/>
    <w:rsid w:val="001B7C6B"/>
    <w:rsid w:val="001B7E37"/>
    <w:rsid w:val="001C0024"/>
    <w:rsid w:val="001C0309"/>
    <w:rsid w:val="001C0865"/>
    <w:rsid w:val="001C0AED"/>
    <w:rsid w:val="001C0C3D"/>
    <w:rsid w:val="001C16F8"/>
    <w:rsid w:val="001C19A7"/>
    <w:rsid w:val="001C1AEE"/>
    <w:rsid w:val="001C1C4F"/>
    <w:rsid w:val="001C1D3E"/>
    <w:rsid w:val="001C2773"/>
    <w:rsid w:val="001C2A40"/>
    <w:rsid w:val="001C334B"/>
    <w:rsid w:val="001C37F3"/>
    <w:rsid w:val="001C3ABA"/>
    <w:rsid w:val="001C46A9"/>
    <w:rsid w:val="001C5111"/>
    <w:rsid w:val="001C5DF0"/>
    <w:rsid w:val="001C659E"/>
    <w:rsid w:val="001C65CF"/>
    <w:rsid w:val="001C6695"/>
    <w:rsid w:val="001C6E38"/>
    <w:rsid w:val="001C7B79"/>
    <w:rsid w:val="001C7D68"/>
    <w:rsid w:val="001D09EC"/>
    <w:rsid w:val="001D16C8"/>
    <w:rsid w:val="001D2D16"/>
    <w:rsid w:val="001D2D2C"/>
    <w:rsid w:val="001D30F0"/>
    <w:rsid w:val="001D321B"/>
    <w:rsid w:val="001D3401"/>
    <w:rsid w:val="001D36DE"/>
    <w:rsid w:val="001D3D1D"/>
    <w:rsid w:val="001D444F"/>
    <w:rsid w:val="001D468C"/>
    <w:rsid w:val="001D4A09"/>
    <w:rsid w:val="001D4DDF"/>
    <w:rsid w:val="001D578B"/>
    <w:rsid w:val="001D57A4"/>
    <w:rsid w:val="001D5B79"/>
    <w:rsid w:val="001D684D"/>
    <w:rsid w:val="001D694C"/>
    <w:rsid w:val="001D7A6A"/>
    <w:rsid w:val="001E0A9C"/>
    <w:rsid w:val="001E0D11"/>
    <w:rsid w:val="001E0F97"/>
    <w:rsid w:val="001E1E9B"/>
    <w:rsid w:val="001E2021"/>
    <w:rsid w:val="001E34EA"/>
    <w:rsid w:val="001E3B0D"/>
    <w:rsid w:val="001E3D6F"/>
    <w:rsid w:val="001E3D89"/>
    <w:rsid w:val="001E3E0B"/>
    <w:rsid w:val="001E3F3A"/>
    <w:rsid w:val="001E422F"/>
    <w:rsid w:val="001E42C6"/>
    <w:rsid w:val="001E4340"/>
    <w:rsid w:val="001E45AD"/>
    <w:rsid w:val="001E4AC2"/>
    <w:rsid w:val="001E4F7D"/>
    <w:rsid w:val="001E5845"/>
    <w:rsid w:val="001E5C65"/>
    <w:rsid w:val="001E61B0"/>
    <w:rsid w:val="001E704C"/>
    <w:rsid w:val="001E7AB4"/>
    <w:rsid w:val="001E7BE8"/>
    <w:rsid w:val="001F0248"/>
    <w:rsid w:val="001F0B1F"/>
    <w:rsid w:val="001F0C54"/>
    <w:rsid w:val="001F0F1B"/>
    <w:rsid w:val="001F175C"/>
    <w:rsid w:val="001F1F5B"/>
    <w:rsid w:val="001F23A1"/>
    <w:rsid w:val="001F2808"/>
    <w:rsid w:val="001F297C"/>
    <w:rsid w:val="001F2EA7"/>
    <w:rsid w:val="001F317B"/>
    <w:rsid w:val="001F3D13"/>
    <w:rsid w:val="001F3EB3"/>
    <w:rsid w:val="001F4F86"/>
    <w:rsid w:val="001F579E"/>
    <w:rsid w:val="001F5A33"/>
    <w:rsid w:val="001F7411"/>
    <w:rsid w:val="001F7615"/>
    <w:rsid w:val="001F783F"/>
    <w:rsid w:val="002017A3"/>
    <w:rsid w:val="00201994"/>
    <w:rsid w:val="00201AA9"/>
    <w:rsid w:val="00202052"/>
    <w:rsid w:val="00202216"/>
    <w:rsid w:val="00202C2C"/>
    <w:rsid w:val="00203050"/>
    <w:rsid w:val="002033FC"/>
    <w:rsid w:val="00204483"/>
    <w:rsid w:val="00204B0E"/>
    <w:rsid w:val="002050A0"/>
    <w:rsid w:val="002054F3"/>
    <w:rsid w:val="00205C39"/>
    <w:rsid w:val="00206601"/>
    <w:rsid w:val="00206B9B"/>
    <w:rsid w:val="002070BC"/>
    <w:rsid w:val="00210AA0"/>
    <w:rsid w:val="00211F40"/>
    <w:rsid w:val="002122D0"/>
    <w:rsid w:val="00212996"/>
    <w:rsid w:val="00212F08"/>
    <w:rsid w:val="00212F5E"/>
    <w:rsid w:val="00213009"/>
    <w:rsid w:val="00213169"/>
    <w:rsid w:val="00213344"/>
    <w:rsid w:val="0021342B"/>
    <w:rsid w:val="002135AB"/>
    <w:rsid w:val="002144BE"/>
    <w:rsid w:val="002146AA"/>
    <w:rsid w:val="00214A7E"/>
    <w:rsid w:val="00214C4B"/>
    <w:rsid w:val="00214E9D"/>
    <w:rsid w:val="00215206"/>
    <w:rsid w:val="002154BF"/>
    <w:rsid w:val="00215903"/>
    <w:rsid w:val="0021675A"/>
    <w:rsid w:val="00216C57"/>
    <w:rsid w:val="0021701B"/>
    <w:rsid w:val="00217196"/>
    <w:rsid w:val="002200F9"/>
    <w:rsid w:val="0022018B"/>
    <w:rsid w:val="002203E2"/>
    <w:rsid w:val="00220728"/>
    <w:rsid w:val="0022105F"/>
    <w:rsid w:val="00221284"/>
    <w:rsid w:val="002226CB"/>
    <w:rsid w:val="00222A50"/>
    <w:rsid w:val="00223159"/>
    <w:rsid w:val="002231B9"/>
    <w:rsid w:val="00223372"/>
    <w:rsid w:val="00223695"/>
    <w:rsid w:val="00223CE5"/>
    <w:rsid w:val="00224C63"/>
    <w:rsid w:val="00224CCA"/>
    <w:rsid w:val="00225187"/>
    <w:rsid w:val="002257ED"/>
    <w:rsid w:val="0022676C"/>
    <w:rsid w:val="0022722D"/>
    <w:rsid w:val="00230505"/>
    <w:rsid w:val="00231384"/>
    <w:rsid w:val="002313AD"/>
    <w:rsid w:val="002316C7"/>
    <w:rsid w:val="00231749"/>
    <w:rsid w:val="00232005"/>
    <w:rsid w:val="0023206C"/>
    <w:rsid w:val="002325D8"/>
    <w:rsid w:val="00232830"/>
    <w:rsid w:val="002329C4"/>
    <w:rsid w:val="00232D7C"/>
    <w:rsid w:val="00232E28"/>
    <w:rsid w:val="002331E4"/>
    <w:rsid w:val="002336B5"/>
    <w:rsid w:val="002338B8"/>
    <w:rsid w:val="002349F7"/>
    <w:rsid w:val="00234AB4"/>
    <w:rsid w:val="00234C07"/>
    <w:rsid w:val="00234DAB"/>
    <w:rsid w:val="00235B2B"/>
    <w:rsid w:val="002365C2"/>
    <w:rsid w:val="002365F1"/>
    <w:rsid w:val="002370A8"/>
    <w:rsid w:val="00237811"/>
    <w:rsid w:val="00237C4E"/>
    <w:rsid w:val="00240A8A"/>
    <w:rsid w:val="00241C04"/>
    <w:rsid w:val="00241F93"/>
    <w:rsid w:val="00242279"/>
    <w:rsid w:val="00242369"/>
    <w:rsid w:val="0024267C"/>
    <w:rsid w:val="00242D7A"/>
    <w:rsid w:val="0024356A"/>
    <w:rsid w:val="00243997"/>
    <w:rsid w:val="00243D5B"/>
    <w:rsid w:val="0024413F"/>
    <w:rsid w:val="00244402"/>
    <w:rsid w:val="0024483E"/>
    <w:rsid w:val="00244E78"/>
    <w:rsid w:val="0024516C"/>
    <w:rsid w:val="0024569F"/>
    <w:rsid w:val="00245C82"/>
    <w:rsid w:val="00245C87"/>
    <w:rsid w:val="0024684A"/>
    <w:rsid w:val="002469DE"/>
    <w:rsid w:val="00250800"/>
    <w:rsid w:val="00250CF1"/>
    <w:rsid w:val="00250E16"/>
    <w:rsid w:val="00250FC3"/>
    <w:rsid w:val="002511B5"/>
    <w:rsid w:val="0025157C"/>
    <w:rsid w:val="00252BAC"/>
    <w:rsid w:val="00252E96"/>
    <w:rsid w:val="0025301A"/>
    <w:rsid w:val="002540C4"/>
    <w:rsid w:val="00254785"/>
    <w:rsid w:val="00254951"/>
    <w:rsid w:val="002549FE"/>
    <w:rsid w:val="00254BA0"/>
    <w:rsid w:val="00255131"/>
    <w:rsid w:val="00255E65"/>
    <w:rsid w:val="002562BF"/>
    <w:rsid w:val="0025686D"/>
    <w:rsid w:val="00256CCE"/>
    <w:rsid w:val="00260145"/>
    <w:rsid w:val="002601A3"/>
    <w:rsid w:val="00260623"/>
    <w:rsid w:val="0026217A"/>
    <w:rsid w:val="00263433"/>
    <w:rsid w:val="00263731"/>
    <w:rsid w:val="00263757"/>
    <w:rsid w:val="002641C1"/>
    <w:rsid w:val="00264629"/>
    <w:rsid w:val="0026515A"/>
    <w:rsid w:val="002659B1"/>
    <w:rsid w:val="00265BE1"/>
    <w:rsid w:val="00266343"/>
    <w:rsid w:val="00266E7E"/>
    <w:rsid w:val="00266FE7"/>
    <w:rsid w:val="002674B3"/>
    <w:rsid w:val="00267611"/>
    <w:rsid w:val="00267AA0"/>
    <w:rsid w:val="00267C9B"/>
    <w:rsid w:val="00267E93"/>
    <w:rsid w:val="0027069D"/>
    <w:rsid w:val="002709D7"/>
    <w:rsid w:val="00270B9C"/>
    <w:rsid w:val="002713A6"/>
    <w:rsid w:val="002724BA"/>
    <w:rsid w:val="0027269E"/>
    <w:rsid w:val="002729B6"/>
    <w:rsid w:val="00272A72"/>
    <w:rsid w:val="00272C6B"/>
    <w:rsid w:val="0027399A"/>
    <w:rsid w:val="00273D28"/>
    <w:rsid w:val="00274983"/>
    <w:rsid w:val="00276657"/>
    <w:rsid w:val="00276665"/>
    <w:rsid w:val="00276ED9"/>
    <w:rsid w:val="0027782F"/>
    <w:rsid w:val="00277A5F"/>
    <w:rsid w:val="00277E86"/>
    <w:rsid w:val="00282FA3"/>
    <w:rsid w:val="002837CA"/>
    <w:rsid w:val="00283C64"/>
    <w:rsid w:val="0028402D"/>
    <w:rsid w:val="00284203"/>
    <w:rsid w:val="002854D3"/>
    <w:rsid w:val="00285C87"/>
    <w:rsid w:val="002866E4"/>
    <w:rsid w:val="0028670E"/>
    <w:rsid w:val="002870A1"/>
    <w:rsid w:val="00287597"/>
    <w:rsid w:val="0028768D"/>
    <w:rsid w:val="0029024E"/>
    <w:rsid w:val="00290509"/>
    <w:rsid w:val="00291029"/>
    <w:rsid w:val="00291A6B"/>
    <w:rsid w:val="00291B40"/>
    <w:rsid w:val="00291F2A"/>
    <w:rsid w:val="00291FE3"/>
    <w:rsid w:val="00292555"/>
    <w:rsid w:val="0029274C"/>
    <w:rsid w:val="00292BEC"/>
    <w:rsid w:val="00293260"/>
    <w:rsid w:val="002937C9"/>
    <w:rsid w:val="00293BEC"/>
    <w:rsid w:val="00293CDE"/>
    <w:rsid w:val="00293ED9"/>
    <w:rsid w:val="002948E7"/>
    <w:rsid w:val="002948ED"/>
    <w:rsid w:val="002958C6"/>
    <w:rsid w:val="00295ABD"/>
    <w:rsid w:val="00296B44"/>
    <w:rsid w:val="00296F69"/>
    <w:rsid w:val="002975E7"/>
    <w:rsid w:val="002A02F9"/>
    <w:rsid w:val="002A0D08"/>
    <w:rsid w:val="002A15C2"/>
    <w:rsid w:val="002A1D25"/>
    <w:rsid w:val="002A1FB7"/>
    <w:rsid w:val="002A27A4"/>
    <w:rsid w:val="002A45EF"/>
    <w:rsid w:val="002A4DB3"/>
    <w:rsid w:val="002A5433"/>
    <w:rsid w:val="002A57B9"/>
    <w:rsid w:val="002A657E"/>
    <w:rsid w:val="002A6A42"/>
    <w:rsid w:val="002A6DB5"/>
    <w:rsid w:val="002A6EA6"/>
    <w:rsid w:val="002A7710"/>
    <w:rsid w:val="002A7DB5"/>
    <w:rsid w:val="002B00A5"/>
    <w:rsid w:val="002B01D8"/>
    <w:rsid w:val="002B0EA0"/>
    <w:rsid w:val="002B1037"/>
    <w:rsid w:val="002B1B97"/>
    <w:rsid w:val="002B1FC7"/>
    <w:rsid w:val="002B1FEF"/>
    <w:rsid w:val="002B25D7"/>
    <w:rsid w:val="002B3262"/>
    <w:rsid w:val="002B3E70"/>
    <w:rsid w:val="002B4008"/>
    <w:rsid w:val="002B455D"/>
    <w:rsid w:val="002B4EC4"/>
    <w:rsid w:val="002B50BD"/>
    <w:rsid w:val="002B5101"/>
    <w:rsid w:val="002B5993"/>
    <w:rsid w:val="002B5A7B"/>
    <w:rsid w:val="002B5B4D"/>
    <w:rsid w:val="002B5D9A"/>
    <w:rsid w:val="002B6AFD"/>
    <w:rsid w:val="002B7FE5"/>
    <w:rsid w:val="002C005B"/>
    <w:rsid w:val="002C0695"/>
    <w:rsid w:val="002C12F2"/>
    <w:rsid w:val="002C1990"/>
    <w:rsid w:val="002C1CE0"/>
    <w:rsid w:val="002C2C85"/>
    <w:rsid w:val="002C2E1C"/>
    <w:rsid w:val="002C311B"/>
    <w:rsid w:val="002C3140"/>
    <w:rsid w:val="002C3701"/>
    <w:rsid w:val="002C3830"/>
    <w:rsid w:val="002C39EF"/>
    <w:rsid w:val="002C439F"/>
    <w:rsid w:val="002C4406"/>
    <w:rsid w:val="002C4610"/>
    <w:rsid w:val="002C46E2"/>
    <w:rsid w:val="002C4812"/>
    <w:rsid w:val="002C58B1"/>
    <w:rsid w:val="002C5BD6"/>
    <w:rsid w:val="002C5E64"/>
    <w:rsid w:val="002C636E"/>
    <w:rsid w:val="002C679F"/>
    <w:rsid w:val="002C68A0"/>
    <w:rsid w:val="002C6CA7"/>
    <w:rsid w:val="002C72AF"/>
    <w:rsid w:val="002C72B8"/>
    <w:rsid w:val="002C75B6"/>
    <w:rsid w:val="002D028F"/>
    <w:rsid w:val="002D0C42"/>
    <w:rsid w:val="002D0DF7"/>
    <w:rsid w:val="002D0E8E"/>
    <w:rsid w:val="002D1249"/>
    <w:rsid w:val="002D131E"/>
    <w:rsid w:val="002D179B"/>
    <w:rsid w:val="002D1CA1"/>
    <w:rsid w:val="002D1FB9"/>
    <w:rsid w:val="002D27C3"/>
    <w:rsid w:val="002D2B5A"/>
    <w:rsid w:val="002D3CB2"/>
    <w:rsid w:val="002D5230"/>
    <w:rsid w:val="002D52D2"/>
    <w:rsid w:val="002D5631"/>
    <w:rsid w:val="002D5962"/>
    <w:rsid w:val="002D6810"/>
    <w:rsid w:val="002D6E92"/>
    <w:rsid w:val="002D7054"/>
    <w:rsid w:val="002D7083"/>
    <w:rsid w:val="002E06A9"/>
    <w:rsid w:val="002E09B7"/>
    <w:rsid w:val="002E212F"/>
    <w:rsid w:val="002E38DF"/>
    <w:rsid w:val="002E479B"/>
    <w:rsid w:val="002E4902"/>
    <w:rsid w:val="002E4BB4"/>
    <w:rsid w:val="002E5952"/>
    <w:rsid w:val="002E5ED2"/>
    <w:rsid w:val="002E6088"/>
    <w:rsid w:val="002E757B"/>
    <w:rsid w:val="002E7FE3"/>
    <w:rsid w:val="002F0FA3"/>
    <w:rsid w:val="002F121D"/>
    <w:rsid w:val="002F1549"/>
    <w:rsid w:val="002F1CCB"/>
    <w:rsid w:val="002F1CDF"/>
    <w:rsid w:val="002F276E"/>
    <w:rsid w:val="002F338A"/>
    <w:rsid w:val="002F3B15"/>
    <w:rsid w:val="002F3C28"/>
    <w:rsid w:val="002F4173"/>
    <w:rsid w:val="002F44E7"/>
    <w:rsid w:val="002F454D"/>
    <w:rsid w:val="002F4823"/>
    <w:rsid w:val="002F4CC2"/>
    <w:rsid w:val="002F4FCB"/>
    <w:rsid w:val="002F52CE"/>
    <w:rsid w:val="002F55EB"/>
    <w:rsid w:val="002F7043"/>
    <w:rsid w:val="002F70EB"/>
    <w:rsid w:val="002F7328"/>
    <w:rsid w:val="002F77B2"/>
    <w:rsid w:val="002F7AB5"/>
    <w:rsid w:val="002F7C85"/>
    <w:rsid w:val="00300203"/>
    <w:rsid w:val="00300264"/>
    <w:rsid w:val="003003E4"/>
    <w:rsid w:val="003008DF"/>
    <w:rsid w:val="00300F0F"/>
    <w:rsid w:val="00301189"/>
    <w:rsid w:val="00301DF4"/>
    <w:rsid w:val="00301E4A"/>
    <w:rsid w:val="00302538"/>
    <w:rsid w:val="00302DE1"/>
    <w:rsid w:val="003036B3"/>
    <w:rsid w:val="00304003"/>
    <w:rsid w:val="003044E8"/>
    <w:rsid w:val="00304C12"/>
    <w:rsid w:val="003055BB"/>
    <w:rsid w:val="00305FEC"/>
    <w:rsid w:val="003077A1"/>
    <w:rsid w:val="00307821"/>
    <w:rsid w:val="00310285"/>
    <w:rsid w:val="0031029A"/>
    <w:rsid w:val="00310681"/>
    <w:rsid w:val="003108E9"/>
    <w:rsid w:val="00310922"/>
    <w:rsid w:val="00310AFD"/>
    <w:rsid w:val="00311035"/>
    <w:rsid w:val="0031139A"/>
    <w:rsid w:val="0031180C"/>
    <w:rsid w:val="003123E7"/>
    <w:rsid w:val="003125B2"/>
    <w:rsid w:val="00314008"/>
    <w:rsid w:val="00314111"/>
    <w:rsid w:val="00315079"/>
    <w:rsid w:val="003156FA"/>
    <w:rsid w:val="00315795"/>
    <w:rsid w:val="003168B8"/>
    <w:rsid w:val="003171EE"/>
    <w:rsid w:val="003176AD"/>
    <w:rsid w:val="00320095"/>
    <w:rsid w:val="00320FF3"/>
    <w:rsid w:val="003214DD"/>
    <w:rsid w:val="00322693"/>
    <w:rsid w:val="00322D64"/>
    <w:rsid w:val="0032344F"/>
    <w:rsid w:val="003236F3"/>
    <w:rsid w:val="0032378C"/>
    <w:rsid w:val="00323E09"/>
    <w:rsid w:val="00324229"/>
    <w:rsid w:val="00324D17"/>
    <w:rsid w:val="00324FDE"/>
    <w:rsid w:val="00325649"/>
    <w:rsid w:val="00326E65"/>
    <w:rsid w:val="00326EB3"/>
    <w:rsid w:val="0032784F"/>
    <w:rsid w:val="00330A56"/>
    <w:rsid w:val="00330C0F"/>
    <w:rsid w:val="003316F5"/>
    <w:rsid w:val="00331744"/>
    <w:rsid w:val="00331957"/>
    <w:rsid w:val="0033272A"/>
    <w:rsid w:val="00333744"/>
    <w:rsid w:val="00333932"/>
    <w:rsid w:val="00333D75"/>
    <w:rsid w:val="003349E3"/>
    <w:rsid w:val="00335985"/>
    <w:rsid w:val="00336257"/>
    <w:rsid w:val="00337F41"/>
    <w:rsid w:val="00341A7F"/>
    <w:rsid w:val="00341F48"/>
    <w:rsid w:val="00341F6D"/>
    <w:rsid w:val="003423B4"/>
    <w:rsid w:val="003433E1"/>
    <w:rsid w:val="0034373E"/>
    <w:rsid w:val="00343F08"/>
    <w:rsid w:val="003442FE"/>
    <w:rsid w:val="00344CEB"/>
    <w:rsid w:val="0034537A"/>
    <w:rsid w:val="00345802"/>
    <w:rsid w:val="003468EB"/>
    <w:rsid w:val="0034699E"/>
    <w:rsid w:val="00346D25"/>
    <w:rsid w:val="00347286"/>
    <w:rsid w:val="0034755E"/>
    <w:rsid w:val="00347964"/>
    <w:rsid w:val="00350C10"/>
    <w:rsid w:val="003518AA"/>
    <w:rsid w:val="00352165"/>
    <w:rsid w:val="00352BF7"/>
    <w:rsid w:val="00353182"/>
    <w:rsid w:val="00353199"/>
    <w:rsid w:val="003537D3"/>
    <w:rsid w:val="003537DE"/>
    <w:rsid w:val="00353A45"/>
    <w:rsid w:val="00354278"/>
    <w:rsid w:val="003553C6"/>
    <w:rsid w:val="00355444"/>
    <w:rsid w:val="00355705"/>
    <w:rsid w:val="003558AD"/>
    <w:rsid w:val="00355ADA"/>
    <w:rsid w:val="003560AE"/>
    <w:rsid w:val="003565D9"/>
    <w:rsid w:val="00356DEF"/>
    <w:rsid w:val="00357616"/>
    <w:rsid w:val="00357780"/>
    <w:rsid w:val="00357AB3"/>
    <w:rsid w:val="00357FED"/>
    <w:rsid w:val="003602B4"/>
    <w:rsid w:val="003602E1"/>
    <w:rsid w:val="003607C5"/>
    <w:rsid w:val="003609EF"/>
    <w:rsid w:val="00360A2E"/>
    <w:rsid w:val="00360BF3"/>
    <w:rsid w:val="00360CED"/>
    <w:rsid w:val="00360F6B"/>
    <w:rsid w:val="00361618"/>
    <w:rsid w:val="00362B0F"/>
    <w:rsid w:val="00364169"/>
    <w:rsid w:val="00364A41"/>
    <w:rsid w:val="00365170"/>
    <w:rsid w:val="003652F7"/>
    <w:rsid w:val="00365461"/>
    <w:rsid w:val="00365B38"/>
    <w:rsid w:val="00366050"/>
    <w:rsid w:val="003666DE"/>
    <w:rsid w:val="00366E4C"/>
    <w:rsid w:val="0037026F"/>
    <w:rsid w:val="00370B02"/>
    <w:rsid w:val="00370CB8"/>
    <w:rsid w:val="00371240"/>
    <w:rsid w:val="003717B4"/>
    <w:rsid w:val="00372638"/>
    <w:rsid w:val="003728DF"/>
    <w:rsid w:val="003729D5"/>
    <w:rsid w:val="00373A10"/>
    <w:rsid w:val="00373B71"/>
    <w:rsid w:val="00374731"/>
    <w:rsid w:val="00375120"/>
    <w:rsid w:val="00376E59"/>
    <w:rsid w:val="00377EC1"/>
    <w:rsid w:val="00377F2C"/>
    <w:rsid w:val="00380340"/>
    <w:rsid w:val="0038157C"/>
    <w:rsid w:val="00381C07"/>
    <w:rsid w:val="00383D2A"/>
    <w:rsid w:val="00384990"/>
    <w:rsid w:val="00387217"/>
    <w:rsid w:val="00390544"/>
    <w:rsid w:val="00390658"/>
    <w:rsid w:val="003919F9"/>
    <w:rsid w:val="003920CF"/>
    <w:rsid w:val="0039240A"/>
    <w:rsid w:val="00392D30"/>
    <w:rsid w:val="00393564"/>
    <w:rsid w:val="00393BE1"/>
    <w:rsid w:val="00394BE2"/>
    <w:rsid w:val="00395065"/>
    <w:rsid w:val="00395AA2"/>
    <w:rsid w:val="00395FF2"/>
    <w:rsid w:val="00397192"/>
    <w:rsid w:val="0039730D"/>
    <w:rsid w:val="00397C9E"/>
    <w:rsid w:val="00397E8F"/>
    <w:rsid w:val="00397F7F"/>
    <w:rsid w:val="003A000E"/>
    <w:rsid w:val="003A0AFF"/>
    <w:rsid w:val="003A1364"/>
    <w:rsid w:val="003A1D41"/>
    <w:rsid w:val="003A2261"/>
    <w:rsid w:val="003A2552"/>
    <w:rsid w:val="003A2976"/>
    <w:rsid w:val="003A2DA0"/>
    <w:rsid w:val="003A395F"/>
    <w:rsid w:val="003A3A2E"/>
    <w:rsid w:val="003A427B"/>
    <w:rsid w:val="003A4481"/>
    <w:rsid w:val="003A4600"/>
    <w:rsid w:val="003A48D4"/>
    <w:rsid w:val="003A5512"/>
    <w:rsid w:val="003A5B66"/>
    <w:rsid w:val="003A6421"/>
    <w:rsid w:val="003A6FF6"/>
    <w:rsid w:val="003B06D9"/>
    <w:rsid w:val="003B088D"/>
    <w:rsid w:val="003B1C0E"/>
    <w:rsid w:val="003B1F21"/>
    <w:rsid w:val="003B20CE"/>
    <w:rsid w:val="003B23C2"/>
    <w:rsid w:val="003B2B01"/>
    <w:rsid w:val="003B2EB7"/>
    <w:rsid w:val="003B34E1"/>
    <w:rsid w:val="003B38E8"/>
    <w:rsid w:val="003B3C8B"/>
    <w:rsid w:val="003B43E6"/>
    <w:rsid w:val="003B5073"/>
    <w:rsid w:val="003B51E0"/>
    <w:rsid w:val="003B5DFA"/>
    <w:rsid w:val="003B67F9"/>
    <w:rsid w:val="003B69F3"/>
    <w:rsid w:val="003B6AE7"/>
    <w:rsid w:val="003B75F5"/>
    <w:rsid w:val="003C02F6"/>
    <w:rsid w:val="003C06CF"/>
    <w:rsid w:val="003C1534"/>
    <w:rsid w:val="003C192C"/>
    <w:rsid w:val="003C1DF3"/>
    <w:rsid w:val="003C2D02"/>
    <w:rsid w:val="003C3047"/>
    <w:rsid w:val="003C33BD"/>
    <w:rsid w:val="003C38B5"/>
    <w:rsid w:val="003C4029"/>
    <w:rsid w:val="003C431F"/>
    <w:rsid w:val="003C4C18"/>
    <w:rsid w:val="003C575A"/>
    <w:rsid w:val="003C5D99"/>
    <w:rsid w:val="003C636F"/>
    <w:rsid w:val="003C6F9A"/>
    <w:rsid w:val="003C74BF"/>
    <w:rsid w:val="003C7CC2"/>
    <w:rsid w:val="003D0387"/>
    <w:rsid w:val="003D07C0"/>
    <w:rsid w:val="003D0804"/>
    <w:rsid w:val="003D0DFD"/>
    <w:rsid w:val="003D1087"/>
    <w:rsid w:val="003D10B7"/>
    <w:rsid w:val="003D11ED"/>
    <w:rsid w:val="003D14B0"/>
    <w:rsid w:val="003D1E8D"/>
    <w:rsid w:val="003D243B"/>
    <w:rsid w:val="003D2523"/>
    <w:rsid w:val="003D31AC"/>
    <w:rsid w:val="003D32C3"/>
    <w:rsid w:val="003D3BE4"/>
    <w:rsid w:val="003D3E82"/>
    <w:rsid w:val="003D496B"/>
    <w:rsid w:val="003D4C72"/>
    <w:rsid w:val="003D52D3"/>
    <w:rsid w:val="003D6C74"/>
    <w:rsid w:val="003D7F4C"/>
    <w:rsid w:val="003E01C4"/>
    <w:rsid w:val="003E0231"/>
    <w:rsid w:val="003E13FF"/>
    <w:rsid w:val="003E1412"/>
    <w:rsid w:val="003E1AE8"/>
    <w:rsid w:val="003E2C53"/>
    <w:rsid w:val="003E2F59"/>
    <w:rsid w:val="003E30AF"/>
    <w:rsid w:val="003E3322"/>
    <w:rsid w:val="003E3700"/>
    <w:rsid w:val="003E410B"/>
    <w:rsid w:val="003E44DB"/>
    <w:rsid w:val="003E4ABE"/>
    <w:rsid w:val="003E4AF1"/>
    <w:rsid w:val="003E4BC9"/>
    <w:rsid w:val="003E4E6A"/>
    <w:rsid w:val="003E5560"/>
    <w:rsid w:val="003E746B"/>
    <w:rsid w:val="003E7596"/>
    <w:rsid w:val="003E7B32"/>
    <w:rsid w:val="003E7ED4"/>
    <w:rsid w:val="003F0789"/>
    <w:rsid w:val="003F0D0A"/>
    <w:rsid w:val="003F0E36"/>
    <w:rsid w:val="003F10E7"/>
    <w:rsid w:val="003F147A"/>
    <w:rsid w:val="003F1DA1"/>
    <w:rsid w:val="003F2587"/>
    <w:rsid w:val="003F2790"/>
    <w:rsid w:val="003F3953"/>
    <w:rsid w:val="003F3B0C"/>
    <w:rsid w:val="003F411F"/>
    <w:rsid w:val="003F4CA5"/>
    <w:rsid w:val="003F61E5"/>
    <w:rsid w:val="003F6C4A"/>
    <w:rsid w:val="003F6E1D"/>
    <w:rsid w:val="003F6F61"/>
    <w:rsid w:val="003F709F"/>
    <w:rsid w:val="003F70B2"/>
    <w:rsid w:val="003F7CC4"/>
    <w:rsid w:val="004009D3"/>
    <w:rsid w:val="00400B1F"/>
    <w:rsid w:val="00400CB6"/>
    <w:rsid w:val="004010BF"/>
    <w:rsid w:val="00401882"/>
    <w:rsid w:val="00401E16"/>
    <w:rsid w:val="00403119"/>
    <w:rsid w:val="0040383E"/>
    <w:rsid w:val="00404BE1"/>
    <w:rsid w:val="004062BF"/>
    <w:rsid w:val="004064E5"/>
    <w:rsid w:val="00406B74"/>
    <w:rsid w:val="00406C3B"/>
    <w:rsid w:val="0040712D"/>
    <w:rsid w:val="004073DA"/>
    <w:rsid w:val="004100C8"/>
    <w:rsid w:val="004109FC"/>
    <w:rsid w:val="00410AC3"/>
    <w:rsid w:val="00410F6C"/>
    <w:rsid w:val="004119AE"/>
    <w:rsid w:val="00411D46"/>
    <w:rsid w:val="00411DBD"/>
    <w:rsid w:val="0041281B"/>
    <w:rsid w:val="00412ACE"/>
    <w:rsid w:val="00412AD9"/>
    <w:rsid w:val="00412B62"/>
    <w:rsid w:val="004142AB"/>
    <w:rsid w:val="004143BD"/>
    <w:rsid w:val="004144EE"/>
    <w:rsid w:val="004145D2"/>
    <w:rsid w:val="00414C19"/>
    <w:rsid w:val="00415B89"/>
    <w:rsid w:val="00420502"/>
    <w:rsid w:val="004208DE"/>
    <w:rsid w:val="00421EE6"/>
    <w:rsid w:val="004228AF"/>
    <w:rsid w:val="00423863"/>
    <w:rsid w:val="004248E3"/>
    <w:rsid w:val="00424CC7"/>
    <w:rsid w:val="00424F4B"/>
    <w:rsid w:val="004250D9"/>
    <w:rsid w:val="0042549A"/>
    <w:rsid w:val="00425987"/>
    <w:rsid w:val="00426CB4"/>
    <w:rsid w:val="00427756"/>
    <w:rsid w:val="00427F6A"/>
    <w:rsid w:val="0043004A"/>
    <w:rsid w:val="00430102"/>
    <w:rsid w:val="004309C9"/>
    <w:rsid w:val="00430D56"/>
    <w:rsid w:val="00431079"/>
    <w:rsid w:val="004311E5"/>
    <w:rsid w:val="00431249"/>
    <w:rsid w:val="00431B24"/>
    <w:rsid w:val="00431F3E"/>
    <w:rsid w:val="004320CF"/>
    <w:rsid w:val="00432DFD"/>
    <w:rsid w:val="0043343D"/>
    <w:rsid w:val="0043361B"/>
    <w:rsid w:val="00433666"/>
    <w:rsid w:val="00434C19"/>
    <w:rsid w:val="00435037"/>
    <w:rsid w:val="0043522D"/>
    <w:rsid w:val="0043524B"/>
    <w:rsid w:val="00435CF5"/>
    <w:rsid w:val="00435EC6"/>
    <w:rsid w:val="004363B2"/>
    <w:rsid w:val="004366A3"/>
    <w:rsid w:val="004372E0"/>
    <w:rsid w:val="00437310"/>
    <w:rsid w:val="0043799D"/>
    <w:rsid w:val="00437AA7"/>
    <w:rsid w:val="00437F37"/>
    <w:rsid w:val="004407DD"/>
    <w:rsid w:val="00441067"/>
    <w:rsid w:val="00441604"/>
    <w:rsid w:val="00443CD4"/>
    <w:rsid w:val="004449D2"/>
    <w:rsid w:val="00444A14"/>
    <w:rsid w:val="004450F5"/>
    <w:rsid w:val="00446808"/>
    <w:rsid w:val="0044698F"/>
    <w:rsid w:val="00446B2E"/>
    <w:rsid w:val="00446F3D"/>
    <w:rsid w:val="0045034D"/>
    <w:rsid w:val="00450810"/>
    <w:rsid w:val="00450C6C"/>
    <w:rsid w:val="00450CEB"/>
    <w:rsid w:val="00450DE5"/>
    <w:rsid w:val="00450E99"/>
    <w:rsid w:val="00451B87"/>
    <w:rsid w:val="00452084"/>
    <w:rsid w:val="0045215F"/>
    <w:rsid w:val="00452532"/>
    <w:rsid w:val="0045461D"/>
    <w:rsid w:val="00454648"/>
    <w:rsid w:val="00455073"/>
    <w:rsid w:val="00455A11"/>
    <w:rsid w:val="00460119"/>
    <w:rsid w:val="00460952"/>
    <w:rsid w:val="00460A2D"/>
    <w:rsid w:val="00460F20"/>
    <w:rsid w:val="004612A1"/>
    <w:rsid w:val="004614CD"/>
    <w:rsid w:val="00462B10"/>
    <w:rsid w:val="00462C59"/>
    <w:rsid w:val="00463037"/>
    <w:rsid w:val="0046307C"/>
    <w:rsid w:val="004630B7"/>
    <w:rsid w:val="00463B1C"/>
    <w:rsid w:val="0046444C"/>
    <w:rsid w:val="00464537"/>
    <w:rsid w:val="00464D14"/>
    <w:rsid w:val="00465186"/>
    <w:rsid w:val="00465316"/>
    <w:rsid w:val="00465686"/>
    <w:rsid w:val="00465749"/>
    <w:rsid w:val="00465DC6"/>
    <w:rsid w:val="0046621B"/>
    <w:rsid w:val="00466CCA"/>
    <w:rsid w:val="00466F91"/>
    <w:rsid w:val="004675E9"/>
    <w:rsid w:val="00467C26"/>
    <w:rsid w:val="00470382"/>
    <w:rsid w:val="00470737"/>
    <w:rsid w:val="00470E9A"/>
    <w:rsid w:val="004716C3"/>
    <w:rsid w:val="00471EA8"/>
    <w:rsid w:val="0047257D"/>
    <w:rsid w:val="00472741"/>
    <w:rsid w:val="004728AA"/>
    <w:rsid w:val="004737A6"/>
    <w:rsid w:val="004749C5"/>
    <w:rsid w:val="00475358"/>
    <w:rsid w:val="00477144"/>
    <w:rsid w:val="004772D1"/>
    <w:rsid w:val="0047788E"/>
    <w:rsid w:val="00477C7E"/>
    <w:rsid w:val="00480412"/>
    <w:rsid w:val="00480E3D"/>
    <w:rsid w:val="00481099"/>
    <w:rsid w:val="00481551"/>
    <w:rsid w:val="00481AAF"/>
    <w:rsid w:val="004838A5"/>
    <w:rsid w:val="0048435C"/>
    <w:rsid w:val="004844C0"/>
    <w:rsid w:val="00484AAE"/>
    <w:rsid w:val="00485004"/>
    <w:rsid w:val="00485DC0"/>
    <w:rsid w:val="00486006"/>
    <w:rsid w:val="004861D1"/>
    <w:rsid w:val="00487329"/>
    <w:rsid w:val="00491301"/>
    <w:rsid w:val="00491380"/>
    <w:rsid w:val="004928A1"/>
    <w:rsid w:val="0049292A"/>
    <w:rsid w:val="00492BAE"/>
    <w:rsid w:val="00493269"/>
    <w:rsid w:val="00493613"/>
    <w:rsid w:val="0049424E"/>
    <w:rsid w:val="0049459F"/>
    <w:rsid w:val="0049489F"/>
    <w:rsid w:val="004964FA"/>
    <w:rsid w:val="00496967"/>
    <w:rsid w:val="00497351"/>
    <w:rsid w:val="0049751E"/>
    <w:rsid w:val="00497C1A"/>
    <w:rsid w:val="004A04D6"/>
    <w:rsid w:val="004A0811"/>
    <w:rsid w:val="004A0A92"/>
    <w:rsid w:val="004A19CF"/>
    <w:rsid w:val="004A2657"/>
    <w:rsid w:val="004A29CA"/>
    <w:rsid w:val="004A2E0C"/>
    <w:rsid w:val="004A2E98"/>
    <w:rsid w:val="004A318B"/>
    <w:rsid w:val="004A3300"/>
    <w:rsid w:val="004A38DD"/>
    <w:rsid w:val="004A3971"/>
    <w:rsid w:val="004A3EB5"/>
    <w:rsid w:val="004A4247"/>
    <w:rsid w:val="004A4B5C"/>
    <w:rsid w:val="004A5194"/>
    <w:rsid w:val="004A5A13"/>
    <w:rsid w:val="004A6B32"/>
    <w:rsid w:val="004A7199"/>
    <w:rsid w:val="004A7492"/>
    <w:rsid w:val="004A784B"/>
    <w:rsid w:val="004B0529"/>
    <w:rsid w:val="004B0B20"/>
    <w:rsid w:val="004B0C3D"/>
    <w:rsid w:val="004B29E4"/>
    <w:rsid w:val="004B35CE"/>
    <w:rsid w:val="004B4167"/>
    <w:rsid w:val="004B43AE"/>
    <w:rsid w:val="004B67CB"/>
    <w:rsid w:val="004B6CC0"/>
    <w:rsid w:val="004B6F7D"/>
    <w:rsid w:val="004B7A5C"/>
    <w:rsid w:val="004C0835"/>
    <w:rsid w:val="004C114A"/>
    <w:rsid w:val="004C17AE"/>
    <w:rsid w:val="004C30D4"/>
    <w:rsid w:val="004C30ED"/>
    <w:rsid w:val="004C3861"/>
    <w:rsid w:val="004C3A05"/>
    <w:rsid w:val="004C3E8A"/>
    <w:rsid w:val="004C4733"/>
    <w:rsid w:val="004C4D81"/>
    <w:rsid w:val="004C5945"/>
    <w:rsid w:val="004C6E28"/>
    <w:rsid w:val="004C7B38"/>
    <w:rsid w:val="004C7E94"/>
    <w:rsid w:val="004D064E"/>
    <w:rsid w:val="004D0B33"/>
    <w:rsid w:val="004D0D4C"/>
    <w:rsid w:val="004D11DA"/>
    <w:rsid w:val="004D1B37"/>
    <w:rsid w:val="004D2BD7"/>
    <w:rsid w:val="004D506C"/>
    <w:rsid w:val="004D5675"/>
    <w:rsid w:val="004D587F"/>
    <w:rsid w:val="004D5FDE"/>
    <w:rsid w:val="004D6075"/>
    <w:rsid w:val="004D650F"/>
    <w:rsid w:val="004D6DD1"/>
    <w:rsid w:val="004D7841"/>
    <w:rsid w:val="004D7B6B"/>
    <w:rsid w:val="004D7F9B"/>
    <w:rsid w:val="004E0007"/>
    <w:rsid w:val="004E2CA9"/>
    <w:rsid w:val="004E39B3"/>
    <w:rsid w:val="004E468B"/>
    <w:rsid w:val="004E4921"/>
    <w:rsid w:val="004E4F78"/>
    <w:rsid w:val="004E5D36"/>
    <w:rsid w:val="004E6C46"/>
    <w:rsid w:val="004E71D0"/>
    <w:rsid w:val="004E7C14"/>
    <w:rsid w:val="004F05ED"/>
    <w:rsid w:val="004F0F6C"/>
    <w:rsid w:val="004F1754"/>
    <w:rsid w:val="004F18BE"/>
    <w:rsid w:val="004F2057"/>
    <w:rsid w:val="004F2426"/>
    <w:rsid w:val="004F2755"/>
    <w:rsid w:val="004F2875"/>
    <w:rsid w:val="004F3B3F"/>
    <w:rsid w:val="004F4157"/>
    <w:rsid w:val="004F4ADC"/>
    <w:rsid w:val="004F50DB"/>
    <w:rsid w:val="004F5341"/>
    <w:rsid w:val="004F541C"/>
    <w:rsid w:val="004F5535"/>
    <w:rsid w:val="004F5E85"/>
    <w:rsid w:val="004F6280"/>
    <w:rsid w:val="004F6B5D"/>
    <w:rsid w:val="004F7669"/>
    <w:rsid w:val="004F7C96"/>
    <w:rsid w:val="00500266"/>
    <w:rsid w:val="00500454"/>
    <w:rsid w:val="00500EAD"/>
    <w:rsid w:val="00500EE4"/>
    <w:rsid w:val="00500F00"/>
    <w:rsid w:val="005016E7"/>
    <w:rsid w:val="00501786"/>
    <w:rsid w:val="00501D73"/>
    <w:rsid w:val="00501E59"/>
    <w:rsid w:val="005034C3"/>
    <w:rsid w:val="0050360D"/>
    <w:rsid w:val="00503CFC"/>
    <w:rsid w:val="005040D1"/>
    <w:rsid w:val="00504B5E"/>
    <w:rsid w:val="00504C31"/>
    <w:rsid w:val="00505CBA"/>
    <w:rsid w:val="00506413"/>
    <w:rsid w:val="00506C20"/>
    <w:rsid w:val="00506D24"/>
    <w:rsid w:val="00506DB9"/>
    <w:rsid w:val="00507633"/>
    <w:rsid w:val="00507DE5"/>
    <w:rsid w:val="005103B9"/>
    <w:rsid w:val="00510B3A"/>
    <w:rsid w:val="00510C0E"/>
    <w:rsid w:val="0051166F"/>
    <w:rsid w:val="00511764"/>
    <w:rsid w:val="005122FF"/>
    <w:rsid w:val="0051246A"/>
    <w:rsid w:val="0051290E"/>
    <w:rsid w:val="00512E6F"/>
    <w:rsid w:val="00512F0F"/>
    <w:rsid w:val="00513756"/>
    <w:rsid w:val="005137C7"/>
    <w:rsid w:val="00513AB3"/>
    <w:rsid w:val="005143C4"/>
    <w:rsid w:val="00514A57"/>
    <w:rsid w:val="00514AC0"/>
    <w:rsid w:val="005159A6"/>
    <w:rsid w:val="00515F19"/>
    <w:rsid w:val="005164A8"/>
    <w:rsid w:val="0051696D"/>
    <w:rsid w:val="0051760A"/>
    <w:rsid w:val="0051762B"/>
    <w:rsid w:val="00517795"/>
    <w:rsid w:val="005178C0"/>
    <w:rsid w:val="00520BAB"/>
    <w:rsid w:val="00521268"/>
    <w:rsid w:val="00521983"/>
    <w:rsid w:val="005219FE"/>
    <w:rsid w:val="00521BD1"/>
    <w:rsid w:val="00521CC4"/>
    <w:rsid w:val="00522876"/>
    <w:rsid w:val="005228EB"/>
    <w:rsid w:val="00523104"/>
    <w:rsid w:val="005233E9"/>
    <w:rsid w:val="00523639"/>
    <w:rsid w:val="00523E6E"/>
    <w:rsid w:val="005240A8"/>
    <w:rsid w:val="00524B8D"/>
    <w:rsid w:val="00525019"/>
    <w:rsid w:val="00525423"/>
    <w:rsid w:val="00526E56"/>
    <w:rsid w:val="005271EF"/>
    <w:rsid w:val="005272E2"/>
    <w:rsid w:val="0052737A"/>
    <w:rsid w:val="005306B7"/>
    <w:rsid w:val="00530753"/>
    <w:rsid w:val="0053122E"/>
    <w:rsid w:val="00531652"/>
    <w:rsid w:val="00531B2B"/>
    <w:rsid w:val="00531FE5"/>
    <w:rsid w:val="005321F0"/>
    <w:rsid w:val="00532BC7"/>
    <w:rsid w:val="00533645"/>
    <w:rsid w:val="005341F9"/>
    <w:rsid w:val="00534C0D"/>
    <w:rsid w:val="00535CAA"/>
    <w:rsid w:val="00536EDD"/>
    <w:rsid w:val="00540127"/>
    <w:rsid w:val="005402FA"/>
    <w:rsid w:val="00540E9E"/>
    <w:rsid w:val="005417A9"/>
    <w:rsid w:val="00541984"/>
    <w:rsid w:val="00541F2C"/>
    <w:rsid w:val="00542280"/>
    <w:rsid w:val="005427CD"/>
    <w:rsid w:val="00543632"/>
    <w:rsid w:val="005437D5"/>
    <w:rsid w:val="00544C59"/>
    <w:rsid w:val="005472DF"/>
    <w:rsid w:val="0054773C"/>
    <w:rsid w:val="00550757"/>
    <w:rsid w:val="00551713"/>
    <w:rsid w:val="005517C1"/>
    <w:rsid w:val="0055228B"/>
    <w:rsid w:val="00552A82"/>
    <w:rsid w:val="005534A3"/>
    <w:rsid w:val="00553688"/>
    <w:rsid w:val="0055378B"/>
    <w:rsid w:val="0055425E"/>
    <w:rsid w:val="005544AD"/>
    <w:rsid w:val="00554893"/>
    <w:rsid w:val="0055499B"/>
    <w:rsid w:val="005549BA"/>
    <w:rsid w:val="005552BB"/>
    <w:rsid w:val="00555A0D"/>
    <w:rsid w:val="00556314"/>
    <w:rsid w:val="0055769D"/>
    <w:rsid w:val="0056016A"/>
    <w:rsid w:val="00560E7C"/>
    <w:rsid w:val="00560F51"/>
    <w:rsid w:val="00561744"/>
    <w:rsid w:val="00562268"/>
    <w:rsid w:val="005626C7"/>
    <w:rsid w:val="00563BFF"/>
    <w:rsid w:val="005640FC"/>
    <w:rsid w:val="00564238"/>
    <w:rsid w:val="00564673"/>
    <w:rsid w:val="00564952"/>
    <w:rsid w:val="00565923"/>
    <w:rsid w:val="005659BE"/>
    <w:rsid w:val="00565C79"/>
    <w:rsid w:val="00565E48"/>
    <w:rsid w:val="00565F5B"/>
    <w:rsid w:val="00567CBD"/>
    <w:rsid w:val="00570315"/>
    <w:rsid w:val="00570596"/>
    <w:rsid w:val="00570903"/>
    <w:rsid w:val="00570A9B"/>
    <w:rsid w:val="0057183C"/>
    <w:rsid w:val="0057245A"/>
    <w:rsid w:val="005729BD"/>
    <w:rsid w:val="00573437"/>
    <w:rsid w:val="00573BE3"/>
    <w:rsid w:val="00573C59"/>
    <w:rsid w:val="005747B7"/>
    <w:rsid w:val="00574A0A"/>
    <w:rsid w:val="00574DB3"/>
    <w:rsid w:val="00575568"/>
    <w:rsid w:val="0057560B"/>
    <w:rsid w:val="00575805"/>
    <w:rsid w:val="005769D2"/>
    <w:rsid w:val="00580154"/>
    <w:rsid w:val="005813EA"/>
    <w:rsid w:val="00583488"/>
    <w:rsid w:val="00583C39"/>
    <w:rsid w:val="00583DCF"/>
    <w:rsid w:val="005843E1"/>
    <w:rsid w:val="0058463F"/>
    <w:rsid w:val="005846C3"/>
    <w:rsid w:val="00584B2C"/>
    <w:rsid w:val="00584BE8"/>
    <w:rsid w:val="00584D7E"/>
    <w:rsid w:val="005853C5"/>
    <w:rsid w:val="005853C6"/>
    <w:rsid w:val="00585603"/>
    <w:rsid w:val="00585F92"/>
    <w:rsid w:val="00585FC2"/>
    <w:rsid w:val="00586303"/>
    <w:rsid w:val="00586A90"/>
    <w:rsid w:val="0058709C"/>
    <w:rsid w:val="005879B2"/>
    <w:rsid w:val="00587F28"/>
    <w:rsid w:val="00587F75"/>
    <w:rsid w:val="0059057E"/>
    <w:rsid w:val="005909CF"/>
    <w:rsid w:val="00590E91"/>
    <w:rsid w:val="005910C3"/>
    <w:rsid w:val="00591750"/>
    <w:rsid w:val="00591ADA"/>
    <w:rsid w:val="00591E71"/>
    <w:rsid w:val="0059217E"/>
    <w:rsid w:val="0059244F"/>
    <w:rsid w:val="00593967"/>
    <w:rsid w:val="00595CC3"/>
    <w:rsid w:val="005964A4"/>
    <w:rsid w:val="005967B3"/>
    <w:rsid w:val="00597581"/>
    <w:rsid w:val="00597DF9"/>
    <w:rsid w:val="00597FFE"/>
    <w:rsid w:val="005A01B6"/>
    <w:rsid w:val="005A0531"/>
    <w:rsid w:val="005A08BE"/>
    <w:rsid w:val="005A0A58"/>
    <w:rsid w:val="005A0D41"/>
    <w:rsid w:val="005A14DC"/>
    <w:rsid w:val="005A210F"/>
    <w:rsid w:val="005A28ED"/>
    <w:rsid w:val="005A3001"/>
    <w:rsid w:val="005A3129"/>
    <w:rsid w:val="005A33C2"/>
    <w:rsid w:val="005A3499"/>
    <w:rsid w:val="005A4BB9"/>
    <w:rsid w:val="005A4BEB"/>
    <w:rsid w:val="005A4D9A"/>
    <w:rsid w:val="005A4FAE"/>
    <w:rsid w:val="005A68DE"/>
    <w:rsid w:val="005A6B9D"/>
    <w:rsid w:val="005A6EC6"/>
    <w:rsid w:val="005A7D6D"/>
    <w:rsid w:val="005B055A"/>
    <w:rsid w:val="005B0A54"/>
    <w:rsid w:val="005B105A"/>
    <w:rsid w:val="005B1CC0"/>
    <w:rsid w:val="005B1E78"/>
    <w:rsid w:val="005B24F2"/>
    <w:rsid w:val="005B3F0F"/>
    <w:rsid w:val="005B44E2"/>
    <w:rsid w:val="005B4A78"/>
    <w:rsid w:val="005B56CB"/>
    <w:rsid w:val="005B61FA"/>
    <w:rsid w:val="005B6A52"/>
    <w:rsid w:val="005B6DB3"/>
    <w:rsid w:val="005B71A0"/>
    <w:rsid w:val="005C031E"/>
    <w:rsid w:val="005C08AE"/>
    <w:rsid w:val="005C0A09"/>
    <w:rsid w:val="005C1ACE"/>
    <w:rsid w:val="005C25B9"/>
    <w:rsid w:val="005C2F30"/>
    <w:rsid w:val="005C32EE"/>
    <w:rsid w:val="005C3663"/>
    <w:rsid w:val="005C3863"/>
    <w:rsid w:val="005C3CC8"/>
    <w:rsid w:val="005C3F4F"/>
    <w:rsid w:val="005C419C"/>
    <w:rsid w:val="005C436F"/>
    <w:rsid w:val="005C443E"/>
    <w:rsid w:val="005C4705"/>
    <w:rsid w:val="005C5469"/>
    <w:rsid w:val="005C6637"/>
    <w:rsid w:val="005C6847"/>
    <w:rsid w:val="005C71AF"/>
    <w:rsid w:val="005C72B4"/>
    <w:rsid w:val="005C74DB"/>
    <w:rsid w:val="005D0017"/>
    <w:rsid w:val="005D0EE5"/>
    <w:rsid w:val="005D17B4"/>
    <w:rsid w:val="005D329F"/>
    <w:rsid w:val="005D3591"/>
    <w:rsid w:val="005D39F4"/>
    <w:rsid w:val="005D4765"/>
    <w:rsid w:val="005D488F"/>
    <w:rsid w:val="005D4A2E"/>
    <w:rsid w:val="005D4C21"/>
    <w:rsid w:val="005D554E"/>
    <w:rsid w:val="005D5560"/>
    <w:rsid w:val="005D56AE"/>
    <w:rsid w:val="005D5EDA"/>
    <w:rsid w:val="005D65B2"/>
    <w:rsid w:val="005D7250"/>
    <w:rsid w:val="005D7774"/>
    <w:rsid w:val="005D7AB5"/>
    <w:rsid w:val="005D7B2D"/>
    <w:rsid w:val="005E03C1"/>
    <w:rsid w:val="005E0F16"/>
    <w:rsid w:val="005E1E45"/>
    <w:rsid w:val="005E3AC6"/>
    <w:rsid w:val="005E3C28"/>
    <w:rsid w:val="005E47F3"/>
    <w:rsid w:val="005E5D8C"/>
    <w:rsid w:val="005E5EE9"/>
    <w:rsid w:val="005E62C9"/>
    <w:rsid w:val="005E6F49"/>
    <w:rsid w:val="005F0246"/>
    <w:rsid w:val="005F0415"/>
    <w:rsid w:val="005F0602"/>
    <w:rsid w:val="005F0A02"/>
    <w:rsid w:val="005F0D17"/>
    <w:rsid w:val="005F1571"/>
    <w:rsid w:val="005F1867"/>
    <w:rsid w:val="005F1EB4"/>
    <w:rsid w:val="005F1F5E"/>
    <w:rsid w:val="005F2C0A"/>
    <w:rsid w:val="005F2C2A"/>
    <w:rsid w:val="005F30F9"/>
    <w:rsid w:val="005F3740"/>
    <w:rsid w:val="005F3AC3"/>
    <w:rsid w:val="005F3EF8"/>
    <w:rsid w:val="005F411A"/>
    <w:rsid w:val="005F441A"/>
    <w:rsid w:val="005F4550"/>
    <w:rsid w:val="005F45C9"/>
    <w:rsid w:val="005F48ED"/>
    <w:rsid w:val="005F4B57"/>
    <w:rsid w:val="005F5076"/>
    <w:rsid w:val="005F51D4"/>
    <w:rsid w:val="005F5B0D"/>
    <w:rsid w:val="005F66B6"/>
    <w:rsid w:val="005F6ADC"/>
    <w:rsid w:val="005F7B8B"/>
    <w:rsid w:val="00600DEF"/>
    <w:rsid w:val="006011A2"/>
    <w:rsid w:val="0060143E"/>
    <w:rsid w:val="00601907"/>
    <w:rsid w:val="00603208"/>
    <w:rsid w:val="00603D7C"/>
    <w:rsid w:val="00603F4E"/>
    <w:rsid w:val="006049BB"/>
    <w:rsid w:val="00604B01"/>
    <w:rsid w:val="00606E78"/>
    <w:rsid w:val="0060703C"/>
    <w:rsid w:val="00607BF1"/>
    <w:rsid w:val="00607EB8"/>
    <w:rsid w:val="006118F0"/>
    <w:rsid w:val="00611D48"/>
    <w:rsid w:val="00611F4A"/>
    <w:rsid w:val="006124E1"/>
    <w:rsid w:val="00612603"/>
    <w:rsid w:val="00612C68"/>
    <w:rsid w:val="00612EE9"/>
    <w:rsid w:val="006134B8"/>
    <w:rsid w:val="00613E8B"/>
    <w:rsid w:val="00614014"/>
    <w:rsid w:val="00614414"/>
    <w:rsid w:val="00614860"/>
    <w:rsid w:val="00614E32"/>
    <w:rsid w:val="00614F9C"/>
    <w:rsid w:val="006151F7"/>
    <w:rsid w:val="006155AF"/>
    <w:rsid w:val="00616525"/>
    <w:rsid w:val="006165F0"/>
    <w:rsid w:val="006171A0"/>
    <w:rsid w:val="006171BE"/>
    <w:rsid w:val="0062092B"/>
    <w:rsid w:val="006209DD"/>
    <w:rsid w:val="00621081"/>
    <w:rsid w:val="00621235"/>
    <w:rsid w:val="00621D2A"/>
    <w:rsid w:val="00621ED2"/>
    <w:rsid w:val="00621EF5"/>
    <w:rsid w:val="00622347"/>
    <w:rsid w:val="006227BE"/>
    <w:rsid w:val="00622E7E"/>
    <w:rsid w:val="006230E7"/>
    <w:rsid w:val="0062381A"/>
    <w:rsid w:val="0062389A"/>
    <w:rsid w:val="006239E3"/>
    <w:rsid w:val="00623ECD"/>
    <w:rsid w:val="00624105"/>
    <w:rsid w:val="0062478F"/>
    <w:rsid w:val="0062524D"/>
    <w:rsid w:val="00625283"/>
    <w:rsid w:val="00625506"/>
    <w:rsid w:val="00625DCC"/>
    <w:rsid w:val="00626494"/>
    <w:rsid w:val="006267D7"/>
    <w:rsid w:val="00626C3A"/>
    <w:rsid w:val="006270DB"/>
    <w:rsid w:val="00627FDD"/>
    <w:rsid w:val="00630D4D"/>
    <w:rsid w:val="0063214E"/>
    <w:rsid w:val="00632A74"/>
    <w:rsid w:val="00633B25"/>
    <w:rsid w:val="006342E6"/>
    <w:rsid w:val="00634907"/>
    <w:rsid w:val="00634E80"/>
    <w:rsid w:val="00635008"/>
    <w:rsid w:val="006356D8"/>
    <w:rsid w:val="00635A75"/>
    <w:rsid w:val="00636515"/>
    <w:rsid w:val="006366B2"/>
    <w:rsid w:val="00636946"/>
    <w:rsid w:val="00636A86"/>
    <w:rsid w:val="00637A04"/>
    <w:rsid w:val="00640019"/>
    <w:rsid w:val="00640743"/>
    <w:rsid w:val="00641453"/>
    <w:rsid w:val="0064162D"/>
    <w:rsid w:val="0064268D"/>
    <w:rsid w:val="006430A4"/>
    <w:rsid w:val="0064393A"/>
    <w:rsid w:val="00643EE6"/>
    <w:rsid w:val="00644629"/>
    <w:rsid w:val="00644825"/>
    <w:rsid w:val="00644B2F"/>
    <w:rsid w:val="00644D2F"/>
    <w:rsid w:val="00644E50"/>
    <w:rsid w:val="006455ED"/>
    <w:rsid w:val="00645FDB"/>
    <w:rsid w:val="006470C7"/>
    <w:rsid w:val="0065021E"/>
    <w:rsid w:val="0065048D"/>
    <w:rsid w:val="00650725"/>
    <w:rsid w:val="00650AA4"/>
    <w:rsid w:val="00651328"/>
    <w:rsid w:val="00651554"/>
    <w:rsid w:val="00651A01"/>
    <w:rsid w:val="00651C91"/>
    <w:rsid w:val="00651FC0"/>
    <w:rsid w:val="00653937"/>
    <w:rsid w:val="00653BB0"/>
    <w:rsid w:val="00653D82"/>
    <w:rsid w:val="0065476E"/>
    <w:rsid w:val="00654D42"/>
    <w:rsid w:val="006554CF"/>
    <w:rsid w:val="006554EA"/>
    <w:rsid w:val="00655E12"/>
    <w:rsid w:val="0065616E"/>
    <w:rsid w:val="00656CD4"/>
    <w:rsid w:val="00656EFE"/>
    <w:rsid w:val="006571F2"/>
    <w:rsid w:val="006578F6"/>
    <w:rsid w:val="00657E5E"/>
    <w:rsid w:val="00660A77"/>
    <w:rsid w:val="00660D31"/>
    <w:rsid w:val="00660E85"/>
    <w:rsid w:val="0066129C"/>
    <w:rsid w:val="00661353"/>
    <w:rsid w:val="00661875"/>
    <w:rsid w:val="0066191C"/>
    <w:rsid w:val="00661FD7"/>
    <w:rsid w:val="0066227D"/>
    <w:rsid w:val="0066235E"/>
    <w:rsid w:val="00663024"/>
    <w:rsid w:val="006639BF"/>
    <w:rsid w:val="00663E93"/>
    <w:rsid w:val="00664558"/>
    <w:rsid w:val="00664A63"/>
    <w:rsid w:val="0066533F"/>
    <w:rsid w:val="006662CF"/>
    <w:rsid w:val="0066666A"/>
    <w:rsid w:val="00666E02"/>
    <w:rsid w:val="0067026F"/>
    <w:rsid w:val="006705F0"/>
    <w:rsid w:val="00670EB7"/>
    <w:rsid w:val="00671620"/>
    <w:rsid w:val="0067177C"/>
    <w:rsid w:val="0067183F"/>
    <w:rsid w:val="0067237B"/>
    <w:rsid w:val="00672457"/>
    <w:rsid w:val="006738EA"/>
    <w:rsid w:val="00673BCA"/>
    <w:rsid w:val="006743C9"/>
    <w:rsid w:val="0067443D"/>
    <w:rsid w:val="0067472F"/>
    <w:rsid w:val="006755DC"/>
    <w:rsid w:val="00675C09"/>
    <w:rsid w:val="00675C6B"/>
    <w:rsid w:val="00676F1A"/>
    <w:rsid w:val="00677219"/>
    <w:rsid w:val="006803B4"/>
    <w:rsid w:val="0068058B"/>
    <w:rsid w:val="00681700"/>
    <w:rsid w:val="006819D5"/>
    <w:rsid w:val="006824C3"/>
    <w:rsid w:val="00683908"/>
    <w:rsid w:val="00683E46"/>
    <w:rsid w:val="006842D0"/>
    <w:rsid w:val="0068483F"/>
    <w:rsid w:val="00685D27"/>
    <w:rsid w:val="00686152"/>
    <w:rsid w:val="00686357"/>
    <w:rsid w:val="00686A6B"/>
    <w:rsid w:val="00686B56"/>
    <w:rsid w:val="00687D72"/>
    <w:rsid w:val="00687EAB"/>
    <w:rsid w:val="006901A6"/>
    <w:rsid w:val="0069058A"/>
    <w:rsid w:val="006906F9"/>
    <w:rsid w:val="00690941"/>
    <w:rsid w:val="00690D50"/>
    <w:rsid w:val="00691ACE"/>
    <w:rsid w:val="00691EE4"/>
    <w:rsid w:val="00691EEC"/>
    <w:rsid w:val="00692124"/>
    <w:rsid w:val="00692386"/>
    <w:rsid w:val="00692826"/>
    <w:rsid w:val="006928B1"/>
    <w:rsid w:val="006930F3"/>
    <w:rsid w:val="00693533"/>
    <w:rsid w:val="0069380C"/>
    <w:rsid w:val="00693A3D"/>
    <w:rsid w:val="00693C8E"/>
    <w:rsid w:val="00693F86"/>
    <w:rsid w:val="006945C0"/>
    <w:rsid w:val="006945CA"/>
    <w:rsid w:val="006949D8"/>
    <w:rsid w:val="00694D43"/>
    <w:rsid w:val="00694D5B"/>
    <w:rsid w:val="00695483"/>
    <w:rsid w:val="0069558C"/>
    <w:rsid w:val="00695E06"/>
    <w:rsid w:val="00695FB7"/>
    <w:rsid w:val="00696474"/>
    <w:rsid w:val="00696A9B"/>
    <w:rsid w:val="00697C4E"/>
    <w:rsid w:val="006A01EC"/>
    <w:rsid w:val="006A146B"/>
    <w:rsid w:val="006A1B10"/>
    <w:rsid w:val="006A1C6D"/>
    <w:rsid w:val="006A1EBC"/>
    <w:rsid w:val="006A1F2C"/>
    <w:rsid w:val="006A1FE7"/>
    <w:rsid w:val="006A216A"/>
    <w:rsid w:val="006A4655"/>
    <w:rsid w:val="006A4660"/>
    <w:rsid w:val="006A5DBC"/>
    <w:rsid w:val="006A5F50"/>
    <w:rsid w:val="006A626E"/>
    <w:rsid w:val="006A6C5C"/>
    <w:rsid w:val="006B042D"/>
    <w:rsid w:val="006B0ED4"/>
    <w:rsid w:val="006B102C"/>
    <w:rsid w:val="006B15D6"/>
    <w:rsid w:val="006B17AA"/>
    <w:rsid w:val="006B181C"/>
    <w:rsid w:val="006B1D0A"/>
    <w:rsid w:val="006B209C"/>
    <w:rsid w:val="006B266C"/>
    <w:rsid w:val="006B2B2F"/>
    <w:rsid w:val="006B2B3C"/>
    <w:rsid w:val="006B2CCD"/>
    <w:rsid w:val="006B2EC6"/>
    <w:rsid w:val="006B4820"/>
    <w:rsid w:val="006B4A83"/>
    <w:rsid w:val="006B4C3E"/>
    <w:rsid w:val="006B4E70"/>
    <w:rsid w:val="006B5DAA"/>
    <w:rsid w:val="006B5E5E"/>
    <w:rsid w:val="006B612D"/>
    <w:rsid w:val="006B6C4F"/>
    <w:rsid w:val="006B7B25"/>
    <w:rsid w:val="006C0908"/>
    <w:rsid w:val="006C104D"/>
    <w:rsid w:val="006C117F"/>
    <w:rsid w:val="006C1684"/>
    <w:rsid w:val="006C1D81"/>
    <w:rsid w:val="006C2315"/>
    <w:rsid w:val="006C2378"/>
    <w:rsid w:val="006C2651"/>
    <w:rsid w:val="006C2CAB"/>
    <w:rsid w:val="006C51EE"/>
    <w:rsid w:val="006C5506"/>
    <w:rsid w:val="006C6577"/>
    <w:rsid w:val="006C6681"/>
    <w:rsid w:val="006C7038"/>
    <w:rsid w:val="006C704F"/>
    <w:rsid w:val="006C74FF"/>
    <w:rsid w:val="006D00D8"/>
    <w:rsid w:val="006D015D"/>
    <w:rsid w:val="006D1038"/>
    <w:rsid w:val="006D1846"/>
    <w:rsid w:val="006D2582"/>
    <w:rsid w:val="006D2C1F"/>
    <w:rsid w:val="006D3D17"/>
    <w:rsid w:val="006D46E9"/>
    <w:rsid w:val="006D51EF"/>
    <w:rsid w:val="006D554B"/>
    <w:rsid w:val="006D610A"/>
    <w:rsid w:val="006D630A"/>
    <w:rsid w:val="006D6473"/>
    <w:rsid w:val="006D651A"/>
    <w:rsid w:val="006D6DFE"/>
    <w:rsid w:val="006D7714"/>
    <w:rsid w:val="006E01C1"/>
    <w:rsid w:val="006E072D"/>
    <w:rsid w:val="006E0DE2"/>
    <w:rsid w:val="006E1093"/>
    <w:rsid w:val="006E1421"/>
    <w:rsid w:val="006E2184"/>
    <w:rsid w:val="006E2223"/>
    <w:rsid w:val="006E29CE"/>
    <w:rsid w:val="006E2ABD"/>
    <w:rsid w:val="006E339A"/>
    <w:rsid w:val="006E3662"/>
    <w:rsid w:val="006E37C9"/>
    <w:rsid w:val="006E4B69"/>
    <w:rsid w:val="006E5769"/>
    <w:rsid w:val="006E6038"/>
    <w:rsid w:val="006E629A"/>
    <w:rsid w:val="006E64F6"/>
    <w:rsid w:val="006E6AE5"/>
    <w:rsid w:val="006E7094"/>
    <w:rsid w:val="006E73EF"/>
    <w:rsid w:val="006E7CCF"/>
    <w:rsid w:val="006F147A"/>
    <w:rsid w:val="006F3475"/>
    <w:rsid w:val="006F35CB"/>
    <w:rsid w:val="006F393F"/>
    <w:rsid w:val="006F3B3B"/>
    <w:rsid w:val="006F3F9C"/>
    <w:rsid w:val="006F5835"/>
    <w:rsid w:val="006F5AEF"/>
    <w:rsid w:val="006F5F25"/>
    <w:rsid w:val="006F6558"/>
    <w:rsid w:val="006F73D7"/>
    <w:rsid w:val="006F7779"/>
    <w:rsid w:val="006F7C48"/>
    <w:rsid w:val="007028B0"/>
    <w:rsid w:val="00702B37"/>
    <w:rsid w:val="00703A0A"/>
    <w:rsid w:val="00704E0A"/>
    <w:rsid w:val="00705261"/>
    <w:rsid w:val="007052B1"/>
    <w:rsid w:val="00705A90"/>
    <w:rsid w:val="00705BE5"/>
    <w:rsid w:val="007068F8"/>
    <w:rsid w:val="00706B0D"/>
    <w:rsid w:val="00706BED"/>
    <w:rsid w:val="00706DF1"/>
    <w:rsid w:val="00706EC7"/>
    <w:rsid w:val="00707075"/>
    <w:rsid w:val="007079C9"/>
    <w:rsid w:val="00707D38"/>
    <w:rsid w:val="00710278"/>
    <w:rsid w:val="00710748"/>
    <w:rsid w:val="00711620"/>
    <w:rsid w:val="00711CEA"/>
    <w:rsid w:val="00711DC1"/>
    <w:rsid w:val="00711FDA"/>
    <w:rsid w:val="00712160"/>
    <w:rsid w:val="00712176"/>
    <w:rsid w:val="0071262F"/>
    <w:rsid w:val="00712651"/>
    <w:rsid w:val="007131E0"/>
    <w:rsid w:val="0071382F"/>
    <w:rsid w:val="00714400"/>
    <w:rsid w:val="0071449D"/>
    <w:rsid w:val="00714B91"/>
    <w:rsid w:val="00714D4D"/>
    <w:rsid w:val="00715375"/>
    <w:rsid w:val="0071579A"/>
    <w:rsid w:val="007166FA"/>
    <w:rsid w:val="00716B17"/>
    <w:rsid w:val="007172C4"/>
    <w:rsid w:val="0072051F"/>
    <w:rsid w:val="0072111B"/>
    <w:rsid w:val="00721450"/>
    <w:rsid w:val="00721A1C"/>
    <w:rsid w:val="00721E9A"/>
    <w:rsid w:val="00721F3E"/>
    <w:rsid w:val="00721FA0"/>
    <w:rsid w:val="00722B9C"/>
    <w:rsid w:val="00724548"/>
    <w:rsid w:val="00724721"/>
    <w:rsid w:val="007248B8"/>
    <w:rsid w:val="00724CF0"/>
    <w:rsid w:val="00725639"/>
    <w:rsid w:val="00725771"/>
    <w:rsid w:val="00725CDA"/>
    <w:rsid w:val="00725E03"/>
    <w:rsid w:val="0072602D"/>
    <w:rsid w:val="007266D3"/>
    <w:rsid w:val="00726835"/>
    <w:rsid w:val="00726AC5"/>
    <w:rsid w:val="0072743A"/>
    <w:rsid w:val="0072757A"/>
    <w:rsid w:val="007276A3"/>
    <w:rsid w:val="00727E0F"/>
    <w:rsid w:val="00730041"/>
    <w:rsid w:val="007300AA"/>
    <w:rsid w:val="00730828"/>
    <w:rsid w:val="00730993"/>
    <w:rsid w:val="007313C0"/>
    <w:rsid w:val="00732029"/>
    <w:rsid w:val="0073311C"/>
    <w:rsid w:val="007331A3"/>
    <w:rsid w:val="0073382B"/>
    <w:rsid w:val="007347BF"/>
    <w:rsid w:val="00734F07"/>
    <w:rsid w:val="00734FF9"/>
    <w:rsid w:val="007351F5"/>
    <w:rsid w:val="007357DE"/>
    <w:rsid w:val="007358A1"/>
    <w:rsid w:val="0073592E"/>
    <w:rsid w:val="00735C10"/>
    <w:rsid w:val="00735D04"/>
    <w:rsid w:val="00736B69"/>
    <w:rsid w:val="007372D5"/>
    <w:rsid w:val="00737339"/>
    <w:rsid w:val="00737FFE"/>
    <w:rsid w:val="007404A6"/>
    <w:rsid w:val="00740802"/>
    <w:rsid w:val="007408A2"/>
    <w:rsid w:val="00740CAC"/>
    <w:rsid w:val="007410EF"/>
    <w:rsid w:val="00742209"/>
    <w:rsid w:val="0074349F"/>
    <w:rsid w:val="007441AE"/>
    <w:rsid w:val="0074469A"/>
    <w:rsid w:val="007448D2"/>
    <w:rsid w:val="00744936"/>
    <w:rsid w:val="00745064"/>
    <w:rsid w:val="00745491"/>
    <w:rsid w:val="007466C1"/>
    <w:rsid w:val="007466E8"/>
    <w:rsid w:val="00746769"/>
    <w:rsid w:val="007467C0"/>
    <w:rsid w:val="00746BDB"/>
    <w:rsid w:val="00746E79"/>
    <w:rsid w:val="0074715A"/>
    <w:rsid w:val="00747A52"/>
    <w:rsid w:val="007501C7"/>
    <w:rsid w:val="007506EC"/>
    <w:rsid w:val="007507C3"/>
    <w:rsid w:val="007509F7"/>
    <w:rsid w:val="007510A2"/>
    <w:rsid w:val="007511F6"/>
    <w:rsid w:val="007516B7"/>
    <w:rsid w:val="00751BDB"/>
    <w:rsid w:val="00751D1E"/>
    <w:rsid w:val="00752355"/>
    <w:rsid w:val="00752393"/>
    <w:rsid w:val="00752699"/>
    <w:rsid w:val="00752F79"/>
    <w:rsid w:val="0075333A"/>
    <w:rsid w:val="00753E01"/>
    <w:rsid w:val="00754272"/>
    <w:rsid w:val="00754852"/>
    <w:rsid w:val="0075706E"/>
    <w:rsid w:val="007570E6"/>
    <w:rsid w:val="0075774E"/>
    <w:rsid w:val="007604BB"/>
    <w:rsid w:val="007606B7"/>
    <w:rsid w:val="007606FF"/>
    <w:rsid w:val="00760C14"/>
    <w:rsid w:val="00760EA9"/>
    <w:rsid w:val="007621C2"/>
    <w:rsid w:val="00762279"/>
    <w:rsid w:val="00762289"/>
    <w:rsid w:val="00762BF7"/>
    <w:rsid w:val="00763667"/>
    <w:rsid w:val="00763CD9"/>
    <w:rsid w:val="00764DB5"/>
    <w:rsid w:val="00765195"/>
    <w:rsid w:val="007653E5"/>
    <w:rsid w:val="00767039"/>
    <w:rsid w:val="00767CBD"/>
    <w:rsid w:val="00770209"/>
    <w:rsid w:val="00770413"/>
    <w:rsid w:val="007705AE"/>
    <w:rsid w:val="00770635"/>
    <w:rsid w:val="00770CF6"/>
    <w:rsid w:val="007718F5"/>
    <w:rsid w:val="007720D5"/>
    <w:rsid w:val="00772909"/>
    <w:rsid w:val="00772CB7"/>
    <w:rsid w:val="0077325D"/>
    <w:rsid w:val="00773E48"/>
    <w:rsid w:val="00774F79"/>
    <w:rsid w:val="0077617E"/>
    <w:rsid w:val="0077637C"/>
    <w:rsid w:val="007769A8"/>
    <w:rsid w:val="007769BC"/>
    <w:rsid w:val="00776D65"/>
    <w:rsid w:val="00777106"/>
    <w:rsid w:val="00777314"/>
    <w:rsid w:val="00777499"/>
    <w:rsid w:val="00780212"/>
    <w:rsid w:val="007805C7"/>
    <w:rsid w:val="007813FE"/>
    <w:rsid w:val="007816A0"/>
    <w:rsid w:val="00781ED0"/>
    <w:rsid w:val="00781FD9"/>
    <w:rsid w:val="00782120"/>
    <w:rsid w:val="00782471"/>
    <w:rsid w:val="00782936"/>
    <w:rsid w:val="00783314"/>
    <w:rsid w:val="007833C6"/>
    <w:rsid w:val="00783AF9"/>
    <w:rsid w:val="00783C9B"/>
    <w:rsid w:val="00784125"/>
    <w:rsid w:val="00785232"/>
    <w:rsid w:val="00785746"/>
    <w:rsid w:val="00785AF7"/>
    <w:rsid w:val="007860BA"/>
    <w:rsid w:val="007865C1"/>
    <w:rsid w:val="00786BD2"/>
    <w:rsid w:val="00787532"/>
    <w:rsid w:val="00791CB1"/>
    <w:rsid w:val="0079269F"/>
    <w:rsid w:val="007926E9"/>
    <w:rsid w:val="00792975"/>
    <w:rsid w:val="00792B35"/>
    <w:rsid w:val="007930AE"/>
    <w:rsid w:val="007931F4"/>
    <w:rsid w:val="00794321"/>
    <w:rsid w:val="00794C2F"/>
    <w:rsid w:val="00794E5A"/>
    <w:rsid w:val="0079520E"/>
    <w:rsid w:val="007958D4"/>
    <w:rsid w:val="00795E4E"/>
    <w:rsid w:val="0079701E"/>
    <w:rsid w:val="00797175"/>
    <w:rsid w:val="0079781C"/>
    <w:rsid w:val="007978C6"/>
    <w:rsid w:val="00797A6C"/>
    <w:rsid w:val="007A061F"/>
    <w:rsid w:val="007A0AD9"/>
    <w:rsid w:val="007A0E9F"/>
    <w:rsid w:val="007A10F7"/>
    <w:rsid w:val="007A172E"/>
    <w:rsid w:val="007A1BE8"/>
    <w:rsid w:val="007A21EB"/>
    <w:rsid w:val="007A2269"/>
    <w:rsid w:val="007A27D3"/>
    <w:rsid w:val="007A2F68"/>
    <w:rsid w:val="007A3692"/>
    <w:rsid w:val="007A37B5"/>
    <w:rsid w:val="007A400D"/>
    <w:rsid w:val="007A443C"/>
    <w:rsid w:val="007A4A3F"/>
    <w:rsid w:val="007A54BF"/>
    <w:rsid w:val="007A559F"/>
    <w:rsid w:val="007A5B85"/>
    <w:rsid w:val="007A7E77"/>
    <w:rsid w:val="007B0375"/>
    <w:rsid w:val="007B0A79"/>
    <w:rsid w:val="007B0CD1"/>
    <w:rsid w:val="007B1A93"/>
    <w:rsid w:val="007B2366"/>
    <w:rsid w:val="007B24E1"/>
    <w:rsid w:val="007B2A1A"/>
    <w:rsid w:val="007B2D02"/>
    <w:rsid w:val="007B3076"/>
    <w:rsid w:val="007B3122"/>
    <w:rsid w:val="007B4D3D"/>
    <w:rsid w:val="007B551C"/>
    <w:rsid w:val="007B5BF4"/>
    <w:rsid w:val="007B6CD8"/>
    <w:rsid w:val="007B762B"/>
    <w:rsid w:val="007B77BB"/>
    <w:rsid w:val="007C0F0C"/>
    <w:rsid w:val="007C1127"/>
    <w:rsid w:val="007C1E06"/>
    <w:rsid w:val="007C1F13"/>
    <w:rsid w:val="007C2323"/>
    <w:rsid w:val="007C2699"/>
    <w:rsid w:val="007C2AA2"/>
    <w:rsid w:val="007C2B29"/>
    <w:rsid w:val="007C355D"/>
    <w:rsid w:val="007C36C9"/>
    <w:rsid w:val="007C37DF"/>
    <w:rsid w:val="007C3E7B"/>
    <w:rsid w:val="007C3F36"/>
    <w:rsid w:val="007C4E3D"/>
    <w:rsid w:val="007C512B"/>
    <w:rsid w:val="007C5A7B"/>
    <w:rsid w:val="007C61CD"/>
    <w:rsid w:val="007C61E8"/>
    <w:rsid w:val="007C6680"/>
    <w:rsid w:val="007C6EC0"/>
    <w:rsid w:val="007C6EE5"/>
    <w:rsid w:val="007C728B"/>
    <w:rsid w:val="007C7874"/>
    <w:rsid w:val="007D036C"/>
    <w:rsid w:val="007D124F"/>
    <w:rsid w:val="007D184D"/>
    <w:rsid w:val="007D1F20"/>
    <w:rsid w:val="007D1F76"/>
    <w:rsid w:val="007D24AA"/>
    <w:rsid w:val="007D2794"/>
    <w:rsid w:val="007D2A74"/>
    <w:rsid w:val="007D3653"/>
    <w:rsid w:val="007D47B1"/>
    <w:rsid w:val="007D567F"/>
    <w:rsid w:val="007D60BD"/>
    <w:rsid w:val="007D6401"/>
    <w:rsid w:val="007D67C8"/>
    <w:rsid w:val="007D686E"/>
    <w:rsid w:val="007D6893"/>
    <w:rsid w:val="007D6CEC"/>
    <w:rsid w:val="007D795C"/>
    <w:rsid w:val="007E01E4"/>
    <w:rsid w:val="007E0208"/>
    <w:rsid w:val="007E0C11"/>
    <w:rsid w:val="007E0DC3"/>
    <w:rsid w:val="007E0FA2"/>
    <w:rsid w:val="007E1128"/>
    <w:rsid w:val="007E19CC"/>
    <w:rsid w:val="007E1D30"/>
    <w:rsid w:val="007E2B2C"/>
    <w:rsid w:val="007E3348"/>
    <w:rsid w:val="007E3688"/>
    <w:rsid w:val="007E3A83"/>
    <w:rsid w:val="007E3F7E"/>
    <w:rsid w:val="007E42A2"/>
    <w:rsid w:val="007E4B6B"/>
    <w:rsid w:val="007E4B98"/>
    <w:rsid w:val="007E4D56"/>
    <w:rsid w:val="007E5034"/>
    <w:rsid w:val="007E561F"/>
    <w:rsid w:val="007E58BE"/>
    <w:rsid w:val="007E5BED"/>
    <w:rsid w:val="007E61CC"/>
    <w:rsid w:val="007E6BBB"/>
    <w:rsid w:val="007E76BC"/>
    <w:rsid w:val="007E7A12"/>
    <w:rsid w:val="007F0EF7"/>
    <w:rsid w:val="007F1D21"/>
    <w:rsid w:val="007F28E6"/>
    <w:rsid w:val="007F2AB5"/>
    <w:rsid w:val="007F2E04"/>
    <w:rsid w:val="007F45CE"/>
    <w:rsid w:val="007F533F"/>
    <w:rsid w:val="007F605A"/>
    <w:rsid w:val="007F66E3"/>
    <w:rsid w:val="007F7107"/>
    <w:rsid w:val="007F7A25"/>
    <w:rsid w:val="007F7DA7"/>
    <w:rsid w:val="008006AD"/>
    <w:rsid w:val="00800831"/>
    <w:rsid w:val="00800B5E"/>
    <w:rsid w:val="00800B77"/>
    <w:rsid w:val="00800D4C"/>
    <w:rsid w:val="00800DA3"/>
    <w:rsid w:val="008010C6"/>
    <w:rsid w:val="00801FAB"/>
    <w:rsid w:val="008021D5"/>
    <w:rsid w:val="008025CD"/>
    <w:rsid w:val="00802EFB"/>
    <w:rsid w:val="0080373A"/>
    <w:rsid w:val="00804182"/>
    <w:rsid w:val="0080456D"/>
    <w:rsid w:val="00804E67"/>
    <w:rsid w:val="00805ACA"/>
    <w:rsid w:val="008065E3"/>
    <w:rsid w:val="00806F54"/>
    <w:rsid w:val="00807293"/>
    <w:rsid w:val="0081030F"/>
    <w:rsid w:val="00810B24"/>
    <w:rsid w:val="00810BA0"/>
    <w:rsid w:val="00812F4A"/>
    <w:rsid w:val="008135DC"/>
    <w:rsid w:val="008137F7"/>
    <w:rsid w:val="00813B64"/>
    <w:rsid w:val="00814224"/>
    <w:rsid w:val="0081432D"/>
    <w:rsid w:val="008147E3"/>
    <w:rsid w:val="00814802"/>
    <w:rsid w:val="008148D8"/>
    <w:rsid w:val="00814BE2"/>
    <w:rsid w:val="008165AF"/>
    <w:rsid w:val="00816B54"/>
    <w:rsid w:val="00816EA9"/>
    <w:rsid w:val="008171E2"/>
    <w:rsid w:val="00817587"/>
    <w:rsid w:val="0081793A"/>
    <w:rsid w:val="00817ED7"/>
    <w:rsid w:val="0082035C"/>
    <w:rsid w:val="0082068A"/>
    <w:rsid w:val="0082087D"/>
    <w:rsid w:val="00820BB0"/>
    <w:rsid w:val="00820BF0"/>
    <w:rsid w:val="00820F68"/>
    <w:rsid w:val="00821B31"/>
    <w:rsid w:val="008221AF"/>
    <w:rsid w:val="008226BB"/>
    <w:rsid w:val="0082274B"/>
    <w:rsid w:val="00822832"/>
    <w:rsid w:val="00822856"/>
    <w:rsid w:val="00823334"/>
    <w:rsid w:val="00823796"/>
    <w:rsid w:val="0082385F"/>
    <w:rsid w:val="00823A13"/>
    <w:rsid w:val="008242EC"/>
    <w:rsid w:val="0082473D"/>
    <w:rsid w:val="00824F54"/>
    <w:rsid w:val="00825803"/>
    <w:rsid w:val="008261C5"/>
    <w:rsid w:val="00826924"/>
    <w:rsid w:val="00826A30"/>
    <w:rsid w:val="00826A73"/>
    <w:rsid w:val="00827015"/>
    <w:rsid w:val="0082718A"/>
    <w:rsid w:val="008272EB"/>
    <w:rsid w:val="008274E0"/>
    <w:rsid w:val="0082772E"/>
    <w:rsid w:val="00827CA0"/>
    <w:rsid w:val="00827D01"/>
    <w:rsid w:val="0083038E"/>
    <w:rsid w:val="00830486"/>
    <w:rsid w:val="00830661"/>
    <w:rsid w:val="00830CAE"/>
    <w:rsid w:val="008317A8"/>
    <w:rsid w:val="00832268"/>
    <w:rsid w:val="00832969"/>
    <w:rsid w:val="00832D9E"/>
    <w:rsid w:val="008330E1"/>
    <w:rsid w:val="00833376"/>
    <w:rsid w:val="00833E3F"/>
    <w:rsid w:val="00834410"/>
    <w:rsid w:val="008348FF"/>
    <w:rsid w:val="00835771"/>
    <w:rsid w:val="00835DE9"/>
    <w:rsid w:val="00836BF3"/>
    <w:rsid w:val="00836E7D"/>
    <w:rsid w:val="00837FC2"/>
    <w:rsid w:val="008406EC"/>
    <w:rsid w:val="0084124A"/>
    <w:rsid w:val="0084138B"/>
    <w:rsid w:val="00842933"/>
    <w:rsid w:val="0084360A"/>
    <w:rsid w:val="00843E86"/>
    <w:rsid w:val="0084465B"/>
    <w:rsid w:val="00844947"/>
    <w:rsid w:val="00845912"/>
    <w:rsid w:val="00845C71"/>
    <w:rsid w:val="00846630"/>
    <w:rsid w:val="0084720E"/>
    <w:rsid w:val="00847227"/>
    <w:rsid w:val="00847C8D"/>
    <w:rsid w:val="00847CC3"/>
    <w:rsid w:val="00850CC0"/>
    <w:rsid w:val="00851A43"/>
    <w:rsid w:val="00852D86"/>
    <w:rsid w:val="00852FF3"/>
    <w:rsid w:val="008530C1"/>
    <w:rsid w:val="00853B92"/>
    <w:rsid w:val="00853FA3"/>
    <w:rsid w:val="008540A1"/>
    <w:rsid w:val="00854880"/>
    <w:rsid w:val="00854B35"/>
    <w:rsid w:val="00854CE5"/>
    <w:rsid w:val="00855829"/>
    <w:rsid w:val="008559A0"/>
    <w:rsid w:val="008560E8"/>
    <w:rsid w:val="00856732"/>
    <w:rsid w:val="00857DE8"/>
    <w:rsid w:val="0086082C"/>
    <w:rsid w:val="00861C98"/>
    <w:rsid w:val="00861F9E"/>
    <w:rsid w:val="00862881"/>
    <w:rsid w:val="00863AD9"/>
    <w:rsid w:val="00863D49"/>
    <w:rsid w:val="00863D70"/>
    <w:rsid w:val="00864ADC"/>
    <w:rsid w:val="008669E5"/>
    <w:rsid w:val="00866D68"/>
    <w:rsid w:val="00866D9B"/>
    <w:rsid w:val="00867F56"/>
    <w:rsid w:val="00872079"/>
    <w:rsid w:val="00872F39"/>
    <w:rsid w:val="00873235"/>
    <w:rsid w:val="00874289"/>
    <w:rsid w:val="0087450E"/>
    <w:rsid w:val="008746A2"/>
    <w:rsid w:val="00875515"/>
    <w:rsid w:val="00875728"/>
    <w:rsid w:val="0087607A"/>
    <w:rsid w:val="008764BD"/>
    <w:rsid w:val="008764F9"/>
    <w:rsid w:val="00877376"/>
    <w:rsid w:val="008774E6"/>
    <w:rsid w:val="008779DD"/>
    <w:rsid w:val="00880153"/>
    <w:rsid w:val="00880976"/>
    <w:rsid w:val="00880BD7"/>
    <w:rsid w:val="00880F97"/>
    <w:rsid w:val="0088133A"/>
    <w:rsid w:val="0088242F"/>
    <w:rsid w:val="00882D27"/>
    <w:rsid w:val="00882EB6"/>
    <w:rsid w:val="008831B5"/>
    <w:rsid w:val="00883460"/>
    <w:rsid w:val="008844B7"/>
    <w:rsid w:val="00884AFF"/>
    <w:rsid w:val="00885D2C"/>
    <w:rsid w:val="00886100"/>
    <w:rsid w:val="008868D3"/>
    <w:rsid w:val="00886944"/>
    <w:rsid w:val="008870AF"/>
    <w:rsid w:val="008873CA"/>
    <w:rsid w:val="00887D7E"/>
    <w:rsid w:val="0089012B"/>
    <w:rsid w:val="00890170"/>
    <w:rsid w:val="00890522"/>
    <w:rsid w:val="00890EE4"/>
    <w:rsid w:val="00891303"/>
    <w:rsid w:val="00891371"/>
    <w:rsid w:val="00891D23"/>
    <w:rsid w:val="00891D96"/>
    <w:rsid w:val="00891DD0"/>
    <w:rsid w:val="00891FAE"/>
    <w:rsid w:val="0089214D"/>
    <w:rsid w:val="0089258D"/>
    <w:rsid w:val="0089267C"/>
    <w:rsid w:val="00892740"/>
    <w:rsid w:val="0089285E"/>
    <w:rsid w:val="00892AD1"/>
    <w:rsid w:val="00893151"/>
    <w:rsid w:val="0089324A"/>
    <w:rsid w:val="00893A96"/>
    <w:rsid w:val="0089436C"/>
    <w:rsid w:val="00894B9F"/>
    <w:rsid w:val="00894D84"/>
    <w:rsid w:val="00894EB1"/>
    <w:rsid w:val="008951A5"/>
    <w:rsid w:val="008953D9"/>
    <w:rsid w:val="00895DEF"/>
    <w:rsid w:val="0089615F"/>
    <w:rsid w:val="008962D8"/>
    <w:rsid w:val="008973A8"/>
    <w:rsid w:val="0089794A"/>
    <w:rsid w:val="008A0AE2"/>
    <w:rsid w:val="008A0CCA"/>
    <w:rsid w:val="008A17D8"/>
    <w:rsid w:val="008A22E6"/>
    <w:rsid w:val="008A3013"/>
    <w:rsid w:val="008A3AD7"/>
    <w:rsid w:val="008A3CFB"/>
    <w:rsid w:val="008A3DBC"/>
    <w:rsid w:val="008A4865"/>
    <w:rsid w:val="008A506A"/>
    <w:rsid w:val="008A57F3"/>
    <w:rsid w:val="008A6971"/>
    <w:rsid w:val="008A6C29"/>
    <w:rsid w:val="008A6D7B"/>
    <w:rsid w:val="008A72D5"/>
    <w:rsid w:val="008A7E15"/>
    <w:rsid w:val="008B09E2"/>
    <w:rsid w:val="008B2687"/>
    <w:rsid w:val="008B2DE2"/>
    <w:rsid w:val="008B538A"/>
    <w:rsid w:val="008B585E"/>
    <w:rsid w:val="008B588A"/>
    <w:rsid w:val="008B62E6"/>
    <w:rsid w:val="008B75DE"/>
    <w:rsid w:val="008B7735"/>
    <w:rsid w:val="008B7D36"/>
    <w:rsid w:val="008C000D"/>
    <w:rsid w:val="008C04DF"/>
    <w:rsid w:val="008C0671"/>
    <w:rsid w:val="008C0828"/>
    <w:rsid w:val="008C09C1"/>
    <w:rsid w:val="008C0CA9"/>
    <w:rsid w:val="008C1217"/>
    <w:rsid w:val="008C135F"/>
    <w:rsid w:val="008C243B"/>
    <w:rsid w:val="008C2D8E"/>
    <w:rsid w:val="008C2F03"/>
    <w:rsid w:val="008C365D"/>
    <w:rsid w:val="008C3944"/>
    <w:rsid w:val="008C3E69"/>
    <w:rsid w:val="008C428E"/>
    <w:rsid w:val="008C4504"/>
    <w:rsid w:val="008C4546"/>
    <w:rsid w:val="008C4FE9"/>
    <w:rsid w:val="008C5847"/>
    <w:rsid w:val="008C5B32"/>
    <w:rsid w:val="008C5BEF"/>
    <w:rsid w:val="008C6990"/>
    <w:rsid w:val="008C7591"/>
    <w:rsid w:val="008C76BA"/>
    <w:rsid w:val="008C7FD7"/>
    <w:rsid w:val="008D00F1"/>
    <w:rsid w:val="008D04EE"/>
    <w:rsid w:val="008D0F00"/>
    <w:rsid w:val="008D1331"/>
    <w:rsid w:val="008D14BA"/>
    <w:rsid w:val="008D16AF"/>
    <w:rsid w:val="008D2027"/>
    <w:rsid w:val="008D2193"/>
    <w:rsid w:val="008D25D6"/>
    <w:rsid w:val="008D2801"/>
    <w:rsid w:val="008D365C"/>
    <w:rsid w:val="008D392B"/>
    <w:rsid w:val="008D458C"/>
    <w:rsid w:val="008D47F0"/>
    <w:rsid w:val="008D4898"/>
    <w:rsid w:val="008D57F4"/>
    <w:rsid w:val="008D5828"/>
    <w:rsid w:val="008D64C9"/>
    <w:rsid w:val="008D7189"/>
    <w:rsid w:val="008D7622"/>
    <w:rsid w:val="008E02BF"/>
    <w:rsid w:val="008E08F0"/>
    <w:rsid w:val="008E0C41"/>
    <w:rsid w:val="008E2444"/>
    <w:rsid w:val="008E29FF"/>
    <w:rsid w:val="008E3088"/>
    <w:rsid w:val="008E36B8"/>
    <w:rsid w:val="008E37DD"/>
    <w:rsid w:val="008E4D2D"/>
    <w:rsid w:val="008E587B"/>
    <w:rsid w:val="008E598E"/>
    <w:rsid w:val="008E5B21"/>
    <w:rsid w:val="008E6751"/>
    <w:rsid w:val="008E6997"/>
    <w:rsid w:val="008E69B1"/>
    <w:rsid w:val="008E78F7"/>
    <w:rsid w:val="008E7A39"/>
    <w:rsid w:val="008F10EF"/>
    <w:rsid w:val="008F1150"/>
    <w:rsid w:val="008F1451"/>
    <w:rsid w:val="008F1552"/>
    <w:rsid w:val="008F214A"/>
    <w:rsid w:val="008F2B71"/>
    <w:rsid w:val="008F2D64"/>
    <w:rsid w:val="008F413C"/>
    <w:rsid w:val="008F4B5C"/>
    <w:rsid w:val="008F51A4"/>
    <w:rsid w:val="008F550D"/>
    <w:rsid w:val="008F603A"/>
    <w:rsid w:val="008F67D7"/>
    <w:rsid w:val="008F6D34"/>
    <w:rsid w:val="008F6D38"/>
    <w:rsid w:val="008F6E78"/>
    <w:rsid w:val="008F7146"/>
    <w:rsid w:val="008F74E4"/>
    <w:rsid w:val="00900647"/>
    <w:rsid w:val="00900DC0"/>
    <w:rsid w:val="00900FC2"/>
    <w:rsid w:val="0090123B"/>
    <w:rsid w:val="009012EE"/>
    <w:rsid w:val="009021A6"/>
    <w:rsid w:val="00902739"/>
    <w:rsid w:val="009030BF"/>
    <w:rsid w:val="009030F0"/>
    <w:rsid w:val="009031FF"/>
    <w:rsid w:val="00903B52"/>
    <w:rsid w:val="00904220"/>
    <w:rsid w:val="00904315"/>
    <w:rsid w:val="0090496A"/>
    <w:rsid w:val="00904DCA"/>
    <w:rsid w:val="00904FE5"/>
    <w:rsid w:val="00905851"/>
    <w:rsid w:val="00905A90"/>
    <w:rsid w:val="0090610B"/>
    <w:rsid w:val="00906D9C"/>
    <w:rsid w:val="00907009"/>
    <w:rsid w:val="0090720C"/>
    <w:rsid w:val="0091032F"/>
    <w:rsid w:val="009114DD"/>
    <w:rsid w:val="00911A29"/>
    <w:rsid w:val="00911C1E"/>
    <w:rsid w:val="009124DD"/>
    <w:rsid w:val="00912FC5"/>
    <w:rsid w:val="00913D20"/>
    <w:rsid w:val="00913D98"/>
    <w:rsid w:val="00914075"/>
    <w:rsid w:val="00914136"/>
    <w:rsid w:val="00914368"/>
    <w:rsid w:val="009157CB"/>
    <w:rsid w:val="00916451"/>
    <w:rsid w:val="009168A7"/>
    <w:rsid w:val="0091704E"/>
    <w:rsid w:val="009175D1"/>
    <w:rsid w:val="0091789B"/>
    <w:rsid w:val="00920356"/>
    <w:rsid w:val="00921128"/>
    <w:rsid w:val="0092128F"/>
    <w:rsid w:val="009213D0"/>
    <w:rsid w:val="009233EB"/>
    <w:rsid w:val="0092391D"/>
    <w:rsid w:val="00923B4C"/>
    <w:rsid w:val="009251E6"/>
    <w:rsid w:val="0092541C"/>
    <w:rsid w:val="00925E42"/>
    <w:rsid w:val="00925EA1"/>
    <w:rsid w:val="009261BB"/>
    <w:rsid w:val="00926A15"/>
    <w:rsid w:val="00927CAC"/>
    <w:rsid w:val="00930208"/>
    <w:rsid w:val="00931076"/>
    <w:rsid w:val="00931442"/>
    <w:rsid w:val="009314D2"/>
    <w:rsid w:val="0093185B"/>
    <w:rsid w:val="00931D3B"/>
    <w:rsid w:val="00931EC5"/>
    <w:rsid w:val="00932153"/>
    <w:rsid w:val="009321F8"/>
    <w:rsid w:val="00932B4E"/>
    <w:rsid w:val="00933FB9"/>
    <w:rsid w:val="009345D9"/>
    <w:rsid w:val="00934B15"/>
    <w:rsid w:val="00934B2E"/>
    <w:rsid w:val="00934B40"/>
    <w:rsid w:val="00934BD8"/>
    <w:rsid w:val="00934DA4"/>
    <w:rsid w:val="00934DE3"/>
    <w:rsid w:val="009355B4"/>
    <w:rsid w:val="00935EB3"/>
    <w:rsid w:val="009363C5"/>
    <w:rsid w:val="0093679D"/>
    <w:rsid w:val="0093707D"/>
    <w:rsid w:val="00937211"/>
    <w:rsid w:val="0093776C"/>
    <w:rsid w:val="009408F4"/>
    <w:rsid w:val="0094091B"/>
    <w:rsid w:val="00940A3A"/>
    <w:rsid w:val="00940B6B"/>
    <w:rsid w:val="00940B8B"/>
    <w:rsid w:val="00940C87"/>
    <w:rsid w:val="00941846"/>
    <w:rsid w:val="00941B88"/>
    <w:rsid w:val="00941BA2"/>
    <w:rsid w:val="009424C6"/>
    <w:rsid w:val="00942510"/>
    <w:rsid w:val="00942B62"/>
    <w:rsid w:val="009435A4"/>
    <w:rsid w:val="009436EF"/>
    <w:rsid w:val="00943FEB"/>
    <w:rsid w:val="009443B4"/>
    <w:rsid w:val="00944691"/>
    <w:rsid w:val="00944790"/>
    <w:rsid w:val="00944E93"/>
    <w:rsid w:val="00944EF3"/>
    <w:rsid w:val="00945AA5"/>
    <w:rsid w:val="00945D1D"/>
    <w:rsid w:val="00946668"/>
    <w:rsid w:val="009467E2"/>
    <w:rsid w:val="00946D2E"/>
    <w:rsid w:val="00946E0B"/>
    <w:rsid w:val="0094738E"/>
    <w:rsid w:val="00947623"/>
    <w:rsid w:val="00947BA9"/>
    <w:rsid w:val="00947FD6"/>
    <w:rsid w:val="009501DE"/>
    <w:rsid w:val="00950508"/>
    <w:rsid w:val="009508A6"/>
    <w:rsid w:val="0095174A"/>
    <w:rsid w:val="0095242F"/>
    <w:rsid w:val="00952467"/>
    <w:rsid w:val="00952C79"/>
    <w:rsid w:val="00952F72"/>
    <w:rsid w:val="0095323B"/>
    <w:rsid w:val="00953BFC"/>
    <w:rsid w:val="00954906"/>
    <w:rsid w:val="009549AC"/>
    <w:rsid w:val="00954C45"/>
    <w:rsid w:val="0095522A"/>
    <w:rsid w:val="00955CC5"/>
    <w:rsid w:val="009567AC"/>
    <w:rsid w:val="00956A0C"/>
    <w:rsid w:val="00956BD9"/>
    <w:rsid w:val="00956CFF"/>
    <w:rsid w:val="00960D1E"/>
    <w:rsid w:val="00960E66"/>
    <w:rsid w:val="00960FDF"/>
    <w:rsid w:val="00961325"/>
    <w:rsid w:val="00962489"/>
    <w:rsid w:val="00962593"/>
    <w:rsid w:val="009629D6"/>
    <w:rsid w:val="00963280"/>
    <w:rsid w:val="00963C68"/>
    <w:rsid w:val="00963CE6"/>
    <w:rsid w:val="00964FF2"/>
    <w:rsid w:val="009659D4"/>
    <w:rsid w:val="00965F19"/>
    <w:rsid w:val="00965F37"/>
    <w:rsid w:val="00966DEC"/>
    <w:rsid w:val="00967C8A"/>
    <w:rsid w:val="00967CA0"/>
    <w:rsid w:val="00967CD3"/>
    <w:rsid w:val="00970011"/>
    <w:rsid w:val="00970285"/>
    <w:rsid w:val="00970413"/>
    <w:rsid w:val="00970894"/>
    <w:rsid w:val="00970A66"/>
    <w:rsid w:val="00970AC2"/>
    <w:rsid w:val="00970EBB"/>
    <w:rsid w:val="00971039"/>
    <w:rsid w:val="009729F2"/>
    <w:rsid w:val="00972BA9"/>
    <w:rsid w:val="00973146"/>
    <w:rsid w:val="009743E9"/>
    <w:rsid w:val="009746A3"/>
    <w:rsid w:val="009747F6"/>
    <w:rsid w:val="00974F56"/>
    <w:rsid w:val="00974F7F"/>
    <w:rsid w:val="00975361"/>
    <w:rsid w:val="00975410"/>
    <w:rsid w:val="00975CD2"/>
    <w:rsid w:val="00975E29"/>
    <w:rsid w:val="0097690C"/>
    <w:rsid w:val="00977233"/>
    <w:rsid w:val="009776BC"/>
    <w:rsid w:val="00977B0A"/>
    <w:rsid w:val="00977F5F"/>
    <w:rsid w:val="00980137"/>
    <w:rsid w:val="009804B5"/>
    <w:rsid w:val="00980817"/>
    <w:rsid w:val="00980A2C"/>
    <w:rsid w:val="00982273"/>
    <w:rsid w:val="00982D8A"/>
    <w:rsid w:val="009831F5"/>
    <w:rsid w:val="00984196"/>
    <w:rsid w:val="00984341"/>
    <w:rsid w:val="00984408"/>
    <w:rsid w:val="00984D8A"/>
    <w:rsid w:val="009851A1"/>
    <w:rsid w:val="00985237"/>
    <w:rsid w:val="0098553D"/>
    <w:rsid w:val="009856E1"/>
    <w:rsid w:val="009859AE"/>
    <w:rsid w:val="00985A96"/>
    <w:rsid w:val="00985BA6"/>
    <w:rsid w:val="00985D85"/>
    <w:rsid w:val="00985E98"/>
    <w:rsid w:val="00986CC2"/>
    <w:rsid w:val="009873A3"/>
    <w:rsid w:val="00987C52"/>
    <w:rsid w:val="00987CDC"/>
    <w:rsid w:val="00987F85"/>
    <w:rsid w:val="00990738"/>
    <w:rsid w:val="00990835"/>
    <w:rsid w:val="00990854"/>
    <w:rsid w:val="00990C2C"/>
    <w:rsid w:val="00991143"/>
    <w:rsid w:val="00991BDC"/>
    <w:rsid w:val="00992826"/>
    <w:rsid w:val="00992B45"/>
    <w:rsid w:val="00993404"/>
    <w:rsid w:val="00993AF6"/>
    <w:rsid w:val="00994C25"/>
    <w:rsid w:val="00994C71"/>
    <w:rsid w:val="00994E86"/>
    <w:rsid w:val="0099550A"/>
    <w:rsid w:val="009959A2"/>
    <w:rsid w:val="00995DED"/>
    <w:rsid w:val="00996678"/>
    <w:rsid w:val="009A01DF"/>
    <w:rsid w:val="009A02B4"/>
    <w:rsid w:val="009A0A30"/>
    <w:rsid w:val="009A0C8F"/>
    <w:rsid w:val="009A1470"/>
    <w:rsid w:val="009A1D17"/>
    <w:rsid w:val="009A1D1F"/>
    <w:rsid w:val="009A25CE"/>
    <w:rsid w:val="009A2893"/>
    <w:rsid w:val="009A2901"/>
    <w:rsid w:val="009A31C7"/>
    <w:rsid w:val="009A37BB"/>
    <w:rsid w:val="009A5171"/>
    <w:rsid w:val="009A55B5"/>
    <w:rsid w:val="009A56B6"/>
    <w:rsid w:val="009A57E5"/>
    <w:rsid w:val="009A5C72"/>
    <w:rsid w:val="009A64EF"/>
    <w:rsid w:val="009A659D"/>
    <w:rsid w:val="009A660A"/>
    <w:rsid w:val="009A6B77"/>
    <w:rsid w:val="009A721C"/>
    <w:rsid w:val="009B13B3"/>
    <w:rsid w:val="009B1461"/>
    <w:rsid w:val="009B1819"/>
    <w:rsid w:val="009B1E21"/>
    <w:rsid w:val="009B1FE8"/>
    <w:rsid w:val="009B20FE"/>
    <w:rsid w:val="009B2239"/>
    <w:rsid w:val="009B229D"/>
    <w:rsid w:val="009B2903"/>
    <w:rsid w:val="009B31A9"/>
    <w:rsid w:val="009B339A"/>
    <w:rsid w:val="009B3546"/>
    <w:rsid w:val="009B3580"/>
    <w:rsid w:val="009B4014"/>
    <w:rsid w:val="009B419D"/>
    <w:rsid w:val="009B4687"/>
    <w:rsid w:val="009B54CD"/>
    <w:rsid w:val="009B571B"/>
    <w:rsid w:val="009B5838"/>
    <w:rsid w:val="009B5FB9"/>
    <w:rsid w:val="009B628E"/>
    <w:rsid w:val="009B62FE"/>
    <w:rsid w:val="009B6B75"/>
    <w:rsid w:val="009C0734"/>
    <w:rsid w:val="009C0770"/>
    <w:rsid w:val="009C09EF"/>
    <w:rsid w:val="009C1164"/>
    <w:rsid w:val="009C16DB"/>
    <w:rsid w:val="009C2C53"/>
    <w:rsid w:val="009C390B"/>
    <w:rsid w:val="009C3D1A"/>
    <w:rsid w:val="009C3D1C"/>
    <w:rsid w:val="009C3EE4"/>
    <w:rsid w:val="009C4347"/>
    <w:rsid w:val="009C49CA"/>
    <w:rsid w:val="009C4A7B"/>
    <w:rsid w:val="009C4C06"/>
    <w:rsid w:val="009C5BC1"/>
    <w:rsid w:val="009C6DFB"/>
    <w:rsid w:val="009C6F2B"/>
    <w:rsid w:val="009C7898"/>
    <w:rsid w:val="009D0F32"/>
    <w:rsid w:val="009D1BEE"/>
    <w:rsid w:val="009D2282"/>
    <w:rsid w:val="009D3881"/>
    <w:rsid w:val="009D44FA"/>
    <w:rsid w:val="009D4C09"/>
    <w:rsid w:val="009D4C15"/>
    <w:rsid w:val="009D4D04"/>
    <w:rsid w:val="009D50E2"/>
    <w:rsid w:val="009D6360"/>
    <w:rsid w:val="009D6568"/>
    <w:rsid w:val="009E039C"/>
    <w:rsid w:val="009E172D"/>
    <w:rsid w:val="009E1844"/>
    <w:rsid w:val="009E18BD"/>
    <w:rsid w:val="009E1CFC"/>
    <w:rsid w:val="009E1E85"/>
    <w:rsid w:val="009E1FE5"/>
    <w:rsid w:val="009E35A1"/>
    <w:rsid w:val="009E3FBB"/>
    <w:rsid w:val="009E42F7"/>
    <w:rsid w:val="009E48D5"/>
    <w:rsid w:val="009E4DAA"/>
    <w:rsid w:val="009E6E37"/>
    <w:rsid w:val="009E7611"/>
    <w:rsid w:val="009E7F0E"/>
    <w:rsid w:val="009F0D1B"/>
    <w:rsid w:val="009F1F44"/>
    <w:rsid w:val="009F267B"/>
    <w:rsid w:val="009F2799"/>
    <w:rsid w:val="009F48CA"/>
    <w:rsid w:val="009F4C78"/>
    <w:rsid w:val="009F5148"/>
    <w:rsid w:val="009F5995"/>
    <w:rsid w:val="009F5BBD"/>
    <w:rsid w:val="009F5E18"/>
    <w:rsid w:val="009F696D"/>
    <w:rsid w:val="009F6BC6"/>
    <w:rsid w:val="009F74EF"/>
    <w:rsid w:val="00A00528"/>
    <w:rsid w:val="00A00DCB"/>
    <w:rsid w:val="00A0213C"/>
    <w:rsid w:val="00A021CF"/>
    <w:rsid w:val="00A0251B"/>
    <w:rsid w:val="00A02826"/>
    <w:rsid w:val="00A03E40"/>
    <w:rsid w:val="00A03F10"/>
    <w:rsid w:val="00A0515F"/>
    <w:rsid w:val="00A060F7"/>
    <w:rsid w:val="00A06241"/>
    <w:rsid w:val="00A06A48"/>
    <w:rsid w:val="00A07B18"/>
    <w:rsid w:val="00A10EF9"/>
    <w:rsid w:val="00A1454A"/>
    <w:rsid w:val="00A149E8"/>
    <w:rsid w:val="00A14C8F"/>
    <w:rsid w:val="00A157AC"/>
    <w:rsid w:val="00A15D5A"/>
    <w:rsid w:val="00A17328"/>
    <w:rsid w:val="00A17BAB"/>
    <w:rsid w:val="00A205F0"/>
    <w:rsid w:val="00A2186C"/>
    <w:rsid w:val="00A21D6F"/>
    <w:rsid w:val="00A22A42"/>
    <w:rsid w:val="00A22A7D"/>
    <w:rsid w:val="00A233C4"/>
    <w:rsid w:val="00A23A20"/>
    <w:rsid w:val="00A24443"/>
    <w:rsid w:val="00A24C2A"/>
    <w:rsid w:val="00A251E5"/>
    <w:rsid w:val="00A25502"/>
    <w:rsid w:val="00A25605"/>
    <w:rsid w:val="00A26632"/>
    <w:rsid w:val="00A268B9"/>
    <w:rsid w:val="00A26A97"/>
    <w:rsid w:val="00A2703A"/>
    <w:rsid w:val="00A27063"/>
    <w:rsid w:val="00A27141"/>
    <w:rsid w:val="00A3017A"/>
    <w:rsid w:val="00A302D2"/>
    <w:rsid w:val="00A3107A"/>
    <w:rsid w:val="00A311AA"/>
    <w:rsid w:val="00A3136A"/>
    <w:rsid w:val="00A31938"/>
    <w:rsid w:val="00A3288A"/>
    <w:rsid w:val="00A329E3"/>
    <w:rsid w:val="00A329EC"/>
    <w:rsid w:val="00A32ECF"/>
    <w:rsid w:val="00A33DFF"/>
    <w:rsid w:val="00A34ED9"/>
    <w:rsid w:val="00A35115"/>
    <w:rsid w:val="00A35265"/>
    <w:rsid w:val="00A35725"/>
    <w:rsid w:val="00A35CCF"/>
    <w:rsid w:val="00A36D9A"/>
    <w:rsid w:val="00A371BD"/>
    <w:rsid w:val="00A373BF"/>
    <w:rsid w:val="00A375E5"/>
    <w:rsid w:val="00A37D9F"/>
    <w:rsid w:val="00A37ED1"/>
    <w:rsid w:val="00A40E8E"/>
    <w:rsid w:val="00A41135"/>
    <w:rsid w:val="00A41426"/>
    <w:rsid w:val="00A41C71"/>
    <w:rsid w:val="00A4236B"/>
    <w:rsid w:val="00A425EB"/>
    <w:rsid w:val="00A42A08"/>
    <w:rsid w:val="00A43D33"/>
    <w:rsid w:val="00A43FA2"/>
    <w:rsid w:val="00A448E1"/>
    <w:rsid w:val="00A44AAC"/>
    <w:rsid w:val="00A44FB2"/>
    <w:rsid w:val="00A451DC"/>
    <w:rsid w:val="00A45D06"/>
    <w:rsid w:val="00A45FF7"/>
    <w:rsid w:val="00A46547"/>
    <w:rsid w:val="00A46A46"/>
    <w:rsid w:val="00A46D95"/>
    <w:rsid w:val="00A46F2C"/>
    <w:rsid w:val="00A46F66"/>
    <w:rsid w:val="00A47997"/>
    <w:rsid w:val="00A50554"/>
    <w:rsid w:val="00A51194"/>
    <w:rsid w:val="00A514CD"/>
    <w:rsid w:val="00A51C43"/>
    <w:rsid w:val="00A5227E"/>
    <w:rsid w:val="00A524AE"/>
    <w:rsid w:val="00A53AC7"/>
    <w:rsid w:val="00A547B9"/>
    <w:rsid w:val="00A54C9D"/>
    <w:rsid w:val="00A54DEC"/>
    <w:rsid w:val="00A554AB"/>
    <w:rsid w:val="00A5680B"/>
    <w:rsid w:val="00A5684C"/>
    <w:rsid w:val="00A56A7E"/>
    <w:rsid w:val="00A57062"/>
    <w:rsid w:val="00A571DA"/>
    <w:rsid w:val="00A57231"/>
    <w:rsid w:val="00A57D87"/>
    <w:rsid w:val="00A60013"/>
    <w:rsid w:val="00A60551"/>
    <w:rsid w:val="00A60804"/>
    <w:rsid w:val="00A6080B"/>
    <w:rsid w:val="00A612B9"/>
    <w:rsid w:val="00A613DF"/>
    <w:rsid w:val="00A61C5D"/>
    <w:rsid w:val="00A61FE1"/>
    <w:rsid w:val="00A62258"/>
    <w:rsid w:val="00A63220"/>
    <w:rsid w:val="00A63AB9"/>
    <w:rsid w:val="00A63C7B"/>
    <w:rsid w:val="00A63CBE"/>
    <w:rsid w:val="00A644E6"/>
    <w:rsid w:val="00A65787"/>
    <w:rsid w:val="00A660E0"/>
    <w:rsid w:val="00A67458"/>
    <w:rsid w:val="00A67781"/>
    <w:rsid w:val="00A70660"/>
    <w:rsid w:val="00A70D30"/>
    <w:rsid w:val="00A73198"/>
    <w:rsid w:val="00A73CCE"/>
    <w:rsid w:val="00A74118"/>
    <w:rsid w:val="00A74137"/>
    <w:rsid w:val="00A7448C"/>
    <w:rsid w:val="00A74BA3"/>
    <w:rsid w:val="00A7513C"/>
    <w:rsid w:val="00A75E5C"/>
    <w:rsid w:val="00A761F9"/>
    <w:rsid w:val="00A77039"/>
    <w:rsid w:val="00A77BAA"/>
    <w:rsid w:val="00A80387"/>
    <w:rsid w:val="00A807B6"/>
    <w:rsid w:val="00A80D77"/>
    <w:rsid w:val="00A81258"/>
    <w:rsid w:val="00A81886"/>
    <w:rsid w:val="00A8224C"/>
    <w:rsid w:val="00A823B9"/>
    <w:rsid w:val="00A830E1"/>
    <w:rsid w:val="00A83527"/>
    <w:rsid w:val="00A836A8"/>
    <w:rsid w:val="00A83F3C"/>
    <w:rsid w:val="00A84481"/>
    <w:rsid w:val="00A84AB2"/>
    <w:rsid w:val="00A85851"/>
    <w:rsid w:val="00A864A4"/>
    <w:rsid w:val="00A87580"/>
    <w:rsid w:val="00A90838"/>
    <w:rsid w:val="00A90C6E"/>
    <w:rsid w:val="00A90F31"/>
    <w:rsid w:val="00A91724"/>
    <w:rsid w:val="00A92570"/>
    <w:rsid w:val="00A92AF1"/>
    <w:rsid w:val="00A92B53"/>
    <w:rsid w:val="00A93B63"/>
    <w:rsid w:val="00A941E4"/>
    <w:rsid w:val="00A948C4"/>
    <w:rsid w:val="00A94FA6"/>
    <w:rsid w:val="00A95742"/>
    <w:rsid w:val="00A95C7C"/>
    <w:rsid w:val="00A96415"/>
    <w:rsid w:val="00A96D5B"/>
    <w:rsid w:val="00A974B4"/>
    <w:rsid w:val="00A97654"/>
    <w:rsid w:val="00A97A97"/>
    <w:rsid w:val="00A97B36"/>
    <w:rsid w:val="00A97ECC"/>
    <w:rsid w:val="00A97F3A"/>
    <w:rsid w:val="00A97F52"/>
    <w:rsid w:val="00AA02EE"/>
    <w:rsid w:val="00AA0FFA"/>
    <w:rsid w:val="00AA19BA"/>
    <w:rsid w:val="00AA23B9"/>
    <w:rsid w:val="00AA2519"/>
    <w:rsid w:val="00AA2B53"/>
    <w:rsid w:val="00AA2C6D"/>
    <w:rsid w:val="00AA2DC9"/>
    <w:rsid w:val="00AA3172"/>
    <w:rsid w:val="00AA38F9"/>
    <w:rsid w:val="00AA3A99"/>
    <w:rsid w:val="00AA4273"/>
    <w:rsid w:val="00AA44D2"/>
    <w:rsid w:val="00AA49A0"/>
    <w:rsid w:val="00AA4FE8"/>
    <w:rsid w:val="00AA6417"/>
    <w:rsid w:val="00AA6710"/>
    <w:rsid w:val="00AA6A16"/>
    <w:rsid w:val="00AA7468"/>
    <w:rsid w:val="00AA78A0"/>
    <w:rsid w:val="00AA7A31"/>
    <w:rsid w:val="00AB000F"/>
    <w:rsid w:val="00AB0288"/>
    <w:rsid w:val="00AB0681"/>
    <w:rsid w:val="00AB0CBD"/>
    <w:rsid w:val="00AB0E2F"/>
    <w:rsid w:val="00AB139B"/>
    <w:rsid w:val="00AB1511"/>
    <w:rsid w:val="00AB2DD0"/>
    <w:rsid w:val="00AB3720"/>
    <w:rsid w:val="00AB3856"/>
    <w:rsid w:val="00AB3B1D"/>
    <w:rsid w:val="00AB3CA0"/>
    <w:rsid w:val="00AB66B2"/>
    <w:rsid w:val="00AB719E"/>
    <w:rsid w:val="00AB7478"/>
    <w:rsid w:val="00AB7E93"/>
    <w:rsid w:val="00AC0D44"/>
    <w:rsid w:val="00AC2054"/>
    <w:rsid w:val="00AC223F"/>
    <w:rsid w:val="00AC2427"/>
    <w:rsid w:val="00AC2437"/>
    <w:rsid w:val="00AC33BB"/>
    <w:rsid w:val="00AC3991"/>
    <w:rsid w:val="00AC3A15"/>
    <w:rsid w:val="00AC3D48"/>
    <w:rsid w:val="00AC4765"/>
    <w:rsid w:val="00AC4A77"/>
    <w:rsid w:val="00AC4CEB"/>
    <w:rsid w:val="00AC5480"/>
    <w:rsid w:val="00AC55FD"/>
    <w:rsid w:val="00AC5A0B"/>
    <w:rsid w:val="00AC5A4D"/>
    <w:rsid w:val="00AC5A7C"/>
    <w:rsid w:val="00AC5ADE"/>
    <w:rsid w:val="00AC5C42"/>
    <w:rsid w:val="00AC5DE5"/>
    <w:rsid w:val="00AC68E6"/>
    <w:rsid w:val="00AC69D1"/>
    <w:rsid w:val="00AC6D6D"/>
    <w:rsid w:val="00AC6E41"/>
    <w:rsid w:val="00AC70DE"/>
    <w:rsid w:val="00AC75B2"/>
    <w:rsid w:val="00AC78E1"/>
    <w:rsid w:val="00AC7A08"/>
    <w:rsid w:val="00AD171C"/>
    <w:rsid w:val="00AD26C8"/>
    <w:rsid w:val="00AD3654"/>
    <w:rsid w:val="00AD520B"/>
    <w:rsid w:val="00AD566D"/>
    <w:rsid w:val="00AD6A8A"/>
    <w:rsid w:val="00AD72DE"/>
    <w:rsid w:val="00AD7877"/>
    <w:rsid w:val="00AD7E20"/>
    <w:rsid w:val="00AE05DA"/>
    <w:rsid w:val="00AE0D73"/>
    <w:rsid w:val="00AE0F1C"/>
    <w:rsid w:val="00AE0FD7"/>
    <w:rsid w:val="00AE1E21"/>
    <w:rsid w:val="00AE2D77"/>
    <w:rsid w:val="00AE34C4"/>
    <w:rsid w:val="00AE3BCC"/>
    <w:rsid w:val="00AE3D1D"/>
    <w:rsid w:val="00AE62F5"/>
    <w:rsid w:val="00AE6431"/>
    <w:rsid w:val="00AE647D"/>
    <w:rsid w:val="00AE68EC"/>
    <w:rsid w:val="00AE739E"/>
    <w:rsid w:val="00AE7464"/>
    <w:rsid w:val="00AE760E"/>
    <w:rsid w:val="00AE7962"/>
    <w:rsid w:val="00AE7EDE"/>
    <w:rsid w:val="00AF0885"/>
    <w:rsid w:val="00AF098D"/>
    <w:rsid w:val="00AF0A86"/>
    <w:rsid w:val="00AF0EA6"/>
    <w:rsid w:val="00AF2263"/>
    <w:rsid w:val="00AF321D"/>
    <w:rsid w:val="00AF397F"/>
    <w:rsid w:val="00AF3E4B"/>
    <w:rsid w:val="00AF3F81"/>
    <w:rsid w:val="00AF536E"/>
    <w:rsid w:val="00AF5D3D"/>
    <w:rsid w:val="00AF61AE"/>
    <w:rsid w:val="00AF696A"/>
    <w:rsid w:val="00AF7850"/>
    <w:rsid w:val="00B0033F"/>
    <w:rsid w:val="00B0043A"/>
    <w:rsid w:val="00B0066D"/>
    <w:rsid w:val="00B007D6"/>
    <w:rsid w:val="00B0111A"/>
    <w:rsid w:val="00B0195D"/>
    <w:rsid w:val="00B02746"/>
    <w:rsid w:val="00B027DA"/>
    <w:rsid w:val="00B0292F"/>
    <w:rsid w:val="00B03559"/>
    <w:rsid w:val="00B03BD6"/>
    <w:rsid w:val="00B03C15"/>
    <w:rsid w:val="00B03FFB"/>
    <w:rsid w:val="00B04201"/>
    <w:rsid w:val="00B043EC"/>
    <w:rsid w:val="00B045AD"/>
    <w:rsid w:val="00B04999"/>
    <w:rsid w:val="00B05A31"/>
    <w:rsid w:val="00B06585"/>
    <w:rsid w:val="00B078A4"/>
    <w:rsid w:val="00B079C8"/>
    <w:rsid w:val="00B07EF3"/>
    <w:rsid w:val="00B1062D"/>
    <w:rsid w:val="00B10CFB"/>
    <w:rsid w:val="00B11CA1"/>
    <w:rsid w:val="00B12EFD"/>
    <w:rsid w:val="00B152FB"/>
    <w:rsid w:val="00B153E2"/>
    <w:rsid w:val="00B15795"/>
    <w:rsid w:val="00B15FB8"/>
    <w:rsid w:val="00B160F2"/>
    <w:rsid w:val="00B17FDA"/>
    <w:rsid w:val="00B206E8"/>
    <w:rsid w:val="00B21182"/>
    <w:rsid w:val="00B212EE"/>
    <w:rsid w:val="00B213E3"/>
    <w:rsid w:val="00B216FD"/>
    <w:rsid w:val="00B217F5"/>
    <w:rsid w:val="00B225CF"/>
    <w:rsid w:val="00B22B1F"/>
    <w:rsid w:val="00B22EE1"/>
    <w:rsid w:val="00B23CD7"/>
    <w:rsid w:val="00B249A7"/>
    <w:rsid w:val="00B24D26"/>
    <w:rsid w:val="00B24D7B"/>
    <w:rsid w:val="00B25D78"/>
    <w:rsid w:val="00B32A1D"/>
    <w:rsid w:val="00B32C0D"/>
    <w:rsid w:val="00B32C9C"/>
    <w:rsid w:val="00B330DF"/>
    <w:rsid w:val="00B334FF"/>
    <w:rsid w:val="00B33908"/>
    <w:rsid w:val="00B33B7F"/>
    <w:rsid w:val="00B347EC"/>
    <w:rsid w:val="00B35219"/>
    <w:rsid w:val="00B354C7"/>
    <w:rsid w:val="00B3572C"/>
    <w:rsid w:val="00B3605E"/>
    <w:rsid w:val="00B36187"/>
    <w:rsid w:val="00B366DE"/>
    <w:rsid w:val="00B36B62"/>
    <w:rsid w:val="00B375A5"/>
    <w:rsid w:val="00B4096F"/>
    <w:rsid w:val="00B41012"/>
    <w:rsid w:val="00B425C3"/>
    <w:rsid w:val="00B42B57"/>
    <w:rsid w:val="00B43429"/>
    <w:rsid w:val="00B4373D"/>
    <w:rsid w:val="00B437EB"/>
    <w:rsid w:val="00B43CF4"/>
    <w:rsid w:val="00B440AD"/>
    <w:rsid w:val="00B4446D"/>
    <w:rsid w:val="00B473CB"/>
    <w:rsid w:val="00B479BB"/>
    <w:rsid w:val="00B47F27"/>
    <w:rsid w:val="00B47FEE"/>
    <w:rsid w:val="00B5047F"/>
    <w:rsid w:val="00B504BF"/>
    <w:rsid w:val="00B505FD"/>
    <w:rsid w:val="00B51218"/>
    <w:rsid w:val="00B519D3"/>
    <w:rsid w:val="00B5210E"/>
    <w:rsid w:val="00B521DB"/>
    <w:rsid w:val="00B522AD"/>
    <w:rsid w:val="00B52A80"/>
    <w:rsid w:val="00B53296"/>
    <w:rsid w:val="00B53E07"/>
    <w:rsid w:val="00B53E7E"/>
    <w:rsid w:val="00B54263"/>
    <w:rsid w:val="00B54F86"/>
    <w:rsid w:val="00B55659"/>
    <w:rsid w:val="00B55C86"/>
    <w:rsid w:val="00B55E2A"/>
    <w:rsid w:val="00B55E9E"/>
    <w:rsid w:val="00B56734"/>
    <w:rsid w:val="00B56EFA"/>
    <w:rsid w:val="00B56F95"/>
    <w:rsid w:val="00B57C53"/>
    <w:rsid w:val="00B57E6D"/>
    <w:rsid w:val="00B57EFC"/>
    <w:rsid w:val="00B600B3"/>
    <w:rsid w:val="00B60A52"/>
    <w:rsid w:val="00B60E62"/>
    <w:rsid w:val="00B6122F"/>
    <w:rsid w:val="00B61BAD"/>
    <w:rsid w:val="00B61E9C"/>
    <w:rsid w:val="00B62432"/>
    <w:rsid w:val="00B624AE"/>
    <w:rsid w:val="00B62A8B"/>
    <w:rsid w:val="00B62C0C"/>
    <w:rsid w:val="00B6342E"/>
    <w:rsid w:val="00B63444"/>
    <w:rsid w:val="00B63880"/>
    <w:rsid w:val="00B63ADE"/>
    <w:rsid w:val="00B64210"/>
    <w:rsid w:val="00B64EB3"/>
    <w:rsid w:val="00B65008"/>
    <w:rsid w:val="00B66011"/>
    <w:rsid w:val="00B66946"/>
    <w:rsid w:val="00B67C6E"/>
    <w:rsid w:val="00B70148"/>
    <w:rsid w:val="00B70E8E"/>
    <w:rsid w:val="00B7113F"/>
    <w:rsid w:val="00B71736"/>
    <w:rsid w:val="00B71FE5"/>
    <w:rsid w:val="00B71FF2"/>
    <w:rsid w:val="00B72AD2"/>
    <w:rsid w:val="00B73055"/>
    <w:rsid w:val="00B7573B"/>
    <w:rsid w:val="00B7629F"/>
    <w:rsid w:val="00B7671B"/>
    <w:rsid w:val="00B77463"/>
    <w:rsid w:val="00B77CD9"/>
    <w:rsid w:val="00B81684"/>
    <w:rsid w:val="00B817F2"/>
    <w:rsid w:val="00B81EBE"/>
    <w:rsid w:val="00B82AE4"/>
    <w:rsid w:val="00B82D04"/>
    <w:rsid w:val="00B82D32"/>
    <w:rsid w:val="00B835E8"/>
    <w:rsid w:val="00B83611"/>
    <w:rsid w:val="00B841E7"/>
    <w:rsid w:val="00B84506"/>
    <w:rsid w:val="00B84B51"/>
    <w:rsid w:val="00B84CE6"/>
    <w:rsid w:val="00B85959"/>
    <w:rsid w:val="00B8596F"/>
    <w:rsid w:val="00B869CE"/>
    <w:rsid w:val="00B87048"/>
    <w:rsid w:val="00B872AB"/>
    <w:rsid w:val="00B8767E"/>
    <w:rsid w:val="00B902DB"/>
    <w:rsid w:val="00B90385"/>
    <w:rsid w:val="00B903AF"/>
    <w:rsid w:val="00B9054F"/>
    <w:rsid w:val="00B907A4"/>
    <w:rsid w:val="00B9127D"/>
    <w:rsid w:val="00B91636"/>
    <w:rsid w:val="00B91C0A"/>
    <w:rsid w:val="00B92102"/>
    <w:rsid w:val="00B9291F"/>
    <w:rsid w:val="00B92D74"/>
    <w:rsid w:val="00B958DE"/>
    <w:rsid w:val="00B96321"/>
    <w:rsid w:val="00B972E1"/>
    <w:rsid w:val="00B97386"/>
    <w:rsid w:val="00B975CB"/>
    <w:rsid w:val="00B97667"/>
    <w:rsid w:val="00B978C7"/>
    <w:rsid w:val="00BA00CF"/>
    <w:rsid w:val="00BA013A"/>
    <w:rsid w:val="00BA089C"/>
    <w:rsid w:val="00BA0CB9"/>
    <w:rsid w:val="00BA0CCF"/>
    <w:rsid w:val="00BA1254"/>
    <w:rsid w:val="00BA1574"/>
    <w:rsid w:val="00BA1AE1"/>
    <w:rsid w:val="00BA290E"/>
    <w:rsid w:val="00BA2A9B"/>
    <w:rsid w:val="00BA2BCF"/>
    <w:rsid w:val="00BA2C53"/>
    <w:rsid w:val="00BA2F32"/>
    <w:rsid w:val="00BA3D31"/>
    <w:rsid w:val="00BA3EBB"/>
    <w:rsid w:val="00BA44AC"/>
    <w:rsid w:val="00BA5867"/>
    <w:rsid w:val="00BA5A6F"/>
    <w:rsid w:val="00BA5B14"/>
    <w:rsid w:val="00BA5CF2"/>
    <w:rsid w:val="00BA73B6"/>
    <w:rsid w:val="00BA7C12"/>
    <w:rsid w:val="00BA7E27"/>
    <w:rsid w:val="00BB0251"/>
    <w:rsid w:val="00BB049D"/>
    <w:rsid w:val="00BB1566"/>
    <w:rsid w:val="00BB1C87"/>
    <w:rsid w:val="00BB1DE8"/>
    <w:rsid w:val="00BB23E6"/>
    <w:rsid w:val="00BB256C"/>
    <w:rsid w:val="00BB2603"/>
    <w:rsid w:val="00BB323F"/>
    <w:rsid w:val="00BB4FCD"/>
    <w:rsid w:val="00BB5271"/>
    <w:rsid w:val="00BB5840"/>
    <w:rsid w:val="00BB60D9"/>
    <w:rsid w:val="00BB66CF"/>
    <w:rsid w:val="00BB6DA3"/>
    <w:rsid w:val="00BB775D"/>
    <w:rsid w:val="00BB7C60"/>
    <w:rsid w:val="00BC04E9"/>
    <w:rsid w:val="00BC06B2"/>
    <w:rsid w:val="00BC26B3"/>
    <w:rsid w:val="00BC288B"/>
    <w:rsid w:val="00BC341B"/>
    <w:rsid w:val="00BC36BF"/>
    <w:rsid w:val="00BC3735"/>
    <w:rsid w:val="00BC3755"/>
    <w:rsid w:val="00BC415E"/>
    <w:rsid w:val="00BC4163"/>
    <w:rsid w:val="00BC54A6"/>
    <w:rsid w:val="00BC61F4"/>
    <w:rsid w:val="00BC6210"/>
    <w:rsid w:val="00BC631B"/>
    <w:rsid w:val="00BC65A3"/>
    <w:rsid w:val="00BC6A59"/>
    <w:rsid w:val="00BC6DB8"/>
    <w:rsid w:val="00BC6ED0"/>
    <w:rsid w:val="00BC74FA"/>
    <w:rsid w:val="00BC7A00"/>
    <w:rsid w:val="00BD13EA"/>
    <w:rsid w:val="00BD18ED"/>
    <w:rsid w:val="00BD1CEB"/>
    <w:rsid w:val="00BD2476"/>
    <w:rsid w:val="00BD2643"/>
    <w:rsid w:val="00BD353D"/>
    <w:rsid w:val="00BD397C"/>
    <w:rsid w:val="00BD43CE"/>
    <w:rsid w:val="00BD52BD"/>
    <w:rsid w:val="00BD6415"/>
    <w:rsid w:val="00BD66DA"/>
    <w:rsid w:val="00BD67D2"/>
    <w:rsid w:val="00BD734A"/>
    <w:rsid w:val="00BE0334"/>
    <w:rsid w:val="00BE071E"/>
    <w:rsid w:val="00BE0738"/>
    <w:rsid w:val="00BE1CBD"/>
    <w:rsid w:val="00BE1FB2"/>
    <w:rsid w:val="00BE2F4F"/>
    <w:rsid w:val="00BE30C0"/>
    <w:rsid w:val="00BE33F7"/>
    <w:rsid w:val="00BE34FB"/>
    <w:rsid w:val="00BE3808"/>
    <w:rsid w:val="00BE3927"/>
    <w:rsid w:val="00BE40AE"/>
    <w:rsid w:val="00BE5135"/>
    <w:rsid w:val="00BE5320"/>
    <w:rsid w:val="00BE578E"/>
    <w:rsid w:val="00BE5FD5"/>
    <w:rsid w:val="00BE6264"/>
    <w:rsid w:val="00BE657D"/>
    <w:rsid w:val="00BE6FF6"/>
    <w:rsid w:val="00BE795E"/>
    <w:rsid w:val="00BE7C2C"/>
    <w:rsid w:val="00BF01E3"/>
    <w:rsid w:val="00BF0295"/>
    <w:rsid w:val="00BF0923"/>
    <w:rsid w:val="00BF0D64"/>
    <w:rsid w:val="00BF1505"/>
    <w:rsid w:val="00BF1DF4"/>
    <w:rsid w:val="00BF231E"/>
    <w:rsid w:val="00BF2A18"/>
    <w:rsid w:val="00BF2C73"/>
    <w:rsid w:val="00BF32BB"/>
    <w:rsid w:val="00BF3A24"/>
    <w:rsid w:val="00BF47BA"/>
    <w:rsid w:val="00BF5081"/>
    <w:rsid w:val="00BF5105"/>
    <w:rsid w:val="00BF5A00"/>
    <w:rsid w:val="00BF6034"/>
    <w:rsid w:val="00BF67A5"/>
    <w:rsid w:val="00BF6B37"/>
    <w:rsid w:val="00BF701C"/>
    <w:rsid w:val="00BF70CF"/>
    <w:rsid w:val="00BF7174"/>
    <w:rsid w:val="00C008DD"/>
    <w:rsid w:val="00C00C09"/>
    <w:rsid w:val="00C00C4A"/>
    <w:rsid w:val="00C00FC4"/>
    <w:rsid w:val="00C02C70"/>
    <w:rsid w:val="00C03887"/>
    <w:rsid w:val="00C03B88"/>
    <w:rsid w:val="00C04227"/>
    <w:rsid w:val="00C04639"/>
    <w:rsid w:val="00C0463F"/>
    <w:rsid w:val="00C0553B"/>
    <w:rsid w:val="00C062C0"/>
    <w:rsid w:val="00C062E9"/>
    <w:rsid w:val="00C06731"/>
    <w:rsid w:val="00C07073"/>
    <w:rsid w:val="00C07B64"/>
    <w:rsid w:val="00C07EAC"/>
    <w:rsid w:val="00C10234"/>
    <w:rsid w:val="00C11080"/>
    <w:rsid w:val="00C124DC"/>
    <w:rsid w:val="00C12C41"/>
    <w:rsid w:val="00C12F92"/>
    <w:rsid w:val="00C13721"/>
    <w:rsid w:val="00C14CA7"/>
    <w:rsid w:val="00C14FE4"/>
    <w:rsid w:val="00C15042"/>
    <w:rsid w:val="00C1530E"/>
    <w:rsid w:val="00C156D3"/>
    <w:rsid w:val="00C164BF"/>
    <w:rsid w:val="00C16ED6"/>
    <w:rsid w:val="00C16FE6"/>
    <w:rsid w:val="00C177B0"/>
    <w:rsid w:val="00C201FD"/>
    <w:rsid w:val="00C20AD2"/>
    <w:rsid w:val="00C21827"/>
    <w:rsid w:val="00C22433"/>
    <w:rsid w:val="00C23BDA"/>
    <w:rsid w:val="00C23D39"/>
    <w:rsid w:val="00C25472"/>
    <w:rsid w:val="00C25694"/>
    <w:rsid w:val="00C25C1F"/>
    <w:rsid w:val="00C25FCF"/>
    <w:rsid w:val="00C276DC"/>
    <w:rsid w:val="00C27757"/>
    <w:rsid w:val="00C27E47"/>
    <w:rsid w:val="00C27EB9"/>
    <w:rsid w:val="00C27FAD"/>
    <w:rsid w:val="00C3066D"/>
    <w:rsid w:val="00C30F74"/>
    <w:rsid w:val="00C331D4"/>
    <w:rsid w:val="00C33241"/>
    <w:rsid w:val="00C33974"/>
    <w:rsid w:val="00C34055"/>
    <w:rsid w:val="00C34C71"/>
    <w:rsid w:val="00C34E53"/>
    <w:rsid w:val="00C35522"/>
    <w:rsid w:val="00C357DC"/>
    <w:rsid w:val="00C36173"/>
    <w:rsid w:val="00C36649"/>
    <w:rsid w:val="00C36B4B"/>
    <w:rsid w:val="00C3771A"/>
    <w:rsid w:val="00C37760"/>
    <w:rsid w:val="00C37A25"/>
    <w:rsid w:val="00C41154"/>
    <w:rsid w:val="00C412FC"/>
    <w:rsid w:val="00C431DD"/>
    <w:rsid w:val="00C43A8B"/>
    <w:rsid w:val="00C43BF5"/>
    <w:rsid w:val="00C43F38"/>
    <w:rsid w:val="00C43F49"/>
    <w:rsid w:val="00C446FE"/>
    <w:rsid w:val="00C4479D"/>
    <w:rsid w:val="00C44E87"/>
    <w:rsid w:val="00C454DF"/>
    <w:rsid w:val="00C46663"/>
    <w:rsid w:val="00C46A5F"/>
    <w:rsid w:val="00C471A4"/>
    <w:rsid w:val="00C4721C"/>
    <w:rsid w:val="00C50083"/>
    <w:rsid w:val="00C506CC"/>
    <w:rsid w:val="00C51E81"/>
    <w:rsid w:val="00C52153"/>
    <w:rsid w:val="00C52416"/>
    <w:rsid w:val="00C528D6"/>
    <w:rsid w:val="00C52B04"/>
    <w:rsid w:val="00C53332"/>
    <w:rsid w:val="00C53571"/>
    <w:rsid w:val="00C543F4"/>
    <w:rsid w:val="00C548C9"/>
    <w:rsid w:val="00C54C14"/>
    <w:rsid w:val="00C56B36"/>
    <w:rsid w:val="00C56BA9"/>
    <w:rsid w:val="00C570DA"/>
    <w:rsid w:val="00C57349"/>
    <w:rsid w:val="00C611D9"/>
    <w:rsid w:val="00C61400"/>
    <w:rsid w:val="00C61691"/>
    <w:rsid w:val="00C617B6"/>
    <w:rsid w:val="00C61AE2"/>
    <w:rsid w:val="00C61B6E"/>
    <w:rsid w:val="00C61C56"/>
    <w:rsid w:val="00C61FBD"/>
    <w:rsid w:val="00C627F2"/>
    <w:rsid w:val="00C6291C"/>
    <w:rsid w:val="00C633CB"/>
    <w:rsid w:val="00C63576"/>
    <w:rsid w:val="00C63C4B"/>
    <w:rsid w:val="00C640AC"/>
    <w:rsid w:val="00C6419F"/>
    <w:rsid w:val="00C6420D"/>
    <w:rsid w:val="00C64CBB"/>
    <w:rsid w:val="00C64F21"/>
    <w:rsid w:val="00C65352"/>
    <w:rsid w:val="00C65999"/>
    <w:rsid w:val="00C65A42"/>
    <w:rsid w:val="00C65F19"/>
    <w:rsid w:val="00C660FA"/>
    <w:rsid w:val="00C664CD"/>
    <w:rsid w:val="00C66C3E"/>
    <w:rsid w:val="00C66D49"/>
    <w:rsid w:val="00C6708F"/>
    <w:rsid w:val="00C674D7"/>
    <w:rsid w:val="00C67566"/>
    <w:rsid w:val="00C67AAD"/>
    <w:rsid w:val="00C70738"/>
    <w:rsid w:val="00C70F32"/>
    <w:rsid w:val="00C7129B"/>
    <w:rsid w:val="00C715B7"/>
    <w:rsid w:val="00C72E88"/>
    <w:rsid w:val="00C7349A"/>
    <w:rsid w:val="00C736B7"/>
    <w:rsid w:val="00C738E5"/>
    <w:rsid w:val="00C73967"/>
    <w:rsid w:val="00C73E18"/>
    <w:rsid w:val="00C74053"/>
    <w:rsid w:val="00C751D5"/>
    <w:rsid w:val="00C75F43"/>
    <w:rsid w:val="00C7615E"/>
    <w:rsid w:val="00C76679"/>
    <w:rsid w:val="00C7677D"/>
    <w:rsid w:val="00C77339"/>
    <w:rsid w:val="00C80187"/>
    <w:rsid w:val="00C801D3"/>
    <w:rsid w:val="00C80472"/>
    <w:rsid w:val="00C80D2D"/>
    <w:rsid w:val="00C8185F"/>
    <w:rsid w:val="00C81D4A"/>
    <w:rsid w:val="00C82120"/>
    <w:rsid w:val="00C83190"/>
    <w:rsid w:val="00C83F6C"/>
    <w:rsid w:val="00C84E55"/>
    <w:rsid w:val="00C865CC"/>
    <w:rsid w:val="00C869B4"/>
    <w:rsid w:val="00C86CCE"/>
    <w:rsid w:val="00C8752A"/>
    <w:rsid w:val="00C8762C"/>
    <w:rsid w:val="00C90513"/>
    <w:rsid w:val="00C90BB0"/>
    <w:rsid w:val="00C90C02"/>
    <w:rsid w:val="00C912C9"/>
    <w:rsid w:val="00C92408"/>
    <w:rsid w:val="00C92896"/>
    <w:rsid w:val="00C92986"/>
    <w:rsid w:val="00C92AE6"/>
    <w:rsid w:val="00C92B5A"/>
    <w:rsid w:val="00C9325C"/>
    <w:rsid w:val="00C93495"/>
    <w:rsid w:val="00C93F4F"/>
    <w:rsid w:val="00C94295"/>
    <w:rsid w:val="00C94754"/>
    <w:rsid w:val="00C94757"/>
    <w:rsid w:val="00C94EDC"/>
    <w:rsid w:val="00C951B1"/>
    <w:rsid w:val="00C95E33"/>
    <w:rsid w:val="00C96A8A"/>
    <w:rsid w:val="00C96FFB"/>
    <w:rsid w:val="00C97002"/>
    <w:rsid w:val="00C97151"/>
    <w:rsid w:val="00CA00F9"/>
    <w:rsid w:val="00CA1599"/>
    <w:rsid w:val="00CA2869"/>
    <w:rsid w:val="00CA2961"/>
    <w:rsid w:val="00CA301B"/>
    <w:rsid w:val="00CA3567"/>
    <w:rsid w:val="00CA3CC8"/>
    <w:rsid w:val="00CA3FF5"/>
    <w:rsid w:val="00CA4174"/>
    <w:rsid w:val="00CA4BF2"/>
    <w:rsid w:val="00CA4DA1"/>
    <w:rsid w:val="00CA4FC6"/>
    <w:rsid w:val="00CA57F3"/>
    <w:rsid w:val="00CA59C9"/>
    <w:rsid w:val="00CA6358"/>
    <w:rsid w:val="00CA66F4"/>
    <w:rsid w:val="00CA70E6"/>
    <w:rsid w:val="00CA72B7"/>
    <w:rsid w:val="00CB0385"/>
    <w:rsid w:val="00CB03BF"/>
    <w:rsid w:val="00CB158F"/>
    <w:rsid w:val="00CB2BE0"/>
    <w:rsid w:val="00CB3425"/>
    <w:rsid w:val="00CB3D7E"/>
    <w:rsid w:val="00CB4D17"/>
    <w:rsid w:val="00CB4FE0"/>
    <w:rsid w:val="00CB50D7"/>
    <w:rsid w:val="00CB5F49"/>
    <w:rsid w:val="00CB65C3"/>
    <w:rsid w:val="00CB6991"/>
    <w:rsid w:val="00CB7177"/>
    <w:rsid w:val="00CB7455"/>
    <w:rsid w:val="00CB7CED"/>
    <w:rsid w:val="00CB7D39"/>
    <w:rsid w:val="00CC0270"/>
    <w:rsid w:val="00CC03EA"/>
    <w:rsid w:val="00CC070F"/>
    <w:rsid w:val="00CC0924"/>
    <w:rsid w:val="00CC1559"/>
    <w:rsid w:val="00CC1998"/>
    <w:rsid w:val="00CC292C"/>
    <w:rsid w:val="00CC2A65"/>
    <w:rsid w:val="00CC2E29"/>
    <w:rsid w:val="00CC4946"/>
    <w:rsid w:val="00CC4BBF"/>
    <w:rsid w:val="00CC557C"/>
    <w:rsid w:val="00CC55CC"/>
    <w:rsid w:val="00CC5DB2"/>
    <w:rsid w:val="00CC5E0E"/>
    <w:rsid w:val="00CC5EB5"/>
    <w:rsid w:val="00CC6058"/>
    <w:rsid w:val="00CC64A1"/>
    <w:rsid w:val="00CC64D8"/>
    <w:rsid w:val="00CC688E"/>
    <w:rsid w:val="00CC6AA5"/>
    <w:rsid w:val="00CC6DBD"/>
    <w:rsid w:val="00CC70AA"/>
    <w:rsid w:val="00CC70F2"/>
    <w:rsid w:val="00CC7357"/>
    <w:rsid w:val="00CC76A6"/>
    <w:rsid w:val="00CC795A"/>
    <w:rsid w:val="00CD0ED8"/>
    <w:rsid w:val="00CD131D"/>
    <w:rsid w:val="00CD36DD"/>
    <w:rsid w:val="00CD37D0"/>
    <w:rsid w:val="00CD3EEA"/>
    <w:rsid w:val="00CD4B0C"/>
    <w:rsid w:val="00CD5056"/>
    <w:rsid w:val="00CD599D"/>
    <w:rsid w:val="00CD5D2A"/>
    <w:rsid w:val="00CD6A5B"/>
    <w:rsid w:val="00CD75CF"/>
    <w:rsid w:val="00CE062C"/>
    <w:rsid w:val="00CE0633"/>
    <w:rsid w:val="00CE0855"/>
    <w:rsid w:val="00CE1111"/>
    <w:rsid w:val="00CE1565"/>
    <w:rsid w:val="00CE20EE"/>
    <w:rsid w:val="00CE230C"/>
    <w:rsid w:val="00CE2414"/>
    <w:rsid w:val="00CE2AC9"/>
    <w:rsid w:val="00CE2FD2"/>
    <w:rsid w:val="00CE37C8"/>
    <w:rsid w:val="00CE3F36"/>
    <w:rsid w:val="00CE47C6"/>
    <w:rsid w:val="00CE4F7F"/>
    <w:rsid w:val="00CE5B7D"/>
    <w:rsid w:val="00CE5D36"/>
    <w:rsid w:val="00CE61E6"/>
    <w:rsid w:val="00CE6362"/>
    <w:rsid w:val="00CE6CBB"/>
    <w:rsid w:val="00CE704E"/>
    <w:rsid w:val="00CE74D3"/>
    <w:rsid w:val="00CE79BF"/>
    <w:rsid w:val="00CE7B82"/>
    <w:rsid w:val="00CF05CF"/>
    <w:rsid w:val="00CF08B4"/>
    <w:rsid w:val="00CF0C13"/>
    <w:rsid w:val="00CF1225"/>
    <w:rsid w:val="00CF17D6"/>
    <w:rsid w:val="00CF29CC"/>
    <w:rsid w:val="00CF369D"/>
    <w:rsid w:val="00CF39E5"/>
    <w:rsid w:val="00CF3B11"/>
    <w:rsid w:val="00CF47F6"/>
    <w:rsid w:val="00CF68DE"/>
    <w:rsid w:val="00CF785F"/>
    <w:rsid w:val="00CF7D35"/>
    <w:rsid w:val="00CF7D9E"/>
    <w:rsid w:val="00CF7DAF"/>
    <w:rsid w:val="00CF7DFA"/>
    <w:rsid w:val="00D00E02"/>
    <w:rsid w:val="00D012D5"/>
    <w:rsid w:val="00D01E17"/>
    <w:rsid w:val="00D029B7"/>
    <w:rsid w:val="00D035AF"/>
    <w:rsid w:val="00D040FB"/>
    <w:rsid w:val="00D04858"/>
    <w:rsid w:val="00D04C70"/>
    <w:rsid w:val="00D05159"/>
    <w:rsid w:val="00D05ACA"/>
    <w:rsid w:val="00D05D50"/>
    <w:rsid w:val="00D0600F"/>
    <w:rsid w:val="00D062DC"/>
    <w:rsid w:val="00D06842"/>
    <w:rsid w:val="00D06CAF"/>
    <w:rsid w:val="00D073A4"/>
    <w:rsid w:val="00D07AA0"/>
    <w:rsid w:val="00D07AFC"/>
    <w:rsid w:val="00D07C9A"/>
    <w:rsid w:val="00D07D33"/>
    <w:rsid w:val="00D10503"/>
    <w:rsid w:val="00D1119B"/>
    <w:rsid w:val="00D11F49"/>
    <w:rsid w:val="00D133CA"/>
    <w:rsid w:val="00D133F6"/>
    <w:rsid w:val="00D13A60"/>
    <w:rsid w:val="00D13ADF"/>
    <w:rsid w:val="00D14167"/>
    <w:rsid w:val="00D144AF"/>
    <w:rsid w:val="00D1453C"/>
    <w:rsid w:val="00D14A36"/>
    <w:rsid w:val="00D173F0"/>
    <w:rsid w:val="00D176CF"/>
    <w:rsid w:val="00D20B73"/>
    <w:rsid w:val="00D2168B"/>
    <w:rsid w:val="00D21B92"/>
    <w:rsid w:val="00D220AF"/>
    <w:rsid w:val="00D22163"/>
    <w:rsid w:val="00D2237E"/>
    <w:rsid w:val="00D22600"/>
    <w:rsid w:val="00D22E4D"/>
    <w:rsid w:val="00D22F56"/>
    <w:rsid w:val="00D2312A"/>
    <w:rsid w:val="00D23A6E"/>
    <w:rsid w:val="00D23DAA"/>
    <w:rsid w:val="00D24104"/>
    <w:rsid w:val="00D24F0C"/>
    <w:rsid w:val="00D2518D"/>
    <w:rsid w:val="00D259E0"/>
    <w:rsid w:val="00D25DBD"/>
    <w:rsid w:val="00D25F36"/>
    <w:rsid w:val="00D268B3"/>
    <w:rsid w:val="00D26A92"/>
    <w:rsid w:val="00D26ACA"/>
    <w:rsid w:val="00D270A4"/>
    <w:rsid w:val="00D271DF"/>
    <w:rsid w:val="00D31A92"/>
    <w:rsid w:val="00D31BC2"/>
    <w:rsid w:val="00D31EC0"/>
    <w:rsid w:val="00D31F5D"/>
    <w:rsid w:val="00D31F65"/>
    <w:rsid w:val="00D31FE9"/>
    <w:rsid w:val="00D32556"/>
    <w:rsid w:val="00D32C8B"/>
    <w:rsid w:val="00D32EE0"/>
    <w:rsid w:val="00D3375D"/>
    <w:rsid w:val="00D34857"/>
    <w:rsid w:val="00D34BA4"/>
    <w:rsid w:val="00D34E1B"/>
    <w:rsid w:val="00D35137"/>
    <w:rsid w:val="00D35232"/>
    <w:rsid w:val="00D36735"/>
    <w:rsid w:val="00D36B95"/>
    <w:rsid w:val="00D36BA7"/>
    <w:rsid w:val="00D36CEF"/>
    <w:rsid w:val="00D376BA"/>
    <w:rsid w:val="00D409A0"/>
    <w:rsid w:val="00D40ECB"/>
    <w:rsid w:val="00D411B5"/>
    <w:rsid w:val="00D414A4"/>
    <w:rsid w:val="00D41EC1"/>
    <w:rsid w:val="00D42822"/>
    <w:rsid w:val="00D42ED7"/>
    <w:rsid w:val="00D42F16"/>
    <w:rsid w:val="00D432B6"/>
    <w:rsid w:val="00D434A0"/>
    <w:rsid w:val="00D43585"/>
    <w:rsid w:val="00D441F8"/>
    <w:rsid w:val="00D44485"/>
    <w:rsid w:val="00D44832"/>
    <w:rsid w:val="00D45634"/>
    <w:rsid w:val="00D45657"/>
    <w:rsid w:val="00D46486"/>
    <w:rsid w:val="00D4788D"/>
    <w:rsid w:val="00D47F7E"/>
    <w:rsid w:val="00D50793"/>
    <w:rsid w:val="00D51188"/>
    <w:rsid w:val="00D512D0"/>
    <w:rsid w:val="00D5186A"/>
    <w:rsid w:val="00D5281B"/>
    <w:rsid w:val="00D53766"/>
    <w:rsid w:val="00D54445"/>
    <w:rsid w:val="00D54D93"/>
    <w:rsid w:val="00D553FF"/>
    <w:rsid w:val="00D5568A"/>
    <w:rsid w:val="00D55CE7"/>
    <w:rsid w:val="00D56416"/>
    <w:rsid w:val="00D56763"/>
    <w:rsid w:val="00D573A8"/>
    <w:rsid w:val="00D575E6"/>
    <w:rsid w:val="00D57F07"/>
    <w:rsid w:val="00D600C4"/>
    <w:rsid w:val="00D60B4F"/>
    <w:rsid w:val="00D61015"/>
    <w:rsid w:val="00D611BE"/>
    <w:rsid w:val="00D62401"/>
    <w:rsid w:val="00D62B8B"/>
    <w:rsid w:val="00D62C37"/>
    <w:rsid w:val="00D636AC"/>
    <w:rsid w:val="00D636DD"/>
    <w:rsid w:val="00D63D73"/>
    <w:rsid w:val="00D64452"/>
    <w:rsid w:val="00D649A0"/>
    <w:rsid w:val="00D64ABB"/>
    <w:rsid w:val="00D64BD8"/>
    <w:rsid w:val="00D65F16"/>
    <w:rsid w:val="00D65FD4"/>
    <w:rsid w:val="00D66E1E"/>
    <w:rsid w:val="00D678A7"/>
    <w:rsid w:val="00D700CD"/>
    <w:rsid w:val="00D704CE"/>
    <w:rsid w:val="00D70696"/>
    <w:rsid w:val="00D70F33"/>
    <w:rsid w:val="00D71E60"/>
    <w:rsid w:val="00D7228C"/>
    <w:rsid w:val="00D726CE"/>
    <w:rsid w:val="00D729C4"/>
    <w:rsid w:val="00D72DF5"/>
    <w:rsid w:val="00D735B5"/>
    <w:rsid w:val="00D738AF"/>
    <w:rsid w:val="00D73A42"/>
    <w:rsid w:val="00D73ADA"/>
    <w:rsid w:val="00D741EF"/>
    <w:rsid w:val="00D74B33"/>
    <w:rsid w:val="00D75722"/>
    <w:rsid w:val="00D75E4F"/>
    <w:rsid w:val="00D763C1"/>
    <w:rsid w:val="00D768D4"/>
    <w:rsid w:val="00D76E6F"/>
    <w:rsid w:val="00D771CB"/>
    <w:rsid w:val="00D77574"/>
    <w:rsid w:val="00D778F8"/>
    <w:rsid w:val="00D77D91"/>
    <w:rsid w:val="00D77DD0"/>
    <w:rsid w:val="00D808F1"/>
    <w:rsid w:val="00D80CF5"/>
    <w:rsid w:val="00D80FFD"/>
    <w:rsid w:val="00D81DF7"/>
    <w:rsid w:val="00D81FE2"/>
    <w:rsid w:val="00D82289"/>
    <w:rsid w:val="00D82D1E"/>
    <w:rsid w:val="00D82F61"/>
    <w:rsid w:val="00D83595"/>
    <w:rsid w:val="00D83664"/>
    <w:rsid w:val="00D8366D"/>
    <w:rsid w:val="00D83758"/>
    <w:rsid w:val="00D8446E"/>
    <w:rsid w:val="00D84960"/>
    <w:rsid w:val="00D8699E"/>
    <w:rsid w:val="00D872CB"/>
    <w:rsid w:val="00D8776A"/>
    <w:rsid w:val="00D91122"/>
    <w:rsid w:val="00D92A3D"/>
    <w:rsid w:val="00D93411"/>
    <w:rsid w:val="00D939D7"/>
    <w:rsid w:val="00D94528"/>
    <w:rsid w:val="00D94CBC"/>
    <w:rsid w:val="00D94FCA"/>
    <w:rsid w:val="00D951B3"/>
    <w:rsid w:val="00D95B97"/>
    <w:rsid w:val="00D95BF0"/>
    <w:rsid w:val="00D9633B"/>
    <w:rsid w:val="00D96FF6"/>
    <w:rsid w:val="00D97711"/>
    <w:rsid w:val="00DA06DD"/>
    <w:rsid w:val="00DA0732"/>
    <w:rsid w:val="00DA0A65"/>
    <w:rsid w:val="00DA0A87"/>
    <w:rsid w:val="00DA1990"/>
    <w:rsid w:val="00DA1AB5"/>
    <w:rsid w:val="00DA1C7C"/>
    <w:rsid w:val="00DA1CE3"/>
    <w:rsid w:val="00DA218F"/>
    <w:rsid w:val="00DA3429"/>
    <w:rsid w:val="00DA36D8"/>
    <w:rsid w:val="00DA440B"/>
    <w:rsid w:val="00DA4ACD"/>
    <w:rsid w:val="00DA5BBA"/>
    <w:rsid w:val="00DA605F"/>
    <w:rsid w:val="00DA75C6"/>
    <w:rsid w:val="00DA79BF"/>
    <w:rsid w:val="00DB00A9"/>
    <w:rsid w:val="00DB0BD8"/>
    <w:rsid w:val="00DB11A4"/>
    <w:rsid w:val="00DB1375"/>
    <w:rsid w:val="00DB1E89"/>
    <w:rsid w:val="00DB1F6F"/>
    <w:rsid w:val="00DB246C"/>
    <w:rsid w:val="00DB26D2"/>
    <w:rsid w:val="00DB2AE3"/>
    <w:rsid w:val="00DB34BC"/>
    <w:rsid w:val="00DB36A0"/>
    <w:rsid w:val="00DB3AE2"/>
    <w:rsid w:val="00DB3EA5"/>
    <w:rsid w:val="00DB40EB"/>
    <w:rsid w:val="00DB5021"/>
    <w:rsid w:val="00DB5060"/>
    <w:rsid w:val="00DB5076"/>
    <w:rsid w:val="00DB57AC"/>
    <w:rsid w:val="00DB5C4A"/>
    <w:rsid w:val="00DB5EE2"/>
    <w:rsid w:val="00DB67C9"/>
    <w:rsid w:val="00DB6BF5"/>
    <w:rsid w:val="00DB7568"/>
    <w:rsid w:val="00DB76E9"/>
    <w:rsid w:val="00DB7A6D"/>
    <w:rsid w:val="00DC0344"/>
    <w:rsid w:val="00DC081F"/>
    <w:rsid w:val="00DC0C95"/>
    <w:rsid w:val="00DC235D"/>
    <w:rsid w:val="00DC26EC"/>
    <w:rsid w:val="00DC29AB"/>
    <w:rsid w:val="00DC2E07"/>
    <w:rsid w:val="00DC31C2"/>
    <w:rsid w:val="00DC449E"/>
    <w:rsid w:val="00DC4A10"/>
    <w:rsid w:val="00DC4C8D"/>
    <w:rsid w:val="00DC4F0B"/>
    <w:rsid w:val="00DC516B"/>
    <w:rsid w:val="00DC542F"/>
    <w:rsid w:val="00DC55E7"/>
    <w:rsid w:val="00DC582B"/>
    <w:rsid w:val="00DC609F"/>
    <w:rsid w:val="00DC6AF2"/>
    <w:rsid w:val="00DC7086"/>
    <w:rsid w:val="00DC71B0"/>
    <w:rsid w:val="00DC739E"/>
    <w:rsid w:val="00DC7E13"/>
    <w:rsid w:val="00DD00B2"/>
    <w:rsid w:val="00DD013F"/>
    <w:rsid w:val="00DD01E9"/>
    <w:rsid w:val="00DD06A2"/>
    <w:rsid w:val="00DD0AD3"/>
    <w:rsid w:val="00DD0D07"/>
    <w:rsid w:val="00DD0F40"/>
    <w:rsid w:val="00DD1CE7"/>
    <w:rsid w:val="00DD1D09"/>
    <w:rsid w:val="00DD266F"/>
    <w:rsid w:val="00DD271A"/>
    <w:rsid w:val="00DD2B84"/>
    <w:rsid w:val="00DD2EE4"/>
    <w:rsid w:val="00DD3670"/>
    <w:rsid w:val="00DD42A1"/>
    <w:rsid w:val="00DD4957"/>
    <w:rsid w:val="00DD52DD"/>
    <w:rsid w:val="00DD601B"/>
    <w:rsid w:val="00DD603B"/>
    <w:rsid w:val="00DD6580"/>
    <w:rsid w:val="00DD65D4"/>
    <w:rsid w:val="00DD6A24"/>
    <w:rsid w:val="00DD6B2B"/>
    <w:rsid w:val="00DD7C42"/>
    <w:rsid w:val="00DE03D2"/>
    <w:rsid w:val="00DE0488"/>
    <w:rsid w:val="00DE0AF3"/>
    <w:rsid w:val="00DE0FE8"/>
    <w:rsid w:val="00DE1376"/>
    <w:rsid w:val="00DE1E62"/>
    <w:rsid w:val="00DE2095"/>
    <w:rsid w:val="00DE2440"/>
    <w:rsid w:val="00DE3378"/>
    <w:rsid w:val="00DE44C5"/>
    <w:rsid w:val="00DE4552"/>
    <w:rsid w:val="00DE491D"/>
    <w:rsid w:val="00DE4BF1"/>
    <w:rsid w:val="00DE4D63"/>
    <w:rsid w:val="00DE4D9A"/>
    <w:rsid w:val="00DE6117"/>
    <w:rsid w:val="00DE7326"/>
    <w:rsid w:val="00DE745B"/>
    <w:rsid w:val="00DF04EE"/>
    <w:rsid w:val="00DF0BA6"/>
    <w:rsid w:val="00DF0CC7"/>
    <w:rsid w:val="00DF1338"/>
    <w:rsid w:val="00DF15D7"/>
    <w:rsid w:val="00DF1A3F"/>
    <w:rsid w:val="00DF2413"/>
    <w:rsid w:val="00DF265A"/>
    <w:rsid w:val="00DF2A92"/>
    <w:rsid w:val="00DF3017"/>
    <w:rsid w:val="00DF36EF"/>
    <w:rsid w:val="00DF47AA"/>
    <w:rsid w:val="00DF5AD9"/>
    <w:rsid w:val="00DF5CA6"/>
    <w:rsid w:val="00DF64F2"/>
    <w:rsid w:val="00DF652B"/>
    <w:rsid w:val="00DF6D97"/>
    <w:rsid w:val="00DF6E67"/>
    <w:rsid w:val="00DF6F7F"/>
    <w:rsid w:val="00DF794B"/>
    <w:rsid w:val="00DF79D7"/>
    <w:rsid w:val="00E0036D"/>
    <w:rsid w:val="00E0045D"/>
    <w:rsid w:val="00E00C1E"/>
    <w:rsid w:val="00E01D7F"/>
    <w:rsid w:val="00E02552"/>
    <w:rsid w:val="00E02B40"/>
    <w:rsid w:val="00E03253"/>
    <w:rsid w:val="00E03ABB"/>
    <w:rsid w:val="00E04108"/>
    <w:rsid w:val="00E04787"/>
    <w:rsid w:val="00E05432"/>
    <w:rsid w:val="00E05C03"/>
    <w:rsid w:val="00E066A5"/>
    <w:rsid w:val="00E0688C"/>
    <w:rsid w:val="00E069EC"/>
    <w:rsid w:val="00E07BA9"/>
    <w:rsid w:val="00E101ED"/>
    <w:rsid w:val="00E10D81"/>
    <w:rsid w:val="00E1113F"/>
    <w:rsid w:val="00E113DE"/>
    <w:rsid w:val="00E11AD9"/>
    <w:rsid w:val="00E11DD1"/>
    <w:rsid w:val="00E11DDE"/>
    <w:rsid w:val="00E12321"/>
    <w:rsid w:val="00E12D31"/>
    <w:rsid w:val="00E130DC"/>
    <w:rsid w:val="00E13272"/>
    <w:rsid w:val="00E13DD1"/>
    <w:rsid w:val="00E13EC0"/>
    <w:rsid w:val="00E14D2B"/>
    <w:rsid w:val="00E153F6"/>
    <w:rsid w:val="00E15872"/>
    <w:rsid w:val="00E17294"/>
    <w:rsid w:val="00E1763D"/>
    <w:rsid w:val="00E17A05"/>
    <w:rsid w:val="00E17C72"/>
    <w:rsid w:val="00E20281"/>
    <w:rsid w:val="00E202F3"/>
    <w:rsid w:val="00E20653"/>
    <w:rsid w:val="00E20AF0"/>
    <w:rsid w:val="00E20EA5"/>
    <w:rsid w:val="00E210CA"/>
    <w:rsid w:val="00E2163D"/>
    <w:rsid w:val="00E21FC6"/>
    <w:rsid w:val="00E22191"/>
    <w:rsid w:val="00E22A5D"/>
    <w:rsid w:val="00E230D8"/>
    <w:rsid w:val="00E239B6"/>
    <w:rsid w:val="00E23B1D"/>
    <w:rsid w:val="00E24220"/>
    <w:rsid w:val="00E242B0"/>
    <w:rsid w:val="00E24D28"/>
    <w:rsid w:val="00E24F77"/>
    <w:rsid w:val="00E25221"/>
    <w:rsid w:val="00E256F9"/>
    <w:rsid w:val="00E27571"/>
    <w:rsid w:val="00E27C02"/>
    <w:rsid w:val="00E303D2"/>
    <w:rsid w:val="00E3093C"/>
    <w:rsid w:val="00E30C80"/>
    <w:rsid w:val="00E30FD3"/>
    <w:rsid w:val="00E31256"/>
    <w:rsid w:val="00E312B3"/>
    <w:rsid w:val="00E324B5"/>
    <w:rsid w:val="00E32800"/>
    <w:rsid w:val="00E32FF7"/>
    <w:rsid w:val="00E33437"/>
    <w:rsid w:val="00E336D9"/>
    <w:rsid w:val="00E339DB"/>
    <w:rsid w:val="00E35C87"/>
    <w:rsid w:val="00E36072"/>
    <w:rsid w:val="00E3611C"/>
    <w:rsid w:val="00E36582"/>
    <w:rsid w:val="00E367A5"/>
    <w:rsid w:val="00E37281"/>
    <w:rsid w:val="00E376E4"/>
    <w:rsid w:val="00E378FD"/>
    <w:rsid w:val="00E40DBE"/>
    <w:rsid w:val="00E41074"/>
    <w:rsid w:val="00E41286"/>
    <w:rsid w:val="00E4199E"/>
    <w:rsid w:val="00E42536"/>
    <w:rsid w:val="00E4259B"/>
    <w:rsid w:val="00E426BC"/>
    <w:rsid w:val="00E42724"/>
    <w:rsid w:val="00E429B5"/>
    <w:rsid w:val="00E431A9"/>
    <w:rsid w:val="00E44120"/>
    <w:rsid w:val="00E4515D"/>
    <w:rsid w:val="00E452BD"/>
    <w:rsid w:val="00E45613"/>
    <w:rsid w:val="00E45C61"/>
    <w:rsid w:val="00E46D81"/>
    <w:rsid w:val="00E46F70"/>
    <w:rsid w:val="00E471E0"/>
    <w:rsid w:val="00E47853"/>
    <w:rsid w:val="00E47CF6"/>
    <w:rsid w:val="00E504F0"/>
    <w:rsid w:val="00E506F6"/>
    <w:rsid w:val="00E514B5"/>
    <w:rsid w:val="00E51809"/>
    <w:rsid w:val="00E51AAA"/>
    <w:rsid w:val="00E52FF1"/>
    <w:rsid w:val="00E54318"/>
    <w:rsid w:val="00E544AC"/>
    <w:rsid w:val="00E54C45"/>
    <w:rsid w:val="00E55215"/>
    <w:rsid w:val="00E561AF"/>
    <w:rsid w:val="00E56427"/>
    <w:rsid w:val="00E567B9"/>
    <w:rsid w:val="00E5686C"/>
    <w:rsid w:val="00E57637"/>
    <w:rsid w:val="00E57FA9"/>
    <w:rsid w:val="00E603A8"/>
    <w:rsid w:val="00E60445"/>
    <w:rsid w:val="00E60598"/>
    <w:rsid w:val="00E6063C"/>
    <w:rsid w:val="00E611B6"/>
    <w:rsid w:val="00E61620"/>
    <w:rsid w:val="00E61B6C"/>
    <w:rsid w:val="00E622EA"/>
    <w:rsid w:val="00E627E1"/>
    <w:rsid w:val="00E6293F"/>
    <w:rsid w:val="00E63896"/>
    <w:rsid w:val="00E63B75"/>
    <w:rsid w:val="00E659BA"/>
    <w:rsid w:val="00E65A91"/>
    <w:rsid w:val="00E65DD3"/>
    <w:rsid w:val="00E65F91"/>
    <w:rsid w:val="00E663CE"/>
    <w:rsid w:val="00E669E2"/>
    <w:rsid w:val="00E66B00"/>
    <w:rsid w:val="00E67A86"/>
    <w:rsid w:val="00E67F29"/>
    <w:rsid w:val="00E70008"/>
    <w:rsid w:val="00E7051D"/>
    <w:rsid w:val="00E710B8"/>
    <w:rsid w:val="00E73DD2"/>
    <w:rsid w:val="00E743BF"/>
    <w:rsid w:val="00E74490"/>
    <w:rsid w:val="00E74BED"/>
    <w:rsid w:val="00E74E50"/>
    <w:rsid w:val="00E75F75"/>
    <w:rsid w:val="00E75FBE"/>
    <w:rsid w:val="00E76135"/>
    <w:rsid w:val="00E76BAA"/>
    <w:rsid w:val="00E76BC9"/>
    <w:rsid w:val="00E76EDD"/>
    <w:rsid w:val="00E8090B"/>
    <w:rsid w:val="00E80C30"/>
    <w:rsid w:val="00E80D96"/>
    <w:rsid w:val="00E80F45"/>
    <w:rsid w:val="00E811E7"/>
    <w:rsid w:val="00E815C4"/>
    <w:rsid w:val="00E815E6"/>
    <w:rsid w:val="00E82801"/>
    <w:rsid w:val="00E82EBB"/>
    <w:rsid w:val="00E82F4F"/>
    <w:rsid w:val="00E83614"/>
    <w:rsid w:val="00E83832"/>
    <w:rsid w:val="00E839C9"/>
    <w:rsid w:val="00E84375"/>
    <w:rsid w:val="00E84C8E"/>
    <w:rsid w:val="00E85A3B"/>
    <w:rsid w:val="00E864DF"/>
    <w:rsid w:val="00E90463"/>
    <w:rsid w:val="00E906B5"/>
    <w:rsid w:val="00E91A6D"/>
    <w:rsid w:val="00E91B1E"/>
    <w:rsid w:val="00E91E64"/>
    <w:rsid w:val="00E92B69"/>
    <w:rsid w:val="00E9342B"/>
    <w:rsid w:val="00E93598"/>
    <w:rsid w:val="00E9464B"/>
    <w:rsid w:val="00E94C80"/>
    <w:rsid w:val="00E95960"/>
    <w:rsid w:val="00E95B0F"/>
    <w:rsid w:val="00E96339"/>
    <w:rsid w:val="00E9640C"/>
    <w:rsid w:val="00E96543"/>
    <w:rsid w:val="00E9717C"/>
    <w:rsid w:val="00E973FC"/>
    <w:rsid w:val="00E974DB"/>
    <w:rsid w:val="00EA0830"/>
    <w:rsid w:val="00EA0F51"/>
    <w:rsid w:val="00EA11BC"/>
    <w:rsid w:val="00EA11FD"/>
    <w:rsid w:val="00EA181A"/>
    <w:rsid w:val="00EA1E27"/>
    <w:rsid w:val="00EA2474"/>
    <w:rsid w:val="00EA2B19"/>
    <w:rsid w:val="00EA2C1F"/>
    <w:rsid w:val="00EA352F"/>
    <w:rsid w:val="00EA3E6B"/>
    <w:rsid w:val="00EA43AF"/>
    <w:rsid w:val="00EA4989"/>
    <w:rsid w:val="00EA49A4"/>
    <w:rsid w:val="00EA4DA1"/>
    <w:rsid w:val="00EA5B06"/>
    <w:rsid w:val="00EA6BD9"/>
    <w:rsid w:val="00EA72AE"/>
    <w:rsid w:val="00EA743D"/>
    <w:rsid w:val="00EA77AE"/>
    <w:rsid w:val="00EA78C4"/>
    <w:rsid w:val="00EA7CD5"/>
    <w:rsid w:val="00EB06F1"/>
    <w:rsid w:val="00EB187C"/>
    <w:rsid w:val="00EB2AED"/>
    <w:rsid w:val="00EB2CC3"/>
    <w:rsid w:val="00EB5E25"/>
    <w:rsid w:val="00EB6BDE"/>
    <w:rsid w:val="00EB6C8B"/>
    <w:rsid w:val="00EB6EBC"/>
    <w:rsid w:val="00EB7066"/>
    <w:rsid w:val="00EB7201"/>
    <w:rsid w:val="00EB773C"/>
    <w:rsid w:val="00EC0528"/>
    <w:rsid w:val="00EC1101"/>
    <w:rsid w:val="00EC177B"/>
    <w:rsid w:val="00EC1EDE"/>
    <w:rsid w:val="00EC2351"/>
    <w:rsid w:val="00EC2844"/>
    <w:rsid w:val="00EC2FD8"/>
    <w:rsid w:val="00EC333F"/>
    <w:rsid w:val="00EC37E0"/>
    <w:rsid w:val="00EC4865"/>
    <w:rsid w:val="00EC4D26"/>
    <w:rsid w:val="00EC4F64"/>
    <w:rsid w:val="00EC4FF2"/>
    <w:rsid w:val="00EC5500"/>
    <w:rsid w:val="00EC5A81"/>
    <w:rsid w:val="00EC5F5D"/>
    <w:rsid w:val="00EC63A0"/>
    <w:rsid w:val="00EC7470"/>
    <w:rsid w:val="00EC798F"/>
    <w:rsid w:val="00ED05F4"/>
    <w:rsid w:val="00ED0942"/>
    <w:rsid w:val="00ED0AA5"/>
    <w:rsid w:val="00ED18F8"/>
    <w:rsid w:val="00ED1BEE"/>
    <w:rsid w:val="00ED20B2"/>
    <w:rsid w:val="00ED3545"/>
    <w:rsid w:val="00ED3D77"/>
    <w:rsid w:val="00ED44D7"/>
    <w:rsid w:val="00ED4AE7"/>
    <w:rsid w:val="00ED60EC"/>
    <w:rsid w:val="00ED6C7E"/>
    <w:rsid w:val="00ED7605"/>
    <w:rsid w:val="00ED7677"/>
    <w:rsid w:val="00ED77FC"/>
    <w:rsid w:val="00EE0DE7"/>
    <w:rsid w:val="00EE15F0"/>
    <w:rsid w:val="00EE1839"/>
    <w:rsid w:val="00EE18EA"/>
    <w:rsid w:val="00EE1A87"/>
    <w:rsid w:val="00EE268C"/>
    <w:rsid w:val="00EE2F9F"/>
    <w:rsid w:val="00EE33D8"/>
    <w:rsid w:val="00EE4AE0"/>
    <w:rsid w:val="00EE57E0"/>
    <w:rsid w:val="00EE6002"/>
    <w:rsid w:val="00EE6C31"/>
    <w:rsid w:val="00EE6EDA"/>
    <w:rsid w:val="00EE709F"/>
    <w:rsid w:val="00EE722F"/>
    <w:rsid w:val="00EE7427"/>
    <w:rsid w:val="00EE778E"/>
    <w:rsid w:val="00EF02FD"/>
    <w:rsid w:val="00EF0CD2"/>
    <w:rsid w:val="00EF0E6C"/>
    <w:rsid w:val="00EF2450"/>
    <w:rsid w:val="00EF277F"/>
    <w:rsid w:val="00EF2907"/>
    <w:rsid w:val="00EF348D"/>
    <w:rsid w:val="00EF4CE7"/>
    <w:rsid w:val="00EF52EE"/>
    <w:rsid w:val="00EF6719"/>
    <w:rsid w:val="00EF6729"/>
    <w:rsid w:val="00EF6C6C"/>
    <w:rsid w:val="00EF6C8B"/>
    <w:rsid w:val="00EF6F26"/>
    <w:rsid w:val="00EF71D7"/>
    <w:rsid w:val="00EF73AA"/>
    <w:rsid w:val="00EF79C6"/>
    <w:rsid w:val="00EF7B94"/>
    <w:rsid w:val="00F0020A"/>
    <w:rsid w:val="00F00BC8"/>
    <w:rsid w:val="00F0259C"/>
    <w:rsid w:val="00F03424"/>
    <w:rsid w:val="00F0364B"/>
    <w:rsid w:val="00F040A0"/>
    <w:rsid w:val="00F04244"/>
    <w:rsid w:val="00F04316"/>
    <w:rsid w:val="00F046DC"/>
    <w:rsid w:val="00F0494E"/>
    <w:rsid w:val="00F04EE5"/>
    <w:rsid w:val="00F04F22"/>
    <w:rsid w:val="00F056FC"/>
    <w:rsid w:val="00F05993"/>
    <w:rsid w:val="00F05DE9"/>
    <w:rsid w:val="00F0632F"/>
    <w:rsid w:val="00F066DA"/>
    <w:rsid w:val="00F068A9"/>
    <w:rsid w:val="00F069AE"/>
    <w:rsid w:val="00F076E5"/>
    <w:rsid w:val="00F0781B"/>
    <w:rsid w:val="00F0781D"/>
    <w:rsid w:val="00F07DC4"/>
    <w:rsid w:val="00F1001F"/>
    <w:rsid w:val="00F102F1"/>
    <w:rsid w:val="00F10476"/>
    <w:rsid w:val="00F104B7"/>
    <w:rsid w:val="00F108F6"/>
    <w:rsid w:val="00F10C85"/>
    <w:rsid w:val="00F11B7A"/>
    <w:rsid w:val="00F11DF9"/>
    <w:rsid w:val="00F120B3"/>
    <w:rsid w:val="00F1214E"/>
    <w:rsid w:val="00F12740"/>
    <w:rsid w:val="00F131A7"/>
    <w:rsid w:val="00F131B4"/>
    <w:rsid w:val="00F135D8"/>
    <w:rsid w:val="00F13E0A"/>
    <w:rsid w:val="00F13FE8"/>
    <w:rsid w:val="00F14BF7"/>
    <w:rsid w:val="00F15690"/>
    <w:rsid w:val="00F15E08"/>
    <w:rsid w:val="00F1669B"/>
    <w:rsid w:val="00F174B3"/>
    <w:rsid w:val="00F17527"/>
    <w:rsid w:val="00F175B1"/>
    <w:rsid w:val="00F20471"/>
    <w:rsid w:val="00F205E8"/>
    <w:rsid w:val="00F21166"/>
    <w:rsid w:val="00F21B66"/>
    <w:rsid w:val="00F21D20"/>
    <w:rsid w:val="00F2240D"/>
    <w:rsid w:val="00F22997"/>
    <w:rsid w:val="00F22EEF"/>
    <w:rsid w:val="00F23016"/>
    <w:rsid w:val="00F235FD"/>
    <w:rsid w:val="00F247AD"/>
    <w:rsid w:val="00F247E9"/>
    <w:rsid w:val="00F24EF5"/>
    <w:rsid w:val="00F25DA7"/>
    <w:rsid w:val="00F25F1F"/>
    <w:rsid w:val="00F2620C"/>
    <w:rsid w:val="00F264E2"/>
    <w:rsid w:val="00F2666F"/>
    <w:rsid w:val="00F26CC2"/>
    <w:rsid w:val="00F2706C"/>
    <w:rsid w:val="00F27FA1"/>
    <w:rsid w:val="00F307E7"/>
    <w:rsid w:val="00F30A8B"/>
    <w:rsid w:val="00F31299"/>
    <w:rsid w:val="00F31FA3"/>
    <w:rsid w:val="00F32143"/>
    <w:rsid w:val="00F32355"/>
    <w:rsid w:val="00F32CA1"/>
    <w:rsid w:val="00F32DBB"/>
    <w:rsid w:val="00F32F55"/>
    <w:rsid w:val="00F3348A"/>
    <w:rsid w:val="00F338DB"/>
    <w:rsid w:val="00F33914"/>
    <w:rsid w:val="00F34963"/>
    <w:rsid w:val="00F349A3"/>
    <w:rsid w:val="00F34B02"/>
    <w:rsid w:val="00F3534A"/>
    <w:rsid w:val="00F35BFB"/>
    <w:rsid w:val="00F369DA"/>
    <w:rsid w:val="00F36ACC"/>
    <w:rsid w:val="00F36F5D"/>
    <w:rsid w:val="00F37052"/>
    <w:rsid w:val="00F370C0"/>
    <w:rsid w:val="00F376AA"/>
    <w:rsid w:val="00F40308"/>
    <w:rsid w:val="00F403D6"/>
    <w:rsid w:val="00F42148"/>
    <w:rsid w:val="00F42A70"/>
    <w:rsid w:val="00F42D26"/>
    <w:rsid w:val="00F42D36"/>
    <w:rsid w:val="00F4351C"/>
    <w:rsid w:val="00F43CF7"/>
    <w:rsid w:val="00F43FA3"/>
    <w:rsid w:val="00F44885"/>
    <w:rsid w:val="00F45A8E"/>
    <w:rsid w:val="00F45C7D"/>
    <w:rsid w:val="00F45EED"/>
    <w:rsid w:val="00F460B3"/>
    <w:rsid w:val="00F50445"/>
    <w:rsid w:val="00F50B8A"/>
    <w:rsid w:val="00F51535"/>
    <w:rsid w:val="00F51609"/>
    <w:rsid w:val="00F5191B"/>
    <w:rsid w:val="00F51ABF"/>
    <w:rsid w:val="00F51EC9"/>
    <w:rsid w:val="00F523C5"/>
    <w:rsid w:val="00F53296"/>
    <w:rsid w:val="00F5330A"/>
    <w:rsid w:val="00F54263"/>
    <w:rsid w:val="00F54749"/>
    <w:rsid w:val="00F547C9"/>
    <w:rsid w:val="00F54C96"/>
    <w:rsid w:val="00F54FD5"/>
    <w:rsid w:val="00F55A01"/>
    <w:rsid w:val="00F55C25"/>
    <w:rsid w:val="00F561F9"/>
    <w:rsid w:val="00F56845"/>
    <w:rsid w:val="00F576FE"/>
    <w:rsid w:val="00F601E4"/>
    <w:rsid w:val="00F6095D"/>
    <w:rsid w:val="00F60FB0"/>
    <w:rsid w:val="00F618A5"/>
    <w:rsid w:val="00F61D36"/>
    <w:rsid w:val="00F62E0F"/>
    <w:rsid w:val="00F63214"/>
    <w:rsid w:val="00F6349F"/>
    <w:rsid w:val="00F6365F"/>
    <w:rsid w:val="00F63D23"/>
    <w:rsid w:val="00F63F41"/>
    <w:rsid w:val="00F6436B"/>
    <w:rsid w:val="00F644F2"/>
    <w:rsid w:val="00F64CEE"/>
    <w:rsid w:val="00F654BE"/>
    <w:rsid w:val="00F65FF0"/>
    <w:rsid w:val="00F66C3A"/>
    <w:rsid w:val="00F67803"/>
    <w:rsid w:val="00F67C46"/>
    <w:rsid w:val="00F70766"/>
    <w:rsid w:val="00F709A2"/>
    <w:rsid w:val="00F70AFD"/>
    <w:rsid w:val="00F712BF"/>
    <w:rsid w:val="00F71328"/>
    <w:rsid w:val="00F71900"/>
    <w:rsid w:val="00F71BCE"/>
    <w:rsid w:val="00F729FB"/>
    <w:rsid w:val="00F72BC4"/>
    <w:rsid w:val="00F72C2A"/>
    <w:rsid w:val="00F72F1B"/>
    <w:rsid w:val="00F73727"/>
    <w:rsid w:val="00F7389C"/>
    <w:rsid w:val="00F74BF4"/>
    <w:rsid w:val="00F7575D"/>
    <w:rsid w:val="00F7615F"/>
    <w:rsid w:val="00F762C4"/>
    <w:rsid w:val="00F766A7"/>
    <w:rsid w:val="00F76BBE"/>
    <w:rsid w:val="00F77473"/>
    <w:rsid w:val="00F77A56"/>
    <w:rsid w:val="00F803F3"/>
    <w:rsid w:val="00F80681"/>
    <w:rsid w:val="00F806BE"/>
    <w:rsid w:val="00F80A46"/>
    <w:rsid w:val="00F80CE0"/>
    <w:rsid w:val="00F80F11"/>
    <w:rsid w:val="00F81006"/>
    <w:rsid w:val="00F81226"/>
    <w:rsid w:val="00F813E7"/>
    <w:rsid w:val="00F81407"/>
    <w:rsid w:val="00F8182F"/>
    <w:rsid w:val="00F81AC0"/>
    <w:rsid w:val="00F81AD1"/>
    <w:rsid w:val="00F82201"/>
    <w:rsid w:val="00F82366"/>
    <w:rsid w:val="00F826E9"/>
    <w:rsid w:val="00F83237"/>
    <w:rsid w:val="00F85325"/>
    <w:rsid w:val="00F853F5"/>
    <w:rsid w:val="00F859CE"/>
    <w:rsid w:val="00F8602B"/>
    <w:rsid w:val="00F8788B"/>
    <w:rsid w:val="00F87C2C"/>
    <w:rsid w:val="00F9050C"/>
    <w:rsid w:val="00F90D66"/>
    <w:rsid w:val="00F914B4"/>
    <w:rsid w:val="00F916F1"/>
    <w:rsid w:val="00F91C45"/>
    <w:rsid w:val="00F930C0"/>
    <w:rsid w:val="00F931DE"/>
    <w:rsid w:val="00F938CC"/>
    <w:rsid w:val="00F93BA2"/>
    <w:rsid w:val="00F93C70"/>
    <w:rsid w:val="00F94358"/>
    <w:rsid w:val="00F94C02"/>
    <w:rsid w:val="00F94D6A"/>
    <w:rsid w:val="00F950ED"/>
    <w:rsid w:val="00F95A90"/>
    <w:rsid w:val="00F96E02"/>
    <w:rsid w:val="00F972CB"/>
    <w:rsid w:val="00F97922"/>
    <w:rsid w:val="00F97ADC"/>
    <w:rsid w:val="00FA020F"/>
    <w:rsid w:val="00FA056A"/>
    <w:rsid w:val="00FA0577"/>
    <w:rsid w:val="00FA0A3C"/>
    <w:rsid w:val="00FA0D9F"/>
    <w:rsid w:val="00FA0F0B"/>
    <w:rsid w:val="00FA14A3"/>
    <w:rsid w:val="00FA16C3"/>
    <w:rsid w:val="00FA1C33"/>
    <w:rsid w:val="00FA1F79"/>
    <w:rsid w:val="00FA2121"/>
    <w:rsid w:val="00FA2C2B"/>
    <w:rsid w:val="00FA3D19"/>
    <w:rsid w:val="00FA4301"/>
    <w:rsid w:val="00FA4A96"/>
    <w:rsid w:val="00FA4DDB"/>
    <w:rsid w:val="00FA4F28"/>
    <w:rsid w:val="00FA4FB9"/>
    <w:rsid w:val="00FA50F1"/>
    <w:rsid w:val="00FA5122"/>
    <w:rsid w:val="00FA521F"/>
    <w:rsid w:val="00FA55F4"/>
    <w:rsid w:val="00FA565F"/>
    <w:rsid w:val="00FA5AE6"/>
    <w:rsid w:val="00FA6607"/>
    <w:rsid w:val="00FA6B05"/>
    <w:rsid w:val="00FA6CD3"/>
    <w:rsid w:val="00FA72FA"/>
    <w:rsid w:val="00FA77A3"/>
    <w:rsid w:val="00FB0678"/>
    <w:rsid w:val="00FB1C32"/>
    <w:rsid w:val="00FB1C73"/>
    <w:rsid w:val="00FB2299"/>
    <w:rsid w:val="00FB2F62"/>
    <w:rsid w:val="00FB46C5"/>
    <w:rsid w:val="00FB5656"/>
    <w:rsid w:val="00FB5AFC"/>
    <w:rsid w:val="00FB6768"/>
    <w:rsid w:val="00FB6FFC"/>
    <w:rsid w:val="00FC048E"/>
    <w:rsid w:val="00FC14CF"/>
    <w:rsid w:val="00FC15F3"/>
    <w:rsid w:val="00FC28D1"/>
    <w:rsid w:val="00FC2EE7"/>
    <w:rsid w:val="00FC582A"/>
    <w:rsid w:val="00FC61F7"/>
    <w:rsid w:val="00FC6BCE"/>
    <w:rsid w:val="00FC6D36"/>
    <w:rsid w:val="00FC7C7E"/>
    <w:rsid w:val="00FC7F84"/>
    <w:rsid w:val="00FD0432"/>
    <w:rsid w:val="00FD06B5"/>
    <w:rsid w:val="00FD0F1F"/>
    <w:rsid w:val="00FD1674"/>
    <w:rsid w:val="00FD19CC"/>
    <w:rsid w:val="00FD1DD1"/>
    <w:rsid w:val="00FD2264"/>
    <w:rsid w:val="00FD22B1"/>
    <w:rsid w:val="00FD33F1"/>
    <w:rsid w:val="00FD3566"/>
    <w:rsid w:val="00FD368A"/>
    <w:rsid w:val="00FD3798"/>
    <w:rsid w:val="00FD3A65"/>
    <w:rsid w:val="00FD3D20"/>
    <w:rsid w:val="00FD5CDE"/>
    <w:rsid w:val="00FD645C"/>
    <w:rsid w:val="00FD65EA"/>
    <w:rsid w:val="00FD6D09"/>
    <w:rsid w:val="00FD7997"/>
    <w:rsid w:val="00FD7B0C"/>
    <w:rsid w:val="00FD7BEE"/>
    <w:rsid w:val="00FD7FB4"/>
    <w:rsid w:val="00FE0341"/>
    <w:rsid w:val="00FE043F"/>
    <w:rsid w:val="00FE0C61"/>
    <w:rsid w:val="00FE13B2"/>
    <w:rsid w:val="00FE2422"/>
    <w:rsid w:val="00FE2ECE"/>
    <w:rsid w:val="00FE36EE"/>
    <w:rsid w:val="00FE3A42"/>
    <w:rsid w:val="00FE4926"/>
    <w:rsid w:val="00FE5397"/>
    <w:rsid w:val="00FE5C20"/>
    <w:rsid w:val="00FE748D"/>
    <w:rsid w:val="00FE7A1F"/>
    <w:rsid w:val="00FF01BB"/>
    <w:rsid w:val="00FF1610"/>
    <w:rsid w:val="00FF1AB3"/>
    <w:rsid w:val="00FF1F26"/>
    <w:rsid w:val="00FF24FD"/>
    <w:rsid w:val="00FF331C"/>
    <w:rsid w:val="00FF3655"/>
    <w:rsid w:val="00FF3D3F"/>
    <w:rsid w:val="00FF4B5A"/>
    <w:rsid w:val="00FF4EB2"/>
    <w:rsid w:val="00FF4F15"/>
    <w:rsid w:val="00FF4F8A"/>
    <w:rsid w:val="00FF500A"/>
    <w:rsid w:val="00FF55AF"/>
    <w:rsid w:val="00FF5856"/>
    <w:rsid w:val="00FF5FD1"/>
    <w:rsid w:val="00FF616F"/>
    <w:rsid w:val="00FF67E3"/>
    <w:rsid w:val="00FF68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14:docId w14:val="1EA38B05"/>
  <w15:docId w15:val="{E4FF8713-2ACF-43A3-B82B-181C8AB78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A2269"/>
    <w:rPr>
      <w:sz w:val="24"/>
      <w:szCs w:val="24"/>
    </w:rPr>
  </w:style>
  <w:style w:type="paragraph" w:styleId="Heading1">
    <w:name w:val="heading 1"/>
    <w:basedOn w:val="BodyText"/>
    <w:next w:val="BodyText"/>
    <w:link w:val="Heading1Char"/>
    <w:rsid w:val="007A2269"/>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7A2269"/>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7A2269"/>
    <w:pPr>
      <w:spacing w:before="560" w:line="320" w:lineRule="exact"/>
      <w:ind w:left="0" w:firstLine="0"/>
      <w:outlineLvl w:val="2"/>
    </w:pPr>
    <w:rPr>
      <w:sz w:val="26"/>
    </w:rPr>
  </w:style>
  <w:style w:type="paragraph" w:styleId="Heading4">
    <w:name w:val="heading 4"/>
    <w:basedOn w:val="Heading3"/>
    <w:next w:val="BodyText"/>
    <w:link w:val="Heading4Char"/>
    <w:qFormat/>
    <w:rsid w:val="007A2269"/>
    <w:pPr>
      <w:spacing w:before="480"/>
      <w:outlineLvl w:val="3"/>
    </w:pPr>
    <w:rPr>
      <w:b w:val="0"/>
      <w:sz w:val="24"/>
    </w:rPr>
  </w:style>
  <w:style w:type="paragraph" w:styleId="Heading5">
    <w:name w:val="heading 5"/>
    <w:basedOn w:val="Heading4"/>
    <w:next w:val="BodyText"/>
    <w:link w:val="Heading5Char"/>
    <w:qFormat/>
    <w:rsid w:val="007A2269"/>
    <w:pPr>
      <w:outlineLvl w:val="4"/>
    </w:pPr>
    <w:rPr>
      <w:i/>
      <w:sz w:val="22"/>
    </w:rPr>
  </w:style>
  <w:style w:type="paragraph" w:styleId="Heading6">
    <w:name w:val="heading 6"/>
    <w:basedOn w:val="BodyText"/>
    <w:next w:val="BodyText"/>
    <w:link w:val="Heading6Char"/>
    <w:semiHidden/>
    <w:rsid w:val="007A2269"/>
    <w:pPr>
      <w:spacing w:after="60"/>
      <w:jc w:val="left"/>
      <w:outlineLvl w:val="5"/>
    </w:pPr>
    <w:rPr>
      <w:i/>
      <w:sz w:val="22"/>
    </w:rPr>
  </w:style>
  <w:style w:type="paragraph" w:styleId="Heading7">
    <w:name w:val="heading 7"/>
    <w:basedOn w:val="BodyText"/>
    <w:next w:val="BodyText"/>
    <w:link w:val="Heading7Char"/>
    <w:semiHidden/>
    <w:rsid w:val="007A2269"/>
    <w:pPr>
      <w:spacing w:after="60" w:line="240" w:lineRule="auto"/>
      <w:jc w:val="left"/>
      <w:outlineLvl w:val="6"/>
    </w:pPr>
    <w:rPr>
      <w:rFonts w:ascii="Arial" w:hAnsi="Arial"/>
      <w:sz w:val="20"/>
    </w:rPr>
  </w:style>
  <w:style w:type="paragraph" w:styleId="Heading8">
    <w:name w:val="heading 8"/>
    <w:basedOn w:val="BodyText"/>
    <w:next w:val="BodyText"/>
    <w:link w:val="Heading8Char"/>
    <w:semiHidden/>
    <w:rsid w:val="007A2269"/>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rsid w:val="007A2269"/>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rsid w:val="007A226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A2269"/>
  </w:style>
  <w:style w:type="paragraph" w:styleId="BodyText">
    <w:name w:val="Body Text"/>
    <w:link w:val="BodyTextChar"/>
    <w:qFormat/>
    <w:rsid w:val="007A2269"/>
    <w:pPr>
      <w:spacing w:before="240" w:line="300" w:lineRule="atLeast"/>
      <w:jc w:val="both"/>
    </w:pPr>
    <w:rPr>
      <w:sz w:val="24"/>
    </w:rPr>
  </w:style>
  <w:style w:type="paragraph" w:styleId="Footer">
    <w:name w:val="footer"/>
    <w:basedOn w:val="BodyText"/>
    <w:link w:val="FooterChar"/>
    <w:rsid w:val="007A2269"/>
    <w:pPr>
      <w:spacing w:before="80" w:line="200" w:lineRule="exact"/>
      <w:ind w:right="6"/>
      <w:jc w:val="left"/>
    </w:pPr>
    <w:rPr>
      <w:rFonts w:ascii="Arial" w:hAnsi="Arial"/>
      <w:caps/>
      <w:spacing w:val="-4"/>
      <w:sz w:val="16"/>
    </w:rPr>
  </w:style>
  <w:style w:type="paragraph" w:customStyle="1" w:styleId="FooterEnd">
    <w:name w:val="Footer End"/>
    <w:basedOn w:val="Footer"/>
    <w:rsid w:val="007A2269"/>
    <w:pPr>
      <w:spacing w:before="0" w:line="20" w:lineRule="exact"/>
    </w:pPr>
  </w:style>
  <w:style w:type="paragraph" w:styleId="Header">
    <w:name w:val="header"/>
    <w:basedOn w:val="BodyText"/>
    <w:link w:val="HeaderChar"/>
    <w:rsid w:val="007A2269"/>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7A2269"/>
    <w:pPr>
      <w:spacing w:line="20" w:lineRule="exact"/>
    </w:pPr>
    <w:rPr>
      <w:sz w:val="16"/>
    </w:rPr>
  </w:style>
  <w:style w:type="paragraph" w:customStyle="1" w:styleId="HeaderEven">
    <w:name w:val="Header Even"/>
    <w:basedOn w:val="Header"/>
    <w:rsid w:val="007A2269"/>
  </w:style>
  <w:style w:type="paragraph" w:customStyle="1" w:styleId="HeaderOdd">
    <w:name w:val="Header Odd"/>
    <w:basedOn w:val="Header"/>
    <w:rsid w:val="007A2269"/>
  </w:style>
  <w:style w:type="character" w:styleId="PageNumber">
    <w:name w:val="page number"/>
    <w:basedOn w:val="DefaultParagraphFont"/>
    <w:rsid w:val="007A2269"/>
    <w:rPr>
      <w:rFonts w:ascii="Arial" w:hAnsi="Arial"/>
      <w:b/>
      <w:sz w:val="16"/>
    </w:rPr>
  </w:style>
  <w:style w:type="paragraph" w:customStyle="1" w:styleId="Abbreviation">
    <w:name w:val="Abbreviation"/>
    <w:basedOn w:val="BodyText"/>
    <w:rsid w:val="007A2269"/>
    <w:pPr>
      <w:spacing w:before="120"/>
      <w:ind w:left="2381" w:hanging="2381"/>
      <w:jc w:val="left"/>
    </w:pPr>
  </w:style>
  <w:style w:type="paragraph" w:customStyle="1" w:styleId="Box">
    <w:name w:val="Box"/>
    <w:basedOn w:val="BodyText"/>
    <w:qFormat/>
    <w:rsid w:val="007A2269"/>
    <w:pPr>
      <w:keepNext/>
      <w:spacing w:before="120" w:line="260" w:lineRule="atLeast"/>
    </w:pPr>
    <w:rPr>
      <w:rFonts w:ascii="Arial" w:hAnsi="Arial"/>
      <w:sz w:val="20"/>
    </w:rPr>
  </w:style>
  <w:style w:type="paragraph" w:customStyle="1" w:styleId="BoxContinued">
    <w:name w:val="Box Continued"/>
    <w:basedOn w:val="BodyText"/>
    <w:next w:val="BodyText"/>
    <w:semiHidden/>
    <w:rsid w:val="007A2269"/>
    <w:pPr>
      <w:spacing w:before="180" w:line="220" w:lineRule="exact"/>
      <w:jc w:val="right"/>
    </w:pPr>
    <w:rPr>
      <w:rFonts w:ascii="Arial" w:hAnsi="Arial"/>
      <w:sz w:val="18"/>
    </w:rPr>
  </w:style>
  <w:style w:type="paragraph" w:customStyle="1" w:styleId="BoxHeading1">
    <w:name w:val="Box Heading 1"/>
    <w:basedOn w:val="BodyText"/>
    <w:next w:val="Box"/>
    <w:rsid w:val="007A2269"/>
    <w:pPr>
      <w:keepNext/>
      <w:spacing w:before="200" w:line="280" w:lineRule="atLeast"/>
    </w:pPr>
    <w:rPr>
      <w:rFonts w:ascii="Arial" w:hAnsi="Arial"/>
      <w:b/>
      <w:sz w:val="22"/>
    </w:rPr>
  </w:style>
  <w:style w:type="paragraph" w:customStyle="1" w:styleId="BoxHeading2">
    <w:name w:val="Box Heading 2"/>
    <w:basedOn w:val="BoxHeading1"/>
    <w:next w:val="Normal"/>
    <w:rsid w:val="007A2269"/>
    <w:rPr>
      <w:b w:val="0"/>
      <w:i/>
    </w:rPr>
  </w:style>
  <w:style w:type="paragraph" w:customStyle="1" w:styleId="BoxListBullet">
    <w:name w:val="Box List Bullet"/>
    <w:basedOn w:val="BodyText"/>
    <w:rsid w:val="007A2269"/>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7A2269"/>
    <w:pPr>
      <w:numPr>
        <w:numId w:val="13"/>
      </w:numPr>
      <w:ind w:left="568" w:hanging="284"/>
    </w:pPr>
  </w:style>
  <w:style w:type="paragraph" w:customStyle="1" w:styleId="BoxListNumber">
    <w:name w:val="Box List Number"/>
    <w:basedOn w:val="BodyText"/>
    <w:rsid w:val="007A2269"/>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7A2269"/>
    <w:pPr>
      <w:numPr>
        <w:ilvl w:val="1"/>
      </w:numPr>
      <w:ind w:left="681" w:hanging="397"/>
    </w:pPr>
  </w:style>
  <w:style w:type="paragraph" w:customStyle="1" w:styleId="BoxQuote">
    <w:name w:val="Box Quote"/>
    <w:basedOn w:val="BodyText"/>
    <w:next w:val="Box"/>
    <w:qFormat/>
    <w:rsid w:val="007A2269"/>
    <w:pPr>
      <w:keepNext/>
      <w:spacing w:before="60" w:line="240" w:lineRule="exact"/>
      <w:ind w:left="284"/>
    </w:pPr>
    <w:rPr>
      <w:rFonts w:ascii="Arial" w:hAnsi="Arial"/>
      <w:sz w:val="18"/>
    </w:rPr>
  </w:style>
  <w:style w:type="paragraph" w:customStyle="1" w:styleId="Note">
    <w:name w:val="Note"/>
    <w:basedOn w:val="BodyText"/>
    <w:next w:val="BodyText"/>
    <w:rsid w:val="007A2269"/>
    <w:pPr>
      <w:keepLines/>
      <w:spacing w:before="80" w:line="220" w:lineRule="exact"/>
    </w:pPr>
    <w:rPr>
      <w:rFonts w:ascii="Arial" w:hAnsi="Arial"/>
      <w:sz w:val="18"/>
    </w:rPr>
  </w:style>
  <w:style w:type="paragraph" w:customStyle="1" w:styleId="Source">
    <w:name w:val="Source"/>
    <w:basedOn w:val="Normal"/>
    <w:next w:val="BodyText"/>
    <w:rsid w:val="007A2269"/>
    <w:pPr>
      <w:keepLines/>
      <w:spacing w:before="80" w:line="220" w:lineRule="exact"/>
      <w:jc w:val="both"/>
    </w:pPr>
    <w:rPr>
      <w:rFonts w:ascii="Arial" w:hAnsi="Arial"/>
      <w:sz w:val="18"/>
      <w:szCs w:val="20"/>
    </w:rPr>
  </w:style>
  <w:style w:type="paragraph" w:customStyle="1" w:styleId="BoxSource">
    <w:name w:val="Box Source"/>
    <w:basedOn w:val="Source"/>
    <w:next w:val="BodyText"/>
    <w:rsid w:val="007A2269"/>
    <w:pPr>
      <w:spacing w:before="120"/>
    </w:pPr>
  </w:style>
  <w:style w:type="paragraph" w:customStyle="1" w:styleId="BoxSpaceAbove">
    <w:name w:val="Box Space Above"/>
    <w:basedOn w:val="BodyText"/>
    <w:rsid w:val="007A2269"/>
    <w:pPr>
      <w:keepNext/>
      <w:spacing w:before="360" w:line="80" w:lineRule="exact"/>
      <w:jc w:val="left"/>
    </w:pPr>
  </w:style>
  <w:style w:type="paragraph" w:styleId="Caption">
    <w:name w:val="caption"/>
    <w:basedOn w:val="Normal"/>
    <w:next w:val="BodyText"/>
    <w:rsid w:val="007A2269"/>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7A2269"/>
    <w:pPr>
      <w:spacing w:before="120" w:after="0"/>
    </w:pPr>
  </w:style>
  <w:style w:type="paragraph" w:customStyle="1" w:styleId="BoxSubtitle">
    <w:name w:val="Box Subtitle"/>
    <w:basedOn w:val="BoxTitle"/>
    <w:next w:val="Normal"/>
    <w:rsid w:val="007A2269"/>
    <w:pPr>
      <w:spacing w:after="80" w:line="200" w:lineRule="exact"/>
      <w:ind w:firstLine="0"/>
    </w:pPr>
    <w:rPr>
      <w:b w:val="0"/>
      <w:sz w:val="20"/>
    </w:rPr>
  </w:style>
  <w:style w:type="paragraph" w:customStyle="1" w:styleId="Chapter">
    <w:name w:val="Chapter"/>
    <w:basedOn w:val="Heading1"/>
    <w:next w:val="BodyText"/>
    <w:semiHidden/>
    <w:rsid w:val="007A2269"/>
    <w:pPr>
      <w:ind w:left="0" w:firstLine="0"/>
      <w:outlineLvl w:val="9"/>
    </w:pPr>
  </w:style>
  <w:style w:type="paragraph" w:customStyle="1" w:styleId="ChapterSummary">
    <w:name w:val="Chapter Summary"/>
    <w:basedOn w:val="BodyText"/>
    <w:rsid w:val="007A2269"/>
    <w:pPr>
      <w:spacing w:line="280" w:lineRule="atLeast"/>
      <w:ind w:left="907"/>
    </w:pPr>
    <w:rPr>
      <w:rFonts w:ascii="Arial" w:hAnsi="Arial"/>
      <w:b/>
      <w:sz w:val="20"/>
    </w:rPr>
  </w:style>
  <w:style w:type="character" w:styleId="CommentReference">
    <w:name w:val="annotation reference"/>
    <w:basedOn w:val="DefaultParagraphFont"/>
    <w:semiHidden/>
    <w:rsid w:val="007A2269"/>
    <w:rPr>
      <w:b/>
      <w:vanish/>
      <w:color w:val="FF00FF"/>
      <w:sz w:val="20"/>
    </w:rPr>
  </w:style>
  <w:style w:type="paragraph" w:styleId="CommentText">
    <w:name w:val="annotation text"/>
    <w:basedOn w:val="Normal"/>
    <w:link w:val="CommentTextChar1"/>
    <w:semiHidden/>
    <w:rsid w:val="007A2269"/>
    <w:pPr>
      <w:spacing w:before="120" w:line="240" w:lineRule="atLeast"/>
      <w:ind w:left="567" w:hanging="567"/>
    </w:pPr>
    <w:rPr>
      <w:sz w:val="20"/>
    </w:rPr>
  </w:style>
  <w:style w:type="paragraph" w:customStyle="1" w:styleId="Continued">
    <w:name w:val="Continued"/>
    <w:basedOn w:val="BoxContinued"/>
    <w:next w:val="BodyText"/>
    <w:rsid w:val="007A2269"/>
  </w:style>
  <w:style w:type="character" w:customStyle="1" w:styleId="DocumentInfo">
    <w:name w:val="Document Info"/>
    <w:basedOn w:val="DefaultParagraphFont"/>
    <w:semiHidden/>
    <w:rsid w:val="007A2269"/>
    <w:rPr>
      <w:rFonts w:ascii="Arial" w:hAnsi="Arial"/>
      <w:sz w:val="14"/>
    </w:rPr>
  </w:style>
  <w:style w:type="character" w:customStyle="1" w:styleId="DraftingNote">
    <w:name w:val="Drafting Note"/>
    <w:basedOn w:val="DefaultParagraphFont"/>
    <w:rsid w:val="007A2269"/>
    <w:rPr>
      <w:b/>
      <w:color w:val="FF0000"/>
      <w:sz w:val="24"/>
      <w:u w:val="dotted"/>
    </w:rPr>
  </w:style>
  <w:style w:type="paragraph" w:customStyle="1" w:styleId="Figure">
    <w:name w:val="Figure"/>
    <w:basedOn w:val="BodyText"/>
    <w:rsid w:val="007A2269"/>
    <w:pPr>
      <w:keepNext/>
      <w:spacing w:before="120" w:after="120" w:line="240" w:lineRule="atLeast"/>
      <w:jc w:val="center"/>
    </w:pPr>
  </w:style>
  <w:style w:type="paragraph" w:customStyle="1" w:styleId="FigureTitle">
    <w:name w:val="Figure Title"/>
    <w:basedOn w:val="Caption"/>
    <w:next w:val="Subtitle"/>
    <w:rsid w:val="007A2269"/>
    <w:pPr>
      <w:spacing w:before="120"/>
    </w:pPr>
  </w:style>
  <w:style w:type="paragraph" w:styleId="Subtitle">
    <w:name w:val="Subtitle"/>
    <w:basedOn w:val="Caption"/>
    <w:link w:val="SubtitleChar"/>
    <w:qFormat/>
    <w:rsid w:val="007A2269"/>
    <w:pPr>
      <w:spacing w:before="0" w:line="200" w:lineRule="exact"/>
      <w:ind w:firstLine="0"/>
    </w:pPr>
    <w:rPr>
      <w:b w:val="0"/>
      <w:sz w:val="20"/>
    </w:rPr>
  </w:style>
  <w:style w:type="paragraph" w:customStyle="1" w:styleId="Finding">
    <w:name w:val="Finding"/>
    <w:basedOn w:val="BodyText"/>
    <w:rsid w:val="007A2269"/>
    <w:pPr>
      <w:keepLines/>
      <w:spacing w:before="120" w:line="280" w:lineRule="atLeast"/>
    </w:pPr>
    <w:rPr>
      <w:rFonts w:ascii="Arial" w:hAnsi="Arial"/>
      <w:sz w:val="22"/>
    </w:rPr>
  </w:style>
  <w:style w:type="paragraph" w:customStyle="1" w:styleId="FindingBullet">
    <w:name w:val="Finding Bullet"/>
    <w:basedOn w:val="Finding"/>
    <w:rsid w:val="007A2269"/>
    <w:pPr>
      <w:numPr>
        <w:numId w:val="15"/>
      </w:numPr>
      <w:spacing w:before="80"/>
    </w:pPr>
  </w:style>
  <w:style w:type="paragraph" w:customStyle="1" w:styleId="FindingNoTitle">
    <w:name w:val="Finding NoTitle"/>
    <w:basedOn w:val="Finding"/>
    <w:semiHidden/>
    <w:rsid w:val="007A2269"/>
    <w:pPr>
      <w:spacing w:before="240"/>
    </w:pPr>
  </w:style>
  <w:style w:type="paragraph" w:customStyle="1" w:styleId="RecTitle">
    <w:name w:val="Rec Title"/>
    <w:basedOn w:val="BodyText"/>
    <w:next w:val="Rec"/>
    <w:qFormat/>
    <w:rsid w:val="007A2269"/>
    <w:pPr>
      <w:keepNext/>
      <w:keepLines/>
      <w:spacing w:line="280" w:lineRule="atLeast"/>
    </w:pPr>
    <w:rPr>
      <w:rFonts w:ascii="Arial" w:hAnsi="Arial"/>
      <w:caps/>
      <w:sz w:val="18"/>
    </w:rPr>
  </w:style>
  <w:style w:type="paragraph" w:customStyle="1" w:styleId="FindingTitle">
    <w:name w:val="Finding Title"/>
    <w:basedOn w:val="RecTitle"/>
    <w:next w:val="Finding"/>
    <w:rsid w:val="007A2269"/>
  </w:style>
  <w:style w:type="character" w:styleId="FootnoteReference">
    <w:name w:val="footnote reference"/>
    <w:basedOn w:val="DefaultParagraphFont"/>
    <w:semiHidden/>
    <w:rsid w:val="007A2269"/>
    <w:rPr>
      <w:rFonts w:ascii="Times New Roman" w:hAnsi="Times New Roman"/>
      <w:position w:val="6"/>
      <w:sz w:val="20"/>
      <w:vertAlign w:val="baseline"/>
    </w:rPr>
  </w:style>
  <w:style w:type="paragraph" w:styleId="FootnoteText">
    <w:name w:val="footnote text"/>
    <w:basedOn w:val="BodyText"/>
    <w:link w:val="FootnoteTextChar"/>
    <w:rsid w:val="007A2269"/>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7A2269"/>
    <w:rPr>
      <w:i/>
    </w:rPr>
  </w:style>
  <w:style w:type="paragraph" w:customStyle="1" w:styleId="Jurisdictioncommentsbodytext">
    <w:name w:val="Jurisdiction comments body text"/>
    <w:rsid w:val="007A2269"/>
    <w:pPr>
      <w:spacing w:after="140"/>
      <w:jc w:val="both"/>
    </w:pPr>
    <w:rPr>
      <w:rFonts w:ascii="Arial" w:hAnsi="Arial"/>
      <w:sz w:val="24"/>
      <w:lang w:eastAsia="en-US"/>
    </w:rPr>
  </w:style>
  <w:style w:type="paragraph" w:customStyle="1" w:styleId="Jurisdictioncommentsheading">
    <w:name w:val="Jurisdiction comments heading"/>
    <w:rsid w:val="007A2269"/>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7A2269"/>
    <w:pPr>
      <w:numPr>
        <w:numId w:val="2"/>
      </w:numPr>
      <w:spacing w:after="140"/>
      <w:jc w:val="both"/>
    </w:pPr>
    <w:rPr>
      <w:rFonts w:ascii="Arial" w:hAnsi="Arial"/>
      <w:sz w:val="24"/>
      <w:lang w:eastAsia="en-US"/>
    </w:rPr>
  </w:style>
  <w:style w:type="paragraph" w:styleId="ListBullet">
    <w:name w:val="List Bullet"/>
    <w:basedOn w:val="BodyText"/>
    <w:rsid w:val="007A2269"/>
    <w:pPr>
      <w:numPr>
        <w:numId w:val="3"/>
      </w:numPr>
      <w:spacing w:before="120"/>
    </w:pPr>
  </w:style>
  <w:style w:type="paragraph" w:styleId="ListBullet2">
    <w:name w:val="List Bullet 2"/>
    <w:basedOn w:val="BodyText"/>
    <w:rsid w:val="007A2269"/>
    <w:pPr>
      <w:numPr>
        <w:numId w:val="4"/>
      </w:numPr>
      <w:spacing w:before="120"/>
    </w:pPr>
  </w:style>
  <w:style w:type="paragraph" w:styleId="ListBullet3">
    <w:name w:val="List Bullet 3"/>
    <w:basedOn w:val="BodyText"/>
    <w:rsid w:val="007A2269"/>
    <w:pPr>
      <w:numPr>
        <w:numId w:val="5"/>
      </w:numPr>
      <w:spacing w:before="120"/>
      <w:ind w:left="1020" w:hanging="340"/>
    </w:pPr>
  </w:style>
  <w:style w:type="paragraph" w:styleId="ListNumber">
    <w:name w:val="List Number"/>
    <w:basedOn w:val="BodyText"/>
    <w:rsid w:val="007A2269"/>
    <w:pPr>
      <w:numPr>
        <w:numId w:val="9"/>
      </w:numPr>
      <w:spacing w:before="120"/>
    </w:pPr>
  </w:style>
  <w:style w:type="paragraph" w:styleId="ListNumber2">
    <w:name w:val="List Number 2"/>
    <w:basedOn w:val="ListNumber"/>
    <w:rsid w:val="007A2269"/>
    <w:pPr>
      <w:numPr>
        <w:ilvl w:val="1"/>
      </w:numPr>
    </w:pPr>
  </w:style>
  <w:style w:type="paragraph" w:styleId="ListNumber3">
    <w:name w:val="List Number 3"/>
    <w:basedOn w:val="ListNumber2"/>
    <w:rsid w:val="007A2269"/>
    <w:pPr>
      <w:numPr>
        <w:ilvl w:val="2"/>
      </w:numPr>
    </w:pPr>
  </w:style>
  <w:style w:type="character" w:customStyle="1" w:styleId="NoteLabel">
    <w:name w:val="Note Label"/>
    <w:basedOn w:val="DefaultParagraphFont"/>
    <w:rsid w:val="007A2269"/>
    <w:rPr>
      <w:rFonts w:ascii="Arial" w:hAnsi="Arial"/>
      <w:b/>
      <w:position w:val="6"/>
      <w:sz w:val="18"/>
    </w:rPr>
  </w:style>
  <w:style w:type="paragraph" w:customStyle="1" w:styleId="PartDivider">
    <w:name w:val="Part Divider"/>
    <w:basedOn w:val="BodyText"/>
    <w:next w:val="BodyText"/>
    <w:semiHidden/>
    <w:rsid w:val="007A2269"/>
    <w:pPr>
      <w:spacing w:before="0" w:line="40" w:lineRule="exact"/>
      <w:jc w:val="right"/>
    </w:pPr>
    <w:rPr>
      <w:smallCaps/>
      <w:sz w:val="16"/>
    </w:rPr>
  </w:style>
  <w:style w:type="paragraph" w:customStyle="1" w:styleId="PartNumber">
    <w:name w:val="Part Number"/>
    <w:basedOn w:val="BodyText"/>
    <w:next w:val="BodyText"/>
    <w:semiHidden/>
    <w:rsid w:val="007A2269"/>
    <w:pPr>
      <w:spacing w:before="4000" w:line="320" w:lineRule="exact"/>
      <w:ind w:left="6634"/>
      <w:jc w:val="right"/>
    </w:pPr>
    <w:rPr>
      <w:smallCaps/>
      <w:spacing w:val="60"/>
      <w:sz w:val="32"/>
    </w:rPr>
  </w:style>
  <w:style w:type="paragraph" w:customStyle="1" w:styleId="PartTitle">
    <w:name w:val="Part Title"/>
    <w:basedOn w:val="BodyText"/>
    <w:semiHidden/>
    <w:rsid w:val="007A2269"/>
    <w:pPr>
      <w:spacing w:before="160" w:after="1360" w:line="520" w:lineRule="exact"/>
      <w:ind w:right="2381"/>
      <w:jc w:val="right"/>
    </w:pPr>
    <w:rPr>
      <w:smallCaps/>
      <w:sz w:val="52"/>
    </w:rPr>
  </w:style>
  <w:style w:type="paragraph" w:styleId="Quote">
    <w:name w:val="Quote"/>
    <w:basedOn w:val="BodyText"/>
    <w:next w:val="BodyText"/>
    <w:link w:val="QuoteChar"/>
    <w:qFormat/>
    <w:rsid w:val="007A2269"/>
    <w:pPr>
      <w:spacing w:before="120" w:line="280" w:lineRule="exact"/>
      <w:ind w:left="340"/>
    </w:pPr>
    <w:rPr>
      <w:sz w:val="22"/>
    </w:rPr>
  </w:style>
  <w:style w:type="paragraph" w:customStyle="1" w:styleId="QuoteBullet">
    <w:name w:val="Quote Bullet"/>
    <w:basedOn w:val="Quote"/>
    <w:rsid w:val="007A2269"/>
    <w:pPr>
      <w:numPr>
        <w:numId w:val="6"/>
      </w:numPr>
    </w:pPr>
  </w:style>
  <w:style w:type="paragraph" w:customStyle="1" w:styleId="Rec">
    <w:name w:val="Rec"/>
    <w:basedOn w:val="BodyText"/>
    <w:qFormat/>
    <w:rsid w:val="007A2269"/>
    <w:pPr>
      <w:keepLines/>
      <w:spacing w:before="120" w:line="280" w:lineRule="atLeast"/>
    </w:pPr>
    <w:rPr>
      <w:rFonts w:ascii="Arial" w:hAnsi="Arial"/>
      <w:sz w:val="22"/>
    </w:rPr>
  </w:style>
  <w:style w:type="paragraph" w:customStyle="1" w:styleId="RecBullet">
    <w:name w:val="Rec Bullet"/>
    <w:basedOn w:val="Rec"/>
    <w:rsid w:val="007A2269"/>
    <w:pPr>
      <w:numPr>
        <w:numId w:val="17"/>
      </w:numPr>
      <w:spacing w:before="80"/>
    </w:pPr>
  </w:style>
  <w:style w:type="paragraph" w:customStyle="1" w:styleId="RecB">
    <w:name w:val="RecB"/>
    <w:basedOn w:val="Normal"/>
    <w:rsid w:val="007A2269"/>
    <w:pPr>
      <w:keepLines/>
      <w:pBdr>
        <w:left w:val="single" w:sz="24" w:space="12" w:color="C0C0C0"/>
      </w:pBdr>
      <w:spacing w:before="180" w:line="320" w:lineRule="atLeast"/>
      <w:jc w:val="both"/>
    </w:pPr>
    <w:rPr>
      <w:b/>
      <w:i/>
      <w:szCs w:val="20"/>
    </w:rPr>
  </w:style>
  <w:style w:type="paragraph" w:customStyle="1" w:styleId="RecBBullet">
    <w:name w:val="RecB Bullet"/>
    <w:basedOn w:val="RecB"/>
    <w:rsid w:val="007A2269"/>
    <w:pPr>
      <w:numPr>
        <w:numId w:val="11"/>
      </w:numPr>
      <w:spacing w:before="80"/>
    </w:pPr>
  </w:style>
  <w:style w:type="paragraph" w:customStyle="1" w:styleId="RecBNoTitle">
    <w:name w:val="RecB NoTitle"/>
    <w:basedOn w:val="RecB"/>
    <w:semiHidden/>
    <w:rsid w:val="007A2269"/>
    <w:pPr>
      <w:spacing w:before="240"/>
    </w:pPr>
  </w:style>
  <w:style w:type="paragraph" w:customStyle="1" w:styleId="Reference">
    <w:name w:val="Reference"/>
    <w:basedOn w:val="BodyText"/>
    <w:rsid w:val="007A2269"/>
    <w:pPr>
      <w:spacing w:before="120"/>
      <w:ind w:left="340" w:hanging="340"/>
    </w:pPr>
  </w:style>
  <w:style w:type="paragraph" w:customStyle="1" w:styleId="SequenceInfo">
    <w:name w:val="Sequence Info"/>
    <w:basedOn w:val="BodyText"/>
    <w:semiHidden/>
    <w:rsid w:val="007A2269"/>
    <w:rPr>
      <w:vanish/>
      <w:sz w:val="16"/>
    </w:rPr>
  </w:style>
  <w:style w:type="paragraph" w:customStyle="1" w:styleId="SideNote">
    <w:name w:val="Side Note"/>
    <w:basedOn w:val="BodyText"/>
    <w:next w:val="BodyText"/>
    <w:semiHidden/>
    <w:rsid w:val="007A2269"/>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7A2269"/>
    <w:pPr>
      <w:framePr w:wrap="around"/>
      <w:numPr>
        <w:numId w:val="7"/>
      </w:numPr>
      <w:tabs>
        <w:tab w:val="left" w:pos="227"/>
      </w:tabs>
    </w:pPr>
  </w:style>
  <w:style w:type="paragraph" w:customStyle="1" w:styleId="SideNoteGraphic">
    <w:name w:val="Side Note Graphic"/>
    <w:basedOn w:val="SideNote"/>
    <w:next w:val="BodyText"/>
    <w:semiHidden/>
    <w:rsid w:val="007A2269"/>
    <w:pPr>
      <w:framePr w:wrap="around"/>
    </w:pPr>
  </w:style>
  <w:style w:type="paragraph" w:customStyle="1" w:styleId="TableBodyText">
    <w:name w:val="Table Body Text"/>
    <w:basedOn w:val="BodyText"/>
    <w:rsid w:val="007A2269"/>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7A2269"/>
    <w:pPr>
      <w:numPr>
        <w:numId w:val="8"/>
      </w:numPr>
      <w:jc w:val="left"/>
    </w:pPr>
  </w:style>
  <w:style w:type="paragraph" w:customStyle="1" w:styleId="TableColumnHeading">
    <w:name w:val="Table Column Heading"/>
    <w:basedOn w:val="TableBodyText"/>
    <w:rsid w:val="007A2269"/>
    <w:pPr>
      <w:spacing w:before="80" w:after="80"/>
    </w:pPr>
    <w:rPr>
      <w:i/>
    </w:rPr>
  </w:style>
  <w:style w:type="paragraph" w:styleId="TOC2">
    <w:name w:val="toc 2"/>
    <w:basedOn w:val="TOC1"/>
    <w:rsid w:val="007A2269"/>
    <w:pPr>
      <w:ind w:left="1134" w:hanging="624"/>
    </w:pPr>
    <w:rPr>
      <w:b w:val="0"/>
    </w:rPr>
  </w:style>
  <w:style w:type="paragraph" w:styleId="TOC3">
    <w:name w:val="toc 3"/>
    <w:basedOn w:val="TOC2"/>
    <w:rsid w:val="007A2269"/>
    <w:pPr>
      <w:spacing w:before="60"/>
      <w:ind w:left="1190" w:hanging="680"/>
    </w:pPr>
  </w:style>
  <w:style w:type="paragraph" w:styleId="TableofFigures">
    <w:name w:val="table of figures"/>
    <w:basedOn w:val="TOC3"/>
    <w:next w:val="BodyText"/>
    <w:semiHidden/>
    <w:rsid w:val="007A2269"/>
    <w:pPr>
      <w:ind w:left="737" w:hanging="737"/>
    </w:pPr>
  </w:style>
  <w:style w:type="paragraph" w:customStyle="1" w:styleId="TableTitle">
    <w:name w:val="Table Title"/>
    <w:basedOn w:val="Caption"/>
    <w:next w:val="Subtitle"/>
    <w:qFormat/>
    <w:rsid w:val="007A2269"/>
    <w:pPr>
      <w:spacing w:before="120"/>
    </w:pPr>
  </w:style>
  <w:style w:type="paragraph" w:customStyle="1" w:styleId="TableUnitsRow">
    <w:name w:val="Table Units Row"/>
    <w:basedOn w:val="TableBodyText"/>
    <w:rsid w:val="007A2269"/>
    <w:pPr>
      <w:spacing w:before="40"/>
    </w:pPr>
  </w:style>
  <w:style w:type="paragraph" w:styleId="TOC1">
    <w:name w:val="toc 1"/>
    <w:basedOn w:val="Normal"/>
    <w:next w:val="TOC2"/>
    <w:link w:val="TOC1Char"/>
    <w:rsid w:val="007A2269"/>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7A2269"/>
    <w:pPr>
      <w:ind w:left="1191" w:firstLine="0"/>
    </w:pPr>
  </w:style>
  <w:style w:type="paragraph" w:customStyle="1" w:styleId="RecBBullet2">
    <w:name w:val="RecB Bullet 2"/>
    <w:basedOn w:val="ListBullet2"/>
    <w:semiHidden/>
    <w:rsid w:val="007A2269"/>
    <w:pPr>
      <w:pBdr>
        <w:left w:val="single" w:sz="24" w:space="29" w:color="C0C0C0"/>
      </w:pBdr>
    </w:pPr>
    <w:rPr>
      <w:b/>
      <w:i/>
    </w:rPr>
  </w:style>
  <w:style w:type="paragraph" w:styleId="BalloonText">
    <w:name w:val="Balloon Text"/>
    <w:basedOn w:val="Normal"/>
    <w:link w:val="BalloonTextChar"/>
    <w:rsid w:val="007A2269"/>
    <w:rPr>
      <w:rFonts w:ascii="Tahoma" w:hAnsi="Tahoma" w:cs="Tahoma"/>
      <w:sz w:val="16"/>
      <w:szCs w:val="16"/>
    </w:rPr>
  </w:style>
  <w:style w:type="character" w:customStyle="1" w:styleId="BalloonTextChar">
    <w:name w:val="Balloon Text Char"/>
    <w:basedOn w:val="DefaultParagraphFont"/>
    <w:link w:val="BalloonText"/>
    <w:rsid w:val="007A2269"/>
    <w:rPr>
      <w:rFonts w:ascii="Tahoma" w:hAnsi="Tahoma" w:cs="Tahoma"/>
      <w:sz w:val="16"/>
      <w:szCs w:val="16"/>
    </w:rPr>
  </w:style>
  <w:style w:type="character" w:customStyle="1" w:styleId="SubtitleChar">
    <w:name w:val="Subtitle Char"/>
    <w:basedOn w:val="DefaultParagraphFont"/>
    <w:link w:val="Subtitle"/>
    <w:rsid w:val="007A2269"/>
    <w:rPr>
      <w:rFonts w:ascii="Arial" w:hAnsi="Arial"/>
      <w:szCs w:val="24"/>
    </w:rPr>
  </w:style>
  <w:style w:type="paragraph" w:customStyle="1" w:styleId="BoxListBullet3">
    <w:name w:val="Box List Bullet 3"/>
    <w:basedOn w:val="ListBullet3"/>
    <w:rsid w:val="007A2269"/>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7A2269"/>
    <w:rPr>
      <w:i/>
      <w:iCs/>
    </w:rPr>
  </w:style>
  <w:style w:type="paragraph" w:customStyle="1" w:styleId="BoxQuoteBullet">
    <w:name w:val="Box Quote Bullet"/>
    <w:basedOn w:val="BoxQuote"/>
    <w:next w:val="Box"/>
    <w:rsid w:val="007A2269"/>
    <w:pPr>
      <w:numPr>
        <w:numId w:val="12"/>
      </w:numPr>
      <w:ind w:left="568" w:hanging="284"/>
    </w:pPr>
  </w:style>
  <w:style w:type="paragraph" w:customStyle="1" w:styleId="InformationRequestBullet">
    <w:name w:val="Information Request Bullet"/>
    <w:basedOn w:val="ListBullet"/>
    <w:next w:val="BodyText"/>
    <w:rsid w:val="007A2269"/>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7A2269"/>
    <w:pPr>
      <w:keepNext w:val="0"/>
      <w:spacing w:before="60" w:after="60" w:line="80" w:lineRule="exact"/>
    </w:pPr>
    <w:rPr>
      <w:sz w:val="14"/>
    </w:rPr>
  </w:style>
  <w:style w:type="paragraph" w:customStyle="1" w:styleId="KeyPointsListBullet">
    <w:name w:val="Key Points List Bullet"/>
    <w:basedOn w:val="Normal"/>
    <w:qFormat/>
    <w:rsid w:val="007A2269"/>
    <w:pPr>
      <w:keepNext/>
      <w:numPr>
        <w:numId w:val="20"/>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7A2269"/>
    <w:pPr>
      <w:numPr>
        <w:numId w:val="21"/>
      </w:numPr>
      <w:ind w:left="568" w:hanging="284"/>
    </w:pPr>
  </w:style>
  <w:style w:type="paragraph" w:customStyle="1" w:styleId="InformationRequestTitle">
    <w:name w:val="Information Request Title"/>
    <w:basedOn w:val="FindingTitle"/>
    <w:next w:val="InformationRequest"/>
    <w:rsid w:val="007A2269"/>
    <w:rPr>
      <w:i/>
    </w:rPr>
  </w:style>
  <w:style w:type="paragraph" w:customStyle="1" w:styleId="Space">
    <w:name w:val="Space"/>
    <w:basedOn w:val="Normal"/>
    <w:rsid w:val="007A2269"/>
    <w:pPr>
      <w:keepNext/>
      <w:spacing w:line="120" w:lineRule="exact"/>
      <w:jc w:val="both"/>
    </w:pPr>
    <w:rPr>
      <w:rFonts w:ascii="Arial" w:hAnsi="Arial"/>
      <w:sz w:val="20"/>
      <w:szCs w:val="20"/>
    </w:rPr>
  </w:style>
  <w:style w:type="paragraph" w:customStyle="1" w:styleId="Heading1nochapterno">
    <w:name w:val="Heading 1 (no chapter no.)"/>
    <w:basedOn w:val="Heading1"/>
    <w:rsid w:val="007A2269"/>
    <w:pPr>
      <w:spacing w:before="0"/>
      <w:ind w:left="0" w:firstLine="0"/>
    </w:pPr>
  </w:style>
  <w:style w:type="paragraph" w:customStyle="1" w:styleId="Heading2nosectionno">
    <w:name w:val="Heading 2 (no section no.)"/>
    <w:basedOn w:val="Heading2"/>
    <w:rsid w:val="007A2269"/>
    <w:pPr>
      <w:ind w:left="0" w:firstLine="0"/>
    </w:pPr>
  </w:style>
  <w:style w:type="character" w:customStyle="1" w:styleId="Heading5Char">
    <w:name w:val="Heading 5 Char"/>
    <w:basedOn w:val="DefaultParagraphFont"/>
    <w:link w:val="Heading5"/>
    <w:rsid w:val="007A2269"/>
    <w:rPr>
      <w:rFonts w:ascii="Arial" w:hAnsi="Arial"/>
      <w:i/>
      <w:sz w:val="22"/>
    </w:rPr>
  </w:style>
  <w:style w:type="paragraph" w:customStyle="1" w:styleId="Figurespace">
    <w:name w:val="Figure space"/>
    <w:basedOn w:val="Box"/>
    <w:rsid w:val="007A2269"/>
    <w:pPr>
      <w:spacing w:before="0" w:line="120" w:lineRule="exact"/>
    </w:pPr>
  </w:style>
  <w:style w:type="paragraph" w:customStyle="1" w:styleId="FooterDraftReport">
    <w:name w:val="FooterDraftReport"/>
    <w:basedOn w:val="Footer"/>
    <w:link w:val="FooterDraftReportChar"/>
    <w:rsid w:val="007A2269"/>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7A2269"/>
    <w:rPr>
      <w:sz w:val="24"/>
    </w:rPr>
  </w:style>
  <w:style w:type="character" w:customStyle="1" w:styleId="FooterChar">
    <w:name w:val="Footer Char"/>
    <w:basedOn w:val="BodyTextChar"/>
    <w:link w:val="Footer"/>
    <w:rsid w:val="007A2269"/>
    <w:rPr>
      <w:rFonts w:ascii="Arial" w:hAnsi="Arial"/>
      <w:caps/>
      <w:spacing w:val="-4"/>
      <w:sz w:val="16"/>
    </w:rPr>
  </w:style>
  <w:style w:type="character" w:customStyle="1" w:styleId="FooterDraftReportChar">
    <w:name w:val="FooterDraftReport Char"/>
    <w:basedOn w:val="FooterChar"/>
    <w:link w:val="FooterDraftReport"/>
    <w:rsid w:val="007A2269"/>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7A22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7A2269"/>
    <w:rPr>
      <w:rFonts w:ascii="Arial" w:hAnsi="Arial"/>
      <w:b/>
      <w:sz w:val="26"/>
      <w:szCs w:val="26"/>
      <w:lang w:eastAsia="en-US"/>
    </w:rPr>
  </w:style>
  <w:style w:type="character" w:customStyle="1" w:styleId="Continuedintitle">
    <w:name w:val="Continued (in title)"/>
    <w:basedOn w:val="DefaultParagraphFont"/>
    <w:rsid w:val="007A2269"/>
    <w:rPr>
      <w:rFonts w:ascii="Arial" w:hAnsi="Arial"/>
      <w:b/>
      <w:sz w:val="18"/>
    </w:rPr>
  </w:style>
  <w:style w:type="character" w:styleId="Hyperlink">
    <w:name w:val="Hyperlink"/>
    <w:basedOn w:val="DefaultParagraphFont"/>
    <w:uiPriority w:val="99"/>
    <w:rsid w:val="00C801D3"/>
    <w:rPr>
      <w:color w:val="78A22F" w:themeColor="hyperlink"/>
      <w:u w:val="single"/>
    </w:rPr>
  </w:style>
  <w:style w:type="character" w:customStyle="1" w:styleId="Heading1Char">
    <w:name w:val="Heading 1 Char"/>
    <w:basedOn w:val="DefaultParagraphFont"/>
    <w:link w:val="Heading1"/>
    <w:rsid w:val="002837CA"/>
    <w:rPr>
      <w:sz w:val="52"/>
    </w:rPr>
  </w:style>
  <w:style w:type="character" w:customStyle="1" w:styleId="Heading2Char">
    <w:name w:val="Heading 2 Char"/>
    <w:link w:val="Heading2"/>
    <w:rsid w:val="008F4B5C"/>
    <w:rPr>
      <w:rFonts w:ascii="Arial" w:hAnsi="Arial"/>
      <w:b/>
      <w:sz w:val="32"/>
    </w:rPr>
  </w:style>
  <w:style w:type="character" w:customStyle="1" w:styleId="Heading3Char">
    <w:name w:val="Heading 3 Char"/>
    <w:link w:val="Heading3"/>
    <w:rsid w:val="008F4B5C"/>
    <w:rPr>
      <w:rFonts w:ascii="Arial" w:hAnsi="Arial"/>
      <w:b/>
      <w:sz w:val="26"/>
    </w:rPr>
  </w:style>
  <w:style w:type="character" w:customStyle="1" w:styleId="Heading4Char">
    <w:name w:val="Heading 4 Char"/>
    <w:link w:val="Heading4"/>
    <w:rsid w:val="008F4B5C"/>
    <w:rPr>
      <w:rFonts w:ascii="Arial" w:hAnsi="Arial"/>
      <w:sz w:val="24"/>
    </w:rPr>
  </w:style>
  <w:style w:type="character" w:customStyle="1" w:styleId="Heading6Char">
    <w:name w:val="Heading 6 Char"/>
    <w:basedOn w:val="DefaultParagraphFont"/>
    <w:link w:val="Heading6"/>
    <w:semiHidden/>
    <w:rsid w:val="002837CA"/>
    <w:rPr>
      <w:i/>
      <w:sz w:val="22"/>
    </w:rPr>
  </w:style>
  <w:style w:type="character" w:customStyle="1" w:styleId="Heading7Char">
    <w:name w:val="Heading 7 Char"/>
    <w:basedOn w:val="DefaultParagraphFont"/>
    <w:link w:val="Heading7"/>
    <w:semiHidden/>
    <w:rsid w:val="002837CA"/>
    <w:rPr>
      <w:rFonts w:ascii="Arial" w:hAnsi="Arial"/>
    </w:rPr>
  </w:style>
  <w:style w:type="character" w:customStyle="1" w:styleId="Heading8Char">
    <w:name w:val="Heading 8 Char"/>
    <w:basedOn w:val="DefaultParagraphFont"/>
    <w:link w:val="Heading8"/>
    <w:semiHidden/>
    <w:rsid w:val="002837CA"/>
    <w:rPr>
      <w:rFonts w:ascii="Arial" w:hAnsi="Arial"/>
      <w:i/>
    </w:rPr>
  </w:style>
  <w:style w:type="character" w:customStyle="1" w:styleId="Heading9Char">
    <w:name w:val="Heading 9 Char"/>
    <w:basedOn w:val="DefaultParagraphFont"/>
    <w:link w:val="Heading9"/>
    <w:semiHidden/>
    <w:rsid w:val="002837CA"/>
    <w:rPr>
      <w:rFonts w:ascii="Arial" w:hAnsi="Arial"/>
      <w:b/>
      <w:i/>
      <w:sz w:val="18"/>
    </w:rPr>
  </w:style>
  <w:style w:type="character" w:customStyle="1" w:styleId="HeaderChar">
    <w:name w:val="Header Char"/>
    <w:basedOn w:val="DefaultParagraphFont"/>
    <w:link w:val="Header"/>
    <w:rsid w:val="002837CA"/>
    <w:rPr>
      <w:rFonts w:ascii="Arial" w:hAnsi="Arial"/>
      <w:caps/>
      <w:sz w:val="24"/>
    </w:rPr>
  </w:style>
  <w:style w:type="character" w:customStyle="1" w:styleId="CommentTextChar">
    <w:name w:val="Comment Text Char"/>
    <w:basedOn w:val="DefaultParagraphFont"/>
    <w:semiHidden/>
    <w:rsid w:val="002837CA"/>
    <w:rPr>
      <w:szCs w:val="24"/>
    </w:rPr>
  </w:style>
  <w:style w:type="character" w:customStyle="1" w:styleId="FootnoteTextChar">
    <w:name w:val="Footnote Text Char"/>
    <w:basedOn w:val="DefaultParagraphFont"/>
    <w:link w:val="FootnoteText"/>
    <w:rsid w:val="002837CA"/>
  </w:style>
  <w:style w:type="character" w:customStyle="1" w:styleId="QuoteChar">
    <w:name w:val="Quote Char"/>
    <w:basedOn w:val="DefaultParagraphFont"/>
    <w:link w:val="Quote"/>
    <w:rsid w:val="008F4B5C"/>
    <w:rPr>
      <w:sz w:val="22"/>
    </w:rPr>
  </w:style>
  <w:style w:type="character" w:customStyle="1" w:styleId="dropcap">
    <w:name w:val="dropcap"/>
    <w:basedOn w:val="DefaultParagraphFont"/>
    <w:rsid w:val="002837CA"/>
  </w:style>
  <w:style w:type="paragraph" w:styleId="NormalWeb">
    <w:name w:val="Normal (Web)"/>
    <w:basedOn w:val="Normal"/>
    <w:uiPriority w:val="99"/>
    <w:unhideWhenUsed/>
    <w:rsid w:val="002837CA"/>
    <w:pPr>
      <w:spacing w:before="100" w:beforeAutospacing="1" w:after="100" w:afterAutospacing="1"/>
    </w:pPr>
  </w:style>
  <w:style w:type="character" w:customStyle="1" w:styleId="apple-converted-space">
    <w:name w:val="apple-converted-space"/>
    <w:basedOn w:val="DefaultParagraphFont"/>
    <w:rsid w:val="002837CA"/>
  </w:style>
  <w:style w:type="paragraph" w:styleId="CommentSubject">
    <w:name w:val="annotation subject"/>
    <w:basedOn w:val="CommentText"/>
    <w:next w:val="CommentText"/>
    <w:link w:val="CommentSubjectChar"/>
    <w:rsid w:val="002837CA"/>
    <w:pPr>
      <w:spacing w:before="0" w:line="240" w:lineRule="auto"/>
      <w:ind w:left="0" w:firstLine="0"/>
    </w:pPr>
    <w:rPr>
      <w:b/>
      <w:bCs/>
    </w:rPr>
  </w:style>
  <w:style w:type="character" w:customStyle="1" w:styleId="CommentTextChar1">
    <w:name w:val="Comment Text Char1"/>
    <w:basedOn w:val="DefaultParagraphFont"/>
    <w:link w:val="CommentText"/>
    <w:semiHidden/>
    <w:rsid w:val="002837CA"/>
    <w:rPr>
      <w:szCs w:val="24"/>
    </w:rPr>
  </w:style>
  <w:style w:type="character" w:customStyle="1" w:styleId="CommentSubjectChar">
    <w:name w:val="Comment Subject Char"/>
    <w:basedOn w:val="CommentTextChar1"/>
    <w:link w:val="CommentSubject"/>
    <w:rsid w:val="002837CA"/>
    <w:rPr>
      <w:b/>
      <w:bCs/>
      <w:szCs w:val="24"/>
    </w:rPr>
  </w:style>
  <w:style w:type="paragraph" w:styleId="Revision">
    <w:name w:val="Revision"/>
    <w:hidden/>
    <w:uiPriority w:val="99"/>
    <w:semiHidden/>
    <w:rsid w:val="002837CA"/>
    <w:rPr>
      <w:sz w:val="24"/>
      <w:szCs w:val="24"/>
    </w:rPr>
  </w:style>
  <w:style w:type="character" w:customStyle="1" w:styleId="A10">
    <w:name w:val="A10"/>
    <w:uiPriority w:val="99"/>
    <w:rsid w:val="002837CA"/>
    <w:rPr>
      <w:rFonts w:ascii="Neo Sans Std Medium" w:hAnsi="Neo Sans Std Medium" w:cs="Neo Sans Std Medium"/>
      <w:color w:val="000000"/>
      <w:sz w:val="19"/>
      <w:szCs w:val="19"/>
    </w:rPr>
  </w:style>
  <w:style w:type="character" w:styleId="FollowedHyperlink">
    <w:name w:val="FollowedHyperlink"/>
    <w:basedOn w:val="DefaultParagraphFont"/>
    <w:semiHidden/>
    <w:unhideWhenUsed/>
    <w:rsid w:val="002837CA"/>
    <w:rPr>
      <w:color w:val="387DD2" w:themeColor="followedHyperlink"/>
      <w:u w:val="single"/>
    </w:rPr>
  </w:style>
  <w:style w:type="character" w:styleId="EndnoteReference">
    <w:name w:val="endnote reference"/>
    <w:basedOn w:val="DefaultParagraphFont"/>
    <w:semiHidden/>
    <w:unhideWhenUsed/>
    <w:rsid w:val="002837CA"/>
    <w:rPr>
      <w:vertAlign w:val="superscript"/>
    </w:rPr>
  </w:style>
  <w:style w:type="paragraph" w:styleId="Bibliography">
    <w:name w:val="Bibliography"/>
    <w:basedOn w:val="Normal"/>
    <w:next w:val="Normal"/>
    <w:uiPriority w:val="37"/>
    <w:unhideWhenUsed/>
    <w:rsid w:val="005B0A54"/>
    <w:pPr>
      <w:spacing w:after="240"/>
      <w:ind w:left="720" w:hanging="720"/>
    </w:pPr>
  </w:style>
  <w:style w:type="paragraph" w:customStyle="1" w:styleId="BoxSpaceAboveElement">
    <w:name w:val="Box Space Above Element"/>
    <w:basedOn w:val="BoxSpaceAbove"/>
    <w:link w:val="BoxSpaceAboveElementChar"/>
    <w:qFormat/>
    <w:rsid w:val="00F97ADC"/>
    <w:pPr>
      <w:spacing w:before="240"/>
    </w:pPr>
    <w:rPr>
      <w:b/>
      <w:vanish/>
      <w:color w:val="FF00FF"/>
      <w:sz w:val="14"/>
    </w:rPr>
  </w:style>
  <w:style w:type="character" w:customStyle="1" w:styleId="BoxSpaceAboveElementChar">
    <w:name w:val="Box Space Above Element Char"/>
    <w:basedOn w:val="DefaultParagraphFont"/>
    <w:link w:val="BoxSpaceAboveElement"/>
    <w:rsid w:val="00F97ADC"/>
    <w:rPr>
      <w:b/>
      <w:vanish/>
      <w:color w:val="FF00FF"/>
      <w:sz w:val="14"/>
    </w:rPr>
  </w:style>
  <w:style w:type="paragraph" w:customStyle="1" w:styleId="Heading1NotTOC">
    <w:name w:val="Heading 1 Not TOC"/>
    <w:basedOn w:val="Heading1"/>
    <w:next w:val="BodyText"/>
    <w:rsid w:val="00C37760"/>
    <w:rPr>
      <w:kern w:val="28"/>
      <w:szCs w:val="26"/>
      <w:lang w:eastAsia="en-US"/>
    </w:rPr>
  </w:style>
  <w:style w:type="paragraph" w:customStyle="1" w:styleId="Copyrightsubtitle">
    <w:name w:val="Copyright subtitle"/>
    <w:basedOn w:val="BodyText"/>
    <w:rsid w:val="00384990"/>
    <w:rPr>
      <w:rFonts w:ascii="Arial" w:hAnsi="Arial"/>
      <w:b/>
      <w:sz w:val="20"/>
      <w:szCs w:val="25"/>
    </w:rPr>
  </w:style>
  <w:style w:type="paragraph" w:customStyle="1" w:styleId="Copyrightbodytext">
    <w:name w:val="Copyright bodytext"/>
    <w:basedOn w:val="BodyText"/>
    <w:link w:val="CopyrightbodytextChar"/>
    <w:qFormat/>
    <w:rsid w:val="00384990"/>
    <w:pPr>
      <w:spacing w:before="60"/>
    </w:pPr>
  </w:style>
  <w:style w:type="character" w:customStyle="1" w:styleId="CopyrightbodytextChar">
    <w:name w:val="Copyright bodytext Char"/>
    <w:basedOn w:val="BodyTextChar"/>
    <w:link w:val="Copyrightbodytext"/>
    <w:rsid w:val="00384990"/>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5073">
      <w:bodyDiv w:val="1"/>
      <w:marLeft w:val="0"/>
      <w:marRight w:val="0"/>
      <w:marTop w:val="0"/>
      <w:marBottom w:val="0"/>
      <w:divBdr>
        <w:top w:val="none" w:sz="0" w:space="0" w:color="auto"/>
        <w:left w:val="none" w:sz="0" w:space="0" w:color="auto"/>
        <w:bottom w:val="none" w:sz="0" w:space="0" w:color="auto"/>
        <w:right w:val="none" w:sz="0" w:space="0" w:color="auto"/>
      </w:divBdr>
    </w:div>
    <w:div w:id="68814426">
      <w:bodyDiv w:val="1"/>
      <w:marLeft w:val="0"/>
      <w:marRight w:val="0"/>
      <w:marTop w:val="0"/>
      <w:marBottom w:val="0"/>
      <w:divBdr>
        <w:top w:val="none" w:sz="0" w:space="0" w:color="auto"/>
        <w:left w:val="none" w:sz="0" w:space="0" w:color="auto"/>
        <w:bottom w:val="none" w:sz="0" w:space="0" w:color="auto"/>
        <w:right w:val="none" w:sz="0" w:space="0" w:color="auto"/>
      </w:divBdr>
    </w:div>
    <w:div w:id="81462354">
      <w:bodyDiv w:val="1"/>
      <w:marLeft w:val="0"/>
      <w:marRight w:val="0"/>
      <w:marTop w:val="0"/>
      <w:marBottom w:val="0"/>
      <w:divBdr>
        <w:top w:val="none" w:sz="0" w:space="0" w:color="auto"/>
        <w:left w:val="none" w:sz="0" w:space="0" w:color="auto"/>
        <w:bottom w:val="none" w:sz="0" w:space="0" w:color="auto"/>
        <w:right w:val="none" w:sz="0" w:space="0" w:color="auto"/>
      </w:divBdr>
    </w:div>
    <w:div w:id="289942957">
      <w:bodyDiv w:val="1"/>
      <w:marLeft w:val="0"/>
      <w:marRight w:val="0"/>
      <w:marTop w:val="0"/>
      <w:marBottom w:val="0"/>
      <w:divBdr>
        <w:top w:val="none" w:sz="0" w:space="0" w:color="auto"/>
        <w:left w:val="none" w:sz="0" w:space="0" w:color="auto"/>
        <w:bottom w:val="none" w:sz="0" w:space="0" w:color="auto"/>
        <w:right w:val="none" w:sz="0" w:space="0" w:color="auto"/>
      </w:divBdr>
    </w:div>
    <w:div w:id="538133180">
      <w:bodyDiv w:val="1"/>
      <w:marLeft w:val="0"/>
      <w:marRight w:val="0"/>
      <w:marTop w:val="0"/>
      <w:marBottom w:val="0"/>
      <w:divBdr>
        <w:top w:val="none" w:sz="0" w:space="0" w:color="auto"/>
        <w:left w:val="none" w:sz="0" w:space="0" w:color="auto"/>
        <w:bottom w:val="none" w:sz="0" w:space="0" w:color="auto"/>
        <w:right w:val="none" w:sz="0" w:space="0" w:color="auto"/>
      </w:divBdr>
    </w:div>
    <w:div w:id="684869142">
      <w:bodyDiv w:val="1"/>
      <w:marLeft w:val="0"/>
      <w:marRight w:val="0"/>
      <w:marTop w:val="0"/>
      <w:marBottom w:val="0"/>
      <w:divBdr>
        <w:top w:val="none" w:sz="0" w:space="0" w:color="auto"/>
        <w:left w:val="none" w:sz="0" w:space="0" w:color="auto"/>
        <w:bottom w:val="none" w:sz="0" w:space="0" w:color="auto"/>
        <w:right w:val="none" w:sz="0" w:space="0" w:color="auto"/>
      </w:divBdr>
    </w:div>
    <w:div w:id="782765153">
      <w:bodyDiv w:val="1"/>
      <w:marLeft w:val="0"/>
      <w:marRight w:val="0"/>
      <w:marTop w:val="0"/>
      <w:marBottom w:val="0"/>
      <w:divBdr>
        <w:top w:val="none" w:sz="0" w:space="0" w:color="auto"/>
        <w:left w:val="none" w:sz="0" w:space="0" w:color="auto"/>
        <w:bottom w:val="none" w:sz="0" w:space="0" w:color="auto"/>
        <w:right w:val="none" w:sz="0" w:space="0" w:color="auto"/>
      </w:divBdr>
      <w:divsChild>
        <w:div w:id="543905559">
          <w:marLeft w:val="0"/>
          <w:marRight w:val="0"/>
          <w:marTop w:val="0"/>
          <w:marBottom w:val="0"/>
          <w:divBdr>
            <w:top w:val="none" w:sz="0" w:space="0" w:color="auto"/>
            <w:left w:val="none" w:sz="0" w:space="0" w:color="auto"/>
            <w:bottom w:val="none" w:sz="0" w:space="0" w:color="auto"/>
            <w:right w:val="none" w:sz="0" w:space="0" w:color="auto"/>
          </w:divBdr>
          <w:divsChild>
            <w:div w:id="32466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25788">
      <w:bodyDiv w:val="1"/>
      <w:marLeft w:val="0"/>
      <w:marRight w:val="0"/>
      <w:marTop w:val="0"/>
      <w:marBottom w:val="0"/>
      <w:divBdr>
        <w:top w:val="none" w:sz="0" w:space="0" w:color="auto"/>
        <w:left w:val="none" w:sz="0" w:space="0" w:color="auto"/>
        <w:bottom w:val="none" w:sz="0" w:space="0" w:color="auto"/>
        <w:right w:val="none" w:sz="0" w:space="0" w:color="auto"/>
      </w:divBdr>
    </w:div>
    <w:div w:id="1103653564">
      <w:bodyDiv w:val="1"/>
      <w:marLeft w:val="0"/>
      <w:marRight w:val="0"/>
      <w:marTop w:val="0"/>
      <w:marBottom w:val="0"/>
      <w:divBdr>
        <w:top w:val="none" w:sz="0" w:space="0" w:color="auto"/>
        <w:left w:val="none" w:sz="0" w:space="0" w:color="auto"/>
        <w:bottom w:val="none" w:sz="0" w:space="0" w:color="auto"/>
        <w:right w:val="none" w:sz="0" w:space="0" w:color="auto"/>
      </w:divBdr>
    </w:div>
    <w:div w:id="1391345331">
      <w:bodyDiv w:val="1"/>
      <w:marLeft w:val="0"/>
      <w:marRight w:val="0"/>
      <w:marTop w:val="0"/>
      <w:marBottom w:val="0"/>
      <w:divBdr>
        <w:top w:val="none" w:sz="0" w:space="0" w:color="auto"/>
        <w:left w:val="none" w:sz="0" w:space="0" w:color="auto"/>
        <w:bottom w:val="none" w:sz="0" w:space="0" w:color="auto"/>
        <w:right w:val="none" w:sz="0" w:space="0" w:color="auto"/>
      </w:divBdr>
    </w:div>
    <w:div w:id="1464999880">
      <w:bodyDiv w:val="1"/>
      <w:marLeft w:val="0"/>
      <w:marRight w:val="0"/>
      <w:marTop w:val="0"/>
      <w:marBottom w:val="0"/>
      <w:divBdr>
        <w:top w:val="none" w:sz="0" w:space="0" w:color="auto"/>
        <w:left w:val="none" w:sz="0" w:space="0" w:color="auto"/>
        <w:bottom w:val="none" w:sz="0" w:space="0" w:color="auto"/>
        <w:right w:val="none" w:sz="0" w:space="0" w:color="auto"/>
      </w:divBdr>
    </w:div>
    <w:div w:id="1548756770">
      <w:bodyDiv w:val="1"/>
      <w:marLeft w:val="0"/>
      <w:marRight w:val="0"/>
      <w:marTop w:val="0"/>
      <w:marBottom w:val="0"/>
      <w:divBdr>
        <w:top w:val="none" w:sz="0" w:space="0" w:color="auto"/>
        <w:left w:val="none" w:sz="0" w:space="0" w:color="auto"/>
        <w:bottom w:val="none" w:sz="0" w:space="0" w:color="auto"/>
        <w:right w:val="none" w:sz="0" w:space="0" w:color="auto"/>
      </w:divBdr>
    </w:div>
    <w:div w:id="1830828055">
      <w:bodyDiv w:val="1"/>
      <w:marLeft w:val="0"/>
      <w:marRight w:val="0"/>
      <w:marTop w:val="0"/>
      <w:marBottom w:val="0"/>
      <w:divBdr>
        <w:top w:val="none" w:sz="0" w:space="0" w:color="auto"/>
        <w:left w:val="none" w:sz="0" w:space="0" w:color="auto"/>
        <w:bottom w:val="none" w:sz="0" w:space="0" w:color="auto"/>
        <w:right w:val="none" w:sz="0" w:space="0" w:color="auto"/>
      </w:divBdr>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 w:id="2080008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image" Target="media/image6.png"/><Relationship Id="rId39" Type="http://schemas.openxmlformats.org/officeDocument/2006/relationships/image" Target="media/image15.png"/><Relationship Id="rId21" Type="http://schemas.openxmlformats.org/officeDocument/2006/relationships/footer" Target="footer3.xml"/><Relationship Id="rId34" Type="http://schemas.openxmlformats.org/officeDocument/2006/relationships/header" Target="header3.xml"/><Relationship Id="rId42" Type="http://schemas.openxmlformats.org/officeDocument/2006/relationships/header" Target="header5.xml"/><Relationship Id="rId47" Type="http://schemas.openxmlformats.org/officeDocument/2006/relationships/header" Target="header8.xml"/><Relationship Id="rId50" Type="http://schemas.openxmlformats.org/officeDocument/2006/relationships/image" Target="media/image18.png"/><Relationship Id="rId55" Type="http://schemas.openxmlformats.org/officeDocument/2006/relationships/image" Target="media/image23.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4.png"/><Relationship Id="rId46"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yperlink" Target="http://www.pc.gov.au/" TargetMode="External"/><Relationship Id="rId20" Type="http://schemas.openxmlformats.org/officeDocument/2006/relationships/header" Target="header2.xml"/><Relationship Id="rId29" Type="http://schemas.openxmlformats.org/officeDocument/2006/relationships/image" Target="media/image9.png"/><Relationship Id="rId41" Type="http://schemas.openxmlformats.org/officeDocument/2006/relationships/image" Target="media/image17.png"/><Relationship Id="rId54"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footer" Target="footer6.xml"/><Relationship Id="rId40" Type="http://schemas.openxmlformats.org/officeDocument/2006/relationships/image" Target="media/image16.png"/><Relationship Id="rId45" Type="http://schemas.openxmlformats.org/officeDocument/2006/relationships/footer" Target="footer8.xml"/><Relationship Id="rId53" Type="http://schemas.openxmlformats.org/officeDocument/2006/relationships/image" Target="media/image21.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footer" Target="footer5.xml"/><Relationship Id="rId49" Type="http://schemas.openxmlformats.org/officeDocument/2006/relationships/footer" Target="footer10.xml"/><Relationship Id="rId57"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eader" Target="header1.xml"/><Relationship Id="rId31" Type="http://schemas.openxmlformats.org/officeDocument/2006/relationships/image" Target="media/image11.png"/><Relationship Id="rId44" Type="http://schemas.openxmlformats.org/officeDocument/2006/relationships/footer" Target="footer7.xml"/><Relationship Id="rId52"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eader" Target="header4.xml"/><Relationship Id="rId43" Type="http://schemas.openxmlformats.org/officeDocument/2006/relationships/header" Target="header6.xml"/><Relationship Id="rId48" Type="http://schemas.openxmlformats.org/officeDocument/2006/relationships/footer" Target="footer9.xml"/><Relationship Id="rId5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19.pn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3\chapter.dotm" TargetMode="External"/></Relationships>
</file>

<file path=word/theme/theme1.xml><?xml version="1.0" encoding="utf-8"?>
<a:theme xmlns:a="http://schemas.openxmlformats.org/drawingml/2006/main" name="ProdCommTheme">
  <a:themeElements>
    <a:clrScheme name="PC colour scheme">
      <a:dk1>
        <a:sysClr val="windowText" lastClr="000000"/>
      </a:dk1>
      <a:lt1>
        <a:sysClr val="window" lastClr="FFFFFF"/>
      </a:lt1>
      <a:dk2>
        <a:srgbClr val="000000"/>
      </a:dk2>
      <a:lt2>
        <a:srgbClr val="BFBFBF"/>
      </a:lt2>
      <a:accent1>
        <a:srgbClr val="78A22F"/>
      </a:accent1>
      <a:accent2>
        <a:srgbClr val="265A9A"/>
      </a:accent2>
      <a:accent3>
        <a:srgbClr val="B2D673"/>
      </a:accent3>
      <a:accent4>
        <a:srgbClr val="F2F2F2"/>
      </a:accent4>
      <a:accent5>
        <a:srgbClr val="387DD2"/>
      </a:accent5>
      <a:accent6>
        <a:srgbClr val="C00000"/>
      </a:accent6>
      <a:hlink>
        <a:srgbClr val="78A22F"/>
      </a:hlink>
      <a:folHlink>
        <a:srgbClr val="387DD2"/>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Reports" ma:contentTypeID="0x0101007916246811615643A710C6FEAFF56A871104006E3BDAB9F67AF64BB2EC3946D13B8675" ma:contentTypeVersion="15" ma:contentTypeDescription="" ma:contentTypeScope="" ma:versionID="db48918a113756321c78c81870ea9f1f">
  <xsd:schema xmlns:xsd="http://www.w3.org/2001/XMLSchema" xmlns:xs="http://www.w3.org/2001/XMLSchema" xmlns:p="http://schemas.microsoft.com/office/2006/metadata/properties" xmlns:ns1="http://schemas.microsoft.com/sharepoint/v3" xmlns:ns2="3f4bcce7-ac1a-4c9d-aa3e-7e77695652db" targetNamespace="http://schemas.microsoft.com/office/2006/metadata/properties" ma:root="true" ma:fieldsID="b18e4d98b20a7a670c4a06565f8bc843" ns1:_="" ns2:_="">
    <xsd:import namespace="http://schemas.microsoft.com/sharepoint/v3"/>
    <xsd:import namespace="3f4bcce7-ac1a-4c9d-aa3e-7e77695652db"/>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2:Draft_x0020_Report_x0020_Status" minOccurs="0"/>
                <xsd:element ref="ns1:V3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18"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609e2780-d171-4fcc-ba6e-ba515af27ffb"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element name="Draft_x0020_Report_x0020_Status" ma:index="17" nillable="true" ma:displayName="Draft Report Status" ma:default="In initial draft state" ma:internalName="Draft_x0020_Report_x0020_Status" ma:requiredMultiChoice="true">
      <xsd:complexType>
        <xsd:complexContent>
          <xsd:extension base="dms:MultiChoice">
            <xsd:sequence>
              <xsd:element name="Value" maxOccurs="unbounded" minOccurs="0" nillable="true">
                <xsd:simpleType>
                  <xsd:restriction base="dms:Choice">
                    <xsd:enumeration value="In initial draft state"/>
                    <xsd:enumeration value="1st Circ to A/Comm"/>
                    <xsd:enumeration value="1st Circ to Comms"/>
                    <xsd:enumeration value="1st Circ comments back"/>
                    <xsd:enumeration value="2nd Circ to A/Comm"/>
                    <xsd:enumeration value="2nd Circ to Comms"/>
                    <xsd:enumeration value="2nd Circ comments back"/>
                    <xsd:enumeration value="3rd Circ to A/Comm"/>
                    <xsd:enumeration value="3rd Circ to Comms"/>
                    <xsd:enumeration value="3rd Circ comments back"/>
                    <xsd:enumeration value="Ready for final proof"/>
                    <xsd:enumeration value="Out to proof"/>
                    <xsd:enumeration value="1st proof complete"/>
                    <xsd:enumeration value="2nd proof complete"/>
                    <xsd:enumeration value="3rd proof complete"/>
                    <xsd:enumeration value="Style checker run"/>
                    <xsd:enumeration value="Global style OK"/>
                    <xsd:enumeration value="Cross refs OK"/>
                    <xsd:enumeration value="Recs etc OK"/>
                    <xsd:enumeration value="Chart format OK"/>
                    <xsd:enumeration value="Charts tagged"/>
                    <xsd:enumeration value="Direct quotes OK"/>
                    <xsd:enumeration value="Sub nums OK"/>
                    <xsd:enumeration value="Alt text done"/>
                    <xsd:enumeration value="Ready to compile"/>
                    <xsd:enumeration value="Compiled"/>
                    <xsd:enumeration value="Post compile edits in"/>
                    <xsd:enumeration value="As published"/>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0da5c63-8548-4ac8-9616-83b0f373280e" ContentTypeId="0x0101007916246811615643A710C6FEAFF56A871104" PreviousValue="false"/>
</file>

<file path=customXml/item4.xml><?xml version="1.0" encoding="utf-8"?>
<p:properties xmlns:p="http://schemas.microsoft.com/office/2006/metadata/properties" xmlns:xsi="http://www.w3.org/2001/XMLSchema-instance" xmlns:pc="http://schemas.microsoft.com/office/infopath/2007/PartnerControls">
  <documentManagement>
    <V3Comments xmlns="http://schemas.microsoft.com/sharepoint/v3" xsi:nil="true"/>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Final Report</TermName>
          <TermId xmlns="http://schemas.microsoft.com/office/infopath/2007/PartnerControls">2ba7de50-4c1d-4453-9bfb-2c08018fad73</TermId>
        </TermInfo>
      </Terms>
    </p7a0baa8c88445a78b6f55906390ba17>
    <TaxCatchAll xmlns="3f4bcce7-ac1a-4c9d-aa3e-7e77695652db">
      <Value>270</Value>
    </TaxCatchAll>
    <Draft_x0020_Report_x0020_Status xmlns="3f4bcce7-ac1a-4c9d-aa3e-7e77695652db">
      <Value>In initial draft state</Value>
      <Value>Compiled</Value>
    </Draft_x0020_Report_x0020_Status>
    <TaxKeywordTaxHTField xmlns="3f4bcce7-ac1a-4c9d-aa3e-7e77695652db">
      <Terms xmlns="http://schemas.microsoft.com/office/infopath/2007/PartnerControls"/>
    </TaxKeywordTaxHTField>
  </documentManagement>
</p:properties>
</file>

<file path=customXml/item5.xml><?xml version="1.0" encoding="utf-8"?>
<?mso-contentType ?>
<customXsn xmlns="http://schemas.microsoft.com/office/2006/metadata/customXsn">
  <xsnLocation/>
  <cached>True</cached>
  <openByDefault>False</openByDefault>
  <xsnScope/>
</customXsn>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02EBC-211A-4617-898C-DB8150631B14}">
  <ds:schemaRefs>
    <ds:schemaRef ds:uri="http://schemas.microsoft.com/sharepoint/v3/contenttype/forms"/>
  </ds:schemaRefs>
</ds:datastoreItem>
</file>

<file path=customXml/itemProps2.xml><?xml version="1.0" encoding="utf-8"?>
<ds:datastoreItem xmlns:ds="http://schemas.openxmlformats.org/officeDocument/2006/customXml" ds:itemID="{A3B731AE-A098-48A8-8C5A-8333776CD5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4bcce7-ac1a-4c9d-aa3e-7e7769565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EFC03A-A33D-40D4-BF8A-5807CD48EC2B}">
  <ds:schemaRefs>
    <ds:schemaRef ds:uri="Microsoft.SharePoint.Taxonomy.ContentTypeSync"/>
  </ds:schemaRefs>
</ds:datastoreItem>
</file>

<file path=customXml/itemProps4.xml><?xml version="1.0" encoding="utf-8"?>
<ds:datastoreItem xmlns:ds="http://schemas.openxmlformats.org/officeDocument/2006/customXml" ds:itemID="{9F24A3E9-E1D5-4F09-9B69-F10FAB4B2E90}">
  <ds:schemaRefs>
    <ds:schemaRef ds:uri="3f4bcce7-ac1a-4c9d-aa3e-7e77695652db"/>
    <ds:schemaRef ds:uri="http://purl.org/dc/elements/1.1/"/>
    <ds:schemaRef ds:uri="http://schemas.microsoft.com/office/2006/metadata/propertie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schemas.microsoft.com/sharepoint/v3"/>
    <ds:schemaRef ds:uri="http://www.w3.org/XML/1998/namespace"/>
    <ds:schemaRef ds:uri="http://purl.org/dc/dcmitype/"/>
  </ds:schemaRefs>
</ds:datastoreItem>
</file>

<file path=customXml/itemProps5.xml><?xml version="1.0" encoding="utf-8"?>
<ds:datastoreItem xmlns:ds="http://schemas.openxmlformats.org/officeDocument/2006/customXml" ds:itemID="{F6AC828E-E083-40C3-858D-B3132ADFDA11}">
  <ds:schemaRefs>
    <ds:schemaRef ds:uri="http://schemas.microsoft.com/office/2006/metadata/customXsn"/>
  </ds:schemaRefs>
</ds:datastoreItem>
</file>

<file path=customXml/itemProps6.xml><?xml version="1.0" encoding="utf-8"?>
<ds:datastoreItem xmlns:ds="http://schemas.openxmlformats.org/officeDocument/2006/customXml" ds:itemID="{354E6833-3559-4156-845A-EDC9365E747D}">
  <ds:schemaRefs>
    <ds:schemaRef ds:uri="http://schemas.microsoft.com/sharepoint/events"/>
  </ds:schemaRefs>
</ds:datastoreItem>
</file>

<file path=customXml/itemProps7.xml><?xml version="1.0" encoding="utf-8"?>
<ds:datastoreItem xmlns:ds="http://schemas.openxmlformats.org/officeDocument/2006/customXml" ds:itemID="{00C0EA9C-B8ED-46F4-9304-8F598CCBD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chapter.dotm</Template>
  <TotalTime>2</TotalTime>
  <Pages>208</Pages>
  <Words>74344</Words>
  <Characters>423762</Characters>
  <Application>Microsoft Office Word</Application>
  <DocSecurity>0</DocSecurity>
  <Lines>3531</Lines>
  <Paragraphs>994</Paragraphs>
  <ScaleCrop>false</ScaleCrop>
  <HeadingPairs>
    <vt:vector size="2" baseType="variant">
      <vt:variant>
        <vt:lpstr>Title</vt:lpstr>
      </vt:variant>
      <vt:variant>
        <vt:i4>1</vt:i4>
      </vt:variant>
    </vt:vector>
  </HeadingPairs>
  <TitlesOfParts>
    <vt:vector size="1" baseType="lpstr">
      <vt:lpstr>Supporting paper 5: Integrated care</vt:lpstr>
    </vt:vector>
  </TitlesOfParts>
  <Company>Productivity Commission</Company>
  <LinksUpToDate>false</LinksUpToDate>
  <CharactersWithSpaces>497112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paper 5: Integrated care</dc:title>
  <dc:subject/>
  <dc:creator>Productivity Commission</dc:creator>
  <cp:keywords/>
  <dc:description/>
  <cp:lastModifiedBy>Productivity Commission</cp:lastModifiedBy>
  <cp:revision>3</cp:revision>
  <dcterms:created xsi:type="dcterms:W3CDTF">2017-08-02T05:29:00Z</dcterms:created>
  <dcterms:modified xsi:type="dcterms:W3CDTF">2017-10-04T23:18:00Z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ord Tag">
    <vt:lpwstr>270;#Final Report|2ba7de50-4c1d-4453-9bfb-2c08018fad73</vt:lpwstr>
  </property>
  <property fmtid="{D5CDD505-2E9C-101B-9397-08002B2CF9AE}" pid="3" name="TaxKeyword">
    <vt:lpwstr/>
  </property>
  <property fmtid="{D5CDD505-2E9C-101B-9397-08002B2CF9AE}" pid="4" name="ZOTERO_PREF_2">
    <vt:lpwstr> value="true"/&gt;&lt;pref name="automaticJournalAbbreviations" value="true"/&gt;&lt;pref name="noteType" value=""/&gt;&lt;/prefs&gt;&lt;/data&gt;</vt:lpwstr>
  </property>
  <property fmtid="{D5CDD505-2E9C-101B-9397-08002B2CF9AE}" pid="5" name="ContentTypeId">
    <vt:lpwstr>0x0101007916246811615643A710C6FEAFF56A871104006E3BDAB9F67AF64BB2EC3946D13B8675</vt:lpwstr>
  </property>
  <property fmtid="{D5CDD505-2E9C-101B-9397-08002B2CF9AE}" pid="6" name="ZOTERO_PREF_1">
    <vt:lpwstr>&lt;data data-version="3" zotero-version="4.0.29.10"&gt;&lt;session id="5g7lXkwr"/&gt;&lt;style id="http://www.zotero.org/styles/unisa-harvard" hasBibliography="1" bibliographyStyleHasBeenSet="1"/&gt;&lt;prefs&gt;&lt;pref name="fieldType" value="Field"/&gt;&lt;pref name="storeReferences"</vt:lpwstr>
  </property>
</Properties>
</file>