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738B3" w14:textId="74FFEBF8" w:rsidR="002A417B" w:rsidRPr="002A417B" w:rsidRDefault="004A2CBF" w:rsidP="002A417B">
      <w:pPr>
        <w:pStyle w:val="Heading1"/>
        <w:rPr>
          <w:color w:val="FFFFFF" w:themeColor="background1"/>
          <w:sz w:val="16"/>
          <w:szCs w:val="16"/>
        </w:rPr>
      </w:pPr>
      <w:bookmarkStart w:id="0" w:name="ChapterNumber"/>
      <w:r>
        <w:rPr>
          <w:noProof/>
          <w:color w:val="FFFFFF" w:themeColor="background1"/>
          <w:sz w:val="16"/>
          <w:szCs w:val="16"/>
        </w:rPr>
        <w:drawing>
          <wp:anchor distT="0" distB="0" distL="114300" distR="114300" simplePos="0" relativeHeight="251659266" behindDoc="0" locked="0" layoutInCell="1" allowOverlap="1" wp14:anchorId="2AB695C8" wp14:editId="2EA0D214">
            <wp:simplePos x="825500" y="1498600"/>
            <wp:positionH relativeFrom="page">
              <wp:align>center</wp:align>
            </wp:positionH>
            <wp:positionV relativeFrom="page">
              <wp:posOffset>-11738</wp:posOffset>
            </wp:positionV>
            <wp:extent cx="7566660" cy="10700385"/>
            <wp:effectExtent l="0" t="0" r="0" b="5715"/>
            <wp:wrapNone/>
            <wp:docPr id="1" name="Picture 1" descr="Cover imagefor : Regulation of Australian Agriculture, Productivity Commission Issues Paper, Decemb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s-paper-cover-agricultur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67200" cy="10700875"/>
                    </a:xfrm>
                    <a:prstGeom prst="rect">
                      <a:avLst/>
                    </a:prstGeom>
                  </pic:spPr>
                </pic:pic>
              </a:graphicData>
            </a:graphic>
            <wp14:sizeRelH relativeFrom="margin">
              <wp14:pctWidth>0</wp14:pctWidth>
            </wp14:sizeRelH>
            <wp14:sizeRelV relativeFrom="margin">
              <wp14:pctHeight>0</wp14:pctHeight>
            </wp14:sizeRelV>
          </wp:anchor>
        </w:drawing>
      </w:r>
      <w:r w:rsidR="002A417B" w:rsidRPr="002A417B">
        <w:rPr>
          <w:color w:val="FFFFFF" w:themeColor="background1"/>
          <w:sz w:val="16"/>
          <w:szCs w:val="16"/>
        </w:rPr>
        <w:t>Regulation of Australian Agriculture</w:t>
      </w:r>
    </w:p>
    <w:p w14:paraId="60FCF9A5" w14:textId="52CBF196" w:rsidR="002A417B" w:rsidRDefault="002A417B" w:rsidP="002A417B">
      <w:pPr>
        <w:pStyle w:val="BodyText"/>
        <w:jc w:val="left"/>
        <w:sectPr w:rsidR="002A417B" w:rsidSect="0050660E">
          <w:headerReference w:type="even" r:id="rId17"/>
          <w:headerReference w:type="first" r:id="rId18"/>
          <w:type w:val="continuous"/>
          <w:pgSz w:w="11907" w:h="16840" w:code="9"/>
          <w:pgMar w:top="1984" w:right="1304" w:bottom="1247" w:left="1814" w:header="1701" w:footer="397" w:gutter="0"/>
          <w:pgNumType w:start="3" w:chapSep="period"/>
          <w:cols w:space="720"/>
          <w:docGrid w:linePitch="326"/>
        </w:sectPr>
      </w:pPr>
      <w:r w:rsidRPr="002A417B">
        <w:rPr>
          <w:color w:val="FFFFFF" w:themeColor="background1"/>
          <w:sz w:val="16"/>
          <w:szCs w:val="16"/>
        </w:rPr>
        <w:t>Productivity Commission Issues Paper, December 2015</w:t>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0660E" w14:paraId="15F7207B" w14:textId="77777777" w:rsidTr="00500A28">
        <w:trPr>
          <w:tblHeader/>
        </w:trPr>
        <w:tc>
          <w:tcPr>
            <w:tcW w:w="8771" w:type="dxa"/>
            <w:tcBorders>
              <w:top w:val="single" w:sz="6" w:space="0" w:color="78A22F"/>
              <w:left w:val="nil"/>
              <w:bottom w:val="nil"/>
              <w:right w:val="nil"/>
            </w:tcBorders>
            <w:shd w:val="clear" w:color="auto" w:fill="F2F2F2" w:themeFill="background1" w:themeFillShade="F2"/>
          </w:tcPr>
          <w:p w14:paraId="37501309" w14:textId="77777777" w:rsidR="0050660E" w:rsidRPr="008A3857" w:rsidRDefault="0050660E" w:rsidP="00500A28">
            <w:pPr>
              <w:pStyle w:val="BoxTitle"/>
              <w:rPr>
                <w:sz w:val="22"/>
                <w:szCs w:val="22"/>
              </w:rPr>
            </w:pPr>
            <w:r w:rsidRPr="008A3857">
              <w:rPr>
                <w:sz w:val="22"/>
                <w:szCs w:val="22"/>
              </w:rPr>
              <w:lastRenderedPageBreak/>
              <w:t xml:space="preserve">The </w:t>
            </w:r>
            <w:r>
              <w:rPr>
                <w:sz w:val="22"/>
                <w:szCs w:val="22"/>
              </w:rPr>
              <w:t>Issues Paper</w:t>
            </w:r>
          </w:p>
        </w:tc>
      </w:tr>
      <w:tr w:rsidR="0050660E" w14:paraId="42269E73" w14:textId="77777777" w:rsidTr="00500A28">
        <w:trPr>
          <w:cantSplit/>
        </w:trPr>
        <w:tc>
          <w:tcPr>
            <w:tcW w:w="8771" w:type="dxa"/>
            <w:tcBorders>
              <w:top w:val="nil"/>
              <w:left w:val="nil"/>
              <w:bottom w:val="nil"/>
              <w:right w:val="nil"/>
            </w:tcBorders>
            <w:shd w:val="clear" w:color="auto" w:fill="F2F2F2" w:themeFill="background1" w:themeFillShade="F2"/>
          </w:tcPr>
          <w:p w14:paraId="44A5CADA" w14:textId="77777777" w:rsidR="0050660E" w:rsidRDefault="0050660E" w:rsidP="00500A28">
            <w:pPr>
              <w:pStyle w:val="Box"/>
            </w:pPr>
            <w:r>
              <w:t>The Commission has released this issues paper to assist individuals and organisations to prepare submissions to the inquiry. It contains and outlines:</w:t>
            </w:r>
          </w:p>
          <w:p w14:paraId="2763E191" w14:textId="77777777" w:rsidR="0050660E" w:rsidRDefault="0050660E" w:rsidP="00500A28">
            <w:pPr>
              <w:pStyle w:val="BoxListBullet"/>
            </w:pPr>
            <w:r>
              <w:t>the scope of the inquiry</w:t>
            </w:r>
          </w:p>
          <w:p w14:paraId="3DD13F62" w14:textId="77777777" w:rsidR="0050660E" w:rsidRDefault="0050660E" w:rsidP="00500A28">
            <w:pPr>
              <w:pStyle w:val="BoxListBullet"/>
            </w:pPr>
            <w:r>
              <w:t>the Commission’s procedures</w:t>
            </w:r>
          </w:p>
          <w:p w14:paraId="1F7965ED" w14:textId="77777777" w:rsidR="0050660E" w:rsidRDefault="0050660E" w:rsidP="00500A28">
            <w:pPr>
              <w:pStyle w:val="BoxListBullet"/>
            </w:pPr>
            <w:r>
              <w:t>matters about which the Commission is seeking comment and information</w:t>
            </w:r>
          </w:p>
          <w:p w14:paraId="0F47E7FA" w14:textId="77777777" w:rsidR="0050660E" w:rsidRDefault="0050660E" w:rsidP="00500A28">
            <w:pPr>
              <w:pStyle w:val="BoxListBullet"/>
            </w:pPr>
            <w:r>
              <w:t>how to make a submission.</w:t>
            </w:r>
          </w:p>
          <w:p w14:paraId="549B221C" w14:textId="77777777" w:rsidR="0050660E" w:rsidRDefault="0050660E" w:rsidP="00500A28">
            <w:pPr>
              <w:pStyle w:val="Box"/>
            </w:pPr>
            <w:r>
              <w:t>Participants should not feel that they are restricted to comment only on matters raised in the issues paper. The Commission wishes to receive information and comment on issues which participants consider relevant to the inquiry’s terms of reference.</w:t>
            </w:r>
          </w:p>
          <w:p w14:paraId="5E78602A" w14:textId="77777777" w:rsidR="0050660E" w:rsidRDefault="0050660E" w:rsidP="00500A28">
            <w:pPr>
              <w:pStyle w:val="BoxHeading1"/>
            </w:pPr>
            <w:r>
              <w:t>Key inquiry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2"/>
              <w:gridCol w:w="4950"/>
            </w:tblGrid>
            <w:tr w:rsidR="0050660E" w14:paraId="757221D7" w14:textId="77777777" w:rsidTr="00500A28">
              <w:trPr>
                <w:tblHeader/>
              </w:trPr>
              <w:tc>
                <w:tcPr>
                  <w:tcW w:w="3522" w:type="dxa"/>
                  <w:tcMar>
                    <w:left w:w="0" w:type="dxa"/>
                  </w:tcMar>
                </w:tcPr>
                <w:p w14:paraId="4B0E1CD9" w14:textId="77777777" w:rsidR="0050660E" w:rsidRDefault="0050660E" w:rsidP="00500A28">
                  <w:pPr>
                    <w:pStyle w:val="Box"/>
                  </w:pPr>
                  <w:r>
                    <w:t>Receipt of terms of reference</w:t>
                  </w:r>
                </w:p>
              </w:tc>
              <w:tc>
                <w:tcPr>
                  <w:tcW w:w="4950" w:type="dxa"/>
                </w:tcPr>
                <w:p w14:paraId="777598C1" w14:textId="77777777" w:rsidR="0050660E" w:rsidRPr="00591218" w:rsidRDefault="0050660E" w:rsidP="00500A28">
                  <w:pPr>
                    <w:pStyle w:val="Box"/>
                    <w:rPr>
                      <w:color w:val="0000FF"/>
                    </w:rPr>
                  </w:pPr>
                  <w:r w:rsidRPr="00490DE3">
                    <w:t>20 November 2015</w:t>
                  </w:r>
                </w:p>
              </w:tc>
            </w:tr>
            <w:tr w:rsidR="0050660E" w14:paraId="1BB6C25D" w14:textId="77777777" w:rsidTr="00500A28">
              <w:tc>
                <w:tcPr>
                  <w:tcW w:w="3522" w:type="dxa"/>
                  <w:tcMar>
                    <w:left w:w="0" w:type="dxa"/>
                  </w:tcMar>
                </w:tcPr>
                <w:p w14:paraId="36892D5E" w14:textId="77777777" w:rsidR="0050660E" w:rsidRDefault="0050660E" w:rsidP="00500A28">
                  <w:pPr>
                    <w:pStyle w:val="Box"/>
                    <w:rPr>
                      <w:szCs w:val="24"/>
                    </w:rPr>
                  </w:pPr>
                  <w:r>
                    <w:t>Due date for submissions</w:t>
                  </w:r>
                </w:p>
              </w:tc>
              <w:tc>
                <w:tcPr>
                  <w:tcW w:w="4950" w:type="dxa"/>
                </w:tcPr>
                <w:p w14:paraId="479E3728" w14:textId="73EF6B99" w:rsidR="0050660E" w:rsidRPr="00124C6F" w:rsidRDefault="0050660E" w:rsidP="00500A28">
                  <w:pPr>
                    <w:pStyle w:val="Box"/>
                    <w:keepLines/>
                    <w:framePr w:w="2155" w:hSpace="227" w:vSpace="181" w:wrap="around" w:vAnchor="text" w:hAnchor="page" w:xAlign="outside" w:y="1"/>
                  </w:pPr>
                  <w:r>
                    <w:t>12</w:t>
                  </w:r>
                  <w:r w:rsidRPr="009E575E">
                    <w:t xml:space="preserve"> February 2016</w:t>
                  </w:r>
                </w:p>
              </w:tc>
            </w:tr>
            <w:tr w:rsidR="0050660E" w14:paraId="7483766D" w14:textId="77777777" w:rsidTr="00500A28">
              <w:tc>
                <w:tcPr>
                  <w:tcW w:w="3522" w:type="dxa"/>
                  <w:tcMar>
                    <w:left w:w="0" w:type="dxa"/>
                  </w:tcMar>
                </w:tcPr>
                <w:p w14:paraId="4D4B328A" w14:textId="77777777" w:rsidR="0050660E" w:rsidRDefault="0050660E" w:rsidP="00500A28">
                  <w:pPr>
                    <w:pStyle w:val="Box"/>
                    <w:rPr>
                      <w:i/>
                    </w:rPr>
                  </w:pPr>
                  <w:r>
                    <w:t>Release of draft report</w:t>
                  </w:r>
                </w:p>
              </w:tc>
              <w:tc>
                <w:tcPr>
                  <w:tcW w:w="4950" w:type="dxa"/>
                </w:tcPr>
                <w:p w14:paraId="58DEC048" w14:textId="77777777" w:rsidR="0050660E" w:rsidRPr="00124C6F" w:rsidRDefault="0050660E" w:rsidP="00500A28">
                  <w:pPr>
                    <w:pStyle w:val="Box"/>
                    <w:keepLines/>
                    <w:framePr w:w="2155" w:hSpace="227" w:vSpace="181" w:wrap="around" w:vAnchor="text" w:hAnchor="page" w:xAlign="outside" w:y="1"/>
                  </w:pPr>
                  <w:r w:rsidRPr="009E575E">
                    <w:t>May 2016</w:t>
                  </w:r>
                </w:p>
              </w:tc>
            </w:tr>
            <w:tr w:rsidR="0050660E" w14:paraId="4D5F7989" w14:textId="77777777" w:rsidTr="00500A28">
              <w:tc>
                <w:tcPr>
                  <w:tcW w:w="3522" w:type="dxa"/>
                  <w:tcMar>
                    <w:left w:w="0" w:type="dxa"/>
                  </w:tcMar>
                </w:tcPr>
                <w:p w14:paraId="72631F7E" w14:textId="77777777" w:rsidR="0050660E" w:rsidRDefault="0050660E" w:rsidP="00500A28">
                  <w:pPr>
                    <w:pStyle w:val="Box"/>
                    <w:rPr>
                      <w:i/>
                    </w:rPr>
                  </w:pPr>
                  <w:r>
                    <w:t>Draft report public hearings</w:t>
                  </w:r>
                </w:p>
              </w:tc>
              <w:tc>
                <w:tcPr>
                  <w:tcW w:w="4950" w:type="dxa"/>
                </w:tcPr>
                <w:p w14:paraId="5FBC1431" w14:textId="77777777" w:rsidR="0050660E" w:rsidRPr="00124C6F" w:rsidRDefault="0050660E" w:rsidP="00500A28">
                  <w:pPr>
                    <w:pStyle w:val="Box"/>
                    <w:keepLines/>
                    <w:framePr w:w="2155" w:hSpace="227" w:vSpace="181" w:wrap="around" w:vAnchor="text" w:hAnchor="page" w:xAlign="outside" w:y="1"/>
                  </w:pPr>
                  <w:r w:rsidRPr="009E575E">
                    <w:t xml:space="preserve">End May – early </w:t>
                  </w:r>
                  <w:r w:rsidRPr="00CF176E">
                    <w:t>June 2016</w:t>
                  </w:r>
                </w:p>
              </w:tc>
            </w:tr>
            <w:tr w:rsidR="0050660E" w14:paraId="3E9EF259" w14:textId="77777777" w:rsidTr="00500A28">
              <w:tc>
                <w:tcPr>
                  <w:tcW w:w="3522" w:type="dxa"/>
                  <w:tcMar>
                    <w:left w:w="0" w:type="dxa"/>
                  </w:tcMar>
                </w:tcPr>
                <w:p w14:paraId="62C65F86" w14:textId="77777777" w:rsidR="0050660E" w:rsidRDefault="0050660E" w:rsidP="00500A28">
                  <w:pPr>
                    <w:pStyle w:val="Box"/>
                    <w:rPr>
                      <w:i/>
                    </w:rPr>
                  </w:pPr>
                  <w:r>
                    <w:t>Final report to Government</w:t>
                  </w:r>
                </w:p>
              </w:tc>
              <w:tc>
                <w:tcPr>
                  <w:tcW w:w="4950" w:type="dxa"/>
                </w:tcPr>
                <w:p w14:paraId="6F4B80F4" w14:textId="77777777" w:rsidR="0050660E" w:rsidRPr="00124C6F" w:rsidRDefault="0050660E" w:rsidP="00500A28">
                  <w:pPr>
                    <w:pStyle w:val="Box"/>
                    <w:keepLines/>
                    <w:framePr w:w="2155" w:hSpace="227" w:vSpace="181" w:wrap="around" w:vAnchor="text" w:hAnchor="page" w:xAlign="outside" w:y="1"/>
                  </w:pPr>
                  <w:r w:rsidRPr="009E575E">
                    <w:t>19 August 2016</w:t>
                  </w:r>
                </w:p>
              </w:tc>
            </w:tr>
          </w:tbl>
          <w:p w14:paraId="72C414C6" w14:textId="77777777" w:rsidR="0050660E" w:rsidRDefault="0050660E" w:rsidP="00500A28">
            <w:pPr>
              <w:pStyle w:val="BoxHeading1"/>
            </w:pPr>
            <w:r>
              <w:t>Submissions can be made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2"/>
              <w:gridCol w:w="4950"/>
            </w:tblGrid>
            <w:tr w:rsidR="0050660E" w14:paraId="7D418FDB" w14:textId="77777777" w:rsidTr="00500A28">
              <w:trPr>
                <w:tblHeader/>
              </w:trPr>
              <w:tc>
                <w:tcPr>
                  <w:tcW w:w="3522" w:type="dxa"/>
                  <w:tcMar>
                    <w:left w:w="0" w:type="dxa"/>
                  </w:tcMar>
                </w:tcPr>
                <w:p w14:paraId="675DE4F7" w14:textId="77777777" w:rsidR="0050660E" w:rsidRDefault="0050660E" w:rsidP="00500A28">
                  <w:pPr>
                    <w:pStyle w:val="Box"/>
                  </w:pPr>
                  <w:r>
                    <w:t>By email:</w:t>
                  </w:r>
                </w:p>
              </w:tc>
              <w:tc>
                <w:tcPr>
                  <w:tcW w:w="4950" w:type="dxa"/>
                </w:tcPr>
                <w:p w14:paraId="1825CD4C" w14:textId="77777777" w:rsidR="0050660E" w:rsidRPr="009606CD" w:rsidRDefault="006E27A0" w:rsidP="00500A28">
                  <w:pPr>
                    <w:pStyle w:val="Box"/>
                  </w:pPr>
                  <w:hyperlink r:id="rId19" w:history="1">
                    <w:r w:rsidR="0050660E" w:rsidRPr="009606CD">
                      <w:rPr>
                        <w:rStyle w:val="Hyperlink"/>
                        <w:color w:val="auto"/>
                      </w:rPr>
                      <w:t>agriculture@pc.gov.au</w:t>
                    </w:r>
                  </w:hyperlink>
                </w:p>
              </w:tc>
            </w:tr>
            <w:tr w:rsidR="0050660E" w14:paraId="41462B4B" w14:textId="77777777" w:rsidTr="00500A28">
              <w:tc>
                <w:tcPr>
                  <w:tcW w:w="3522" w:type="dxa"/>
                  <w:tcMar>
                    <w:left w:w="0" w:type="dxa"/>
                  </w:tcMar>
                </w:tcPr>
                <w:p w14:paraId="5738CE0D" w14:textId="77777777" w:rsidR="0050660E" w:rsidRDefault="0050660E" w:rsidP="00500A28">
                  <w:pPr>
                    <w:pStyle w:val="Box"/>
                    <w:spacing w:before="60"/>
                    <w:jc w:val="left"/>
                  </w:pPr>
                  <w:r>
                    <w:t>By post:</w:t>
                  </w:r>
                </w:p>
              </w:tc>
              <w:tc>
                <w:tcPr>
                  <w:tcW w:w="4950" w:type="dxa"/>
                </w:tcPr>
                <w:p w14:paraId="3945AE8D" w14:textId="77777777" w:rsidR="0050660E" w:rsidRPr="00591218" w:rsidRDefault="0050660E" w:rsidP="00500A28">
                  <w:pPr>
                    <w:pStyle w:val="Box"/>
                    <w:spacing w:before="60"/>
                    <w:jc w:val="left"/>
                    <w:rPr>
                      <w:color w:val="0000FF"/>
                    </w:rPr>
                  </w:pPr>
                  <w:r w:rsidRPr="00816813">
                    <w:rPr>
                      <w:color w:val="000000" w:themeColor="text1"/>
                    </w:rPr>
                    <w:t>Regulation of Australian Agriculture</w:t>
                  </w:r>
                  <w:r w:rsidRPr="00816813">
                    <w:rPr>
                      <w:color w:val="000000" w:themeColor="text1"/>
                    </w:rPr>
                    <w:br/>
                    <w:t>Productivity Commission</w:t>
                  </w:r>
                  <w:r w:rsidRPr="00816813">
                    <w:rPr>
                      <w:color w:val="000000" w:themeColor="text1"/>
                    </w:rPr>
                    <w:br/>
                    <w:t>Locked Bag 2, Collins St East PO</w:t>
                  </w:r>
                  <w:r w:rsidRPr="00816813">
                    <w:rPr>
                      <w:color w:val="000000" w:themeColor="text1"/>
                    </w:rPr>
                    <w:br/>
                    <w:t>Melbourne VIC 8003</w:t>
                  </w:r>
                </w:p>
              </w:tc>
            </w:tr>
          </w:tbl>
          <w:p w14:paraId="3BF7AE71" w14:textId="77777777" w:rsidR="0050660E" w:rsidRDefault="0050660E" w:rsidP="00500A28">
            <w:pPr>
              <w:pStyle w:val="BoxHeading1"/>
            </w:pPr>
            <w: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2"/>
              <w:gridCol w:w="2268"/>
              <w:gridCol w:w="2682"/>
            </w:tblGrid>
            <w:tr w:rsidR="0050660E" w14:paraId="797D0105" w14:textId="77777777" w:rsidTr="00500A28">
              <w:trPr>
                <w:tblHeader/>
              </w:trPr>
              <w:tc>
                <w:tcPr>
                  <w:tcW w:w="3522" w:type="dxa"/>
                  <w:tcMar>
                    <w:left w:w="0" w:type="dxa"/>
                  </w:tcMar>
                </w:tcPr>
                <w:p w14:paraId="27EC08DB" w14:textId="77777777" w:rsidR="0050660E" w:rsidRDefault="0050660E" w:rsidP="00500A28">
                  <w:pPr>
                    <w:pStyle w:val="Box"/>
                  </w:pPr>
                  <w:r>
                    <w:t>Administrative matters:</w:t>
                  </w:r>
                </w:p>
              </w:tc>
              <w:tc>
                <w:tcPr>
                  <w:tcW w:w="2268" w:type="dxa"/>
                </w:tcPr>
                <w:p w14:paraId="251C914D" w14:textId="77777777" w:rsidR="0050660E" w:rsidRPr="00745A91" w:rsidRDefault="0050660E" w:rsidP="00500A28">
                  <w:pPr>
                    <w:pStyle w:val="Box"/>
                    <w:rPr>
                      <w:color w:val="000000" w:themeColor="text1"/>
                    </w:rPr>
                  </w:pPr>
                  <w:r w:rsidRPr="00745A91">
                    <w:rPr>
                      <w:color w:val="000000" w:themeColor="text1"/>
                    </w:rPr>
                    <w:t xml:space="preserve">Marianna Olding </w:t>
                  </w:r>
                </w:p>
              </w:tc>
              <w:tc>
                <w:tcPr>
                  <w:tcW w:w="2682" w:type="dxa"/>
                </w:tcPr>
                <w:p w14:paraId="53FF0559" w14:textId="03887728" w:rsidR="0050660E" w:rsidRPr="00745A91" w:rsidRDefault="0050660E" w:rsidP="00500A28">
                  <w:pPr>
                    <w:pStyle w:val="Box"/>
                    <w:rPr>
                      <w:color w:val="000000" w:themeColor="text1"/>
                    </w:rPr>
                  </w:pPr>
                  <w:r w:rsidRPr="00745A91">
                    <w:rPr>
                      <w:color w:val="000000" w:themeColor="text1"/>
                    </w:rPr>
                    <w:t>Ph: 03</w:t>
                  </w:r>
                  <w:r w:rsidR="002C48F0">
                    <w:rPr>
                      <w:color w:val="000000" w:themeColor="text1"/>
                    </w:rPr>
                    <w:t> </w:t>
                  </w:r>
                  <w:r w:rsidRPr="00745A91">
                    <w:rPr>
                      <w:color w:val="000000" w:themeColor="text1"/>
                    </w:rPr>
                    <w:t>9653</w:t>
                  </w:r>
                  <w:r w:rsidR="002C48F0">
                    <w:rPr>
                      <w:color w:val="000000" w:themeColor="text1"/>
                    </w:rPr>
                    <w:t> </w:t>
                  </w:r>
                  <w:r w:rsidRPr="00745A91">
                    <w:rPr>
                      <w:color w:val="000000" w:themeColor="text1"/>
                    </w:rPr>
                    <w:t>2194</w:t>
                  </w:r>
                </w:p>
              </w:tc>
            </w:tr>
            <w:tr w:rsidR="0050660E" w14:paraId="691948E1" w14:textId="77777777" w:rsidTr="00500A28">
              <w:tc>
                <w:tcPr>
                  <w:tcW w:w="3522" w:type="dxa"/>
                  <w:tcMar>
                    <w:left w:w="0" w:type="dxa"/>
                  </w:tcMar>
                </w:tcPr>
                <w:p w14:paraId="4B9D06EA" w14:textId="77777777" w:rsidR="0050660E" w:rsidRDefault="0050660E" w:rsidP="00500A28">
                  <w:pPr>
                    <w:pStyle w:val="Box"/>
                    <w:spacing w:before="60"/>
                  </w:pPr>
                  <w:r>
                    <w:t>Other matters:</w:t>
                  </w:r>
                </w:p>
              </w:tc>
              <w:tc>
                <w:tcPr>
                  <w:tcW w:w="2268" w:type="dxa"/>
                </w:tcPr>
                <w:p w14:paraId="621F20A3" w14:textId="77777777" w:rsidR="0050660E" w:rsidRPr="00745A91" w:rsidRDefault="0050660E" w:rsidP="00500A28">
                  <w:pPr>
                    <w:pStyle w:val="Box"/>
                    <w:spacing w:before="60"/>
                    <w:rPr>
                      <w:color w:val="000000" w:themeColor="text1"/>
                    </w:rPr>
                  </w:pPr>
                  <w:r>
                    <w:rPr>
                      <w:color w:val="000000" w:themeColor="text1"/>
                    </w:rPr>
                    <w:t>Ana Markulev</w:t>
                  </w:r>
                </w:p>
              </w:tc>
              <w:tc>
                <w:tcPr>
                  <w:tcW w:w="2682" w:type="dxa"/>
                </w:tcPr>
                <w:p w14:paraId="5F34010D" w14:textId="05E55BAC" w:rsidR="0050660E" w:rsidRPr="00745A91" w:rsidRDefault="0050660E" w:rsidP="00500A28">
                  <w:pPr>
                    <w:pStyle w:val="Box"/>
                    <w:spacing w:before="60"/>
                    <w:rPr>
                      <w:color w:val="000000" w:themeColor="text1"/>
                    </w:rPr>
                  </w:pPr>
                  <w:r w:rsidRPr="00745A91">
                    <w:rPr>
                      <w:color w:val="000000" w:themeColor="text1"/>
                    </w:rPr>
                    <w:t>Ph: 03</w:t>
                  </w:r>
                  <w:r w:rsidR="002C48F0">
                    <w:rPr>
                      <w:color w:val="000000" w:themeColor="text1"/>
                    </w:rPr>
                    <w:t> </w:t>
                  </w:r>
                  <w:r w:rsidRPr="00745A91">
                    <w:rPr>
                      <w:color w:val="000000" w:themeColor="text1"/>
                    </w:rPr>
                    <w:t>9653</w:t>
                  </w:r>
                  <w:r w:rsidR="002C48F0">
                    <w:rPr>
                      <w:color w:val="000000" w:themeColor="text1"/>
                    </w:rPr>
                    <w:t> </w:t>
                  </w:r>
                  <w:r w:rsidRPr="00745A91">
                    <w:rPr>
                      <w:color w:val="000000" w:themeColor="text1"/>
                    </w:rPr>
                    <w:t>21</w:t>
                  </w:r>
                  <w:r>
                    <w:rPr>
                      <w:color w:val="000000" w:themeColor="text1"/>
                    </w:rPr>
                    <w:t>37</w:t>
                  </w:r>
                </w:p>
              </w:tc>
            </w:tr>
            <w:tr w:rsidR="0050660E" w14:paraId="5A37D580" w14:textId="77777777" w:rsidTr="00500A28">
              <w:tc>
                <w:tcPr>
                  <w:tcW w:w="3522" w:type="dxa"/>
                  <w:tcMar>
                    <w:left w:w="0" w:type="dxa"/>
                  </w:tcMar>
                </w:tcPr>
                <w:p w14:paraId="0A0DD4EE" w14:textId="77777777" w:rsidR="0050660E" w:rsidRDefault="0050660E" w:rsidP="00500A28">
                  <w:pPr>
                    <w:pStyle w:val="Box"/>
                    <w:spacing w:before="60"/>
                  </w:pPr>
                  <w:r>
                    <w:t>Freecall number for regional areas:</w:t>
                  </w:r>
                </w:p>
              </w:tc>
              <w:tc>
                <w:tcPr>
                  <w:tcW w:w="2268" w:type="dxa"/>
                </w:tcPr>
                <w:p w14:paraId="4FAE653C" w14:textId="77777777" w:rsidR="0050660E" w:rsidRDefault="0050660E" w:rsidP="00500A28">
                  <w:pPr>
                    <w:pStyle w:val="Box"/>
                    <w:spacing w:before="60"/>
                  </w:pPr>
                  <w:r>
                    <w:t>1800 020 083</w:t>
                  </w:r>
                </w:p>
              </w:tc>
              <w:tc>
                <w:tcPr>
                  <w:tcW w:w="2682" w:type="dxa"/>
                </w:tcPr>
                <w:p w14:paraId="706E802B" w14:textId="77777777" w:rsidR="0050660E" w:rsidRDefault="0050660E" w:rsidP="00500A28">
                  <w:pPr>
                    <w:pStyle w:val="Box"/>
                    <w:spacing w:before="60"/>
                  </w:pPr>
                </w:p>
              </w:tc>
            </w:tr>
            <w:tr w:rsidR="0050660E" w14:paraId="6FFAEFAE" w14:textId="77777777" w:rsidTr="00500A28">
              <w:tc>
                <w:tcPr>
                  <w:tcW w:w="3522" w:type="dxa"/>
                  <w:tcMar>
                    <w:left w:w="0" w:type="dxa"/>
                  </w:tcMar>
                </w:tcPr>
                <w:p w14:paraId="2B066E49" w14:textId="77777777" w:rsidR="0050660E" w:rsidRDefault="0050660E" w:rsidP="00500A28">
                  <w:pPr>
                    <w:pStyle w:val="Box"/>
                    <w:spacing w:before="60"/>
                  </w:pPr>
                  <w:r>
                    <w:t>Website:</w:t>
                  </w:r>
                </w:p>
              </w:tc>
              <w:tc>
                <w:tcPr>
                  <w:tcW w:w="2268" w:type="dxa"/>
                </w:tcPr>
                <w:p w14:paraId="30C1B7BE" w14:textId="77777777" w:rsidR="0050660E" w:rsidRPr="009F3E26" w:rsidRDefault="0050660E" w:rsidP="00500A28">
                  <w:pPr>
                    <w:pStyle w:val="Box"/>
                    <w:spacing w:before="60"/>
                    <w:rPr>
                      <w:b/>
                    </w:rPr>
                  </w:pPr>
                  <w:r w:rsidRPr="009F3E26">
                    <w:rPr>
                      <w:b/>
                    </w:rPr>
                    <w:t>www.pc.gov.au</w:t>
                  </w:r>
                </w:p>
              </w:tc>
              <w:tc>
                <w:tcPr>
                  <w:tcW w:w="2682" w:type="dxa"/>
                </w:tcPr>
                <w:p w14:paraId="12B2C9F8" w14:textId="77777777" w:rsidR="0050660E" w:rsidRDefault="0050660E" w:rsidP="00500A28">
                  <w:pPr>
                    <w:pStyle w:val="Box"/>
                    <w:spacing w:before="60"/>
                  </w:pPr>
                </w:p>
              </w:tc>
            </w:tr>
          </w:tbl>
          <w:p w14:paraId="08C9D615" w14:textId="77777777" w:rsidR="0050660E" w:rsidRDefault="0050660E" w:rsidP="00500A28">
            <w:pPr>
              <w:pStyle w:val="Box"/>
            </w:pPr>
          </w:p>
        </w:tc>
      </w:tr>
      <w:tr w:rsidR="0050660E" w14:paraId="3EC9A95C" w14:textId="77777777" w:rsidTr="00500A28">
        <w:trPr>
          <w:cantSplit/>
        </w:trPr>
        <w:tc>
          <w:tcPr>
            <w:tcW w:w="8771" w:type="dxa"/>
            <w:tcBorders>
              <w:top w:val="nil"/>
              <w:left w:val="nil"/>
              <w:bottom w:val="single" w:sz="6" w:space="0" w:color="78A22F"/>
              <w:right w:val="nil"/>
            </w:tcBorders>
            <w:shd w:val="clear" w:color="auto" w:fill="F2F2F2" w:themeFill="background1" w:themeFillShade="F2"/>
          </w:tcPr>
          <w:p w14:paraId="5E996BCE" w14:textId="77777777" w:rsidR="0050660E" w:rsidRDefault="0050660E" w:rsidP="00500A28">
            <w:pPr>
              <w:pStyle w:val="Box"/>
              <w:spacing w:before="0" w:line="120" w:lineRule="exact"/>
            </w:pPr>
          </w:p>
        </w:tc>
      </w:tr>
    </w:tbl>
    <w:p w14:paraId="5972FAFF" w14:textId="77777777" w:rsidR="0050660E" w:rsidRDefault="0050660E" w:rsidP="0050660E">
      <w:pPr>
        <w:pStyle w:val="BoxSpaceAbove"/>
        <w:spacing w:before="100" w:beforeAutospacing="1"/>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0660E" w14:paraId="388D49D5" w14:textId="77777777" w:rsidTr="00500A28">
        <w:tc>
          <w:tcPr>
            <w:tcW w:w="8771" w:type="dxa"/>
            <w:tcBorders>
              <w:top w:val="single" w:sz="6" w:space="0" w:color="78A22F"/>
              <w:left w:val="nil"/>
              <w:bottom w:val="nil"/>
              <w:right w:val="nil"/>
            </w:tcBorders>
            <w:shd w:val="clear" w:color="auto" w:fill="F2F2F2" w:themeFill="background1" w:themeFillShade="F2"/>
          </w:tcPr>
          <w:p w14:paraId="2B13FAE7" w14:textId="77777777" w:rsidR="0050660E" w:rsidRPr="008A3857" w:rsidRDefault="0050660E" w:rsidP="00500A28">
            <w:pPr>
              <w:pStyle w:val="BoxTitle"/>
              <w:rPr>
                <w:sz w:val="22"/>
                <w:szCs w:val="22"/>
              </w:rPr>
            </w:pPr>
            <w:r w:rsidRPr="008A3857">
              <w:rPr>
                <w:sz w:val="22"/>
                <w:szCs w:val="22"/>
              </w:rPr>
              <w:t>The Productivity Commission</w:t>
            </w:r>
          </w:p>
        </w:tc>
      </w:tr>
      <w:tr w:rsidR="0050660E" w14:paraId="743B6B72" w14:textId="77777777" w:rsidTr="00500A28">
        <w:trPr>
          <w:cantSplit/>
        </w:trPr>
        <w:tc>
          <w:tcPr>
            <w:tcW w:w="8771" w:type="dxa"/>
            <w:tcBorders>
              <w:top w:val="nil"/>
              <w:left w:val="nil"/>
              <w:bottom w:val="nil"/>
              <w:right w:val="nil"/>
            </w:tcBorders>
            <w:shd w:val="clear" w:color="auto" w:fill="F2F2F2" w:themeFill="background1" w:themeFillShade="F2"/>
          </w:tcPr>
          <w:p w14:paraId="1F564905" w14:textId="77777777" w:rsidR="0050660E" w:rsidRDefault="0050660E" w:rsidP="00500A28">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4C3C1A16" w14:textId="77777777" w:rsidR="0050660E" w:rsidRDefault="0050660E" w:rsidP="00500A28">
            <w:pPr>
              <w:pStyle w:val="Box"/>
            </w:pPr>
            <w:r w:rsidRPr="00BB5DCF">
              <w:t>The Commission’s independence is underpinned by an Act of Parliament. Its processes and outputs are open to public scrutiny and are driven by concern for the wellbeing of the community as a whole.</w:t>
            </w:r>
          </w:p>
          <w:p w14:paraId="38C18C98" w14:textId="77777777" w:rsidR="0050660E" w:rsidRDefault="0050660E" w:rsidP="00500A28">
            <w:pPr>
              <w:pStyle w:val="Box"/>
            </w:pPr>
            <w:r w:rsidRPr="00BB5DCF">
              <w:rPr>
                <w:szCs w:val="24"/>
              </w:rPr>
              <w:t>Further information on the Productivity Commission can be obtained from the Commission’s website (www.pc.gov.au)</w:t>
            </w:r>
            <w:r>
              <w:rPr>
                <w:szCs w:val="24"/>
              </w:rPr>
              <w:t>.</w:t>
            </w:r>
          </w:p>
        </w:tc>
      </w:tr>
      <w:tr w:rsidR="0050660E" w14:paraId="626B9C6B" w14:textId="77777777" w:rsidTr="00500A28">
        <w:trPr>
          <w:cantSplit/>
        </w:trPr>
        <w:tc>
          <w:tcPr>
            <w:tcW w:w="8771" w:type="dxa"/>
            <w:tcBorders>
              <w:top w:val="nil"/>
              <w:left w:val="nil"/>
              <w:bottom w:val="single" w:sz="6" w:space="0" w:color="78A22F"/>
              <w:right w:val="nil"/>
            </w:tcBorders>
            <w:shd w:val="clear" w:color="auto" w:fill="F2F2F2" w:themeFill="background1" w:themeFillShade="F2"/>
          </w:tcPr>
          <w:p w14:paraId="2695F884" w14:textId="77777777" w:rsidR="0050660E" w:rsidRDefault="0050660E" w:rsidP="00500A28">
            <w:pPr>
              <w:pStyle w:val="Box"/>
              <w:spacing w:before="0" w:line="120" w:lineRule="exact"/>
            </w:pPr>
          </w:p>
        </w:tc>
      </w:tr>
    </w:tbl>
    <w:p w14:paraId="2982B006" w14:textId="77777777" w:rsidR="00EC0A05" w:rsidRPr="00415F39" w:rsidRDefault="00EC0A05" w:rsidP="00EC0A05">
      <w:pPr>
        <w:pStyle w:val="BodyText"/>
        <w:sectPr w:rsidR="00EC0A05" w:rsidRPr="00415F39" w:rsidSect="00DA3EB4">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1560" w:right="1304" w:bottom="851" w:left="1814" w:header="1276" w:footer="397" w:gutter="0"/>
          <w:pgNumType w:fmt="lowerRoman" w:chapSep="period"/>
          <w:cols w:space="720"/>
          <w:titlePg/>
        </w:sectPr>
      </w:pPr>
    </w:p>
    <w:p w14:paraId="2982B02A" w14:textId="77777777" w:rsidR="00F056FC" w:rsidRPr="00BB683E" w:rsidRDefault="00EC0A05" w:rsidP="00491E86">
      <w:pPr>
        <w:pStyle w:val="Heading2"/>
        <w:spacing w:before="0" w:after="600"/>
      </w:pPr>
      <w:bookmarkStart w:id="1" w:name="begin"/>
      <w:bookmarkStart w:id="2" w:name="_Toc438195734"/>
      <w:bookmarkStart w:id="3" w:name="_Toc438195859"/>
      <w:bookmarkStart w:id="4" w:name="_Toc438195898"/>
      <w:bookmarkStart w:id="5" w:name="_Toc438197961"/>
      <w:bookmarkStart w:id="6" w:name="_Toc438202819"/>
      <w:bookmarkStart w:id="7" w:name="_Toc438203910"/>
      <w:bookmarkStart w:id="8" w:name="_Toc438204243"/>
      <w:bookmarkStart w:id="9" w:name="_Toc438204916"/>
      <w:bookmarkEnd w:id="0"/>
      <w:bookmarkEnd w:id="1"/>
      <w:r w:rsidRPr="00BB683E">
        <w:lastRenderedPageBreak/>
        <w:t>Contents</w:t>
      </w:r>
      <w:bookmarkEnd w:id="2"/>
      <w:bookmarkEnd w:id="3"/>
      <w:bookmarkEnd w:id="4"/>
      <w:bookmarkEnd w:id="5"/>
      <w:bookmarkEnd w:id="6"/>
      <w:bookmarkEnd w:id="7"/>
      <w:bookmarkEnd w:id="8"/>
      <w:bookmarkEnd w:id="9"/>
    </w:p>
    <w:sdt>
      <w:sdtPr>
        <w:rPr>
          <w:rFonts w:ascii="Times New Roman" w:hAnsi="Times New Roman"/>
          <w:b w:val="0"/>
          <w:kern w:val="28"/>
          <w:sz w:val="52"/>
          <w:szCs w:val="26"/>
          <w:lang w:eastAsia="en-US"/>
        </w:rPr>
        <w:id w:val="243528337"/>
        <w:docPartObj>
          <w:docPartGallery w:val="Table of Contents"/>
          <w:docPartUnique/>
        </w:docPartObj>
      </w:sdtPr>
      <w:sdtEndPr>
        <w:rPr>
          <w:kern w:val="0"/>
          <w:sz w:val="24"/>
          <w:szCs w:val="20"/>
          <w:lang w:eastAsia="en-AU"/>
        </w:rPr>
      </w:sdtEndPr>
      <w:sdtContent>
        <w:p w14:paraId="31BE129B" w14:textId="6E22B4A9" w:rsidR="00ED2072" w:rsidRDefault="00ED2072">
          <w:pPr>
            <w:pStyle w:val="TOC2"/>
            <w:rPr>
              <w:rFonts w:asciiTheme="minorHAnsi" w:eastAsiaTheme="minorEastAsia" w:hAnsiTheme="minorHAnsi" w:cstheme="minorBidi"/>
              <w:b w:val="0"/>
              <w:noProof/>
              <w:sz w:val="22"/>
              <w:szCs w:val="22"/>
            </w:rPr>
          </w:pPr>
          <w:r>
            <w:rPr>
              <w:noProof/>
            </w:rPr>
            <w:t>Contents</w:t>
          </w:r>
          <w:r>
            <w:rPr>
              <w:noProof/>
            </w:rPr>
            <w:tab/>
          </w:r>
          <w:r w:rsidR="00661BEA">
            <w:rPr>
              <w:noProof/>
            </w:rPr>
            <w:t>ii</w:t>
          </w:r>
          <w:r w:rsidR="0096123B">
            <w:rPr>
              <w:noProof/>
            </w:rPr>
            <w:t>i</w:t>
          </w:r>
        </w:p>
        <w:p w14:paraId="63DC8C17" w14:textId="77777777" w:rsidR="00ED2072" w:rsidRDefault="00ED2072">
          <w:pPr>
            <w:pStyle w:val="TOC2"/>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About this inquiry</w:t>
          </w:r>
          <w:r>
            <w:rPr>
              <w:noProof/>
            </w:rPr>
            <w:tab/>
          </w:r>
          <w:r w:rsidR="0096123B">
            <w:rPr>
              <w:noProof/>
            </w:rPr>
            <w:t>1</w:t>
          </w:r>
        </w:p>
        <w:p w14:paraId="1EF728A5" w14:textId="77777777" w:rsidR="00ED2072" w:rsidRDefault="00ED2072">
          <w:pPr>
            <w:pStyle w:val="TOC2"/>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The Commission’s approach to the inquiry</w:t>
          </w:r>
          <w:r>
            <w:rPr>
              <w:noProof/>
            </w:rPr>
            <w:tab/>
          </w:r>
          <w:r w:rsidR="0096123B">
            <w:rPr>
              <w:noProof/>
            </w:rPr>
            <w:t>4</w:t>
          </w:r>
        </w:p>
        <w:p w14:paraId="0ADF1710" w14:textId="77777777" w:rsidR="00ED2072" w:rsidRDefault="00ED2072">
          <w:pPr>
            <w:pStyle w:val="TOC2"/>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Farm businesses and regulation</w:t>
          </w:r>
          <w:r>
            <w:rPr>
              <w:noProof/>
            </w:rPr>
            <w:tab/>
          </w:r>
          <w:r w:rsidR="0096123B">
            <w:rPr>
              <w:noProof/>
            </w:rPr>
            <w:t>7</w:t>
          </w:r>
        </w:p>
        <w:p w14:paraId="2B84817A" w14:textId="2F30B9AB" w:rsidR="00ED2072" w:rsidRDefault="00ED2072">
          <w:pPr>
            <w:pStyle w:val="TOC2"/>
            <w:rPr>
              <w:rFonts w:asciiTheme="minorHAnsi" w:eastAsiaTheme="minorEastAsia" w:hAnsiTheme="minorHAnsi" w:cstheme="minorBidi"/>
              <w:b w:val="0"/>
              <w:noProof/>
              <w:sz w:val="22"/>
              <w:szCs w:val="22"/>
            </w:rPr>
          </w:pPr>
          <w:r>
            <w:rPr>
              <w:noProof/>
            </w:rPr>
            <w:t>Attachment A</w:t>
          </w:r>
          <w:r w:rsidR="00E94E7E">
            <w:rPr>
              <w:noProof/>
            </w:rPr>
            <w:t xml:space="preserve"> — Terms of </w:t>
          </w:r>
          <w:r w:rsidR="00EA611E">
            <w:rPr>
              <w:noProof/>
            </w:rPr>
            <w:t>r</w:t>
          </w:r>
          <w:r w:rsidR="00E94E7E">
            <w:rPr>
              <w:noProof/>
            </w:rPr>
            <w:t>eference</w:t>
          </w:r>
          <w:r>
            <w:rPr>
              <w:noProof/>
            </w:rPr>
            <w:tab/>
          </w:r>
          <w:r w:rsidR="0096123B">
            <w:rPr>
              <w:noProof/>
            </w:rPr>
            <w:t>2</w:t>
          </w:r>
          <w:r w:rsidR="00FF2401">
            <w:rPr>
              <w:noProof/>
            </w:rPr>
            <w:t>3</w:t>
          </w:r>
        </w:p>
        <w:p w14:paraId="1567F5CC" w14:textId="6464B09D" w:rsidR="00ED2072" w:rsidRDefault="00ED2072">
          <w:pPr>
            <w:pStyle w:val="TOC2"/>
            <w:rPr>
              <w:rFonts w:asciiTheme="minorHAnsi" w:eastAsiaTheme="minorEastAsia" w:hAnsiTheme="minorHAnsi" w:cstheme="minorBidi"/>
              <w:b w:val="0"/>
              <w:noProof/>
              <w:sz w:val="22"/>
              <w:szCs w:val="22"/>
            </w:rPr>
          </w:pPr>
          <w:r>
            <w:rPr>
              <w:noProof/>
            </w:rPr>
            <w:t>Attachment B</w:t>
          </w:r>
          <w:r w:rsidR="00E94E7E">
            <w:rPr>
              <w:noProof/>
            </w:rPr>
            <w:t xml:space="preserve"> — How to make a submission</w:t>
          </w:r>
          <w:r>
            <w:rPr>
              <w:noProof/>
            </w:rPr>
            <w:tab/>
          </w:r>
          <w:r w:rsidR="0096123B">
            <w:rPr>
              <w:noProof/>
            </w:rPr>
            <w:t>2</w:t>
          </w:r>
          <w:r w:rsidR="00FF2401">
            <w:rPr>
              <w:noProof/>
            </w:rPr>
            <w:t>6</w:t>
          </w:r>
        </w:p>
        <w:p w14:paraId="504D49BB" w14:textId="3B9CAB19" w:rsidR="00ED2072" w:rsidRDefault="00ED2072">
          <w:pPr>
            <w:pStyle w:val="TOC2"/>
            <w:rPr>
              <w:rFonts w:asciiTheme="minorHAnsi" w:eastAsiaTheme="minorEastAsia" w:hAnsiTheme="minorHAnsi" w:cstheme="minorBidi"/>
              <w:b w:val="0"/>
              <w:noProof/>
              <w:sz w:val="22"/>
              <w:szCs w:val="22"/>
            </w:rPr>
          </w:pPr>
          <w:r>
            <w:rPr>
              <w:noProof/>
            </w:rPr>
            <w:t>References</w:t>
          </w:r>
          <w:r>
            <w:rPr>
              <w:noProof/>
            </w:rPr>
            <w:tab/>
          </w:r>
          <w:r w:rsidR="0096123B">
            <w:rPr>
              <w:noProof/>
            </w:rPr>
            <w:t>2</w:t>
          </w:r>
          <w:r w:rsidR="00AC3060">
            <w:rPr>
              <w:noProof/>
            </w:rPr>
            <w:t>8</w:t>
          </w:r>
        </w:p>
        <w:p w14:paraId="2982B032" w14:textId="7F27D453" w:rsidR="00C07D79" w:rsidRDefault="006E27A0" w:rsidP="00120072">
          <w:pPr>
            <w:pStyle w:val="BodyText"/>
          </w:pPr>
        </w:p>
      </w:sdtContent>
    </w:sdt>
    <w:p w14:paraId="2982B037" w14:textId="25FE9EA3" w:rsidR="00391500" w:rsidRDefault="00391500" w:rsidP="00120072">
      <w:pPr>
        <w:pStyle w:val="BodyText"/>
        <w:sectPr w:rsidR="00391500" w:rsidSect="009F6FCD">
          <w:headerReference w:type="even" r:id="rId26"/>
          <w:headerReference w:type="default" r:id="rId27"/>
          <w:footerReference w:type="even" r:id="rId28"/>
          <w:footerReference w:type="default" r:id="rId29"/>
          <w:headerReference w:type="first" r:id="rId30"/>
          <w:pgSz w:w="11907" w:h="16840" w:code="9"/>
          <w:pgMar w:top="1985" w:right="1304" w:bottom="1247" w:left="1814" w:header="1701" w:footer="397" w:gutter="0"/>
          <w:pgNumType w:fmt="lowerRoman" w:chapSep="period"/>
          <w:cols w:space="720"/>
        </w:sectPr>
      </w:pPr>
    </w:p>
    <w:p w14:paraId="32AB7F61" w14:textId="77777777" w:rsidR="00E17EDF" w:rsidRDefault="006E27A0" w:rsidP="00491E86">
      <w:pPr>
        <w:pStyle w:val="Heading2"/>
        <w:spacing w:before="0"/>
      </w:pPr>
      <w:r>
        <w:lastRenderedPageBreak/>
        <w:fldChar w:fldCharType="begin"/>
      </w:r>
      <w:r>
        <w:instrText xml:space="preserve"> SEQ Heading2 </w:instrText>
      </w:r>
      <w:r>
        <w:fldChar w:fldCharType="separate"/>
      </w:r>
      <w:bookmarkStart w:id="10" w:name="_Toc437597267"/>
      <w:bookmarkStart w:id="11" w:name="_Toc438114378"/>
      <w:bookmarkStart w:id="12" w:name="_Toc438195735"/>
      <w:bookmarkStart w:id="13" w:name="_Toc438195860"/>
      <w:bookmarkStart w:id="14" w:name="_Toc438195899"/>
      <w:bookmarkStart w:id="15" w:name="_Toc438197962"/>
      <w:bookmarkStart w:id="16" w:name="_Toc438202820"/>
      <w:bookmarkStart w:id="17" w:name="_Toc438203911"/>
      <w:bookmarkStart w:id="18" w:name="_Toc438204244"/>
      <w:bookmarkStart w:id="19" w:name="_Toc438204917"/>
      <w:r w:rsidR="009E710C">
        <w:rPr>
          <w:noProof/>
        </w:rPr>
        <w:t>1</w:t>
      </w:r>
      <w:r>
        <w:rPr>
          <w:noProof/>
        </w:rPr>
        <w:fldChar w:fldCharType="end"/>
      </w:r>
      <w:r w:rsidR="00E17EDF">
        <w:tab/>
        <w:t>About this inquiry</w:t>
      </w:r>
      <w:bookmarkEnd w:id="10"/>
      <w:bookmarkEnd w:id="11"/>
      <w:bookmarkEnd w:id="12"/>
      <w:bookmarkEnd w:id="13"/>
      <w:bookmarkEnd w:id="14"/>
      <w:bookmarkEnd w:id="15"/>
      <w:bookmarkEnd w:id="16"/>
      <w:bookmarkEnd w:id="17"/>
      <w:bookmarkEnd w:id="18"/>
      <w:bookmarkEnd w:id="19"/>
      <w:r w:rsidR="00E17EDF">
        <w:t xml:space="preserve"> </w:t>
      </w:r>
    </w:p>
    <w:p w14:paraId="616349E7" w14:textId="5B909DD2" w:rsidR="008A72A4" w:rsidRDefault="002B4477" w:rsidP="004628A7">
      <w:pPr>
        <w:pStyle w:val="BodyText"/>
        <w:tabs>
          <w:tab w:val="left" w:pos="6384"/>
        </w:tabs>
      </w:pPr>
      <w:r>
        <w:t>This inquiry is about the regulation of Australian agriculture.</w:t>
      </w:r>
    </w:p>
    <w:p w14:paraId="3DE55550" w14:textId="4A8F250B" w:rsidR="00C67CE7" w:rsidRDefault="00C67CE7" w:rsidP="00C67CE7">
      <w:pPr>
        <w:pStyle w:val="BodyText"/>
      </w:pPr>
      <w:r>
        <w:t>T</w:t>
      </w:r>
      <w:r w:rsidRPr="005E1853">
        <w:t xml:space="preserve">he Australian Government has asked the Productivity Commission </w:t>
      </w:r>
      <w:r>
        <w:t>(</w:t>
      </w:r>
      <w:r w:rsidR="00A70E7D">
        <w:t>the Commission</w:t>
      </w:r>
      <w:r>
        <w:t xml:space="preserve">) </w:t>
      </w:r>
      <w:r w:rsidRPr="005E1853">
        <w:t xml:space="preserve">to </w:t>
      </w:r>
      <w:r>
        <w:t xml:space="preserve">undertake an inquiry into the regulatory burden on farm businesses, with a focus on regulations that have a </w:t>
      </w:r>
      <w:r w:rsidRPr="00A95835">
        <w:rPr>
          <w:i/>
        </w:rPr>
        <w:t>material impact</w:t>
      </w:r>
      <w:r>
        <w:t xml:space="preserve"> on the competitiveness and productivity of Australian agriculture. </w:t>
      </w:r>
      <w:r w:rsidR="00237166">
        <w:t xml:space="preserve">The </w:t>
      </w:r>
      <w:r w:rsidR="00CF7539">
        <w:t>terms of r</w:t>
      </w:r>
      <w:r w:rsidR="00237166">
        <w:t>eference for the inq</w:t>
      </w:r>
      <w:r w:rsidR="005257F7">
        <w:t>uiry are provided in a</w:t>
      </w:r>
      <w:r w:rsidR="00237166">
        <w:t xml:space="preserve">ttachment A. </w:t>
      </w:r>
    </w:p>
    <w:p w14:paraId="1F82CB52" w14:textId="20D07AB1" w:rsidR="003942D1" w:rsidRDefault="003942D1" w:rsidP="002B4477">
      <w:pPr>
        <w:pStyle w:val="BodyText"/>
      </w:pPr>
      <w:r>
        <w:t xml:space="preserve">Improving the efficiency and effectiveness of the regulatory environment is important for all sectors of the Australian economy, but particularly for </w:t>
      </w:r>
      <w:r w:rsidR="00A95835">
        <w:t xml:space="preserve">the </w:t>
      </w:r>
      <w:r>
        <w:t xml:space="preserve">agriculture sector given its high dependence on international markets. </w:t>
      </w:r>
      <w:r w:rsidR="00EB32D4">
        <w:t>Around two</w:t>
      </w:r>
      <w:r w:rsidR="00EB32D4">
        <w:noBreakHyphen/>
        <w:t>thirds of Australia’s agricultural production is exported</w:t>
      </w:r>
      <w:r w:rsidR="001600E4">
        <w:t xml:space="preserve"> </w:t>
      </w:r>
      <w:r w:rsidR="001600E4" w:rsidRPr="001600E4">
        <w:rPr>
          <w:szCs w:val="24"/>
        </w:rPr>
        <w:t>(DFAT 2015)</w:t>
      </w:r>
      <w:r w:rsidR="00EB32D4">
        <w:t xml:space="preserve">. </w:t>
      </w:r>
      <w:r>
        <w:t xml:space="preserve">Unnecessarily burdensome regulation can weigh heavily on farm businesses and undermine the </w:t>
      </w:r>
      <w:r w:rsidR="00FB5F61">
        <w:t xml:space="preserve">agriculture </w:t>
      </w:r>
      <w:r>
        <w:t xml:space="preserve">sector’s competitiveness. </w:t>
      </w:r>
      <w:r w:rsidR="005E7C74">
        <w:t>T</w:t>
      </w:r>
      <w:r w:rsidR="00AB01D1">
        <w:t>he National Farmers</w:t>
      </w:r>
      <w:r w:rsidR="00C7311E">
        <w:t>’</w:t>
      </w:r>
      <w:r w:rsidR="00AB01D1">
        <w:t xml:space="preserve"> Federation </w:t>
      </w:r>
      <w:r w:rsidR="005E7C74">
        <w:t>has suggested</w:t>
      </w:r>
      <w:r w:rsidR="0092078D">
        <w:t xml:space="preserve"> that</w:t>
      </w:r>
      <w:r w:rsidR="00AB01D1">
        <w:t>:</w:t>
      </w:r>
    </w:p>
    <w:p w14:paraId="3F6C3A2F" w14:textId="7654D941" w:rsidR="00AB01D1" w:rsidRPr="00AB01D1" w:rsidRDefault="0067130E" w:rsidP="00AB01D1">
      <w:pPr>
        <w:pStyle w:val="Quote"/>
      </w:pPr>
      <w:r>
        <w:t>T</w:t>
      </w:r>
      <w:r w:rsidR="00AB01D1">
        <w:t>he administrative and cost burden to comply with and carry on business in the agricultur</w:t>
      </w:r>
      <w:r w:rsidR="004666BC">
        <w:t xml:space="preserve">al </w:t>
      </w:r>
      <w:r w:rsidR="00AB01D1">
        <w:t xml:space="preserve">sector are significant. Challenges to maintain competitiveness on farm are already substantial </w:t>
      </w:r>
      <w:r w:rsidR="00641E90">
        <w:t xml:space="preserve">… </w:t>
      </w:r>
      <w:r w:rsidR="00AB01D1">
        <w:t xml:space="preserve">The problem becomes compounded when unnecessary regulatory burdens are imposed on industry. </w:t>
      </w:r>
      <w:r w:rsidR="00AB01D1" w:rsidRPr="00C010FC">
        <w:rPr>
          <w:szCs w:val="24"/>
        </w:rPr>
        <w:t>(NFF 2013</w:t>
      </w:r>
      <w:r w:rsidR="004666BC">
        <w:rPr>
          <w:szCs w:val="24"/>
        </w:rPr>
        <w:t>,</w:t>
      </w:r>
      <w:r w:rsidR="00AB01D1" w:rsidRPr="00C010FC">
        <w:rPr>
          <w:szCs w:val="24"/>
        </w:rPr>
        <w:t xml:space="preserve"> </w:t>
      </w:r>
      <w:r w:rsidR="00AB01D1">
        <w:rPr>
          <w:szCs w:val="24"/>
        </w:rPr>
        <w:t>p. 4</w:t>
      </w:r>
      <w:r w:rsidR="00AB01D1" w:rsidRPr="00C010FC">
        <w:rPr>
          <w:szCs w:val="24"/>
        </w:rPr>
        <w:t>)</w:t>
      </w:r>
      <w:r w:rsidR="00AB01D1">
        <w:t xml:space="preserve"> </w:t>
      </w:r>
    </w:p>
    <w:p w14:paraId="71204547" w14:textId="55F36F77" w:rsidR="006F7BC0" w:rsidRDefault="006F7BC0" w:rsidP="006F7BC0">
      <w:pPr>
        <w:pStyle w:val="BodyText"/>
      </w:pPr>
      <w:r>
        <w:t>While Australia’s a</w:t>
      </w:r>
      <w:r w:rsidRPr="00A067BC">
        <w:t>gricultur</w:t>
      </w:r>
      <w:r>
        <w:t>al output has continued to grow over the past two decades, its share of overall economic activity and employment has declined</w:t>
      </w:r>
      <w:r w:rsidR="009D51D4">
        <w:t xml:space="preserve"> (in part because of </w:t>
      </w:r>
      <w:r w:rsidR="004D572B">
        <w:t xml:space="preserve">the more rapid relative </w:t>
      </w:r>
      <w:r w:rsidR="0090435B">
        <w:t>growth in</w:t>
      </w:r>
      <w:r w:rsidR="009D51D4">
        <w:t xml:space="preserve"> the services and mining sectors)</w:t>
      </w:r>
      <w:r>
        <w:t>. Australia’s share of global agricultural production has also declin</w:t>
      </w:r>
      <w:r w:rsidR="00DE11C1">
        <w:t>ed</w:t>
      </w:r>
      <w:r w:rsidR="00C67CE7">
        <w:t xml:space="preserve">, </w:t>
      </w:r>
      <w:r>
        <w:t xml:space="preserve">largely as a result of </w:t>
      </w:r>
      <w:r w:rsidR="00314E2D">
        <w:t>rising agricultural output among some developing economies</w:t>
      </w:r>
      <w:r>
        <w:t>.</w:t>
      </w:r>
      <w:r w:rsidR="001B3721">
        <w:t xml:space="preserve"> </w:t>
      </w:r>
    </w:p>
    <w:p w14:paraId="7E120520" w14:textId="3693A06A" w:rsidR="00314E2D" w:rsidRDefault="001B2D19" w:rsidP="006F7BC0">
      <w:pPr>
        <w:pStyle w:val="BodyText"/>
      </w:pPr>
      <w:r>
        <w:t>Regulation</w:t>
      </w:r>
      <w:r w:rsidR="004D32DD">
        <w:t xml:space="preserve"> </w:t>
      </w:r>
      <w:r w:rsidR="00652AAC">
        <w:t xml:space="preserve">can be of benefit </w:t>
      </w:r>
      <w:r w:rsidR="004D32DD">
        <w:t>to the agriculture sector</w:t>
      </w:r>
      <w:r w:rsidR="00592C72">
        <w:t xml:space="preserve"> (</w:t>
      </w:r>
      <w:r w:rsidR="004D32DD">
        <w:t>and the community more broadly</w:t>
      </w:r>
      <w:r w:rsidR="00592C72">
        <w:t>)</w:t>
      </w:r>
      <w:r>
        <w:t xml:space="preserve"> where it meets economic, social and</w:t>
      </w:r>
      <w:r w:rsidR="00592C72">
        <w:t>/or</w:t>
      </w:r>
      <w:r>
        <w:t xml:space="preserve"> environmental objectives, and is designed and implemented efficiently and effectively.</w:t>
      </w:r>
      <w:r w:rsidR="004D32DD">
        <w:t xml:space="preserve"> </w:t>
      </w:r>
      <w:r w:rsidR="00314E2D">
        <w:t xml:space="preserve">For example, regulation can assist in building confidence in the quality of Australian agricultural products </w:t>
      </w:r>
      <w:r w:rsidR="00473D93">
        <w:t xml:space="preserve">while also providing consumers with </w:t>
      </w:r>
      <w:r w:rsidR="00E60019">
        <w:t xml:space="preserve">information about food products. </w:t>
      </w:r>
    </w:p>
    <w:p w14:paraId="16A5CD76" w14:textId="587DC1C9" w:rsidR="00DE11C1" w:rsidRDefault="001B2D19" w:rsidP="006F7BC0">
      <w:pPr>
        <w:pStyle w:val="BodyText"/>
      </w:pPr>
      <w:r>
        <w:t>However,</w:t>
      </w:r>
      <w:r w:rsidR="004D32DD">
        <w:t xml:space="preserve"> </w:t>
      </w:r>
      <w:r w:rsidR="00652AAC">
        <w:t xml:space="preserve">where </w:t>
      </w:r>
      <w:r w:rsidR="00A27F52">
        <w:t xml:space="preserve">regulation </w:t>
      </w:r>
      <w:r w:rsidR="004D32DD">
        <w:t>is</w:t>
      </w:r>
      <w:r w:rsidR="00C6596A">
        <w:t xml:space="preserve"> </w:t>
      </w:r>
      <w:r w:rsidR="00633189">
        <w:t xml:space="preserve">excessive or </w:t>
      </w:r>
      <w:r w:rsidR="001B3721">
        <w:t>u</w:t>
      </w:r>
      <w:r w:rsidR="00C6596A">
        <w:t>nnecessar</w:t>
      </w:r>
      <w:r w:rsidR="004D32DD">
        <w:t xml:space="preserve">ily burdensome, </w:t>
      </w:r>
      <w:r w:rsidR="00A27F52">
        <w:t xml:space="preserve">it </w:t>
      </w:r>
      <w:r w:rsidR="00652AAC">
        <w:t>can</w:t>
      </w:r>
      <w:r w:rsidR="001B3721">
        <w:t xml:space="preserve"> </w:t>
      </w:r>
      <w:r w:rsidR="00DE11C1">
        <w:t xml:space="preserve">raise costs </w:t>
      </w:r>
      <w:r w:rsidR="00D375EA">
        <w:t>to businesses</w:t>
      </w:r>
      <w:r w:rsidR="00650005">
        <w:t xml:space="preserve">, </w:t>
      </w:r>
      <w:r w:rsidR="001B3721">
        <w:t>users</w:t>
      </w:r>
      <w:r w:rsidR="00633189">
        <w:t xml:space="preserve"> </w:t>
      </w:r>
      <w:r w:rsidR="00650005">
        <w:t>and consumers</w:t>
      </w:r>
      <w:r w:rsidR="00592C72">
        <w:t>,</w:t>
      </w:r>
      <w:r w:rsidR="00633189">
        <w:t xml:space="preserve"> which in turn can </w:t>
      </w:r>
      <w:r w:rsidR="00DE11C1">
        <w:t xml:space="preserve">reduce </w:t>
      </w:r>
      <w:r w:rsidR="00F34A6E">
        <w:t>economic activity</w:t>
      </w:r>
      <w:r w:rsidR="00650005">
        <w:t xml:space="preserve">, </w:t>
      </w:r>
      <w:r w:rsidR="002F0162">
        <w:t xml:space="preserve">inhibit </w:t>
      </w:r>
      <w:r w:rsidR="00650005">
        <w:t>trade or restrict competition</w:t>
      </w:r>
      <w:r w:rsidR="00F34A6E">
        <w:t xml:space="preserve">. </w:t>
      </w:r>
      <w:r w:rsidR="00DE11C1">
        <w:t xml:space="preserve">As </w:t>
      </w:r>
      <w:r w:rsidR="00A474ED">
        <w:t>an Australian Bureau of Agricultural and Resource Economics and Sciences report</w:t>
      </w:r>
      <w:r w:rsidR="00B00E61">
        <w:t xml:space="preserve"> put it</w:t>
      </w:r>
      <w:r w:rsidR="00A474ED">
        <w:t xml:space="preserve">: </w:t>
      </w:r>
    </w:p>
    <w:p w14:paraId="13132E2F" w14:textId="0070EE26" w:rsidR="00A474ED" w:rsidRDefault="00A474ED" w:rsidP="00A474ED">
      <w:pPr>
        <w:pStyle w:val="Quote"/>
      </w:pPr>
      <w:r>
        <w:t xml:space="preserve">Although some regulations benefit farmers, other regulations, which are unnecessarily burdensome, complex or redundant, can constrain productivity, growth and impose heavy costs on farm businesses. </w:t>
      </w:r>
      <w:r w:rsidRPr="00A474ED">
        <w:rPr>
          <w:szCs w:val="24"/>
        </w:rPr>
        <w:t>(Gray, Oss-Emer and Sheng 2014, p. 31)</w:t>
      </w:r>
    </w:p>
    <w:p w14:paraId="50E3D473" w14:textId="7E5041E4" w:rsidR="00633189" w:rsidRDefault="0012571D" w:rsidP="00C67CE7">
      <w:pPr>
        <w:pStyle w:val="BodyText"/>
      </w:pPr>
      <w:r>
        <w:t>R</w:t>
      </w:r>
      <w:r w:rsidR="00633189">
        <w:t xml:space="preserve">eform </w:t>
      </w:r>
      <w:r>
        <w:t xml:space="preserve">which improves the efficiency and </w:t>
      </w:r>
      <w:r w:rsidR="005F1481">
        <w:t>effectiveness</w:t>
      </w:r>
      <w:r>
        <w:t xml:space="preserve"> of agricultural regulation</w:t>
      </w:r>
      <w:r w:rsidR="00633189">
        <w:t xml:space="preserve"> is not only important for businesses, </w:t>
      </w:r>
      <w:r w:rsidR="00184418">
        <w:t xml:space="preserve">but </w:t>
      </w:r>
      <w:r w:rsidR="00633189">
        <w:t xml:space="preserve">also has the potential to </w:t>
      </w:r>
      <w:r w:rsidR="00311296">
        <w:t xml:space="preserve">reduce prices for consumers and </w:t>
      </w:r>
      <w:r w:rsidR="00633189">
        <w:t>improve Australia’s living standards and economic growth.</w:t>
      </w:r>
    </w:p>
    <w:p w14:paraId="53F9F9EB" w14:textId="25118E91" w:rsidR="006F7BC0" w:rsidRDefault="008F332C" w:rsidP="00C67CE7">
      <w:pPr>
        <w:pStyle w:val="BodyText"/>
      </w:pPr>
      <w:r>
        <w:t>R</w:t>
      </w:r>
      <w:r w:rsidR="00447332">
        <w:t>egulatory burdens can have a significant and disproportionate impact on small businesses</w:t>
      </w:r>
      <w:r w:rsidR="004666BC">
        <w:t xml:space="preserve">. This is </w:t>
      </w:r>
      <w:r>
        <w:t xml:space="preserve">largely </w:t>
      </w:r>
      <w:r w:rsidR="00C67CE7">
        <w:t>because</w:t>
      </w:r>
      <w:r w:rsidR="00B46ADD">
        <w:t xml:space="preserve"> </w:t>
      </w:r>
      <w:r>
        <w:t xml:space="preserve">small businesses </w:t>
      </w:r>
      <w:r w:rsidR="00C67CE7">
        <w:t xml:space="preserve">have a narrower revenue base over </w:t>
      </w:r>
      <w:r w:rsidR="00C67CE7">
        <w:lastRenderedPageBreak/>
        <w:t xml:space="preserve">which to spread </w:t>
      </w:r>
      <w:r w:rsidR="0012571D">
        <w:t xml:space="preserve">what are frequently fixed </w:t>
      </w:r>
      <w:r w:rsidR="00C67CE7">
        <w:t>compliance costs</w:t>
      </w:r>
      <w:r w:rsidR="00A27F52">
        <w:t xml:space="preserve">. They </w:t>
      </w:r>
      <w:r w:rsidR="005E7C74">
        <w:t>may</w:t>
      </w:r>
      <w:r w:rsidR="002C6200" w:rsidDel="005E7C74">
        <w:t xml:space="preserve"> </w:t>
      </w:r>
      <w:r w:rsidR="002C6200">
        <w:t>not have the in</w:t>
      </w:r>
      <w:r w:rsidR="00E62054">
        <w:noBreakHyphen/>
      </w:r>
      <w:r w:rsidR="002C6200">
        <w:t>house capacity to keep up with regulatory changes</w:t>
      </w:r>
      <w:r w:rsidR="005E7C74">
        <w:t xml:space="preserve"> unless the</w:t>
      </w:r>
      <w:r w:rsidR="00E73911">
        <w:t xml:space="preserve"> regulations</w:t>
      </w:r>
      <w:r w:rsidR="005E7C74">
        <w:t xml:space="preserve"> are clear, simple and well</w:t>
      </w:r>
      <w:r w:rsidR="00DF2613">
        <w:noBreakHyphen/>
      </w:r>
      <w:r w:rsidR="00E73911">
        <w:t>communicated</w:t>
      </w:r>
      <w:r w:rsidR="003274AE">
        <w:t xml:space="preserve">. </w:t>
      </w:r>
      <w:r w:rsidR="00135062">
        <w:t xml:space="preserve">While </w:t>
      </w:r>
      <w:r w:rsidR="002D3FC9">
        <w:t>a</w:t>
      </w:r>
      <w:r w:rsidR="0025613E">
        <w:t>gricultur</w:t>
      </w:r>
      <w:r w:rsidR="0092078D">
        <w:t>al</w:t>
      </w:r>
      <w:r w:rsidR="0025613E">
        <w:t xml:space="preserve"> </w:t>
      </w:r>
      <w:r w:rsidR="003274AE">
        <w:t>production</w:t>
      </w:r>
      <w:r w:rsidR="0025613E">
        <w:t xml:space="preserve"> has become increasingly concentrated in large</w:t>
      </w:r>
      <w:r w:rsidR="002D3FC9">
        <w:t xml:space="preserve"> farms in recent decades, </w:t>
      </w:r>
      <w:r w:rsidR="00B00E61">
        <w:t xml:space="preserve">most </w:t>
      </w:r>
      <w:r w:rsidR="002D3FC9">
        <w:t>Australia</w:t>
      </w:r>
      <w:r w:rsidR="00B00E61">
        <w:t xml:space="preserve">n </w:t>
      </w:r>
      <w:r w:rsidR="002D3FC9">
        <w:t>farms are</w:t>
      </w:r>
      <w:r w:rsidR="00612EF9">
        <w:t xml:space="preserve"> </w:t>
      </w:r>
      <w:r w:rsidR="002C6200">
        <w:t>small</w:t>
      </w:r>
      <w:r w:rsidR="00612EF9">
        <w:t xml:space="preserve">. </w:t>
      </w:r>
      <w:r w:rsidR="00B00E61">
        <w:t>J</w:t>
      </w:r>
      <w:r w:rsidR="002D3FC9">
        <w:t xml:space="preserve">ust over half </w:t>
      </w:r>
      <w:r w:rsidR="00B00E61">
        <w:t xml:space="preserve">of Australia’s farms </w:t>
      </w:r>
      <w:r w:rsidR="002D3FC9">
        <w:t>had</w:t>
      </w:r>
      <w:r w:rsidR="00D016DF">
        <w:t xml:space="preserve"> an estimated value of agricultural operations of less than $</w:t>
      </w:r>
      <w:r w:rsidR="00612EF9">
        <w:t>100 </w:t>
      </w:r>
      <w:r w:rsidR="002D3FC9">
        <w:t>000</w:t>
      </w:r>
      <w:r w:rsidR="00A474ED">
        <w:t xml:space="preserve"> </w:t>
      </w:r>
      <w:r w:rsidR="00B00E61">
        <w:t>in 2010</w:t>
      </w:r>
      <w:r w:rsidR="0046670F">
        <w:noBreakHyphen/>
      </w:r>
      <w:r w:rsidR="00B00E61">
        <w:t xml:space="preserve">11 </w:t>
      </w:r>
      <w:r w:rsidR="00A474ED" w:rsidRPr="00A474ED">
        <w:rPr>
          <w:szCs w:val="24"/>
        </w:rPr>
        <w:t>(ABS 2012)</w:t>
      </w:r>
      <w:r w:rsidR="002D3FC9">
        <w:t>.</w:t>
      </w:r>
      <w:r w:rsidR="003274AE">
        <w:t xml:space="preserve"> Because Australia’s agriculture sector is structured around small farm businesses</w:t>
      </w:r>
      <w:r>
        <w:t xml:space="preserve">, removing unnecessary regulatory burdens </w:t>
      </w:r>
      <w:r w:rsidR="002338C7">
        <w:t>is</w:t>
      </w:r>
      <w:r>
        <w:t xml:space="preserve"> important for th</w:t>
      </w:r>
      <w:r w:rsidR="00CA0863">
        <w:t>e competitiveness of th</w:t>
      </w:r>
      <w:r w:rsidR="003274AE">
        <w:t>e</w:t>
      </w:r>
      <w:r w:rsidR="00CA0863">
        <w:t xml:space="preserve"> </w:t>
      </w:r>
      <w:r>
        <w:t xml:space="preserve">sector. </w:t>
      </w:r>
    </w:p>
    <w:p w14:paraId="77EFD40D" w14:textId="6CCFB76A" w:rsidR="008F332C" w:rsidRDefault="008F332C" w:rsidP="008F332C">
      <w:pPr>
        <w:pStyle w:val="Heading3"/>
      </w:pPr>
      <w:r>
        <w:t>More detail on what the Commission has been asked to do</w:t>
      </w:r>
    </w:p>
    <w:p w14:paraId="612110AC" w14:textId="074416FC" w:rsidR="002B4477" w:rsidRDefault="002B4477" w:rsidP="002B4477">
      <w:pPr>
        <w:pStyle w:val="BodyText"/>
      </w:pPr>
      <w:r>
        <w:t xml:space="preserve">The inquiry’s terms of reference </w:t>
      </w:r>
      <w:r w:rsidR="00E35139">
        <w:t xml:space="preserve">specifically </w:t>
      </w:r>
      <w:r>
        <w:t xml:space="preserve">ask the Commission to: </w:t>
      </w:r>
    </w:p>
    <w:p w14:paraId="3B4DC7C5" w14:textId="77777777" w:rsidR="002B4477" w:rsidRDefault="002B4477" w:rsidP="002B4477">
      <w:pPr>
        <w:pStyle w:val="ListBullet"/>
      </w:pPr>
      <w:r>
        <w:t xml:space="preserve">indicate priority areas for removing or reducing unnecessary regulatory burdens on farm businesses </w:t>
      </w:r>
    </w:p>
    <w:p w14:paraId="581767EC" w14:textId="77777777" w:rsidR="00BC5A29" w:rsidRPr="0021076F" w:rsidRDefault="00BC5A29" w:rsidP="00BC5A29">
      <w:pPr>
        <w:pStyle w:val="ListBullet"/>
      </w:pPr>
      <w:r w:rsidRPr="0021076F">
        <w:t>identify where there is greatest scope to pursue regulatory objectives in more efficient ways</w:t>
      </w:r>
    </w:p>
    <w:p w14:paraId="772DB244" w14:textId="77777777" w:rsidR="00BC5A29" w:rsidRDefault="00BC5A29" w:rsidP="00BC5A29">
      <w:pPr>
        <w:pStyle w:val="ListBullet"/>
      </w:pPr>
      <w:r>
        <w:t>identify unnecessary restrictions on competition</w:t>
      </w:r>
    </w:p>
    <w:p w14:paraId="35416FDD" w14:textId="77777777" w:rsidR="002B4477" w:rsidRDefault="002B4477" w:rsidP="002B4477">
      <w:pPr>
        <w:pStyle w:val="ListBullet"/>
      </w:pPr>
      <w:r>
        <w:t>assess whether the current level at which matters are regulated is appropriate and if better coordination across governments would reduce unnecessary overlap</w:t>
      </w:r>
    </w:p>
    <w:p w14:paraId="2A6D4701" w14:textId="77777777" w:rsidR="002B4477" w:rsidRPr="0021076F" w:rsidRDefault="002B4477" w:rsidP="002B4477">
      <w:pPr>
        <w:pStyle w:val="ListBullet"/>
      </w:pPr>
      <w:r w:rsidRPr="0021076F">
        <w:t>look at whether Australia’s farm export competitiveness could be improved by minimising duplication between domestic regulation and the requirements of importing countries</w:t>
      </w:r>
    </w:p>
    <w:p w14:paraId="3D49C369" w14:textId="77777777" w:rsidR="002B4477" w:rsidRPr="0021076F" w:rsidRDefault="002B4477" w:rsidP="002B4477">
      <w:pPr>
        <w:pStyle w:val="ListBullet"/>
      </w:pPr>
      <w:r w:rsidRPr="0021076F">
        <w:t>examine whether regulatory approaches adopted in other countries might be relevant for Australia.</w:t>
      </w:r>
    </w:p>
    <w:p w14:paraId="13267DA7" w14:textId="2484A834" w:rsidR="00A95835" w:rsidRPr="0021076F" w:rsidRDefault="00A95835" w:rsidP="00A95835">
      <w:pPr>
        <w:pStyle w:val="BodyText"/>
      </w:pPr>
      <w:r w:rsidRPr="0021076F">
        <w:t xml:space="preserve">The Commission has also been asked to take into consideration regulatory concerns raised in the white papers on agricultural </w:t>
      </w:r>
      <w:r w:rsidR="003D19DE" w:rsidRPr="0021076F">
        <w:t xml:space="preserve">competitiveness and </w:t>
      </w:r>
      <w:r w:rsidR="007C4C20">
        <w:t xml:space="preserve">developing </w:t>
      </w:r>
      <w:r w:rsidR="003D19DE" w:rsidRPr="0021076F">
        <w:t xml:space="preserve">northern Australia. </w:t>
      </w:r>
      <w:r w:rsidR="00783EAC" w:rsidRPr="0021076F">
        <w:t xml:space="preserve">Many of the issues raised by stakeholders </w:t>
      </w:r>
      <w:r w:rsidR="00BA606F">
        <w:t>to</w:t>
      </w:r>
      <w:r w:rsidR="00BA606F" w:rsidRPr="0021076F">
        <w:t xml:space="preserve"> </w:t>
      </w:r>
      <w:r w:rsidR="00783EAC" w:rsidRPr="0021076F">
        <w:t xml:space="preserve">the </w:t>
      </w:r>
      <w:r w:rsidR="0092078D">
        <w:t>A</w:t>
      </w:r>
      <w:r w:rsidR="00783EAC" w:rsidRPr="0021076F">
        <w:t xml:space="preserve">gricultural </w:t>
      </w:r>
      <w:r w:rsidR="0092078D">
        <w:t>C</w:t>
      </w:r>
      <w:r w:rsidR="00783EAC" w:rsidRPr="0021076F">
        <w:t xml:space="preserve">ompetitiveness </w:t>
      </w:r>
      <w:r w:rsidR="0092078D">
        <w:t>W</w:t>
      </w:r>
      <w:r w:rsidR="00783EAC" w:rsidRPr="0021076F">
        <w:t xml:space="preserve">hite </w:t>
      </w:r>
      <w:r w:rsidR="0092078D">
        <w:t>P</w:t>
      </w:r>
      <w:r w:rsidR="00783EAC" w:rsidRPr="0021076F">
        <w:t>aper related to regulation applied at the state, territory and local government level</w:t>
      </w:r>
      <w:r w:rsidR="00BA606F">
        <w:t>,</w:t>
      </w:r>
      <w:r w:rsidR="00783EAC" w:rsidRPr="0021076F">
        <w:t xml:space="preserve"> in the areas of transport, environmental protection, native vegetation, land tenure and animal welfare. </w:t>
      </w:r>
      <w:r w:rsidR="00FE530E" w:rsidRPr="0021076F">
        <w:t xml:space="preserve">Issues raised in </w:t>
      </w:r>
      <w:r w:rsidR="00783EAC" w:rsidRPr="0021076F">
        <w:t xml:space="preserve">both white </w:t>
      </w:r>
      <w:r w:rsidR="00FE530E" w:rsidRPr="0021076F">
        <w:t xml:space="preserve">papers are </w:t>
      </w:r>
      <w:r w:rsidR="00783EAC" w:rsidRPr="0021076F">
        <w:t xml:space="preserve">further </w:t>
      </w:r>
      <w:r w:rsidR="00FE530E" w:rsidRPr="0021076F">
        <w:t xml:space="preserve">discussed in </w:t>
      </w:r>
      <w:r w:rsidR="002B258B">
        <w:t>section </w:t>
      </w:r>
      <w:r w:rsidR="00FE530E" w:rsidRPr="0021076F">
        <w:t xml:space="preserve">3. </w:t>
      </w:r>
    </w:p>
    <w:p w14:paraId="5DF1C5BF" w14:textId="31DF4B96" w:rsidR="00BC5A29" w:rsidRDefault="00BC5A29" w:rsidP="00BC5A29">
      <w:pPr>
        <w:pStyle w:val="Heading3"/>
      </w:pPr>
      <w:r>
        <w:t xml:space="preserve">What is </w:t>
      </w:r>
      <w:r w:rsidR="00357A85">
        <w:t xml:space="preserve">(and </w:t>
      </w:r>
      <w:r w:rsidR="0092078D">
        <w:t xml:space="preserve">is </w:t>
      </w:r>
      <w:r w:rsidR="00357A85">
        <w:t>not</w:t>
      </w:r>
      <w:r w:rsidR="0092078D">
        <w:t>)</w:t>
      </w:r>
      <w:r w:rsidR="00357A85">
        <w:t xml:space="preserve"> in</w:t>
      </w:r>
      <w:r w:rsidR="0092078D">
        <w:t xml:space="preserve"> the</w:t>
      </w:r>
      <w:r w:rsidR="00357A85">
        <w:t xml:space="preserve"> </w:t>
      </w:r>
      <w:r>
        <w:t>scope</w:t>
      </w:r>
      <w:r w:rsidR="00BA606F">
        <w:t xml:space="preserve"> of this inquiry</w:t>
      </w:r>
      <w:r>
        <w:t>?</w:t>
      </w:r>
    </w:p>
    <w:p w14:paraId="50399822" w14:textId="7BF5F5A0" w:rsidR="009C33B2" w:rsidRDefault="00A95835" w:rsidP="003D19DE">
      <w:pPr>
        <w:pStyle w:val="BodyText"/>
      </w:pPr>
      <w:r>
        <w:t>The focus of th</w:t>
      </w:r>
      <w:r w:rsidR="003D19DE">
        <w:t xml:space="preserve">is </w:t>
      </w:r>
      <w:r>
        <w:t xml:space="preserve">inquiry is regulations </w:t>
      </w:r>
      <w:r w:rsidR="005658EE">
        <w:t>at all three levels of government</w:t>
      </w:r>
      <w:r>
        <w:t xml:space="preserve"> </w:t>
      </w:r>
      <w:r w:rsidR="003D19DE">
        <w:t xml:space="preserve">that are </w:t>
      </w:r>
      <w:r>
        <w:t>specific to</w:t>
      </w:r>
      <w:r w:rsidR="003D19DE">
        <w:t>, and that have a material impact on, farm businesses. R</w:t>
      </w:r>
      <w:r>
        <w:t xml:space="preserve">egulations imposed along the supply </w:t>
      </w:r>
      <w:r w:rsidR="00184418">
        <w:t xml:space="preserve">chain </w:t>
      </w:r>
      <w:r>
        <w:t>(</w:t>
      </w:r>
      <w:r w:rsidR="00A46679">
        <w:t xml:space="preserve">including </w:t>
      </w:r>
      <w:r w:rsidR="00BC5A29">
        <w:t xml:space="preserve">regulations </w:t>
      </w:r>
      <w:r>
        <w:t xml:space="preserve">introduced to meet the </w:t>
      </w:r>
      <w:r w:rsidR="00BC5A29">
        <w:t>requirements of international markets</w:t>
      </w:r>
      <w:r>
        <w:t>)</w:t>
      </w:r>
      <w:r w:rsidR="003D19DE">
        <w:t xml:space="preserve"> are also within scope</w:t>
      </w:r>
      <w:r w:rsidR="00BC5A29">
        <w:t xml:space="preserve">. </w:t>
      </w:r>
    </w:p>
    <w:p w14:paraId="4DC1A8FE" w14:textId="680823B9" w:rsidR="003D19DE" w:rsidRDefault="003D19DE" w:rsidP="007378A7">
      <w:pPr>
        <w:pStyle w:val="BodyText"/>
        <w:keepNext/>
      </w:pPr>
      <w:r>
        <w:lastRenderedPageBreak/>
        <w:t>The following areas are considered to be out of scope:</w:t>
      </w:r>
    </w:p>
    <w:p w14:paraId="50E605D5" w14:textId="77777777" w:rsidR="003D19DE" w:rsidRDefault="003D19DE" w:rsidP="00C90E28">
      <w:pPr>
        <w:pStyle w:val="ListBullet"/>
        <w:keepNext/>
      </w:pPr>
      <w:r w:rsidRPr="00BB25F2">
        <w:rPr>
          <w:i/>
        </w:rPr>
        <w:t>related but distinct primary sectors</w:t>
      </w:r>
      <w:r>
        <w:t>, including fisheries and forestry</w:t>
      </w:r>
    </w:p>
    <w:p w14:paraId="40B352A4" w14:textId="204E5B6E" w:rsidR="003D19DE" w:rsidRDefault="003D19DE" w:rsidP="003D19DE">
      <w:pPr>
        <w:pStyle w:val="ListBullet2"/>
      </w:pPr>
      <w:r>
        <w:t>the terms of reference state that the inquiry should not examine regulatory issues affecting marine fisheries and aquaculture as these issues will be investigated as part of a separate P</w:t>
      </w:r>
      <w:r w:rsidR="00A70E7D">
        <w:t xml:space="preserve">roductivity </w:t>
      </w:r>
      <w:r>
        <w:t>C</w:t>
      </w:r>
      <w:r w:rsidR="00A70E7D">
        <w:t>ommission</w:t>
      </w:r>
      <w:r>
        <w:t xml:space="preserve"> inquiry</w:t>
      </w:r>
    </w:p>
    <w:p w14:paraId="6834DFB6" w14:textId="24198B53" w:rsidR="003D19DE" w:rsidRDefault="003D19DE" w:rsidP="003D19DE">
      <w:pPr>
        <w:pStyle w:val="ListBullet2"/>
      </w:pPr>
      <w:r>
        <w:t>most aspects of fores</w:t>
      </w:r>
      <w:r w:rsidR="00B03200">
        <w:t>try (including Regional Forest</w:t>
      </w:r>
      <w:r>
        <w:t xml:space="preserve"> Agreements) will not be considered in this inquiry, however, </w:t>
      </w:r>
      <w:r w:rsidR="0092078D">
        <w:t xml:space="preserve">interactions </w:t>
      </w:r>
      <w:r>
        <w:t>between farm businesses and forestry regulation may be considered</w:t>
      </w:r>
      <w:r w:rsidR="00A75677">
        <w:t xml:space="preserve"> where they have a material impact on the productivity and competitiveness of farm businesses</w:t>
      </w:r>
    </w:p>
    <w:p w14:paraId="197CE920" w14:textId="79642C40" w:rsidR="003D19DE" w:rsidRDefault="00082758" w:rsidP="003D19DE">
      <w:pPr>
        <w:pStyle w:val="ListBullet"/>
      </w:pPr>
      <w:r w:rsidRPr="00BB25F2">
        <w:rPr>
          <w:i/>
        </w:rPr>
        <w:t>n</w:t>
      </w:r>
      <w:r w:rsidR="003D19DE" w:rsidRPr="00BB25F2">
        <w:rPr>
          <w:i/>
        </w:rPr>
        <w:t>on-regulatory policies</w:t>
      </w:r>
      <w:r w:rsidR="003D19DE">
        <w:t xml:space="preserve"> </w:t>
      </w:r>
      <w:r w:rsidR="0092078D">
        <w:t>(</w:t>
      </w:r>
      <w:r w:rsidR="003D19DE">
        <w:t>subsidies, taxation and infrastructure</w:t>
      </w:r>
      <w:r w:rsidR="0092078D">
        <w:t xml:space="preserve">), </w:t>
      </w:r>
      <w:r w:rsidR="003D19DE">
        <w:t xml:space="preserve">while potentially important for improving </w:t>
      </w:r>
      <w:r w:rsidR="00A75677">
        <w:t xml:space="preserve">the </w:t>
      </w:r>
      <w:r w:rsidR="003D19DE">
        <w:t xml:space="preserve">productivity and competitiveness of the agriculture sector, are not regulatory in nature. </w:t>
      </w:r>
    </w:p>
    <w:p w14:paraId="019C13DC" w14:textId="05873136" w:rsidR="00CA0863" w:rsidRDefault="004D3222" w:rsidP="00BB25F2">
      <w:pPr>
        <w:pStyle w:val="BodyText"/>
      </w:pPr>
      <w:r>
        <w:t>W</w:t>
      </w:r>
      <w:r w:rsidR="00CA0863">
        <w:t>hile the inquiry will examine water-related regulations</w:t>
      </w:r>
      <w:r w:rsidR="00FF43EE">
        <w:t xml:space="preserve"> that are having a material impact on the productivity and competitiveness of farm businesses</w:t>
      </w:r>
      <w:r w:rsidR="00CA0863">
        <w:t xml:space="preserve">, other water policy issues </w:t>
      </w:r>
      <w:r w:rsidR="00FF43EE">
        <w:t>will not be examined</w:t>
      </w:r>
      <w:r w:rsidR="009D3C0B">
        <w:t xml:space="preserve"> in any detail</w:t>
      </w:r>
      <w:r w:rsidR="00FF43EE">
        <w:t>. The P</w:t>
      </w:r>
      <w:r w:rsidR="00A70E7D">
        <w:t>roductivity Commission</w:t>
      </w:r>
      <w:r w:rsidR="00FF43EE">
        <w:t xml:space="preserve"> has recently taken over the review functions of the former National Water Commission and will be conducting inquiries (beginning in 2016) on</w:t>
      </w:r>
      <w:r w:rsidR="00DD3106">
        <w:t xml:space="preserve"> the</w:t>
      </w:r>
      <w:r w:rsidR="00FF43EE">
        <w:t xml:space="preserve"> progress of the National Water Initiative and on the </w:t>
      </w:r>
      <w:r w:rsidR="00CA0863">
        <w:t xml:space="preserve">Murray Darling Basin plan and </w:t>
      </w:r>
      <w:r w:rsidR="00FF43EE">
        <w:t xml:space="preserve">water resources plans. </w:t>
      </w:r>
    </w:p>
    <w:p w14:paraId="2DEDA98C" w14:textId="5C167CBF" w:rsidR="00E35139" w:rsidRDefault="00E35139" w:rsidP="00E35139">
      <w:pPr>
        <w:pStyle w:val="Heading3"/>
      </w:pPr>
      <w:r>
        <w:t>How can you contribute to the inquiry?</w:t>
      </w:r>
    </w:p>
    <w:p w14:paraId="037BD1FF" w14:textId="77777777" w:rsidR="001548AB" w:rsidRDefault="00E35139" w:rsidP="00E35139">
      <w:pPr>
        <w:pStyle w:val="BodyText"/>
      </w:pPr>
      <w:r w:rsidRPr="00EF1B5A">
        <w:t xml:space="preserve">This issues paper is intended to assist </w:t>
      </w:r>
      <w:r>
        <w:t>participants</w:t>
      </w:r>
      <w:r w:rsidRPr="00EF1B5A">
        <w:t xml:space="preserve"> in preparing </w:t>
      </w:r>
      <w:r>
        <w:t xml:space="preserve">a </w:t>
      </w:r>
      <w:r w:rsidRPr="00EF1B5A">
        <w:t>submission</w:t>
      </w:r>
      <w:r w:rsidR="008A5247">
        <w:t xml:space="preserve">. It sets out some of the issues and questions the Commission has identified as relevant at this early stage of the inquiry. </w:t>
      </w:r>
      <w:r>
        <w:t>There is no</w:t>
      </w:r>
      <w:r w:rsidRPr="00EF1B5A">
        <w:t xml:space="preserve"> need to comment on every issue raised in this paper</w:t>
      </w:r>
      <w:r>
        <w:t xml:space="preserve"> and participants are</w:t>
      </w:r>
      <w:r w:rsidRPr="00EF1B5A">
        <w:t xml:space="preserve"> welcome to submit material on issues not raised in this paper, provided they are</w:t>
      </w:r>
      <w:r>
        <w:t xml:space="preserve"> directly</w:t>
      </w:r>
      <w:r w:rsidRPr="00EF1B5A">
        <w:t xml:space="preserve"> relevant to the inquiry’s terms of reference.</w:t>
      </w:r>
      <w:r w:rsidRPr="00EF1B5A" w:rsidDel="00105EC8">
        <w:t xml:space="preserve"> </w:t>
      </w:r>
      <w:r>
        <w:t>Participants</w:t>
      </w:r>
      <w:r w:rsidRPr="00EF1B5A">
        <w:t xml:space="preserve"> should provide evidence to support </w:t>
      </w:r>
      <w:r>
        <w:t xml:space="preserve">their </w:t>
      </w:r>
      <w:r w:rsidRPr="00EF1B5A">
        <w:t>views, includ</w:t>
      </w:r>
      <w:r>
        <w:t>ing data and specific examples</w:t>
      </w:r>
      <w:r w:rsidRPr="00105EC8">
        <w:t xml:space="preserve"> </w:t>
      </w:r>
      <w:r>
        <w:t>w</w:t>
      </w:r>
      <w:r w:rsidRPr="00EF1B5A">
        <w:t>here possible</w:t>
      </w:r>
      <w:r>
        <w:t>.</w:t>
      </w:r>
      <w:r w:rsidR="004D3222">
        <w:t xml:space="preserve"> </w:t>
      </w:r>
    </w:p>
    <w:p w14:paraId="0737CF32" w14:textId="47A189FC" w:rsidR="00E35139" w:rsidRPr="00EF1B5A" w:rsidRDefault="004D3222" w:rsidP="00E35139">
      <w:pPr>
        <w:pStyle w:val="BodyText"/>
      </w:pPr>
      <w:r>
        <w:t xml:space="preserve">Submissions should be provided to the Commission by </w:t>
      </w:r>
      <w:r w:rsidR="0012571D" w:rsidRPr="004A3961">
        <w:rPr>
          <w:b/>
        </w:rPr>
        <w:t>Friday</w:t>
      </w:r>
      <w:r w:rsidR="0092078D">
        <w:rPr>
          <w:b/>
        </w:rPr>
        <w:t> </w:t>
      </w:r>
      <w:r w:rsidR="0012571D" w:rsidRPr="004A3961">
        <w:rPr>
          <w:b/>
        </w:rPr>
        <w:t>1</w:t>
      </w:r>
      <w:r w:rsidR="00A67FAD">
        <w:rPr>
          <w:b/>
        </w:rPr>
        <w:t>2</w:t>
      </w:r>
      <w:r w:rsidR="0092078D">
        <w:rPr>
          <w:b/>
        </w:rPr>
        <w:t> </w:t>
      </w:r>
      <w:r w:rsidRPr="00EF25CA">
        <w:rPr>
          <w:b/>
        </w:rPr>
        <w:t>February</w:t>
      </w:r>
      <w:r w:rsidR="0092078D">
        <w:t> </w:t>
      </w:r>
      <w:r w:rsidRPr="00927077">
        <w:rPr>
          <w:b/>
        </w:rPr>
        <w:t>2016</w:t>
      </w:r>
      <w:r w:rsidRPr="007019FD">
        <w:t xml:space="preserve"> </w:t>
      </w:r>
      <w:r>
        <w:t>for consideration in the draft report.</w:t>
      </w:r>
      <w:r w:rsidR="001D0D65">
        <w:t xml:space="preserve"> </w:t>
      </w:r>
      <w:r w:rsidR="00A26AAD">
        <w:t>Attachment B</w:t>
      </w:r>
      <w:r w:rsidR="00E35139" w:rsidRPr="00EF1B5A">
        <w:t xml:space="preserve"> provides further details on how to make a submission.</w:t>
      </w:r>
    </w:p>
    <w:p w14:paraId="03145A3B" w14:textId="37503B6E" w:rsidR="00E35139" w:rsidRDefault="00E35139" w:rsidP="00E35139">
      <w:pPr>
        <w:pStyle w:val="BodyText"/>
      </w:pPr>
      <w:r>
        <w:t xml:space="preserve">Following the receipt of written submissions, the Commission will prepare a draft inquiry report which will be released in </w:t>
      </w:r>
      <w:r w:rsidRPr="005B040E">
        <w:t>May</w:t>
      </w:r>
      <w:r>
        <w:t xml:space="preserve"> 2016. Interested parties will have an opportunity to comment on the draft report at public hearings and through further written submissions. A final inquiry report will then be prepared and provided to the Australian Government by </w:t>
      </w:r>
      <w:r w:rsidR="0012571D">
        <w:t>19</w:t>
      </w:r>
      <w:r w:rsidR="0092078D">
        <w:t> </w:t>
      </w:r>
      <w:r w:rsidRPr="007A60A7">
        <w:t>August</w:t>
      </w:r>
      <w:r w:rsidR="0092078D">
        <w:t> </w:t>
      </w:r>
      <w:r w:rsidRPr="00226933">
        <w:t>2016</w:t>
      </w:r>
      <w:r>
        <w:t>.</w:t>
      </w:r>
      <w:r w:rsidR="0012571D">
        <w:t xml:space="preserve"> </w:t>
      </w:r>
      <w:r w:rsidR="005F1481">
        <w:t>T</w:t>
      </w:r>
      <w:r w:rsidR="0012571D">
        <w:t xml:space="preserve">he </w:t>
      </w:r>
      <w:r w:rsidR="0012571D" w:rsidRPr="00B4279E">
        <w:rPr>
          <w:i/>
        </w:rPr>
        <w:t>Productivity Commission Act 1998</w:t>
      </w:r>
      <w:r w:rsidR="0012571D">
        <w:t xml:space="preserve"> </w:t>
      </w:r>
      <w:r w:rsidR="00EC3D25">
        <w:t xml:space="preserve">(Cwlth) </w:t>
      </w:r>
      <w:r w:rsidR="00B95E7E">
        <w:t>requires</w:t>
      </w:r>
      <w:r w:rsidR="0012571D">
        <w:t xml:space="preserve"> that the Government table the report within 25 sitting days of receipt.</w:t>
      </w:r>
    </w:p>
    <w:p w14:paraId="401E1E2F" w14:textId="580064F6" w:rsidR="005E018B" w:rsidRDefault="006E27A0" w:rsidP="005E018B">
      <w:pPr>
        <w:pStyle w:val="Heading2"/>
        <w:rPr>
          <w:noProof/>
        </w:rPr>
      </w:pPr>
      <w:r>
        <w:lastRenderedPageBreak/>
        <w:fldChar w:fldCharType="begin"/>
      </w:r>
      <w:r>
        <w:instrText xml:space="preserve"> SEQ Heading2 </w:instrText>
      </w:r>
      <w:r>
        <w:fldChar w:fldCharType="separate"/>
      </w:r>
      <w:bookmarkStart w:id="20" w:name="_Toc434482398"/>
      <w:bookmarkStart w:id="21" w:name="_Toc435705811"/>
      <w:bookmarkStart w:id="22" w:name="_Toc435706003"/>
      <w:bookmarkStart w:id="23" w:name="_Toc436136384"/>
      <w:bookmarkStart w:id="24" w:name="_Toc437597268"/>
      <w:bookmarkStart w:id="25" w:name="_Toc438114379"/>
      <w:bookmarkStart w:id="26" w:name="_Toc438195736"/>
      <w:bookmarkStart w:id="27" w:name="_Toc438195861"/>
      <w:bookmarkStart w:id="28" w:name="_Toc438195900"/>
      <w:bookmarkStart w:id="29" w:name="_Toc438197963"/>
      <w:bookmarkStart w:id="30" w:name="_Toc438202821"/>
      <w:bookmarkStart w:id="31" w:name="_Toc438203912"/>
      <w:bookmarkStart w:id="32" w:name="_Toc438204245"/>
      <w:bookmarkStart w:id="33" w:name="_Toc438204918"/>
      <w:r w:rsidR="009E710C">
        <w:rPr>
          <w:noProof/>
        </w:rPr>
        <w:t>2</w:t>
      </w:r>
      <w:r>
        <w:rPr>
          <w:noProof/>
        </w:rPr>
        <w:fldChar w:fldCharType="end"/>
      </w:r>
      <w:r w:rsidR="00526DE2">
        <w:tab/>
        <w:t>The Commission’s approach to the inquiry</w:t>
      </w:r>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16764EA7" w14:textId="5F9A4EE2" w:rsidR="005E018B" w:rsidRDefault="008A5247" w:rsidP="00E35139">
      <w:pPr>
        <w:pStyle w:val="BodyText"/>
      </w:pPr>
      <w:r>
        <w:t xml:space="preserve">The Commission’s focus, as set out in the terms of reference, will be on </w:t>
      </w:r>
      <w:r w:rsidR="00D92465">
        <w:t>identifying regulation</w:t>
      </w:r>
      <w:r w:rsidR="001B2D19">
        <w:t>s</w:t>
      </w:r>
      <w:r w:rsidR="00D92465">
        <w:t xml:space="preserve"> </w:t>
      </w:r>
      <w:r w:rsidR="008C1DAA">
        <w:t xml:space="preserve">(at all levels of government) </w:t>
      </w:r>
      <w:r w:rsidR="00D92465">
        <w:t xml:space="preserve">that impose an </w:t>
      </w:r>
      <w:r w:rsidR="00D92465" w:rsidRPr="00D92465">
        <w:rPr>
          <w:i/>
        </w:rPr>
        <w:t>unnecessary</w:t>
      </w:r>
      <w:r w:rsidR="00D92465">
        <w:t xml:space="preserve"> </w:t>
      </w:r>
      <w:r w:rsidR="009C33B2">
        <w:t xml:space="preserve">regulatory burden </w:t>
      </w:r>
      <w:r w:rsidR="00D92465">
        <w:t xml:space="preserve">and </w:t>
      </w:r>
      <w:r w:rsidR="003A3A5B">
        <w:t xml:space="preserve">that have a </w:t>
      </w:r>
      <w:r w:rsidR="00D92465" w:rsidRPr="00D92465">
        <w:rPr>
          <w:i/>
        </w:rPr>
        <w:t xml:space="preserve">material </w:t>
      </w:r>
      <w:r w:rsidR="003A3A5B">
        <w:rPr>
          <w:i/>
        </w:rPr>
        <w:t xml:space="preserve">impact </w:t>
      </w:r>
      <w:r w:rsidR="00D92465">
        <w:t>on the domestic and international competitiveness of farm businesses and the productivity of Australian agriculture</w:t>
      </w:r>
      <w:r w:rsidR="002C0D69">
        <w:t>.</w:t>
      </w:r>
      <w:r w:rsidR="008C7237">
        <w:t xml:space="preserve"> </w:t>
      </w:r>
    </w:p>
    <w:p w14:paraId="4F4986AA" w14:textId="77777777" w:rsidR="00DE66C9" w:rsidRDefault="00DE66C9" w:rsidP="00DE66C9">
      <w:pPr>
        <w:pStyle w:val="BodyText"/>
      </w:pPr>
      <w:r>
        <w:t>When making an assessment about whether a particular regulation imposes an unnecessary burden and has a material impact on the competitiveness of farm businesses and the productivity of the agriculture sector, the Commission will draw on its own research and analysis,</w:t>
      </w:r>
      <w:r w:rsidDel="00636D4F">
        <w:t xml:space="preserve"> </w:t>
      </w:r>
      <w:r>
        <w:t xml:space="preserve">evidence provided by participants, the findings of other relevant reviews and lessons from regulatory approaches adopted in other countries. </w:t>
      </w:r>
    </w:p>
    <w:p w14:paraId="52C0086A" w14:textId="77777777" w:rsidR="00DE66C9" w:rsidRDefault="00DE66C9" w:rsidP="00DE66C9">
      <w:pPr>
        <w:pStyle w:val="BodyText"/>
      </w:pPr>
      <w:r>
        <w:t xml:space="preserve">The Commission will also take account of factors such as </w:t>
      </w:r>
      <w:r w:rsidRPr="00BF2A53">
        <w:t xml:space="preserve">the scale of </w:t>
      </w:r>
      <w:r>
        <w:t xml:space="preserve">the </w:t>
      </w:r>
      <w:r w:rsidRPr="00BF2A53">
        <w:t xml:space="preserve">regulatory burden relative to the value of </w:t>
      </w:r>
      <w:r>
        <w:t xml:space="preserve">Australian </w:t>
      </w:r>
      <w:r w:rsidRPr="00BF2A53">
        <w:t xml:space="preserve">agricultural production, </w:t>
      </w:r>
      <w:r>
        <w:t xml:space="preserve">the </w:t>
      </w:r>
      <w:r w:rsidRPr="00BF2A53">
        <w:t xml:space="preserve">number </w:t>
      </w:r>
      <w:r>
        <w:t xml:space="preserve">and size </w:t>
      </w:r>
      <w:r w:rsidRPr="00BF2A53">
        <w:t>of regulated businesses</w:t>
      </w:r>
      <w:r>
        <w:t xml:space="preserve"> affected</w:t>
      </w:r>
      <w:r w:rsidRPr="00BF2A53">
        <w:t>, and if the regulat</w:t>
      </w:r>
      <w:r>
        <w:t xml:space="preserve">ion </w:t>
      </w:r>
      <w:r w:rsidRPr="00BF2A53">
        <w:t xml:space="preserve">spans multiple jurisdictions </w:t>
      </w:r>
      <w:r>
        <w:t>or</w:t>
      </w:r>
      <w:r w:rsidRPr="00BF2A53">
        <w:t xml:space="preserve"> agricultural industries.</w:t>
      </w:r>
    </w:p>
    <w:p w14:paraId="2C0FB07D" w14:textId="77777777" w:rsidR="00DE66C9" w:rsidRDefault="00DE66C9" w:rsidP="00DE66C9">
      <w:pPr>
        <w:pStyle w:val="BodyText"/>
      </w:pPr>
      <w:r>
        <w:t>In keeping with its legislative remit, the Commission will take a communitywide, evidence</w:t>
      </w:r>
      <w:r>
        <w:noBreakHyphen/>
        <w:t xml:space="preserve">based and transparent approach to assessing the costs and benefits of reform options. </w:t>
      </w:r>
    </w:p>
    <w:p w14:paraId="2982B04A" w14:textId="47D93883" w:rsidR="00561732" w:rsidRDefault="00402629" w:rsidP="00181665">
      <w:pPr>
        <w:pStyle w:val="Heading3"/>
      </w:pPr>
      <w:r>
        <w:rPr>
          <w:noProof/>
        </w:rPr>
        <w:t>Defining</w:t>
      </w:r>
      <w:r w:rsidR="007E3C9B">
        <w:rPr>
          <w:noProof/>
        </w:rPr>
        <w:t xml:space="preserve"> </w:t>
      </w:r>
      <w:r w:rsidR="003B1E14" w:rsidRPr="00181665">
        <w:t>r</w:t>
      </w:r>
      <w:r w:rsidR="00561732" w:rsidRPr="00181665">
        <w:t>egulation</w:t>
      </w:r>
    </w:p>
    <w:p w14:paraId="15CB8750" w14:textId="5EA6DCF0" w:rsidR="00E86175" w:rsidRDefault="00561732" w:rsidP="008766D4">
      <w:pPr>
        <w:pStyle w:val="BodyText"/>
      </w:pPr>
      <w:r w:rsidRPr="00936D6B">
        <w:t>‘</w:t>
      </w:r>
      <w:r w:rsidR="00E86175">
        <w:t>R</w:t>
      </w:r>
      <w:r w:rsidRPr="00936D6B">
        <w:t xml:space="preserve">egulation’ </w:t>
      </w:r>
      <w:r w:rsidR="00E86175">
        <w:t xml:space="preserve">is defined as any laws </w:t>
      </w:r>
      <w:r w:rsidR="00085807">
        <w:t xml:space="preserve">(Acts of Parliament, regulations and other </w:t>
      </w:r>
      <w:r w:rsidR="005B09B0">
        <w:t xml:space="preserve">legislative </w:t>
      </w:r>
      <w:r w:rsidR="00085807">
        <w:t xml:space="preserve">instruments) </w:t>
      </w:r>
      <w:r w:rsidR="00E86175">
        <w:t>or other government rules (such as codes of conduct and standards</w:t>
      </w:r>
      <w:r w:rsidR="001548AB">
        <w:t xml:space="preserve"> </w:t>
      </w:r>
      <w:r w:rsidR="008E5195">
        <w:t xml:space="preserve">which </w:t>
      </w:r>
      <w:r w:rsidR="001548AB">
        <w:t xml:space="preserve">are known as </w:t>
      </w:r>
      <w:r w:rsidR="00B84D4E">
        <w:t>quasi</w:t>
      </w:r>
      <w:r w:rsidR="00B84D4E">
        <w:noBreakHyphen/>
        <w:t>regulation</w:t>
      </w:r>
      <w:r w:rsidR="00E86175">
        <w:t xml:space="preserve">) that </w:t>
      </w:r>
      <w:r w:rsidRPr="00936D6B">
        <w:t xml:space="preserve">influence </w:t>
      </w:r>
      <w:r>
        <w:t xml:space="preserve">or control </w:t>
      </w:r>
      <w:r w:rsidR="00E86175">
        <w:t xml:space="preserve">the way people and businesses </w:t>
      </w:r>
      <w:r w:rsidR="00C92E80">
        <w:t>behav</w:t>
      </w:r>
      <w:r w:rsidR="00E86175">
        <w:t>e</w:t>
      </w:r>
      <w:r w:rsidR="002C0D69">
        <w:t xml:space="preserve"> </w:t>
      </w:r>
      <w:r w:rsidR="002C0D69" w:rsidRPr="002C0D69">
        <w:rPr>
          <w:szCs w:val="24"/>
        </w:rPr>
        <w:t>(PC 2011)</w:t>
      </w:r>
      <w:r w:rsidR="002C0D69">
        <w:t xml:space="preserve">. </w:t>
      </w:r>
      <w:r w:rsidR="00E86175">
        <w:t xml:space="preserve"> </w:t>
      </w:r>
    </w:p>
    <w:p w14:paraId="426A42A8" w14:textId="5B0D6788" w:rsidR="00810999" w:rsidRDefault="00810999" w:rsidP="00810999">
      <w:pPr>
        <w:pStyle w:val="BodyText"/>
        <w:keepNext/>
      </w:pPr>
      <w:r>
        <w:t>Regulation is put in place to meet a range of economic, social and environmental goals. Often regulation is introduced to make markets work more efficiently, including to address market failures such as inadequate information or where production or consumption generates spillover costs or benefits on others. Unless corrected for, market failures can result in over- or under-production of goods</w:t>
      </w:r>
      <w:r w:rsidR="00950FA4">
        <w:t>,</w:t>
      </w:r>
      <w:r>
        <w:t xml:space="preserve"> and distorted consumption and production decisions. The </w:t>
      </w:r>
      <w:r w:rsidR="00D15B5F">
        <w:t>National Farmers’ Federation</w:t>
      </w:r>
      <w:r>
        <w:t xml:space="preserve"> has acknowledged the importance of regulation to th</w:t>
      </w:r>
      <w:r w:rsidR="00950FA4">
        <w:t>e Australian agriculture sector.</w:t>
      </w:r>
    </w:p>
    <w:p w14:paraId="018C073E" w14:textId="49A12EBC" w:rsidR="00810999" w:rsidRDefault="002F1E99" w:rsidP="00810999">
      <w:pPr>
        <w:pStyle w:val="Quote"/>
      </w:pPr>
      <w:r>
        <w:t>[W]</w:t>
      </w:r>
      <w:r w:rsidR="00810999">
        <w:t>hile regulation can be onerous to comply with, we also recognise that in many instances there is sound reasoning behind why it has been imposed</w:t>
      </w:r>
      <w:r w:rsidR="00540B57">
        <w:t>.</w:t>
      </w:r>
      <w:r w:rsidR="00810999">
        <w:t xml:space="preserve"> … Not all regulation is bad for Australian farmers, and in many instances it has ensured that Australian agriculture can build on its global competitiveness in a sustainable manner. </w:t>
      </w:r>
      <w:r w:rsidR="00810999" w:rsidRPr="00C010FC">
        <w:rPr>
          <w:szCs w:val="24"/>
        </w:rPr>
        <w:t>(NFF 2013</w:t>
      </w:r>
      <w:r w:rsidR="00810999">
        <w:rPr>
          <w:szCs w:val="24"/>
        </w:rPr>
        <w:t>,</w:t>
      </w:r>
      <w:r w:rsidR="00810999" w:rsidRPr="00C010FC">
        <w:rPr>
          <w:szCs w:val="24"/>
        </w:rPr>
        <w:t xml:space="preserve"> </w:t>
      </w:r>
      <w:r w:rsidR="00810999">
        <w:rPr>
          <w:szCs w:val="24"/>
        </w:rPr>
        <w:t>p. 7</w:t>
      </w:r>
      <w:r w:rsidR="00810999" w:rsidRPr="00C010FC">
        <w:rPr>
          <w:szCs w:val="24"/>
        </w:rPr>
        <w:t>)</w:t>
      </w:r>
    </w:p>
    <w:p w14:paraId="73FE91B0" w14:textId="463B4A5F" w:rsidR="00810999" w:rsidRDefault="00810999" w:rsidP="00810999">
      <w:pPr>
        <w:pStyle w:val="BodyText"/>
      </w:pPr>
      <w:r>
        <w:t xml:space="preserve">The existence of a market failure is insufficient to justify regulation — a necessary condition is that the regulation not only addresses a market failure, but also that the benefits of regulation outweigh the costs of implementing and complying with the regulation. </w:t>
      </w:r>
    </w:p>
    <w:p w14:paraId="10C2CB79" w14:textId="61C575A0" w:rsidR="002909DA" w:rsidRDefault="00473D93" w:rsidP="002909DA">
      <w:pPr>
        <w:pStyle w:val="BodyText"/>
      </w:pPr>
      <w:r>
        <w:lastRenderedPageBreak/>
        <w:t xml:space="preserve">Regulation may also be put in place to </w:t>
      </w:r>
      <w:r w:rsidR="00160C57">
        <w:t xml:space="preserve">respond to </w:t>
      </w:r>
      <w:r w:rsidR="005D7240">
        <w:t>community</w:t>
      </w:r>
      <w:r w:rsidR="00507EC3">
        <w:t xml:space="preserve"> preferences</w:t>
      </w:r>
      <w:r w:rsidR="005657DE">
        <w:t xml:space="preserve">. </w:t>
      </w:r>
      <w:r w:rsidR="002909DA">
        <w:t xml:space="preserve">Even then, however, regular review is essential to ensure that the regulation is efficiently addressing community preferences, which can change over time. With this in mind, in examining regulation, the capabilities and methods of regulators will be a relevant consideration. </w:t>
      </w:r>
    </w:p>
    <w:p w14:paraId="6F70DD7A" w14:textId="2FE65C07" w:rsidR="00152235" w:rsidRDefault="00152235" w:rsidP="00D65B71">
      <w:pPr>
        <w:pStyle w:val="Heading3"/>
      </w:pPr>
      <w:r>
        <w:t xml:space="preserve">Unpacking </w:t>
      </w:r>
      <w:r w:rsidR="00C61774">
        <w:t xml:space="preserve">the costs of regulation and </w:t>
      </w:r>
      <w:r>
        <w:t>‘</w:t>
      </w:r>
      <w:r w:rsidR="00D263FD">
        <w:t>unnecessary</w:t>
      </w:r>
      <w:r>
        <w:t xml:space="preserve"> burdens</w:t>
      </w:r>
      <w:r w:rsidR="00D65B71">
        <w:t>’</w:t>
      </w:r>
      <w:r>
        <w:t xml:space="preserve"> </w:t>
      </w:r>
    </w:p>
    <w:p w14:paraId="317BECC9" w14:textId="31A8CB25" w:rsidR="00C61774" w:rsidRDefault="00C61774" w:rsidP="00C61774">
      <w:pPr>
        <w:pStyle w:val="BodyText"/>
      </w:pPr>
      <w:r>
        <w:t xml:space="preserve">Regulations by necessity impose costs on those affected, including businesses. </w:t>
      </w:r>
      <w:r w:rsidR="00B62876">
        <w:t>W</w:t>
      </w:r>
      <w:r>
        <w:t xml:space="preserve">here the objectives of regulation are sound, and it is effectively designed and implemented, the </w:t>
      </w:r>
      <w:r w:rsidR="00AC24B4">
        <w:t xml:space="preserve">benefits </w:t>
      </w:r>
      <w:r w:rsidR="003A3A5B">
        <w:t xml:space="preserve">of regulation </w:t>
      </w:r>
      <w:r>
        <w:t xml:space="preserve">would be expected to outweigh the </w:t>
      </w:r>
      <w:r w:rsidR="00AC24B4">
        <w:t xml:space="preserve">costs </w:t>
      </w:r>
      <w:r w:rsidR="007758E7">
        <w:t>for the community as a whole</w:t>
      </w:r>
      <w:r>
        <w:t xml:space="preserve">. Good regulation also achieves its stated policy objectives at least cost to the community. </w:t>
      </w:r>
    </w:p>
    <w:p w14:paraId="552338DD" w14:textId="1C2B5AC6" w:rsidR="00152235" w:rsidRDefault="003A3A5B" w:rsidP="009C5D2E">
      <w:pPr>
        <w:pStyle w:val="BodyText"/>
      </w:pPr>
      <w:r>
        <w:t>A key question for this inquiry is whether a regulation</w:t>
      </w:r>
      <w:r w:rsidR="001240D6">
        <w:t>,</w:t>
      </w:r>
      <w:r>
        <w:t xml:space="preserve"> and the way it is implemented</w:t>
      </w:r>
      <w:r w:rsidR="001240D6">
        <w:t>,</w:t>
      </w:r>
      <w:r>
        <w:t xml:space="preserve"> imposes an </w:t>
      </w:r>
      <w:r w:rsidRPr="00E01596">
        <w:rPr>
          <w:i/>
        </w:rPr>
        <w:t>unnecessary</w:t>
      </w:r>
      <w:r>
        <w:t xml:space="preserve"> </w:t>
      </w:r>
      <w:r w:rsidR="001240D6">
        <w:t xml:space="preserve">regulatory burden. An unnecessary regulatory burden </w:t>
      </w:r>
      <w:r w:rsidR="00B62876">
        <w:t xml:space="preserve">would </w:t>
      </w:r>
      <w:r w:rsidR="001240D6">
        <w:t xml:space="preserve">exist </w:t>
      </w:r>
      <w:r w:rsidR="00B62876">
        <w:t xml:space="preserve">if it was </w:t>
      </w:r>
      <w:r w:rsidR="001240D6">
        <w:t>possible to achieve the objective of the regulation at a lower cost</w:t>
      </w:r>
      <w:r w:rsidR="00B026EF">
        <w:t xml:space="preserve"> (compliance and administrative costs and lower distortion to the economy</w:t>
      </w:r>
      <w:r w:rsidR="00DE0E6A">
        <w:t>)</w:t>
      </w:r>
      <w:r w:rsidR="001240D6">
        <w:t xml:space="preserve">. </w:t>
      </w:r>
    </w:p>
    <w:p w14:paraId="076E5384" w14:textId="6752632D" w:rsidR="001240D6" w:rsidRDefault="00E01596" w:rsidP="00B4279E">
      <w:pPr>
        <w:pStyle w:val="BodyText"/>
        <w:keepNext/>
      </w:pPr>
      <w:r>
        <w:t>Some of the ways in which u</w:t>
      </w:r>
      <w:r w:rsidR="001240D6">
        <w:t>nnecessary burdens can arise in</w:t>
      </w:r>
      <w:r>
        <w:t xml:space="preserve">clude: </w:t>
      </w:r>
    </w:p>
    <w:p w14:paraId="706A96BF" w14:textId="2C49A606" w:rsidR="001240D6" w:rsidRDefault="001240D6" w:rsidP="001240D6">
      <w:pPr>
        <w:pStyle w:val="ListBullet"/>
      </w:pPr>
      <w:r>
        <w:t>excessive</w:t>
      </w:r>
      <w:r w:rsidR="00DE0E6A">
        <w:t xml:space="preserve"> </w:t>
      </w:r>
      <w:r>
        <w:t>regulatory coverage</w:t>
      </w:r>
      <w:r w:rsidR="00B62876">
        <w:t xml:space="preserve">, including regulatory creep </w:t>
      </w:r>
      <w:r>
        <w:t>— where the regulation covers more activity than was intended or warranted</w:t>
      </w:r>
      <w:r w:rsidR="00950FA4">
        <w:t>,</w:t>
      </w:r>
      <w:r w:rsidR="00980E6F">
        <w:t xml:space="preserve"> or where the reach of regulation has become more extensive over time</w:t>
      </w:r>
    </w:p>
    <w:p w14:paraId="14079D21" w14:textId="38857EE4" w:rsidR="00B62876" w:rsidRDefault="00B62876" w:rsidP="001240D6">
      <w:pPr>
        <w:pStyle w:val="ListBullet"/>
      </w:pPr>
      <w:r>
        <w:t xml:space="preserve">redundant </w:t>
      </w:r>
      <w:r w:rsidR="004E2A70">
        <w:t>regulation</w:t>
      </w:r>
      <w:r>
        <w:t xml:space="preserve"> — regulation can become ineffective or unnecessary with changes in circumstances or technology</w:t>
      </w:r>
    </w:p>
    <w:p w14:paraId="038689ED" w14:textId="6BC68B30" w:rsidR="00B62876" w:rsidRDefault="00B62876" w:rsidP="001240D6">
      <w:pPr>
        <w:pStyle w:val="ListBullet"/>
      </w:pPr>
      <w:r>
        <w:t>excessive repo</w:t>
      </w:r>
      <w:r w:rsidR="00980E6F">
        <w:t>rting or recording requirements, including demands for information from different arms of government</w:t>
      </w:r>
    </w:p>
    <w:p w14:paraId="018F5C67" w14:textId="1DF76897" w:rsidR="00092B81" w:rsidRDefault="000C0BB8" w:rsidP="001240D6">
      <w:pPr>
        <w:pStyle w:val="ListBullet"/>
      </w:pPr>
      <w:r>
        <w:t>heavy</w:t>
      </w:r>
      <w:r>
        <w:noBreakHyphen/>
        <w:t>handed regulators</w:t>
      </w:r>
      <w:r w:rsidR="002A3D11">
        <w:t xml:space="preserve"> (</w:t>
      </w:r>
      <w:r w:rsidR="00092B81">
        <w:t xml:space="preserve">or </w:t>
      </w:r>
      <w:r>
        <w:t>regulator</w:t>
      </w:r>
      <w:r w:rsidR="006E0A96">
        <w:t>y</w:t>
      </w:r>
      <w:r w:rsidR="00092B81">
        <w:t xml:space="preserve"> </w:t>
      </w:r>
      <w:r>
        <w:t>forbearance</w:t>
      </w:r>
      <w:r w:rsidR="002A3D11">
        <w:t>)</w:t>
      </w:r>
      <w:r w:rsidR="00092B81">
        <w:t xml:space="preserve"> </w:t>
      </w:r>
    </w:p>
    <w:p w14:paraId="6A7D461C" w14:textId="518B37EB" w:rsidR="001240D6" w:rsidRDefault="00980E6F" w:rsidP="001240D6">
      <w:pPr>
        <w:pStyle w:val="ListBullet"/>
      </w:pPr>
      <w:r>
        <w:t xml:space="preserve">inconsistent or </w:t>
      </w:r>
      <w:r w:rsidR="001240D6">
        <w:t>overlapping</w:t>
      </w:r>
      <w:r>
        <w:t xml:space="preserve"> reporting requirements</w:t>
      </w:r>
      <w:r w:rsidR="003749F2">
        <w:t>,</w:t>
      </w:r>
      <w:r>
        <w:t xml:space="preserve"> either within government or across jurisdictions</w:t>
      </w:r>
      <w:r w:rsidR="003749F2">
        <w:t>,</w:t>
      </w:r>
      <w:r w:rsidR="0043655D" w:rsidDel="003749F2">
        <w:t xml:space="preserve"> </w:t>
      </w:r>
      <w:r w:rsidR="00A24C17">
        <w:t xml:space="preserve">which </w:t>
      </w:r>
      <w:r w:rsidR="0043655D">
        <w:t xml:space="preserve">can generate confusion and extra work for businesses than would otherwise be the case </w:t>
      </w:r>
      <w:r w:rsidR="00882310" w:rsidRPr="00882310">
        <w:rPr>
          <w:szCs w:val="24"/>
        </w:rPr>
        <w:t>(PC 2007, 2011)</w:t>
      </w:r>
      <w:r w:rsidR="001240D6">
        <w:t xml:space="preserve">. </w:t>
      </w:r>
    </w:p>
    <w:p w14:paraId="7B172C63" w14:textId="701B8CBE" w:rsidR="00971BEE" w:rsidRDefault="00971BEE" w:rsidP="00917745">
      <w:pPr>
        <w:pStyle w:val="BodyText"/>
      </w:pPr>
      <w:r>
        <w:t>Regulations with sound objectives can also sometimes have unintended ec</w:t>
      </w:r>
      <w:r w:rsidR="000D65BE">
        <w:t xml:space="preserve">onomic or social effects and can cause businesses to adjust their production </w:t>
      </w:r>
      <w:r w:rsidR="00916155">
        <w:t xml:space="preserve">decisions and </w:t>
      </w:r>
      <w:r w:rsidR="000D65BE">
        <w:t xml:space="preserve">processes. </w:t>
      </w:r>
      <w:r w:rsidR="00B026EF">
        <w:t xml:space="preserve">They may also inhibit innovation </w:t>
      </w:r>
      <w:r w:rsidR="00A85964">
        <w:t xml:space="preserve">and competition </w:t>
      </w:r>
      <w:r w:rsidR="00B026EF">
        <w:t>or reduce incentives to improve business productivity.</w:t>
      </w:r>
      <w:r w:rsidR="000D65BE">
        <w:t xml:space="preserve"> </w:t>
      </w:r>
    </w:p>
    <w:p w14:paraId="2982B080" w14:textId="0B3CFF52" w:rsidR="00A31BF8" w:rsidRDefault="00B44F96" w:rsidP="00994490">
      <w:pPr>
        <w:pStyle w:val="BodyText"/>
      </w:pPr>
      <w:r w:rsidRPr="00B44F96">
        <w:t xml:space="preserve">Where </w:t>
      </w:r>
      <w:r>
        <w:t>possible,</w:t>
      </w:r>
      <w:r w:rsidR="00394319">
        <w:t xml:space="preserve"> the Commission </w:t>
      </w:r>
      <w:r w:rsidR="008510D5">
        <w:t xml:space="preserve">will </w:t>
      </w:r>
      <w:r w:rsidR="00F2305B">
        <w:t>seek</w:t>
      </w:r>
      <w:r w:rsidR="00394319">
        <w:t xml:space="preserve"> to quantify the costs </w:t>
      </w:r>
      <w:r w:rsidR="00F80A52">
        <w:t>and benefits of policy reform</w:t>
      </w:r>
      <w:r w:rsidR="008510D5">
        <w:t>s</w:t>
      </w:r>
      <w:r w:rsidR="002D58D8">
        <w:t>. Therefore, i</w:t>
      </w:r>
      <w:r w:rsidR="00394319">
        <w:t xml:space="preserve">t </w:t>
      </w:r>
      <w:r w:rsidR="00F37C46">
        <w:t xml:space="preserve">would be useful for </w:t>
      </w:r>
      <w:r w:rsidR="00372807">
        <w:t xml:space="preserve">inquiry </w:t>
      </w:r>
      <w:r w:rsidR="00507926">
        <w:t>participants</w:t>
      </w:r>
      <w:r>
        <w:t xml:space="preserve"> </w:t>
      </w:r>
      <w:r w:rsidR="00F37C46">
        <w:t xml:space="preserve">to </w:t>
      </w:r>
      <w:r>
        <w:t>quant</w:t>
      </w:r>
      <w:r w:rsidR="00F7207E">
        <w:t>i</w:t>
      </w:r>
      <w:r>
        <w:t xml:space="preserve">fy </w:t>
      </w:r>
      <w:r w:rsidR="00A9072E">
        <w:t xml:space="preserve">the </w:t>
      </w:r>
      <w:r w:rsidR="00B926DD">
        <w:t>cost of unnecessary burdens</w:t>
      </w:r>
      <w:r w:rsidR="00A9072E">
        <w:t xml:space="preserve"> in</w:t>
      </w:r>
      <w:r w:rsidR="005235B8">
        <w:t xml:space="preserve"> </w:t>
      </w:r>
      <w:r w:rsidR="002F59F4">
        <w:t xml:space="preserve">dollar </w:t>
      </w:r>
      <w:r w:rsidR="00A9072E">
        <w:t>terms</w:t>
      </w:r>
      <w:r w:rsidR="00F7207E">
        <w:t xml:space="preserve">. </w:t>
      </w:r>
      <w:r w:rsidR="00A01BD5">
        <w:t>A</w:t>
      </w:r>
      <w:r w:rsidR="007F730D">
        <w:t xml:space="preserve">s </w:t>
      </w:r>
      <w:r w:rsidR="008510D5">
        <w:t xml:space="preserve">discussed above, </w:t>
      </w:r>
      <w:r w:rsidR="007F730D">
        <w:t xml:space="preserve">only part of </w:t>
      </w:r>
      <w:r w:rsidR="00061F2E">
        <w:t>a regulation’s</w:t>
      </w:r>
      <w:r w:rsidR="007F730D">
        <w:t xml:space="preserve"> </w:t>
      </w:r>
      <w:r w:rsidR="009560EF">
        <w:t xml:space="preserve">cost </w:t>
      </w:r>
      <w:r w:rsidR="00061F2E">
        <w:t>to</w:t>
      </w:r>
      <w:r w:rsidR="00F44988">
        <w:t xml:space="preserve"> </w:t>
      </w:r>
      <w:r w:rsidR="00553935">
        <w:t xml:space="preserve">businesses and others </w:t>
      </w:r>
      <w:r w:rsidR="007F730D">
        <w:t xml:space="preserve">will be </w:t>
      </w:r>
      <w:r w:rsidR="007F730D" w:rsidRPr="008510D5">
        <w:rPr>
          <w:i/>
        </w:rPr>
        <w:t>unnecessary</w:t>
      </w:r>
      <w:r w:rsidR="007F730D">
        <w:t xml:space="preserve">, if the regulation is </w:t>
      </w:r>
      <w:r w:rsidR="0043558F">
        <w:t>designed and applied efficiently</w:t>
      </w:r>
      <w:r w:rsidR="007F730D">
        <w:t>.</w:t>
      </w:r>
    </w:p>
    <w:p w14:paraId="2982B081" w14:textId="4FEE78B5" w:rsidR="002200A2" w:rsidRDefault="008510D5" w:rsidP="003A5D18">
      <w:pPr>
        <w:pStyle w:val="BodyText"/>
      </w:pPr>
      <w:r>
        <w:lastRenderedPageBreak/>
        <w:t>T</w:t>
      </w:r>
      <w:r w:rsidR="00361952">
        <w:t xml:space="preserve">he Commission will </w:t>
      </w:r>
      <w:r>
        <w:t xml:space="preserve">also </w:t>
      </w:r>
      <w:r w:rsidR="00D8643F">
        <w:t>consider</w:t>
      </w:r>
      <w:r w:rsidR="00361952">
        <w:t xml:space="preserve"> r</w:t>
      </w:r>
      <w:r w:rsidR="009166A1" w:rsidRPr="00E83061">
        <w:t xml:space="preserve">eform </w:t>
      </w:r>
      <w:r w:rsidR="0005484D" w:rsidRPr="00E83061">
        <w:t xml:space="preserve">options to address identified unnecessary burdens. </w:t>
      </w:r>
      <w:r w:rsidR="00691634">
        <w:t xml:space="preserve">As part of its assessment, the </w:t>
      </w:r>
      <w:r w:rsidR="006E67CF">
        <w:t xml:space="preserve">Commission will </w:t>
      </w:r>
      <w:r w:rsidR="00691634">
        <w:t>consider</w:t>
      </w:r>
      <w:r w:rsidR="006E67CF">
        <w:t xml:space="preserve"> </w:t>
      </w:r>
      <w:r w:rsidR="00BD22CA">
        <w:t xml:space="preserve">potential </w:t>
      </w:r>
      <w:r w:rsidR="006E67CF">
        <w:t xml:space="preserve">risks </w:t>
      </w:r>
      <w:r w:rsidR="008F332C">
        <w:t xml:space="preserve">that </w:t>
      </w:r>
      <w:r w:rsidR="006E67CF">
        <w:t xml:space="preserve">may arise with </w:t>
      </w:r>
      <w:r w:rsidR="005B533B">
        <w:t>reform</w:t>
      </w:r>
      <w:r w:rsidR="00BD22CA">
        <w:t xml:space="preserve"> option</w:t>
      </w:r>
      <w:r w:rsidR="005B533B">
        <w:t xml:space="preserve">s. </w:t>
      </w:r>
      <w:r w:rsidR="00E83061" w:rsidRPr="00E83061">
        <w:t xml:space="preserve">It </w:t>
      </w:r>
      <w:r w:rsidR="00E83061">
        <w:t>will be</w:t>
      </w:r>
      <w:r w:rsidR="00E83061" w:rsidRPr="00E83061">
        <w:t xml:space="preserve"> important that </w:t>
      </w:r>
      <w:r w:rsidR="00BD22CA">
        <w:t xml:space="preserve">any proposed </w:t>
      </w:r>
      <w:r w:rsidR="00E83061" w:rsidRPr="00E83061">
        <w:t xml:space="preserve">reforms do not simply shift costs from </w:t>
      </w:r>
      <w:r w:rsidR="00A25A68">
        <w:t xml:space="preserve">farm </w:t>
      </w:r>
      <w:r w:rsidR="00E83061" w:rsidRPr="00E83061">
        <w:t>business</w:t>
      </w:r>
      <w:r w:rsidR="004866DD">
        <w:t>es</w:t>
      </w:r>
      <w:r w:rsidR="00E83061" w:rsidRPr="00E83061">
        <w:t xml:space="preserve"> to government</w:t>
      </w:r>
      <w:r w:rsidR="009F77CD">
        <w:t>s</w:t>
      </w:r>
      <w:r w:rsidR="00E83061" w:rsidRPr="00E83061">
        <w:t xml:space="preserve"> </w:t>
      </w:r>
      <w:r w:rsidR="009F77CD">
        <w:t>or</w:t>
      </w:r>
      <w:r w:rsidR="00E83061" w:rsidRPr="00E83061">
        <w:t xml:space="preserve"> other sections of </w:t>
      </w:r>
      <w:r w:rsidR="00E83061">
        <w:t>the community</w:t>
      </w:r>
      <w:r w:rsidR="00E83061" w:rsidRPr="00E83061">
        <w:t>.</w:t>
      </w:r>
      <w:r>
        <w:t xml:space="preserve"> T</w:t>
      </w:r>
      <w:r w:rsidR="00E83061" w:rsidRPr="00E83061">
        <w:t xml:space="preserve">o recommend a </w:t>
      </w:r>
      <w:r w:rsidR="008F332C">
        <w:t xml:space="preserve">regulatory </w:t>
      </w:r>
      <w:r w:rsidR="00E83061" w:rsidRPr="00E83061">
        <w:t xml:space="preserve">reform, the </w:t>
      </w:r>
      <w:r w:rsidR="00E83061">
        <w:t xml:space="preserve">Commission </w:t>
      </w:r>
      <w:r w:rsidR="00CA5CA5">
        <w:t>will</w:t>
      </w:r>
      <w:r w:rsidR="00E83061" w:rsidRPr="00E83061">
        <w:t xml:space="preserve"> need to be </w:t>
      </w:r>
      <w:r>
        <w:t xml:space="preserve">convinced </w:t>
      </w:r>
      <w:r w:rsidR="00E83061" w:rsidRPr="00E83061">
        <w:t>that it w</w:t>
      </w:r>
      <w:r>
        <w:t xml:space="preserve">ill </w:t>
      </w:r>
      <w:r w:rsidR="00E83061" w:rsidRPr="00E83061">
        <w:t xml:space="preserve">generate a net benefit </w:t>
      </w:r>
      <w:r>
        <w:t xml:space="preserve">to the </w:t>
      </w:r>
      <w:r w:rsidR="00E83061">
        <w:t>community</w:t>
      </w:r>
      <w:r w:rsidR="00E83061" w:rsidRPr="00E83061">
        <w:t xml:space="preserve"> as a whole</w:t>
      </w:r>
      <w:r w:rsidR="00E83061">
        <w:t>.</w:t>
      </w:r>
    </w:p>
    <w:p w14:paraId="264F9323" w14:textId="060442F8" w:rsidR="00EB32D4" w:rsidRDefault="00EB32D4" w:rsidP="00EB32D4">
      <w:pPr>
        <w:pStyle w:val="BodyText"/>
        <w:keepNext/>
        <w:keepLines/>
        <w:spacing w:before="120" w:line="280" w:lineRule="atLeast"/>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B32D4" w:rsidRPr="002E6452" w14:paraId="0A36DD00" w14:textId="77777777" w:rsidTr="00DE11C1">
        <w:tc>
          <w:tcPr>
            <w:tcW w:w="8771" w:type="dxa"/>
            <w:tcBorders>
              <w:top w:val="single" w:sz="6" w:space="0" w:color="78A22F"/>
              <w:left w:val="nil"/>
              <w:bottom w:val="nil"/>
              <w:right w:val="nil"/>
            </w:tcBorders>
            <w:shd w:val="clear" w:color="auto" w:fill="auto"/>
          </w:tcPr>
          <w:p w14:paraId="475C3DB8" w14:textId="363573E3" w:rsidR="00EF0127" w:rsidRPr="00173A21" w:rsidRDefault="001E604B" w:rsidP="00EF0127">
            <w:pPr>
              <w:keepLines/>
              <w:spacing w:before="120" w:line="280" w:lineRule="atLeast"/>
              <w:jc w:val="both"/>
              <w:rPr>
                <w:rFonts w:ascii="Arial" w:hAnsi="Arial"/>
                <w:b/>
                <w:i/>
                <w:sz w:val="22"/>
                <w:lang w:eastAsia="en-AU"/>
              </w:rPr>
            </w:pPr>
            <w:r>
              <w:rPr>
                <w:rFonts w:ascii="Arial" w:hAnsi="Arial"/>
                <w:b/>
                <w:i/>
                <w:sz w:val="22"/>
                <w:lang w:eastAsia="en-AU"/>
              </w:rPr>
              <w:t>I</w:t>
            </w:r>
            <w:r w:rsidR="00173A21" w:rsidRPr="00173A21">
              <w:rPr>
                <w:rFonts w:ascii="Arial" w:hAnsi="Arial"/>
                <w:b/>
                <w:i/>
                <w:sz w:val="22"/>
                <w:lang w:eastAsia="en-AU"/>
              </w:rPr>
              <w:t>nformation</w:t>
            </w:r>
            <w:r>
              <w:rPr>
                <w:rFonts w:ascii="Arial" w:hAnsi="Arial"/>
                <w:b/>
                <w:i/>
                <w:sz w:val="22"/>
                <w:lang w:eastAsia="en-AU"/>
              </w:rPr>
              <w:t xml:space="preserve"> request</w:t>
            </w:r>
          </w:p>
          <w:p w14:paraId="55CC59F0" w14:textId="0E8541C8" w:rsidR="00EB32D4" w:rsidRPr="0096518A" w:rsidRDefault="00EB32D4" w:rsidP="00DE11C1">
            <w:pPr>
              <w:pStyle w:val="InformationRequest"/>
              <w:keepNext/>
            </w:pPr>
            <w:r w:rsidRPr="0096518A">
              <w:rPr>
                <w:color w:val="000000" w:themeColor="text1"/>
              </w:rPr>
              <w:t xml:space="preserve">The Commission is seeking </w:t>
            </w:r>
            <w:r w:rsidR="00DB22B1">
              <w:rPr>
                <w:color w:val="000000" w:themeColor="text1"/>
              </w:rPr>
              <w:t>data and</w:t>
            </w:r>
            <w:r w:rsidRPr="0096518A">
              <w:rPr>
                <w:color w:val="000000" w:themeColor="text1"/>
              </w:rPr>
              <w:t xml:space="preserve"> information on unnecessarily burdensome regulations that </w:t>
            </w:r>
            <w:r w:rsidR="009D3C7D">
              <w:rPr>
                <w:color w:val="000000" w:themeColor="text1"/>
              </w:rPr>
              <w:t>materially</w:t>
            </w:r>
            <w:r w:rsidRPr="0096518A">
              <w:rPr>
                <w:color w:val="000000" w:themeColor="text1"/>
              </w:rPr>
              <w:t xml:space="preserve"> </w:t>
            </w:r>
            <w:r w:rsidR="009D3C7D">
              <w:rPr>
                <w:color w:val="000000" w:themeColor="text1"/>
              </w:rPr>
              <w:t>a</w:t>
            </w:r>
            <w:r w:rsidRPr="0096518A">
              <w:rPr>
                <w:color w:val="000000" w:themeColor="text1"/>
              </w:rPr>
              <w:t xml:space="preserve">ffect the competitiveness of farm businesses, including:  </w:t>
            </w:r>
          </w:p>
          <w:p w14:paraId="39529B1C" w14:textId="7FA6A43F" w:rsidR="009248FD" w:rsidRPr="009248FD" w:rsidRDefault="00EB32D4" w:rsidP="009248FD">
            <w:pPr>
              <w:pStyle w:val="InformationRequestBullet"/>
            </w:pPr>
            <w:r w:rsidRPr="0096518A">
              <w:t xml:space="preserve">the costs imposed </w:t>
            </w:r>
            <w:r w:rsidR="007643B1">
              <w:t xml:space="preserve">on farm businesses </w:t>
            </w:r>
            <w:r w:rsidRPr="0096518A">
              <w:t>by the regulation</w:t>
            </w:r>
            <w:r w:rsidR="009248FD">
              <w:t>. For example:</w:t>
            </w:r>
          </w:p>
          <w:p w14:paraId="4765FCD2" w14:textId="1DEA91AD" w:rsidR="009248FD" w:rsidRDefault="003A46D2">
            <w:pPr>
              <w:pStyle w:val="BoxListBullet2"/>
              <w:rPr>
                <w:lang w:eastAsia="en-US"/>
              </w:rPr>
            </w:pPr>
            <w:r>
              <w:rPr>
                <w:i/>
                <w:sz w:val="22"/>
                <w:szCs w:val="22"/>
              </w:rPr>
              <w:t>the costs of materials and equipment purchased to meet regulatory requirements</w:t>
            </w:r>
          </w:p>
          <w:p w14:paraId="0187EDFA" w14:textId="7B24DC98" w:rsidR="003A46D2" w:rsidRDefault="003A46D2">
            <w:pPr>
              <w:pStyle w:val="BoxListBullet2"/>
              <w:rPr>
                <w:lang w:eastAsia="en-US"/>
              </w:rPr>
            </w:pPr>
            <w:r>
              <w:rPr>
                <w:i/>
                <w:sz w:val="22"/>
                <w:szCs w:val="22"/>
              </w:rPr>
              <w:t xml:space="preserve">the time and costs devoted to complying with </w:t>
            </w:r>
            <w:r w:rsidR="003E2F44">
              <w:rPr>
                <w:i/>
                <w:sz w:val="22"/>
                <w:szCs w:val="22"/>
              </w:rPr>
              <w:t>regulations, such as</w:t>
            </w:r>
            <w:r w:rsidR="0070059F">
              <w:rPr>
                <w:i/>
                <w:sz w:val="22"/>
                <w:szCs w:val="22"/>
              </w:rPr>
              <w:t xml:space="preserve"> </w:t>
            </w:r>
            <w:r w:rsidR="00E664BA">
              <w:rPr>
                <w:i/>
                <w:sz w:val="22"/>
                <w:szCs w:val="22"/>
              </w:rPr>
              <w:t>paper</w:t>
            </w:r>
            <w:r w:rsidR="0070059F">
              <w:rPr>
                <w:i/>
                <w:sz w:val="22"/>
                <w:szCs w:val="22"/>
              </w:rPr>
              <w:t>work,</w:t>
            </w:r>
            <w:r w:rsidR="003E2F44">
              <w:rPr>
                <w:i/>
                <w:sz w:val="22"/>
                <w:szCs w:val="22"/>
              </w:rPr>
              <w:t xml:space="preserve"> </w:t>
            </w:r>
            <w:r>
              <w:rPr>
                <w:i/>
                <w:sz w:val="22"/>
                <w:szCs w:val="22"/>
              </w:rPr>
              <w:t>reporting to regulators (including complying with inspections), and training</w:t>
            </w:r>
            <w:r w:rsidR="003E2F44">
              <w:rPr>
                <w:i/>
                <w:sz w:val="22"/>
                <w:szCs w:val="22"/>
              </w:rPr>
              <w:t xml:space="preserve"> of staff</w:t>
            </w:r>
          </w:p>
          <w:p w14:paraId="297E1D35" w14:textId="545F5B3C" w:rsidR="003A46D2" w:rsidRPr="009754BC" w:rsidRDefault="009A79AD">
            <w:pPr>
              <w:pStyle w:val="BoxListBullet2"/>
              <w:rPr>
                <w:lang w:eastAsia="en-US"/>
              </w:rPr>
            </w:pPr>
            <w:r>
              <w:rPr>
                <w:i/>
                <w:sz w:val="22"/>
                <w:szCs w:val="22"/>
              </w:rPr>
              <w:t xml:space="preserve">opportunity costs in terms of the value of foregone sales and any added costs from using less preferred inputs, </w:t>
            </w:r>
            <w:r w:rsidR="00875BAD">
              <w:rPr>
                <w:i/>
                <w:sz w:val="22"/>
                <w:szCs w:val="22"/>
              </w:rPr>
              <w:t>production processes or technologies</w:t>
            </w:r>
            <w:r>
              <w:rPr>
                <w:i/>
                <w:sz w:val="22"/>
                <w:szCs w:val="22"/>
              </w:rPr>
              <w:t>.</w:t>
            </w:r>
          </w:p>
          <w:p w14:paraId="606EE440" w14:textId="1EA98811" w:rsidR="00EB32D4" w:rsidRPr="0096518A" w:rsidRDefault="00EB32D4" w:rsidP="00DE11C1">
            <w:pPr>
              <w:pStyle w:val="InformationRequestBullet"/>
            </w:pPr>
            <w:r w:rsidRPr="0096518A">
              <w:t>inconsistent and</w:t>
            </w:r>
            <w:r w:rsidR="0049256B">
              <w:t>/or</w:t>
            </w:r>
            <w:r w:rsidRPr="0096518A">
              <w:t xml:space="preserve"> overlapping regulations between jurisdictions or levels of government</w:t>
            </w:r>
          </w:p>
          <w:p w14:paraId="19376396" w14:textId="4758A28A" w:rsidR="00EB32D4" w:rsidRPr="0096518A" w:rsidRDefault="00EB32D4" w:rsidP="00DE11C1">
            <w:pPr>
              <w:pStyle w:val="InformationRequestBullet"/>
            </w:pPr>
            <w:r w:rsidRPr="0096518A">
              <w:t xml:space="preserve">regulation </w:t>
            </w:r>
            <w:r w:rsidR="0049256B">
              <w:t xml:space="preserve">that </w:t>
            </w:r>
            <w:r w:rsidRPr="0096518A">
              <w:t>has</w:t>
            </w:r>
            <w:r w:rsidR="0049256B">
              <w:t xml:space="preserve"> a</w:t>
            </w:r>
            <w:r w:rsidRPr="0096518A">
              <w:t xml:space="preserve"> particular effect on certain types of farm businesses, or on businesses in certain locations</w:t>
            </w:r>
          </w:p>
          <w:p w14:paraId="7CF44063" w14:textId="3D955435" w:rsidR="00EB32D4" w:rsidRPr="0096518A" w:rsidRDefault="00EB32D4" w:rsidP="00DE11C1">
            <w:pPr>
              <w:pStyle w:val="InformationRequestBullet"/>
            </w:pPr>
            <w:r w:rsidRPr="0096518A">
              <w:t xml:space="preserve">the scope to </w:t>
            </w:r>
            <w:r w:rsidR="0049256B">
              <w:t>enhance the benefits</w:t>
            </w:r>
            <w:r w:rsidRPr="0096518A">
              <w:t xml:space="preserve"> </w:t>
            </w:r>
            <w:r w:rsidR="0049256B">
              <w:t>of</w:t>
            </w:r>
            <w:r w:rsidRPr="0096518A">
              <w:t xml:space="preserve"> regulation</w:t>
            </w:r>
          </w:p>
          <w:p w14:paraId="4157206F" w14:textId="0CA22761" w:rsidR="00EB32D4" w:rsidRPr="0096518A" w:rsidRDefault="00EB32D4" w:rsidP="00DE11C1">
            <w:pPr>
              <w:pStyle w:val="InformationRequestBullet"/>
            </w:pPr>
            <w:r w:rsidRPr="0096518A">
              <w:t xml:space="preserve">effective regulatory approaches used overseas, or in parts of Australia, that </w:t>
            </w:r>
            <w:r w:rsidR="008F332C" w:rsidRPr="0096518A">
              <w:t xml:space="preserve">could </w:t>
            </w:r>
            <w:r w:rsidRPr="0096518A">
              <w:t>be adopted more broadly</w:t>
            </w:r>
          </w:p>
          <w:p w14:paraId="714BF65A" w14:textId="2B48BF25" w:rsidR="00EB32D4" w:rsidRPr="002E6452" w:rsidRDefault="00EB32D4" w:rsidP="00DB4C82">
            <w:pPr>
              <w:pStyle w:val="InformationRequestBullet"/>
            </w:pPr>
            <w:r w:rsidRPr="0096518A">
              <w:t xml:space="preserve">areas of regulation </w:t>
            </w:r>
            <w:r w:rsidR="0049256B">
              <w:t xml:space="preserve">that </w:t>
            </w:r>
            <w:r w:rsidRPr="0096518A">
              <w:t>are the highest priority for reform</w:t>
            </w:r>
            <w:r w:rsidR="0049256B">
              <w:t xml:space="preserve">, </w:t>
            </w:r>
            <w:r w:rsidRPr="0096518A" w:rsidDel="005D7A1B">
              <w:t>and</w:t>
            </w:r>
            <w:r w:rsidR="00DB4C82">
              <w:t xml:space="preserve"> which level of government should be responsible for the regulatory arrangements. </w:t>
            </w:r>
            <w:r>
              <w:t xml:space="preserve"> </w:t>
            </w:r>
          </w:p>
        </w:tc>
      </w:tr>
      <w:tr w:rsidR="00EB32D4" w14:paraId="39D2AE45" w14:textId="77777777" w:rsidTr="00DE11C1">
        <w:trPr>
          <w:cantSplit/>
        </w:trPr>
        <w:tc>
          <w:tcPr>
            <w:tcW w:w="8771" w:type="dxa"/>
            <w:tcBorders>
              <w:top w:val="nil"/>
              <w:left w:val="nil"/>
              <w:bottom w:val="single" w:sz="6" w:space="0" w:color="78A22F"/>
              <w:right w:val="nil"/>
            </w:tcBorders>
            <w:shd w:val="clear" w:color="auto" w:fill="auto"/>
          </w:tcPr>
          <w:p w14:paraId="75C8F7AD" w14:textId="77777777" w:rsidR="00EB32D4" w:rsidRDefault="00EB32D4" w:rsidP="00DE11C1">
            <w:pPr>
              <w:pStyle w:val="Box"/>
              <w:spacing w:before="0" w:line="120" w:lineRule="exact"/>
            </w:pPr>
          </w:p>
        </w:tc>
      </w:tr>
      <w:tr w:rsidR="00EB32D4" w:rsidRPr="000863A5" w14:paraId="25D36D02" w14:textId="77777777" w:rsidTr="00DE11C1">
        <w:tc>
          <w:tcPr>
            <w:tcW w:w="8771" w:type="dxa"/>
            <w:tcBorders>
              <w:top w:val="single" w:sz="6" w:space="0" w:color="78A22F"/>
              <w:left w:val="nil"/>
              <w:bottom w:val="nil"/>
              <w:right w:val="nil"/>
            </w:tcBorders>
          </w:tcPr>
          <w:p w14:paraId="627461A9" w14:textId="38F904C3" w:rsidR="00EB32D4" w:rsidRPr="00626D32" w:rsidRDefault="00EB32D4" w:rsidP="00DE11C1">
            <w:pPr>
              <w:pStyle w:val="BoxSpaceBelow"/>
            </w:pPr>
          </w:p>
        </w:tc>
      </w:tr>
    </w:tbl>
    <w:p w14:paraId="2982B082" w14:textId="77777777" w:rsidR="005E6D21" w:rsidRDefault="00D24ACB" w:rsidP="005E6D21">
      <w:pPr>
        <w:pStyle w:val="Heading3"/>
      </w:pPr>
      <w:r>
        <w:t xml:space="preserve">Considering the </w:t>
      </w:r>
      <w:r w:rsidR="006E7AF3">
        <w:t>collective</w:t>
      </w:r>
      <w:r w:rsidR="00E84C2C">
        <w:t xml:space="preserve"> </w:t>
      </w:r>
      <w:r w:rsidR="001042D3">
        <w:t>burden</w:t>
      </w:r>
      <w:r w:rsidR="00E84C2C">
        <w:t xml:space="preserve"> of regulation</w:t>
      </w:r>
    </w:p>
    <w:p w14:paraId="42251136" w14:textId="1D137845" w:rsidR="0043558F" w:rsidRDefault="005E6D21" w:rsidP="005E6D21">
      <w:pPr>
        <w:pStyle w:val="BodyText"/>
      </w:pPr>
      <w:r>
        <w:t>The Commission recognises that there could be many regulations</w:t>
      </w:r>
      <w:r w:rsidRPr="000D1EC1">
        <w:t xml:space="preserve"> </w:t>
      </w:r>
      <w:r>
        <w:t>which in isolation have a relatively minor</w:t>
      </w:r>
      <w:r w:rsidR="0043558F">
        <w:t xml:space="preserve"> effect</w:t>
      </w:r>
      <w:r>
        <w:t xml:space="preserve"> on farm businesses, and so </w:t>
      </w:r>
      <w:r w:rsidR="00BA328E">
        <w:t>may</w:t>
      </w:r>
      <w:r>
        <w:t xml:space="preserve"> not </w:t>
      </w:r>
      <w:r w:rsidR="00BA328E">
        <w:t>otherwise</w:t>
      </w:r>
      <w:r>
        <w:t xml:space="preserve"> be a focus for the inquiry, but collectively impose a </w:t>
      </w:r>
      <w:r w:rsidR="0043558F">
        <w:t>material</w:t>
      </w:r>
      <w:r>
        <w:t xml:space="preserve"> unnecessary burden. </w:t>
      </w:r>
    </w:p>
    <w:p w14:paraId="2982B084" w14:textId="3E095B4F" w:rsidR="00A651BD" w:rsidRDefault="0043558F" w:rsidP="005E6D21">
      <w:pPr>
        <w:pStyle w:val="BodyText"/>
      </w:pPr>
      <w:r>
        <w:t>Such an outcome could</w:t>
      </w:r>
      <w:r w:rsidR="005E6D21">
        <w:t xml:space="preserve"> be evidence of a systemic problem with government processes and institutions that </w:t>
      </w:r>
      <w:r w:rsidR="00DB4C82">
        <w:t>determine</w:t>
      </w:r>
      <w:r w:rsidR="005E6D21">
        <w:t xml:space="preserve"> when regulation is used, and how it is </w:t>
      </w:r>
      <w:r w:rsidR="005E6D21" w:rsidRPr="00E0018E">
        <w:t>designed and implemented</w:t>
      </w:r>
      <w:r w:rsidR="009F6F89">
        <w:t xml:space="preserve">. </w:t>
      </w:r>
      <w:r w:rsidR="00DB4C82">
        <w:t>H</w:t>
      </w:r>
      <w:r w:rsidR="00A16844">
        <w:t>istorical regulatory developments and art</w:t>
      </w:r>
      <w:r w:rsidR="00777EB0">
        <w:t>e</w:t>
      </w:r>
      <w:r w:rsidR="00A16844">
        <w:t>facts</w:t>
      </w:r>
      <w:r w:rsidR="009F6F89">
        <w:t xml:space="preserve"> can also mean that some regulation is no longer relevant or required</w:t>
      </w:r>
      <w:r w:rsidR="005E6D21">
        <w:t>.</w:t>
      </w:r>
      <w:r w:rsidR="00A651BD">
        <w:t xml:space="preserve"> </w:t>
      </w:r>
      <w:r>
        <w:t>A key principle in the</w:t>
      </w:r>
      <w:r w:rsidR="005E6D21" w:rsidRPr="00E0018E">
        <w:t xml:space="preserve"> Australian Government</w:t>
      </w:r>
      <w:r w:rsidR="00A842B0">
        <w:t xml:space="preserve"> G</w:t>
      </w:r>
      <w:r>
        <w:t>ui</w:t>
      </w:r>
      <w:r w:rsidR="00A842B0">
        <w:t>de</w:t>
      </w:r>
      <w:r>
        <w:t xml:space="preserve"> to </w:t>
      </w:r>
      <w:r w:rsidR="00A842B0">
        <w:t>R</w:t>
      </w:r>
      <w:r w:rsidR="00E664BA">
        <w:t>egulation</w:t>
      </w:r>
      <w:r>
        <w:t xml:space="preserve"> is that </w:t>
      </w:r>
      <w:r w:rsidR="00E664BA">
        <w:t>policy</w:t>
      </w:r>
      <w:r>
        <w:t>makers consult with each other to avoid creating cumulative or overlapping regulatory burdens</w:t>
      </w:r>
      <w:r w:rsidR="00A16844">
        <w:t xml:space="preserve"> and that regulations be periodically reviewed </w:t>
      </w:r>
      <w:r w:rsidR="009F6F89">
        <w:t>to test their continuing relevance</w:t>
      </w:r>
      <w:r w:rsidR="004C2F1E">
        <w:t xml:space="preserve"> </w:t>
      </w:r>
      <w:r w:rsidR="004C2F1E" w:rsidRPr="00ED3917">
        <w:rPr>
          <w:szCs w:val="24"/>
        </w:rPr>
        <w:t>(PM&amp;C 2014</w:t>
      </w:r>
      <w:r w:rsidR="004C2F1E">
        <w:rPr>
          <w:szCs w:val="24"/>
        </w:rPr>
        <w:t>)</w:t>
      </w:r>
      <w:r w:rsidR="009F6F89">
        <w:t xml:space="preserve">. </w:t>
      </w:r>
      <w:r w:rsidR="00BB10BD">
        <w:t xml:space="preserve">Australian governments </w:t>
      </w:r>
      <w:r w:rsidR="002578FC">
        <w:t>are</w:t>
      </w:r>
      <w:r w:rsidR="00BB10BD">
        <w:t xml:space="preserve"> </w:t>
      </w:r>
      <w:r w:rsidR="00D27480">
        <w:t>also</w:t>
      </w:r>
      <w:r w:rsidR="000D1988">
        <w:t xml:space="preserve"> working </w:t>
      </w:r>
      <w:r w:rsidR="00E17E97">
        <w:t>to reduce or remove overlapping</w:t>
      </w:r>
      <w:r w:rsidR="00245EF4">
        <w:t xml:space="preserve"> regulations</w:t>
      </w:r>
      <w:r w:rsidR="000D1988">
        <w:t xml:space="preserve">, </w:t>
      </w:r>
      <w:r w:rsidR="00FF7981">
        <w:t>for example,</w:t>
      </w:r>
      <w:r w:rsidR="000D1988">
        <w:t xml:space="preserve"> through the creation of </w:t>
      </w:r>
      <w:r w:rsidR="00F047C6">
        <w:t>‘</w:t>
      </w:r>
      <w:r w:rsidR="000D1988">
        <w:t>one-</w:t>
      </w:r>
      <w:r w:rsidR="000D1988">
        <w:lastRenderedPageBreak/>
        <w:t>stop shops</w:t>
      </w:r>
      <w:r w:rsidR="00F047C6">
        <w:t>’</w:t>
      </w:r>
      <w:r w:rsidR="000D1988">
        <w:t xml:space="preserve"> for the assessment and approval of projects under the </w:t>
      </w:r>
      <w:r w:rsidR="000D1988" w:rsidRPr="00C70054">
        <w:rPr>
          <w:i/>
        </w:rPr>
        <w:t>Environment Protection and Biodiversity Conservation Act 1999</w:t>
      </w:r>
      <w:r w:rsidR="000D1988" w:rsidRPr="000D1988">
        <w:t xml:space="preserve"> </w:t>
      </w:r>
      <w:r w:rsidR="000D1988">
        <w:t>(</w:t>
      </w:r>
      <w:r w:rsidR="000D1988" w:rsidRPr="00162A62">
        <w:t>Cw</w:t>
      </w:r>
      <w:r w:rsidR="000D1988">
        <w:t>l</w:t>
      </w:r>
      <w:r w:rsidR="000D1988" w:rsidRPr="00162A62">
        <w:t>th)</w:t>
      </w:r>
      <w:r w:rsidR="000D1988">
        <w:t>.</w:t>
      </w:r>
      <w:r w:rsidR="00245EF4">
        <w:t xml:space="preserve"> </w:t>
      </w:r>
    </w:p>
    <w:p w14:paraId="2982B085" w14:textId="48A47556" w:rsidR="005E6D21" w:rsidRDefault="005E6D21" w:rsidP="005E6D21">
      <w:pPr>
        <w:pStyle w:val="BodyText"/>
        <w:keepNext/>
        <w:keepLines/>
        <w:spacing w:before="120" w:line="280" w:lineRule="atLeast"/>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E6D21" w:rsidRPr="002E6452" w14:paraId="2982B089" w14:textId="77777777" w:rsidTr="002B5666">
        <w:tc>
          <w:tcPr>
            <w:tcW w:w="8771" w:type="dxa"/>
            <w:tcBorders>
              <w:top w:val="single" w:sz="6" w:space="0" w:color="78A22F"/>
              <w:left w:val="nil"/>
              <w:bottom w:val="nil"/>
              <w:right w:val="nil"/>
            </w:tcBorders>
            <w:shd w:val="clear" w:color="auto" w:fill="auto"/>
          </w:tcPr>
          <w:p w14:paraId="2982B086" w14:textId="15417C30" w:rsidR="005E6D21" w:rsidRPr="007F6C76" w:rsidRDefault="001B49F6" w:rsidP="002B5666">
            <w:pPr>
              <w:pStyle w:val="InformationRequest"/>
              <w:keepNext/>
              <w:rPr>
                <w:b/>
                <w:color w:val="000000" w:themeColor="text1"/>
              </w:rPr>
            </w:pPr>
            <w:r w:rsidRPr="007F6C76">
              <w:rPr>
                <w:b/>
                <w:color w:val="000000" w:themeColor="text1"/>
              </w:rPr>
              <w:t>Questions</w:t>
            </w:r>
          </w:p>
          <w:p w14:paraId="2982B087" w14:textId="6C6B1A1F" w:rsidR="006656AE" w:rsidRDefault="001B49F6" w:rsidP="002B5666">
            <w:pPr>
              <w:pStyle w:val="InformationRequestBullet"/>
            </w:pPr>
            <w:r>
              <w:t xml:space="preserve">Are there </w:t>
            </w:r>
            <w:r w:rsidR="009442E2">
              <w:t xml:space="preserve">systemic problems with government regulatory processes and institutions which </w:t>
            </w:r>
            <w:r w:rsidR="00877148">
              <w:t xml:space="preserve">create </w:t>
            </w:r>
            <w:r w:rsidR="009442E2">
              <w:t>unnecessary regulatory burdens on farm businesses</w:t>
            </w:r>
            <w:r>
              <w:t>?</w:t>
            </w:r>
          </w:p>
          <w:p w14:paraId="2982B088" w14:textId="42131F5E" w:rsidR="005E6D21" w:rsidRPr="002E6452" w:rsidRDefault="001B49F6" w:rsidP="002A6C9E">
            <w:pPr>
              <w:pStyle w:val="InformationRequestBullet"/>
            </w:pPr>
            <w:r>
              <w:t xml:space="preserve">What </w:t>
            </w:r>
            <w:r w:rsidR="00F34497">
              <w:t>reform</w:t>
            </w:r>
            <w:r w:rsidR="005D2AAA">
              <w:t xml:space="preserve"> </w:t>
            </w:r>
            <w:r>
              <w:t>options might improve</w:t>
            </w:r>
            <w:r w:rsidR="005D2AAA">
              <w:t xml:space="preserve"> </w:t>
            </w:r>
            <w:r w:rsidR="00F0327A" w:rsidRPr="00D771D4">
              <w:t>th</w:t>
            </w:r>
            <w:r w:rsidR="00877148">
              <w:t xml:space="preserve">ese processes and </w:t>
            </w:r>
            <w:r w:rsidR="00F0327A" w:rsidRPr="00D771D4">
              <w:t>institutions</w:t>
            </w:r>
            <w:r>
              <w:t>?</w:t>
            </w:r>
          </w:p>
        </w:tc>
      </w:tr>
      <w:tr w:rsidR="005E6D21" w14:paraId="2982B08B" w14:textId="77777777" w:rsidTr="002B5666">
        <w:trPr>
          <w:cantSplit/>
        </w:trPr>
        <w:tc>
          <w:tcPr>
            <w:tcW w:w="8771" w:type="dxa"/>
            <w:tcBorders>
              <w:top w:val="nil"/>
              <w:left w:val="nil"/>
              <w:bottom w:val="single" w:sz="6" w:space="0" w:color="78A22F"/>
              <w:right w:val="nil"/>
            </w:tcBorders>
            <w:shd w:val="clear" w:color="auto" w:fill="auto"/>
          </w:tcPr>
          <w:p w14:paraId="2982B08A" w14:textId="77777777" w:rsidR="005E6D21" w:rsidRDefault="005E6D21" w:rsidP="002B5666">
            <w:pPr>
              <w:pStyle w:val="Box"/>
              <w:spacing w:before="0" w:line="120" w:lineRule="exact"/>
            </w:pPr>
          </w:p>
        </w:tc>
      </w:tr>
      <w:tr w:rsidR="005E6D21" w:rsidRPr="000863A5" w14:paraId="2982B08D" w14:textId="77777777" w:rsidTr="002B5666">
        <w:tc>
          <w:tcPr>
            <w:tcW w:w="8771" w:type="dxa"/>
            <w:tcBorders>
              <w:top w:val="single" w:sz="6" w:space="0" w:color="78A22F"/>
              <w:left w:val="nil"/>
              <w:bottom w:val="nil"/>
              <w:right w:val="nil"/>
            </w:tcBorders>
          </w:tcPr>
          <w:p w14:paraId="2982B08C" w14:textId="12BC4FE8" w:rsidR="005E6D21" w:rsidRPr="00626D32" w:rsidRDefault="005E6D21" w:rsidP="002B5666">
            <w:pPr>
              <w:pStyle w:val="BoxSpaceBelow"/>
            </w:pPr>
          </w:p>
        </w:tc>
      </w:tr>
    </w:tbl>
    <w:p w14:paraId="7AFF81A9" w14:textId="0C815D38" w:rsidR="00152235" w:rsidRDefault="006E27A0" w:rsidP="00152235">
      <w:pPr>
        <w:pStyle w:val="Heading2"/>
        <w:rPr>
          <w:noProof/>
        </w:rPr>
      </w:pPr>
      <w:r>
        <w:fldChar w:fldCharType="begin"/>
      </w:r>
      <w:r>
        <w:instrText xml:space="preserve"> SEQ Heading2 </w:instrText>
      </w:r>
      <w:r>
        <w:fldChar w:fldCharType="separate"/>
      </w:r>
      <w:bookmarkStart w:id="34" w:name="_Toc434482396"/>
      <w:bookmarkStart w:id="35" w:name="_Toc435705809"/>
      <w:bookmarkStart w:id="36" w:name="_Toc435706001"/>
      <w:bookmarkStart w:id="37" w:name="_Toc436136382"/>
      <w:bookmarkStart w:id="38" w:name="_Toc437597269"/>
      <w:bookmarkStart w:id="39" w:name="_Toc438114380"/>
      <w:bookmarkStart w:id="40" w:name="_Toc438195737"/>
      <w:bookmarkStart w:id="41" w:name="_Toc438195862"/>
      <w:bookmarkStart w:id="42" w:name="_Toc438195901"/>
      <w:bookmarkStart w:id="43" w:name="_Toc438197964"/>
      <w:bookmarkStart w:id="44" w:name="_Toc438202822"/>
      <w:bookmarkStart w:id="45" w:name="_Toc438203913"/>
      <w:bookmarkStart w:id="46" w:name="_Toc438204246"/>
      <w:bookmarkStart w:id="47" w:name="_Toc438204919"/>
      <w:r w:rsidR="009E710C">
        <w:rPr>
          <w:noProof/>
        </w:rPr>
        <w:t>3</w:t>
      </w:r>
      <w:r>
        <w:rPr>
          <w:noProof/>
        </w:rPr>
        <w:fldChar w:fldCharType="end"/>
      </w:r>
      <w:r w:rsidR="00744133">
        <w:tab/>
      </w:r>
      <w:bookmarkEnd w:id="34"/>
      <w:bookmarkEnd w:id="35"/>
      <w:bookmarkEnd w:id="36"/>
      <w:bookmarkEnd w:id="37"/>
      <w:r w:rsidR="00744133">
        <w:t>Farm businesses and regulation</w:t>
      </w:r>
      <w:bookmarkEnd w:id="38"/>
      <w:bookmarkEnd w:id="39"/>
      <w:bookmarkEnd w:id="40"/>
      <w:bookmarkEnd w:id="41"/>
      <w:bookmarkEnd w:id="42"/>
      <w:bookmarkEnd w:id="43"/>
      <w:bookmarkEnd w:id="44"/>
      <w:bookmarkEnd w:id="45"/>
      <w:bookmarkEnd w:id="46"/>
      <w:bookmarkEnd w:id="47"/>
      <w:r w:rsidR="00082758">
        <w:rPr>
          <w:noProof/>
        </w:rPr>
        <w:t xml:space="preserve"> </w:t>
      </w:r>
    </w:p>
    <w:p w14:paraId="78E63665" w14:textId="19C3AF30" w:rsidR="007D1EA2" w:rsidRDefault="007D1EA2" w:rsidP="00152235">
      <w:pPr>
        <w:pStyle w:val="BodyText"/>
      </w:pPr>
      <w:r>
        <w:t xml:space="preserve">Farm businesses can face </w:t>
      </w:r>
      <w:r w:rsidR="005459B5">
        <w:t>a range of often complex and overlapping regulations. At each stage of the agricultural supply chain there are regulation</w:t>
      </w:r>
      <w:r w:rsidR="008032F1">
        <w:t>s</w:t>
      </w:r>
      <w:r w:rsidR="00AE4478">
        <w:t xml:space="preserve"> in place</w:t>
      </w:r>
      <w:r w:rsidR="00B70826">
        <w:t xml:space="preserve"> (table</w:t>
      </w:r>
      <w:r w:rsidR="00043644">
        <w:t> </w:t>
      </w:r>
      <w:r w:rsidR="00B70826">
        <w:t>1)</w:t>
      </w:r>
      <w:r w:rsidR="008032F1">
        <w:t xml:space="preserve">, including for: </w:t>
      </w:r>
    </w:p>
    <w:p w14:paraId="29EC7776" w14:textId="33D65ED9" w:rsidR="007D1EA2" w:rsidRDefault="007D1EA2" w:rsidP="007D1EA2">
      <w:pPr>
        <w:pStyle w:val="ListBullet"/>
      </w:pPr>
      <w:r>
        <w:t>acquisition</w:t>
      </w:r>
      <w:r w:rsidR="00E57758">
        <w:t>, leasing</w:t>
      </w:r>
      <w:r>
        <w:t xml:space="preserve"> and preparation of land</w:t>
      </w:r>
      <w:r w:rsidR="003749F2">
        <w:t xml:space="preserve"> (</w:t>
      </w:r>
      <w:r w:rsidR="00E57758">
        <w:t>including restrictions on land use</w:t>
      </w:r>
      <w:r w:rsidR="003749F2">
        <w:t>)</w:t>
      </w:r>
      <w:r>
        <w:t xml:space="preserve"> </w:t>
      </w:r>
    </w:p>
    <w:p w14:paraId="3124B063" w14:textId="09229306" w:rsidR="007D1EA2" w:rsidRDefault="007D1EA2" w:rsidP="007D1EA2">
      <w:pPr>
        <w:pStyle w:val="ListBullet"/>
      </w:pPr>
      <w:r>
        <w:t>the operations of cropping</w:t>
      </w:r>
      <w:r w:rsidR="00A22247">
        <w:t>, horticulture</w:t>
      </w:r>
      <w:r>
        <w:t xml:space="preserve"> and animal husbandry</w:t>
      </w:r>
    </w:p>
    <w:p w14:paraId="3B2FB8B5" w14:textId="77777777" w:rsidR="007D1EA2" w:rsidRDefault="007D1EA2" w:rsidP="007D1EA2">
      <w:pPr>
        <w:pStyle w:val="ListBullet"/>
      </w:pPr>
      <w:r>
        <w:t>on-farm processing operations</w:t>
      </w:r>
    </w:p>
    <w:p w14:paraId="61509883" w14:textId="66FB21C2" w:rsidR="007D1EA2" w:rsidRDefault="007D1EA2" w:rsidP="007D1EA2">
      <w:pPr>
        <w:pStyle w:val="ListBullet"/>
      </w:pPr>
      <w:r>
        <w:t xml:space="preserve">transportation of product to market </w:t>
      </w:r>
    </w:p>
    <w:p w14:paraId="6C22AB1B" w14:textId="48E530B0" w:rsidR="007D1EA2" w:rsidRDefault="007D1EA2" w:rsidP="007D1EA2">
      <w:pPr>
        <w:pStyle w:val="ListBullet"/>
      </w:pPr>
      <w:r>
        <w:t xml:space="preserve">marketing and sale of product </w:t>
      </w:r>
      <w:r w:rsidRPr="00D81274">
        <w:rPr>
          <w:szCs w:val="24"/>
        </w:rPr>
        <w:t>(PC 2007)</w:t>
      </w:r>
      <w:r>
        <w:t xml:space="preserve">. </w:t>
      </w:r>
    </w:p>
    <w:p w14:paraId="1826DBF3" w14:textId="425EC9E9" w:rsidR="002D670A" w:rsidRDefault="004B31CE" w:rsidP="002D670A">
      <w:pPr>
        <w:pStyle w:val="BodyText"/>
      </w:pPr>
      <w:r>
        <w:t>Regulation</w:t>
      </w:r>
      <w:r w:rsidR="002F7B0A">
        <w:t>s</w:t>
      </w:r>
      <w:r>
        <w:t xml:space="preserve"> that </w:t>
      </w:r>
      <w:r w:rsidR="00416CDA">
        <w:t>cover</w:t>
      </w:r>
      <w:r>
        <w:t xml:space="preserve"> farming businesses apply at all levels of government. </w:t>
      </w:r>
      <w:r w:rsidR="00152235" w:rsidRPr="00DF434A">
        <w:t xml:space="preserve">The Australian Government is </w:t>
      </w:r>
      <w:r w:rsidR="00AC70FD">
        <w:t xml:space="preserve">mainly </w:t>
      </w:r>
      <w:r w:rsidR="00152235" w:rsidRPr="00DF434A">
        <w:t xml:space="preserve">involved in regulating </w:t>
      </w:r>
      <w:r w:rsidR="00BA328E">
        <w:t>national and inter</w:t>
      </w:r>
      <w:r w:rsidR="00152235" w:rsidRPr="00DF434A">
        <w:t>jurisdictional issues</w:t>
      </w:r>
      <w:r w:rsidR="00152235">
        <w:t>,</w:t>
      </w:r>
      <w:r w:rsidR="007D1EA2">
        <w:t xml:space="preserve"> including</w:t>
      </w:r>
      <w:r w:rsidR="00DE11C1">
        <w:t>, for example,</w:t>
      </w:r>
      <w:r w:rsidR="007D1EA2">
        <w:t xml:space="preserve"> the </w:t>
      </w:r>
      <w:r w:rsidR="00152235" w:rsidRPr="00DF434A">
        <w:t>regulation of agricultural and veterinary chemicals, biosecurity</w:t>
      </w:r>
      <w:r w:rsidR="00BA328E">
        <w:t>, imports</w:t>
      </w:r>
      <w:r w:rsidR="00152235" w:rsidRPr="00DF434A">
        <w:t xml:space="preserve"> and export</w:t>
      </w:r>
      <w:r w:rsidR="00BA328E">
        <w:t>s</w:t>
      </w:r>
      <w:r w:rsidR="00152235" w:rsidRPr="00DF434A">
        <w:t>.</w:t>
      </w:r>
      <w:r w:rsidR="00152235">
        <w:t xml:space="preserve"> A 2013 report by </w:t>
      </w:r>
      <w:r w:rsidR="00526807">
        <w:t>the Australian Bureau of Agricultural and Resource Economics and Sciences</w:t>
      </w:r>
      <w:r w:rsidR="00152235">
        <w:t xml:space="preserve"> found that rural businesses were governed by around 90 Acts administered by the Australian Government </w:t>
      </w:r>
      <w:r w:rsidR="0083637D">
        <w:t xml:space="preserve">agriculture </w:t>
      </w:r>
      <w:r w:rsidR="00A16844">
        <w:t>portfolio</w:t>
      </w:r>
      <w:r w:rsidR="00F34D85">
        <w:t xml:space="preserve"> alone</w:t>
      </w:r>
      <w:r w:rsidR="00152235">
        <w:t xml:space="preserve"> </w:t>
      </w:r>
      <w:r w:rsidR="007D1EA2" w:rsidRPr="005F71BF">
        <w:rPr>
          <w:szCs w:val="24"/>
        </w:rPr>
        <w:t>(Gibbs, Harris-Adams and Davidson 2013)</w:t>
      </w:r>
      <w:r w:rsidR="007D1EA2" w:rsidRPr="00E27DE6">
        <w:t>.</w:t>
      </w:r>
      <w:r w:rsidR="007D1EA2">
        <w:t xml:space="preserve"> </w:t>
      </w:r>
      <w:r w:rsidR="00A16844">
        <w:t>Additional Commonwealth legislation and regulation directly affecting farm businesses include</w:t>
      </w:r>
      <w:r w:rsidR="00090C18">
        <w:t>, among others,</w:t>
      </w:r>
      <w:r w:rsidR="00A16844">
        <w:t xml:space="preserve"> those from the </w:t>
      </w:r>
      <w:r w:rsidR="00D5229C">
        <w:t>e</w:t>
      </w:r>
      <w:r w:rsidR="00A16844">
        <w:t xml:space="preserve">nvironment, </w:t>
      </w:r>
      <w:r w:rsidR="00D5229C">
        <w:t>t</w:t>
      </w:r>
      <w:r w:rsidR="00A16844">
        <w:t>reasury</w:t>
      </w:r>
      <w:r w:rsidR="008D1EB1">
        <w:t xml:space="preserve">, </w:t>
      </w:r>
      <w:r w:rsidR="00D5229C">
        <w:t>i</w:t>
      </w:r>
      <w:r w:rsidR="008D1EB1">
        <w:t>mmigration</w:t>
      </w:r>
      <w:r w:rsidR="00A16844">
        <w:t xml:space="preserve"> and </w:t>
      </w:r>
      <w:r w:rsidR="00D5229C">
        <w:t>i</w:t>
      </w:r>
      <w:r w:rsidR="00A16844">
        <w:t>ndustry portfolios.</w:t>
      </w:r>
      <w:r w:rsidR="002D755C">
        <w:t xml:space="preserve"> </w:t>
      </w:r>
      <w:r w:rsidR="0036569A">
        <w:t xml:space="preserve">The states and territories </w:t>
      </w:r>
      <w:r w:rsidR="00F34D85">
        <w:t xml:space="preserve">also </w:t>
      </w:r>
      <w:r w:rsidR="0036569A">
        <w:t>have regulations in the areas of transport, environmental protection, native vegetation management, land tenure and land use.</w:t>
      </w:r>
      <w:r w:rsidR="0036569A" w:rsidRPr="00DF434A">
        <w:t xml:space="preserve"> </w:t>
      </w:r>
      <w:r w:rsidR="002D670A">
        <w:t xml:space="preserve">AgForce Queensland </w:t>
      </w:r>
      <w:r w:rsidR="002D670A" w:rsidRPr="00A00205">
        <w:t>(2012)</w:t>
      </w:r>
      <w:r w:rsidR="002D670A">
        <w:t xml:space="preserve"> found that at a state level, Queensland farm businesses were regulated by over 55 Acts and regulations</w:t>
      </w:r>
      <w:r w:rsidR="00925561">
        <w:t>.</w:t>
      </w:r>
      <w:r w:rsidR="002D670A">
        <w:t xml:space="preserve"> </w:t>
      </w:r>
    </w:p>
    <w:p w14:paraId="5501116F" w14:textId="77777777" w:rsidR="002D670A" w:rsidRDefault="0036569A" w:rsidP="002D670A">
      <w:pPr>
        <w:pStyle w:val="BodyText"/>
      </w:pPr>
      <w:r>
        <w:t xml:space="preserve">Regulations covering some areas, such as </w:t>
      </w:r>
      <w:r w:rsidR="003749F2">
        <w:t>environmental protection</w:t>
      </w:r>
      <w:r>
        <w:t xml:space="preserve">, are covered by all three levels of government. </w:t>
      </w:r>
      <w:r w:rsidR="002D670A">
        <w:t xml:space="preserve">There are also other regulations, such as those around temporary labour and water use, that affect a range of businesses across the economy, but are of particular concern to some farm businesses. </w:t>
      </w:r>
    </w:p>
    <w:p w14:paraId="0E4C22A3" w14:textId="77777777" w:rsidR="002D670A" w:rsidRDefault="002578FC" w:rsidP="002D670A">
      <w:pPr>
        <w:pStyle w:val="BodyText"/>
      </w:pPr>
      <w:r>
        <w:t xml:space="preserve">Some specific areas of regulation that affect Australian farm businesses, and that have been raised as areas where there are unnecessary regulatory burdens, are discussed in the following sections. Questions are posed in each of the areas to help participants prepare their </w:t>
      </w:r>
      <w:r w:rsidR="002D670A">
        <w:t>submissions.</w:t>
      </w:r>
    </w:p>
    <w:p w14:paraId="19D97A65" w14:textId="77777777" w:rsidR="001560BB" w:rsidRDefault="001560BB" w:rsidP="00F76578">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8A2ED0" w14:paraId="771FE748" w14:textId="77777777" w:rsidTr="00F76578">
        <w:tc>
          <w:tcPr>
            <w:tcW w:w="8771" w:type="dxa"/>
            <w:tcBorders>
              <w:top w:val="single" w:sz="6" w:space="0" w:color="78A22F"/>
              <w:left w:val="nil"/>
              <w:bottom w:val="nil"/>
              <w:right w:val="nil"/>
            </w:tcBorders>
            <w:shd w:val="clear" w:color="auto" w:fill="auto"/>
          </w:tcPr>
          <w:p w14:paraId="47392A7D" w14:textId="77777777" w:rsidR="008A2ED0" w:rsidRPr="00784A05" w:rsidRDefault="008A2ED0" w:rsidP="00F81463">
            <w:pPr>
              <w:pStyle w:val="TableTitle"/>
              <w:spacing w:before="120"/>
            </w:pPr>
            <w:r>
              <w:rPr>
                <w:b w:val="0"/>
              </w:rPr>
              <w:t>Table 1</w:t>
            </w:r>
            <w:r>
              <w:tab/>
              <w:t>R</w:t>
            </w:r>
            <w:r w:rsidRPr="000F778F">
              <w:t xml:space="preserve">egulation </w:t>
            </w:r>
            <w:r>
              <w:t>across</w:t>
            </w:r>
            <w:r w:rsidRPr="000F778F">
              <w:t xml:space="preserve"> the </w:t>
            </w:r>
            <w:r>
              <w:t xml:space="preserve">agricultural </w:t>
            </w:r>
            <w:r w:rsidRPr="000F778F">
              <w:t>supply chain</w:t>
            </w:r>
            <w:r w:rsidRPr="002671A2">
              <w:rPr>
                <w:rStyle w:val="NoteLabel"/>
                <w:b/>
              </w:rPr>
              <w:t>a</w:t>
            </w:r>
          </w:p>
        </w:tc>
      </w:tr>
      <w:tr w:rsidR="008A2ED0" w14:paraId="0BB40BBC" w14:textId="77777777" w:rsidTr="00F76578">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955"/>
              <w:gridCol w:w="2580"/>
              <w:gridCol w:w="2952"/>
            </w:tblGrid>
            <w:tr w:rsidR="008A2ED0" w:rsidRPr="00E53FCA" w14:paraId="180FC4E3" w14:textId="77777777" w:rsidTr="00500A28">
              <w:tc>
                <w:tcPr>
                  <w:tcW w:w="1741" w:type="pct"/>
                  <w:tcBorders>
                    <w:top w:val="single" w:sz="6" w:space="0" w:color="BFBFBF"/>
                    <w:bottom w:val="single" w:sz="6" w:space="0" w:color="BFBFBF"/>
                  </w:tcBorders>
                  <w:shd w:val="clear" w:color="auto" w:fill="auto"/>
                  <w:tcMar>
                    <w:top w:w="28" w:type="dxa"/>
                  </w:tcMar>
                </w:tcPr>
                <w:p w14:paraId="4D1EB292" w14:textId="2506BB4C" w:rsidR="008A2ED0" w:rsidRPr="00182F4B" w:rsidRDefault="008A2ED0" w:rsidP="00500A28">
                  <w:pPr>
                    <w:pStyle w:val="TableColumnHeading"/>
                    <w:jc w:val="left"/>
                  </w:pPr>
                  <w:r w:rsidRPr="00182F4B">
                    <w:t>Key Australian Government involvement/regulation</w:t>
                  </w:r>
                </w:p>
              </w:tc>
              <w:tc>
                <w:tcPr>
                  <w:tcW w:w="1520" w:type="pct"/>
                  <w:tcBorders>
                    <w:top w:val="single" w:sz="6" w:space="0" w:color="BFBFBF"/>
                    <w:bottom w:val="single" w:sz="6" w:space="0" w:color="BFBFBF"/>
                  </w:tcBorders>
                  <w:shd w:val="clear" w:color="auto" w:fill="F2F2F2" w:themeFill="background1" w:themeFillShade="F2"/>
                  <w:tcMar>
                    <w:top w:w="28" w:type="dxa"/>
                  </w:tcMar>
                </w:tcPr>
                <w:p w14:paraId="2DB573B7" w14:textId="77777777" w:rsidR="008A2ED0" w:rsidRPr="00182F4B" w:rsidRDefault="008A2ED0" w:rsidP="00500A28">
                  <w:pPr>
                    <w:pStyle w:val="TableColumnHeading"/>
                    <w:ind w:left="0" w:right="0"/>
                    <w:jc w:val="center"/>
                    <w:rPr>
                      <w:lang w:eastAsia="en-US"/>
                    </w:rPr>
                  </w:pPr>
                  <w:r w:rsidRPr="00182F4B">
                    <w:t xml:space="preserve">Key stages of </w:t>
                  </w:r>
                  <w:r>
                    <w:br/>
                  </w:r>
                  <w:r w:rsidRPr="00182F4B">
                    <w:t>agricultural cycle</w:t>
                  </w:r>
                </w:p>
              </w:tc>
              <w:tc>
                <w:tcPr>
                  <w:tcW w:w="1739" w:type="pct"/>
                  <w:tcBorders>
                    <w:top w:val="single" w:sz="6" w:space="0" w:color="BFBFBF"/>
                    <w:bottom w:val="single" w:sz="6" w:space="0" w:color="BFBFBF"/>
                  </w:tcBorders>
                  <w:shd w:val="clear" w:color="auto" w:fill="auto"/>
                  <w:tcMar>
                    <w:top w:w="28" w:type="dxa"/>
                  </w:tcMar>
                </w:tcPr>
                <w:p w14:paraId="252503CE" w14:textId="77777777" w:rsidR="008A2ED0" w:rsidRPr="00182F4B" w:rsidRDefault="008A2ED0" w:rsidP="00500A28">
                  <w:pPr>
                    <w:pStyle w:val="TableColumnHeading"/>
                    <w:ind w:left="113" w:right="28"/>
                    <w:jc w:val="left"/>
                  </w:pPr>
                  <w:r w:rsidRPr="00182F4B">
                    <w:t>Key state/territory government involvement/regulation</w:t>
                  </w:r>
                </w:p>
              </w:tc>
            </w:tr>
            <w:tr w:rsidR="008A2ED0" w:rsidRPr="00E53FCA" w14:paraId="77CCE575" w14:textId="77777777" w:rsidTr="00500A28">
              <w:tc>
                <w:tcPr>
                  <w:tcW w:w="1741" w:type="pct"/>
                  <w:tcBorders>
                    <w:top w:val="single" w:sz="6" w:space="0" w:color="BFBFBF"/>
                    <w:bottom w:val="single" w:sz="6" w:space="0" w:color="BFBFBF"/>
                  </w:tcBorders>
                </w:tcPr>
                <w:p w14:paraId="30010425" w14:textId="77777777" w:rsidR="008A2ED0" w:rsidRPr="00182F4B" w:rsidRDefault="008A2ED0" w:rsidP="00500A28">
                  <w:pPr>
                    <w:pStyle w:val="TableBullet"/>
                    <w:spacing w:before="80"/>
                  </w:pPr>
                  <w:r w:rsidRPr="00182F4B">
                    <w:t>native title</w:t>
                  </w:r>
                </w:p>
                <w:p w14:paraId="3208C474" w14:textId="77777777" w:rsidR="008A2ED0" w:rsidRDefault="008A2ED0" w:rsidP="00500A28">
                  <w:pPr>
                    <w:pStyle w:val="TableBullet"/>
                  </w:pPr>
                  <w:r w:rsidRPr="00E53FCA">
                    <w:t xml:space="preserve">environmental protection </w:t>
                  </w:r>
                </w:p>
                <w:p w14:paraId="156554C9" w14:textId="77777777" w:rsidR="008A2ED0" w:rsidRDefault="008A2ED0" w:rsidP="00500A28">
                  <w:pPr>
                    <w:pStyle w:val="Tablebullet2"/>
                    <w:ind w:left="340" w:hanging="170"/>
                  </w:pPr>
                  <w:r w:rsidRPr="00E53FCA">
                    <w:t>biodiversity conservation</w:t>
                  </w:r>
                  <w:r w:rsidRPr="00182F4B">
                    <w:t xml:space="preserve"> </w:t>
                  </w:r>
                </w:p>
                <w:p w14:paraId="6B7250CC" w14:textId="77777777" w:rsidR="008A2ED0" w:rsidRPr="00182F4B" w:rsidRDefault="008A2ED0" w:rsidP="00500A28">
                  <w:pPr>
                    <w:pStyle w:val="Tablebullet2"/>
                    <w:ind w:left="340" w:hanging="170"/>
                  </w:pPr>
                  <w:r w:rsidRPr="00182F4B">
                    <w:t>natural</w:t>
                  </w:r>
                  <w:r>
                    <w:t xml:space="preserve">, cultural and </w:t>
                  </w:r>
                  <w:r w:rsidRPr="00182F4B">
                    <w:t>world heritage</w:t>
                  </w:r>
                </w:p>
                <w:p w14:paraId="1B92A1A4" w14:textId="77777777" w:rsidR="008A2ED0" w:rsidRPr="00E53FCA" w:rsidRDefault="008A2ED0" w:rsidP="00500A28">
                  <w:pPr>
                    <w:pStyle w:val="Tablebullet2"/>
                    <w:ind w:left="340" w:hanging="170"/>
                    <w:rPr>
                      <w:szCs w:val="24"/>
                    </w:rPr>
                  </w:pPr>
                  <w:r>
                    <w:t xml:space="preserve">climate change </w:t>
                  </w:r>
                </w:p>
              </w:tc>
              <w:tc>
                <w:tcPr>
                  <w:tcW w:w="1520" w:type="pct"/>
                  <w:tcBorders>
                    <w:top w:val="single" w:sz="6" w:space="0" w:color="BFBFBF"/>
                    <w:bottom w:val="single" w:sz="6" w:space="0" w:color="BFBFBF"/>
                  </w:tcBorders>
                  <w:shd w:val="clear" w:color="auto" w:fill="F2F2F2" w:themeFill="background1" w:themeFillShade="F2"/>
                </w:tcPr>
                <w:p w14:paraId="634FC9E5" w14:textId="77777777" w:rsidR="008A2ED0" w:rsidRPr="00723175" w:rsidRDefault="008A2ED0" w:rsidP="00500A28">
                  <w:pPr>
                    <w:pStyle w:val="TableBodyText"/>
                    <w:spacing w:before="80"/>
                    <w:ind w:firstLine="27"/>
                    <w:jc w:val="center"/>
                    <w:rPr>
                      <w:i/>
                    </w:rPr>
                  </w:pPr>
                  <w:r>
                    <w:rPr>
                      <w:noProof/>
                    </w:rPr>
                    <mc:AlternateContent>
                      <mc:Choice Requires="wps">
                        <w:drawing>
                          <wp:anchor distT="0" distB="0" distL="114300" distR="114300" simplePos="0" relativeHeight="251658240" behindDoc="0" locked="0" layoutInCell="1" allowOverlap="1" wp14:anchorId="0EA0EB4E" wp14:editId="4E6FC116">
                            <wp:simplePos x="0" y="0"/>
                            <wp:positionH relativeFrom="column">
                              <wp:posOffset>615760</wp:posOffset>
                            </wp:positionH>
                            <wp:positionV relativeFrom="paragraph">
                              <wp:posOffset>367665</wp:posOffset>
                            </wp:positionV>
                            <wp:extent cx="391885" cy="724395"/>
                            <wp:effectExtent l="19050" t="0" r="27305" b="38100"/>
                            <wp:wrapNone/>
                            <wp:docPr id="7" name="Down Arrow 7" descr="Arrow points to next cycle: Agriculture and on farm processing."/>
                            <wp:cNvGraphicFramePr/>
                            <a:graphic xmlns:a="http://schemas.openxmlformats.org/drawingml/2006/main">
                              <a:graphicData uri="http://schemas.microsoft.com/office/word/2010/wordprocessingShape">
                                <wps:wsp>
                                  <wps:cNvSpPr/>
                                  <wps:spPr>
                                    <a:xfrm>
                                      <a:off x="0" y="0"/>
                                      <a:ext cx="391885" cy="724395"/>
                                    </a:xfrm>
                                    <a:prstGeom prst="downArrow">
                                      <a:avLst/>
                                    </a:prstGeom>
                                    <a:solidFill>
                                      <a:schemeClr val="bg1">
                                        <a:lumMod val="50000"/>
                                      </a:schemeClr>
                                    </a:solidFill>
                                    <a:ln>
                                      <a:solidFill>
                                        <a:schemeClr val="bg1">
                                          <a:lumMod val="50000"/>
                                        </a:schemeClr>
                                      </a:solidFill>
                                    </a:ln>
                                  </wps:spPr>
                                  <wps:style>
                                    <a:lnRef idx="2">
                                      <a:schemeClr val="accent4">
                                        <a:shade val="50000"/>
                                      </a:schemeClr>
                                    </a:lnRef>
                                    <a:fillRef idx="1001">
                                      <a:schemeClr val="lt2"/>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alt="Arrow points to next cycle: Agriculture and on farm processing." style="position:absolute;margin-left:48.5pt;margin-top:28.95pt;width:30.85pt;height:57.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" adj="15757" fillcolor="#7f7f7f [1612]" strokecolor="#7f7f7f [1612]" strokeweight="2pt"/>
                        </w:pict>
                      </mc:Fallback>
                    </mc:AlternateContent>
                  </w:r>
                  <w:r>
                    <w:t>Acquisition, leasing and p</w:t>
                  </w:r>
                  <w:r w:rsidRPr="00182F4B">
                    <w:t>reparation of land</w:t>
                  </w:r>
                </w:p>
              </w:tc>
              <w:tc>
                <w:tcPr>
                  <w:tcW w:w="1739" w:type="pct"/>
                  <w:tcBorders>
                    <w:top w:val="single" w:sz="6" w:space="0" w:color="BFBFBF"/>
                    <w:bottom w:val="single" w:sz="6" w:space="0" w:color="BFBFBF"/>
                  </w:tcBorders>
                </w:tcPr>
                <w:p w14:paraId="070154AD" w14:textId="77777777" w:rsidR="008A2ED0" w:rsidRDefault="008A2ED0" w:rsidP="00500A28">
                  <w:pPr>
                    <w:pStyle w:val="TableBullet"/>
                    <w:spacing w:before="80"/>
                    <w:ind w:left="283"/>
                    <w:rPr>
                      <w:i/>
                    </w:rPr>
                  </w:pPr>
                  <w:r>
                    <w:t>land tenure and use</w:t>
                  </w:r>
                </w:p>
                <w:p w14:paraId="591A1556" w14:textId="77777777" w:rsidR="008A2ED0" w:rsidRPr="00182F4B" w:rsidRDefault="008A2ED0" w:rsidP="00500A28">
                  <w:pPr>
                    <w:pStyle w:val="TableBullet"/>
                    <w:ind w:left="283"/>
                    <w:rPr>
                      <w:i/>
                    </w:rPr>
                  </w:pPr>
                  <w:r w:rsidRPr="00182F4B">
                    <w:t xml:space="preserve">land use and planning </w:t>
                  </w:r>
                </w:p>
                <w:p w14:paraId="58B16FB0" w14:textId="77777777" w:rsidR="008A2ED0" w:rsidRDefault="008A2ED0" w:rsidP="00500A28">
                  <w:pPr>
                    <w:pStyle w:val="TableBullet"/>
                    <w:ind w:left="283"/>
                    <w:rPr>
                      <w:i/>
                    </w:rPr>
                  </w:pPr>
                  <w:r w:rsidRPr="00E53FCA">
                    <w:t>building regulations</w:t>
                  </w:r>
                  <w:r w:rsidRPr="00182F4B">
                    <w:t xml:space="preserve"> </w:t>
                  </w:r>
                </w:p>
                <w:p w14:paraId="2A169EE9" w14:textId="77777777" w:rsidR="008A2ED0" w:rsidRDefault="008A2ED0" w:rsidP="00500A28">
                  <w:pPr>
                    <w:pStyle w:val="TableBullet"/>
                    <w:ind w:left="283"/>
                    <w:rPr>
                      <w:i/>
                    </w:rPr>
                  </w:pPr>
                  <w:r>
                    <w:t>pastoral leases</w:t>
                  </w:r>
                </w:p>
                <w:p w14:paraId="40DB20AB" w14:textId="77777777" w:rsidR="008A2ED0" w:rsidRDefault="008A2ED0" w:rsidP="00500A28">
                  <w:pPr>
                    <w:pStyle w:val="TableBullet"/>
                    <w:ind w:left="283"/>
                    <w:rPr>
                      <w:i/>
                    </w:rPr>
                  </w:pPr>
                  <w:r w:rsidRPr="00E53FCA">
                    <w:t xml:space="preserve">environmental protection </w:t>
                  </w:r>
                </w:p>
                <w:p w14:paraId="318119A9" w14:textId="77777777" w:rsidR="008A2ED0" w:rsidRPr="00182F4B" w:rsidRDefault="008A2ED0" w:rsidP="00500A28">
                  <w:pPr>
                    <w:pStyle w:val="TableBullet"/>
                    <w:ind w:left="283"/>
                    <w:rPr>
                      <w:i/>
                    </w:rPr>
                  </w:pPr>
                  <w:r w:rsidRPr="00182F4B">
                    <w:t xml:space="preserve">native vegetation </w:t>
                  </w:r>
                </w:p>
                <w:p w14:paraId="40C2448E" w14:textId="77777777" w:rsidR="008A2ED0" w:rsidRDefault="008A2ED0" w:rsidP="00500A28">
                  <w:pPr>
                    <w:pStyle w:val="TableBullet"/>
                    <w:ind w:left="283"/>
                    <w:rPr>
                      <w:i/>
                    </w:rPr>
                  </w:pPr>
                  <w:r w:rsidRPr="00E53FCA">
                    <w:t>natural</w:t>
                  </w:r>
                  <w:r>
                    <w:t xml:space="preserve"> and cultural </w:t>
                  </w:r>
                  <w:r w:rsidRPr="00E53FCA">
                    <w:t>heritage</w:t>
                  </w:r>
                </w:p>
              </w:tc>
            </w:tr>
            <w:tr w:rsidR="008A2ED0" w:rsidRPr="00E53FCA" w14:paraId="18C49018" w14:textId="77777777" w:rsidTr="00500A28">
              <w:tc>
                <w:tcPr>
                  <w:tcW w:w="1741" w:type="pct"/>
                  <w:tcBorders>
                    <w:top w:val="single" w:sz="6" w:space="0" w:color="BFBFBF"/>
                    <w:bottom w:val="single" w:sz="6" w:space="0" w:color="BFBFBF"/>
                  </w:tcBorders>
                </w:tcPr>
                <w:p w14:paraId="0A8BAC99" w14:textId="77777777" w:rsidR="008A2ED0" w:rsidRDefault="008A2ED0" w:rsidP="00500A28">
                  <w:pPr>
                    <w:pStyle w:val="TableBullet"/>
                    <w:tabs>
                      <w:tab w:val="left" w:pos="170"/>
                      <w:tab w:val="num" w:pos="360"/>
                    </w:tabs>
                    <w:spacing w:before="80" w:line="220" w:lineRule="atLeast"/>
                    <w:ind w:left="6" w:hanging="6"/>
                    <w:rPr>
                      <w:i/>
                    </w:rPr>
                  </w:pPr>
                  <w:r w:rsidRPr="00182F4B">
                    <w:t>biosecurity</w:t>
                  </w:r>
                </w:p>
                <w:p w14:paraId="2B691D0F" w14:textId="77777777" w:rsidR="008A2ED0" w:rsidRDefault="008A2ED0" w:rsidP="00500A28">
                  <w:pPr>
                    <w:pStyle w:val="Tablebullet2"/>
                    <w:ind w:left="340" w:hanging="170"/>
                    <w:rPr>
                      <w:i/>
                    </w:rPr>
                  </w:pPr>
                  <w:r>
                    <w:t>pest surveillance</w:t>
                  </w:r>
                </w:p>
                <w:p w14:paraId="7A8C9A1E" w14:textId="77777777" w:rsidR="008A2ED0" w:rsidRDefault="008A2ED0" w:rsidP="00500A28">
                  <w:pPr>
                    <w:pStyle w:val="Tablebullet2"/>
                    <w:ind w:left="340" w:hanging="170"/>
                    <w:rPr>
                      <w:i/>
                    </w:rPr>
                  </w:pPr>
                  <w:r>
                    <w:t>export control</w:t>
                  </w:r>
                </w:p>
                <w:p w14:paraId="7F0170A6" w14:textId="77777777" w:rsidR="008A2ED0" w:rsidRDefault="008A2ED0" w:rsidP="00500A28">
                  <w:pPr>
                    <w:pStyle w:val="TableBullet"/>
                  </w:pPr>
                  <w:r w:rsidRPr="00E53FCA">
                    <w:t xml:space="preserve">environmental protection </w:t>
                  </w:r>
                </w:p>
                <w:p w14:paraId="754B84F7" w14:textId="77777777" w:rsidR="008A2ED0" w:rsidRDefault="008A2ED0" w:rsidP="00500A28">
                  <w:pPr>
                    <w:pStyle w:val="Tablebullet2"/>
                    <w:ind w:left="340" w:hanging="170"/>
                    <w:rPr>
                      <w:i/>
                    </w:rPr>
                  </w:pPr>
                  <w:r w:rsidRPr="00E53FCA">
                    <w:t>biodiversity conservation</w:t>
                  </w:r>
                  <w:r w:rsidRPr="00182F4B">
                    <w:t xml:space="preserve"> </w:t>
                  </w:r>
                </w:p>
                <w:p w14:paraId="6D38F0E3" w14:textId="77777777" w:rsidR="008A2ED0" w:rsidRPr="00182F4B" w:rsidRDefault="008A2ED0" w:rsidP="00500A28">
                  <w:pPr>
                    <w:pStyle w:val="Tablebullet2"/>
                    <w:ind w:left="340" w:hanging="170"/>
                    <w:rPr>
                      <w:i/>
                    </w:rPr>
                  </w:pPr>
                  <w:r w:rsidRPr="00182F4B">
                    <w:t>natural</w:t>
                  </w:r>
                  <w:r>
                    <w:t xml:space="preserve">, cultural and </w:t>
                  </w:r>
                  <w:r w:rsidRPr="00182F4B">
                    <w:t>world heritage</w:t>
                  </w:r>
                </w:p>
                <w:p w14:paraId="3C7E29BA" w14:textId="77777777" w:rsidR="008A2ED0" w:rsidRDefault="008A2ED0" w:rsidP="00500A28">
                  <w:pPr>
                    <w:pStyle w:val="Tablebullet2"/>
                    <w:ind w:left="340" w:hanging="170"/>
                    <w:rPr>
                      <w:i/>
                    </w:rPr>
                  </w:pPr>
                  <w:r>
                    <w:t xml:space="preserve">climate change </w:t>
                  </w:r>
                </w:p>
                <w:p w14:paraId="4F13A8C0" w14:textId="77777777" w:rsidR="008A2ED0" w:rsidRPr="00182F4B" w:rsidRDefault="008A2ED0" w:rsidP="00500A28">
                  <w:pPr>
                    <w:pStyle w:val="Tablebullet2"/>
                    <w:ind w:left="340" w:hanging="170"/>
                    <w:rPr>
                      <w:i/>
                    </w:rPr>
                  </w:pPr>
                  <w:r w:rsidRPr="00182F4B">
                    <w:t>national pollutant inventory</w:t>
                  </w:r>
                </w:p>
                <w:p w14:paraId="403DA1F8" w14:textId="77777777" w:rsidR="008A2ED0" w:rsidRPr="00E53FCA" w:rsidRDefault="008A2ED0" w:rsidP="00500A28">
                  <w:pPr>
                    <w:pStyle w:val="TableBullet"/>
                    <w:rPr>
                      <w:lang w:eastAsia="en-US"/>
                    </w:rPr>
                  </w:pPr>
                  <w:r w:rsidRPr="00182F4B">
                    <w:t>national land transport regulatory frameworks</w:t>
                  </w:r>
                </w:p>
                <w:p w14:paraId="177B873B" w14:textId="77777777" w:rsidR="008A2ED0" w:rsidRDefault="008A2ED0" w:rsidP="00500A28">
                  <w:pPr>
                    <w:pStyle w:val="TableBullet"/>
                    <w:tabs>
                      <w:tab w:val="left" w:pos="170"/>
                      <w:tab w:val="num" w:pos="360"/>
                    </w:tabs>
                    <w:spacing w:line="220" w:lineRule="atLeast"/>
                    <w:ind w:left="6" w:hanging="6"/>
                  </w:pPr>
                  <w:r w:rsidRPr="00182F4B">
                    <w:t>water access and regulation</w:t>
                  </w:r>
                </w:p>
                <w:p w14:paraId="78FF97A1" w14:textId="77777777" w:rsidR="008A2ED0" w:rsidRPr="00182F4B" w:rsidRDefault="008A2ED0" w:rsidP="00500A28">
                  <w:pPr>
                    <w:pStyle w:val="TableBullet"/>
                    <w:tabs>
                      <w:tab w:val="left" w:pos="170"/>
                      <w:tab w:val="num" w:pos="360"/>
                    </w:tabs>
                    <w:spacing w:line="220" w:lineRule="atLeast"/>
                    <w:ind w:left="6" w:hanging="6"/>
                  </w:pPr>
                  <w:r>
                    <w:t>welfare of exported animals</w:t>
                  </w:r>
                </w:p>
              </w:tc>
              <w:tc>
                <w:tcPr>
                  <w:tcW w:w="1520" w:type="pct"/>
                  <w:tcBorders>
                    <w:top w:val="single" w:sz="6" w:space="0" w:color="BFBFBF"/>
                    <w:bottom w:val="single" w:sz="6" w:space="0" w:color="BFBFBF"/>
                  </w:tcBorders>
                  <w:shd w:val="clear" w:color="auto" w:fill="F2F2F2" w:themeFill="background1" w:themeFillShade="F2"/>
                </w:tcPr>
                <w:p w14:paraId="0068FA59" w14:textId="77777777" w:rsidR="008A2ED0" w:rsidRDefault="008A2ED0" w:rsidP="00500A28">
                  <w:pPr>
                    <w:pStyle w:val="TableBodyText"/>
                    <w:spacing w:before="80"/>
                    <w:ind w:left="0" w:right="0" w:firstLine="27"/>
                    <w:jc w:val="center"/>
                    <w:rPr>
                      <w:i/>
                      <w:szCs w:val="24"/>
                      <w:lang w:eastAsia="en-US"/>
                    </w:rPr>
                  </w:pPr>
                  <w:r>
                    <w:rPr>
                      <w:noProof/>
                    </w:rPr>
                    <mc:AlternateContent>
                      <mc:Choice Requires="wps">
                        <w:drawing>
                          <wp:anchor distT="0" distB="0" distL="114300" distR="114300" simplePos="0" relativeHeight="251658241" behindDoc="0" locked="0" layoutInCell="1" allowOverlap="1" wp14:anchorId="304F5A36" wp14:editId="6F448EB3">
                            <wp:simplePos x="0" y="0"/>
                            <wp:positionH relativeFrom="column">
                              <wp:posOffset>609410</wp:posOffset>
                            </wp:positionH>
                            <wp:positionV relativeFrom="paragraph">
                              <wp:posOffset>418465</wp:posOffset>
                            </wp:positionV>
                            <wp:extent cx="391795" cy="723900"/>
                            <wp:effectExtent l="19050" t="0" r="27305" b="38100"/>
                            <wp:wrapNone/>
                            <wp:docPr id="8" name="Down Arrow 8" descr="Arrow points to next cycle: Transport and logistics."/>
                            <wp:cNvGraphicFramePr/>
                            <a:graphic xmlns:a="http://schemas.openxmlformats.org/drawingml/2006/main">
                              <a:graphicData uri="http://schemas.microsoft.com/office/word/2010/wordprocessingShape">
                                <wps:wsp>
                                  <wps:cNvSpPr/>
                                  <wps:spPr>
                                    <a:xfrm>
                                      <a:off x="0" y="0"/>
                                      <a:ext cx="391795" cy="723900"/>
                                    </a:xfrm>
                                    <a:prstGeom prst="downArrow">
                                      <a:avLst/>
                                    </a:prstGeom>
                                    <a:solidFill>
                                      <a:schemeClr val="bg1">
                                        <a:lumMod val="50000"/>
                                      </a:schemeClr>
                                    </a:solidFill>
                                    <a:ln>
                                      <a:solidFill>
                                        <a:schemeClr val="bg1">
                                          <a:lumMod val="50000"/>
                                        </a:schemeClr>
                                      </a:solidFill>
                                    </a:ln>
                                  </wps:spPr>
                                  <wps:style>
                                    <a:lnRef idx="2">
                                      <a:schemeClr val="accent4">
                                        <a:shade val="50000"/>
                                      </a:schemeClr>
                                    </a:lnRef>
                                    <a:fillRef idx="1001">
                                      <a:schemeClr val="lt2"/>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8" o:spid="_x0000_s1026" type="#_x0000_t67" alt="Arrow points to next cycle: Transport and logistics." style="position:absolute;margin-left:48pt;margin-top:32.95pt;width:30.85pt;height:57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" adj="15755" fillcolor="#7f7f7f [1612]" strokecolor="#7f7f7f [1612]" strokeweight="2pt"/>
                        </w:pict>
                      </mc:Fallback>
                    </mc:AlternateContent>
                  </w:r>
                  <w:r>
                    <w:t xml:space="preserve">Agricultural production and </w:t>
                  </w:r>
                  <w:r>
                    <w:br/>
                    <w:t>o</w:t>
                  </w:r>
                  <w:r w:rsidRPr="00182F4B">
                    <w:t>n-farm processing</w:t>
                  </w:r>
                </w:p>
              </w:tc>
              <w:tc>
                <w:tcPr>
                  <w:tcW w:w="1739" w:type="pct"/>
                  <w:tcBorders>
                    <w:top w:val="single" w:sz="6" w:space="0" w:color="BFBFBF"/>
                    <w:bottom w:val="single" w:sz="6" w:space="0" w:color="BFBFBF"/>
                  </w:tcBorders>
                </w:tcPr>
                <w:p w14:paraId="5658C960" w14:textId="77777777" w:rsidR="008A2ED0" w:rsidRDefault="008A2ED0" w:rsidP="00500A28">
                  <w:pPr>
                    <w:pStyle w:val="TableBullet"/>
                    <w:spacing w:before="80"/>
                    <w:ind w:left="283"/>
                    <w:rPr>
                      <w:i/>
                    </w:rPr>
                  </w:pPr>
                  <w:r>
                    <w:t xml:space="preserve">agricultural and veterinary chemicals </w:t>
                  </w:r>
                </w:p>
                <w:p w14:paraId="273245B0" w14:textId="77777777" w:rsidR="008A2ED0" w:rsidRPr="00182F4B" w:rsidRDefault="008A2ED0" w:rsidP="00500A28">
                  <w:pPr>
                    <w:pStyle w:val="TableBullet"/>
                    <w:ind w:left="283"/>
                    <w:rPr>
                      <w:i/>
                    </w:rPr>
                  </w:pPr>
                  <w:r w:rsidRPr="00182F4B">
                    <w:t xml:space="preserve">animal welfare </w:t>
                  </w:r>
                </w:p>
                <w:p w14:paraId="4EA842AF" w14:textId="77777777" w:rsidR="008A2ED0" w:rsidRPr="00AE083E" w:rsidRDefault="008A2ED0" w:rsidP="00AE083E">
                  <w:pPr>
                    <w:pStyle w:val="TableBullet"/>
                    <w:ind w:left="283"/>
                  </w:pPr>
                  <w:r w:rsidRPr="00182F4B">
                    <w:t>biosecurity</w:t>
                  </w:r>
                </w:p>
                <w:p w14:paraId="281313EF" w14:textId="77777777" w:rsidR="008A2ED0" w:rsidRDefault="008A2ED0" w:rsidP="00500A28">
                  <w:pPr>
                    <w:pStyle w:val="TableBullet"/>
                    <w:ind w:left="283"/>
                    <w:rPr>
                      <w:i/>
                    </w:rPr>
                  </w:pPr>
                  <w:r>
                    <w:t xml:space="preserve">food certification for export </w:t>
                  </w:r>
                </w:p>
                <w:p w14:paraId="7EF081ED" w14:textId="77777777" w:rsidR="008A2ED0" w:rsidRPr="00182F4B" w:rsidRDefault="008A2ED0" w:rsidP="00500A28">
                  <w:pPr>
                    <w:pStyle w:val="TableBullet"/>
                    <w:ind w:left="283"/>
                    <w:rPr>
                      <w:i/>
                    </w:rPr>
                  </w:pPr>
                  <w:r>
                    <w:t xml:space="preserve">pest and disease control and response </w:t>
                  </w:r>
                </w:p>
                <w:p w14:paraId="6BB55396" w14:textId="77777777" w:rsidR="008A2ED0" w:rsidRDefault="008A2ED0" w:rsidP="00500A28">
                  <w:pPr>
                    <w:pStyle w:val="TableBullet"/>
                    <w:ind w:left="283"/>
                    <w:rPr>
                      <w:i/>
                    </w:rPr>
                  </w:pPr>
                  <w:r w:rsidRPr="00E53FCA">
                    <w:t>building regulations</w:t>
                  </w:r>
                  <w:r w:rsidRPr="00182F4B">
                    <w:t xml:space="preserve"> </w:t>
                  </w:r>
                </w:p>
                <w:p w14:paraId="26549050" w14:textId="77777777" w:rsidR="008A2ED0" w:rsidRDefault="008A2ED0" w:rsidP="00500A28">
                  <w:pPr>
                    <w:pStyle w:val="TableBullet"/>
                    <w:ind w:left="283"/>
                    <w:rPr>
                      <w:i/>
                    </w:rPr>
                  </w:pPr>
                  <w:r>
                    <w:t>genetically modified crops</w:t>
                  </w:r>
                </w:p>
                <w:p w14:paraId="1531196B" w14:textId="77777777" w:rsidR="008A2ED0" w:rsidRPr="00182F4B" w:rsidRDefault="008A2ED0" w:rsidP="00500A28">
                  <w:pPr>
                    <w:pStyle w:val="TableBullet"/>
                    <w:ind w:left="283"/>
                    <w:rPr>
                      <w:i/>
                    </w:rPr>
                  </w:pPr>
                  <w:r w:rsidRPr="00182F4B">
                    <w:t xml:space="preserve">land use and planning </w:t>
                  </w:r>
                </w:p>
                <w:p w14:paraId="17A8D4DF" w14:textId="77777777" w:rsidR="008A2ED0" w:rsidRDefault="008A2ED0" w:rsidP="00500A28">
                  <w:pPr>
                    <w:pStyle w:val="TableBullet"/>
                    <w:ind w:left="283"/>
                    <w:rPr>
                      <w:i/>
                    </w:rPr>
                  </w:pPr>
                  <w:r w:rsidRPr="00182F4B">
                    <w:t>livestock regulation and identification</w:t>
                  </w:r>
                </w:p>
                <w:p w14:paraId="42FB2EED" w14:textId="77777777" w:rsidR="008A2ED0" w:rsidRPr="00383E53" w:rsidRDefault="008A2ED0" w:rsidP="00500A28">
                  <w:pPr>
                    <w:pStyle w:val="TableBullet"/>
                    <w:ind w:left="283"/>
                    <w:rPr>
                      <w:i/>
                    </w:rPr>
                  </w:pPr>
                  <w:r>
                    <w:t>transport</w:t>
                  </w:r>
                </w:p>
                <w:p w14:paraId="3944119D" w14:textId="77777777" w:rsidR="008A2ED0" w:rsidRPr="00383E53" w:rsidRDefault="008A2ED0" w:rsidP="00500A28">
                  <w:pPr>
                    <w:pStyle w:val="TableBullet"/>
                    <w:ind w:left="283"/>
                    <w:rPr>
                      <w:rFonts w:ascii="Times New Roman" w:hAnsi="Times New Roman"/>
                      <w:i/>
                      <w:sz w:val="26"/>
                      <w:lang w:eastAsia="en-US"/>
                    </w:rPr>
                  </w:pPr>
                  <w:r>
                    <w:t>land transport regulations</w:t>
                  </w:r>
                </w:p>
                <w:p w14:paraId="036493DF" w14:textId="77777777" w:rsidR="008A2ED0" w:rsidRPr="0038373F" w:rsidRDefault="008A2ED0" w:rsidP="00500A28">
                  <w:pPr>
                    <w:pStyle w:val="TableBullet"/>
                    <w:framePr w:w="2155" w:hSpace="227" w:vSpace="181" w:wrap="around" w:vAnchor="text" w:hAnchor="page" w:xAlign="outside" w:y="1"/>
                    <w:ind w:left="283"/>
                    <w:rPr>
                      <w:rFonts w:ascii="Times New Roman" w:hAnsi="Times New Roman"/>
                      <w:sz w:val="26"/>
                      <w:lang w:eastAsia="en-US"/>
                    </w:rPr>
                  </w:pPr>
                  <w:r>
                    <w:t>road access</w:t>
                  </w:r>
                </w:p>
                <w:p w14:paraId="448991B3" w14:textId="77777777" w:rsidR="008A2ED0" w:rsidRDefault="008A2ED0" w:rsidP="00500A28">
                  <w:pPr>
                    <w:pStyle w:val="TableBullet"/>
                    <w:ind w:left="283"/>
                    <w:rPr>
                      <w:rFonts w:ascii="Times New Roman" w:hAnsi="Times New Roman"/>
                      <w:sz w:val="26"/>
                      <w:lang w:eastAsia="en-US"/>
                    </w:rPr>
                  </w:pPr>
                  <w:r w:rsidRPr="00182F4B">
                    <w:t xml:space="preserve">transport </w:t>
                  </w:r>
                  <w:r>
                    <w:t xml:space="preserve">and use of </w:t>
                  </w:r>
                  <w:r w:rsidRPr="00182F4B">
                    <w:t>machinery</w:t>
                  </w:r>
                </w:p>
                <w:p w14:paraId="6CA76900" w14:textId="77777777" w:rsidR="008A2ED0" w:rsidRPr="00F033B4" w:rsidRDefault="008A2ED0" w:rsidP="00500A28">
                  <w:pPr>
                    <w:pStyle w:val="TableBullet"/>
                    <w:ind w:left="283"/>
                  </w:pPr>
                  <w:r w:rsidRPr="00F033B4">
                    <w:t xml:space="preserve">vehicle and machinery licensing </w:t>
                  </w:r>
                </w:p>
                <w:p w14:paraId="6D741132" w14:textId="77777777" w:rsidR="008A2ED0" w:rsidRPr="00182F4B" w:rsidRDefault="008A2ED0" w:rsidP="00500A28">
                  <w:pPr>
                    <w:pStyle w:val="TableBullet"/>
                    <w:ind w:left="283"/>
                  </w:pPr>
                  <w:r w:rsidRPr="00182F4B">
                    <w:t>water access and regulation</w:t>
                  </w:r>
                </w:p>
              </w:tc>
            </w:tr>
            <w:tr w:rsidR="008A2ED0" w:rsidRPr="00E53FCA" w14:paraId="5DBC1A6C" w14:textId="77777777" w:rsidTr="00500A28">
              <w:tc>
                <w:tcPr>
                  <w:tcW w:w="1741" w:type="pct"/>
                  <w:tcBorders>
                    <w:top w:val="single" w:sz="6" w:space="0" w:color="BFBFBF"/>
                    <w:bottom w:val="single" w:sz="6" w:space="0" w:color="BFBFBF"/>
                  </w:tcBorders>
                </w:tcPr>
                <w:p w14:paraId="47D8B5F8" w14:textId="77777777" w:rsidR="008A2ED0" w:rsidRDefault="008A2ED0" w:rsidP="00500A28">
                  <w:pPr>
                    <w:pStyle w:val="TableBullet"/>
                    <w:tabs>
                      <w:tab w:val="left" w:pos="170"/>
                      <w:tab w:val="num" w:pos="360"/>
                    </w:tabs>
                    <w:spacing w:before="80" w:line="220" w:lineRule="atLeast"/>
                    <w:ind w:left="6" w:hanging="6"/>
                    <w:rPr>
                      <w:i/>
                    </w:rPr>
                  </w:pPr>
                  <w:r w:rsidRPr="00182F4B">
                    <w:t>biosecurity</w:t>
                  </w:r>
                </w:p>
                <w:p w14:paraId="5FC9CF59" w14:textId="77777777" w:rsidR="008A2ED0" w:rsidRDefault="008A2ED0" w:rsidP="00500A28">
                  <w:pPr>
                    <w:pStyle w:val="Tablebullet2"/>
                    <w:ind w:left="340" w:hanging="170"/>
                    <w:rPr>
                      <w:i/>
                    </w:rPr>
                  </w:pPr>
                  <w:r>
                    <w:t>pest surveillance</w:t>
                  </w:r>
                </w:p>
                <w:p w14:paraId="5C246485" w14:textId="77777777" w:rsidR="008A2ED0" w:rsidRDefault="008A2ED0" w:rsidP="00500A28">
                  <w:pPr>
                    <w:pStyle w:val="Tablebullet2"/>
                    <w:ind w:left="340" w:hanging="170"/>
                    <w:rPr>
                      <w:i/>
                    </w:rPr>
                  </w:pPr>
                  <w:r>
                    <w:t>export control</w:t>
                  </w:r>
                </w:p>
                <w:p w14:paraId="7B311E53" w14:textId="77777777" w:rsidR="008A2ED0" w:rsidRPr="00E53FCA" w:rsidRDefault="008A2ED0" w:rsidP="00500A28">
                  <w:pPr>
                    <w:pStyle w:val="TableBullet"/>
                    <w:rPr>
                      <w:lang w:eastAsia="en-US"/>
                    </w:rPr>
                  </w:pPr>
                  <w:r w:rsidRPr="00182F4B">
                    <w:t>national land transport regulatory frameworks</w:t>
                  </w:r>
                </w:p>
                <w:p w14:paraId="26655874" w14:textId="77777777" w:rsidR="008A2ED0" w:rsidRPr="00E53FCA" w:rsidRDefault="008A2ED0" w:rsidP="00500A28">
                  <w:pPr>
                    <w:pStyle w:val="TableBullet"/>
                    <w:ind w:right="0"/>
                    <w:rPr>
                      <w:i/>
                      <w:lang w:eastAsia="en-US"/>
                    </w:rPr>
                  </w:pPr>
                  <w:r w:rsidRPr="00182F4B">
                    <w:t>shipping and maritime safety laws</w:t>
                  </w:r>
                </w:p>
                <w:p w14:paraId="18FF2F30" w14:textId="77777777" w:rsidR="008A2ED0" w:rsidRPr="00E53FCA" w:rsidRDefault="008A2ED0" w:rsidP="00500A28">
                  <w:pPr>
                    <w:pStyle w:val="TableBullet"/>
                    <w:rPr>
                      <w:lang w:eastAsia="en-US"/>
                    </w:rPr>
                  </w:pPr>
                  <w:r>
                    <w:t xml:space="preserve">welfare of exported animals </w:t>
                  </w:r>
                </w:p>
              </w:tc>
              <w:tc>
                <w:tcPr>
                  <w:tcW w:w="1520" w:type="pct"/>
                  <w:tcBorders>
                    <w:top w:val="single" w:sz="6" w:space="0" w:color="BFBFBF"/>
                    <w:bottom w:val="single" w:sz="6" w:space="0" w:color="BFBFBF"/>
                  </w:tcBorders>
                  <w:shd w:val="clear" w:color="auto" w:fill="F2F2F2" w:themeFill="background1" w:themeFillShade="F2"/>
                </w:tcPr>
                <w:p w14:paraId="10C1FE23" w14:textId="77777777" w:rsidR="008A2ED0" w:rsidRPr="00E53FCA" w:rsidRDefault="008A2ED0" w:rsidP="00500A28">
                  <w:pPr>
                    <w:pStyle w:val="TableBodyText"/>
                    <w:spacing w:before="80" w:after="0"/>
                    <w:ind w:left="0" w:right="0" w:firstLine="27"/>
                    <w:jc w:val="center"/>
                    <w:rPr>
                      <w:i/>
                      <w:lang w:eastAsia="en-US"/>
                    </w:rPr>
                  </w:pPr>
                  <w:r>
                    <w:rPr>
                      <w:noProof/>
                    </w:rPr>
                    <mc:AlternateContent>
                      <mc:Choice Requires="wps">
                        <w:drawing>
                          <wp:anchor distT="0" distB="0" distL="114300" distR="114300" simplePos="0" relativeHeight="251658242" behindDoc="0" locked="0" layoutInCell="1" allowOverlap="1" wp14:anchorId="34235500" wp14:editId="4A80B119">
                            <wp:simplePos x="0" y="0"/>
                            <wp:positionH relativeFrom="column">
                              <wp:posOffset>604330</wp:posOffset>
                            </wp:positionH>
                            <wp:positionV relativeFrom="paragraph">
                              <wp:posOffset>264160</wp:posOffset>
                            </wp:positionV>
                            <wp:extent cx="391795" cy="723900"/>
                            <wp:effectExtent l="19050" t="0" r="27305" b="38100"/>
                            <wp:wrapNone/>
                            <wp:docPr id="9" name="Down Arrow 9" descr="Arrow points to next cycle: Marketing."/>
                            <wp:cNvGraphicFramePr/>
                            <a:graphic xmlns:a="http://schemas.openxmlformats.org/drawingml/2006/main">
                              <a:graphicData uri="http://schemas.microsoft.com/office/word/2010/wordprocessingShape">
                                <wps:wsp>
                                  <wps:cNvSpPr/>
                                  <wps:spPr>
                                    <a:xfrm>
                                      <a:off x="0" y="0"/>
                                      <a:ext cx="391795" cy="723900"/>
                                    </a:xfrm>
                                    <a:prstGeom prst="downArrow">
                                      <a:avLst/>
                                    </a:prstGeom>
                                    <a:solidFill>
                                      <a:schemeClr val="bg1">
                                        <a:lumMod val="50000"/>
                                      </a:schemeClr>
                                    </a:solidFill>
                                    <a:ln>
                                      <a:solidFill>
                                        <a:schemeClr val="bg1">
                                          <a:lumMod val="50000"/>
                                        </a:schemeClr>
                                      </a:solidFill>
                                    </a:ln>
                                  </wps:spPr>
                                  <wps:style>
                                    <a:lnRef idx="2">
                                      <a:schemeClr val="accent4">
                                        <a:shade val="50000"/>
                                      </a:schemeClr>
                                    </a:lnRef>
                                    <a:fillRef idx="1001">
                                      <a:schemeClr val="lt2"/>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9" o:spid="_x0000_s1026" type="#_x0000_t67" alt="Arrow points to next cycle: Marketing." style="position:absolute;margin-left:47.6pt;margin-top:20.8pt;width:30.85pt;height:57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" adj="15755" fillcolor="#7f7f7f [1612]" strokecolor="#7f7f7f [1612]" strokeweight="2pt"/>
                        </w:pict>
                      </mc:Fallback>
                    </mc:AlternateContent>
                  </w:r>
                  <w:r w:rsidRPr="000A6C92">
                    <w:t>Transport and logistic</w:t>
                  </w:r>
                  <w:r>
                    <w:t>s</w:t>
                  </w:r>
                </w:p>
              </w:tc>
              <w:tc>
                <w:tcPr>
                  <w:tcW w:w="1739" w:type="pct"/>
                  <w:tcBorders>
                    <w:top w:val="single" w:sz="6" w:space="0" w:color="BFBFBF"/>
                    <w:bottom w:val="single" w:sz="6" w:space="0" w:color="BFBFBF"/>
                  </w:tcBorders>
                </w:tcPr>
                <w:p w14:paraId="7D3F32F1" w14:textId="77777777" w:rsidR="008A2ED0" w:rsidRPr="00383E53" w:rsidRDefault="008A2ED0" w:rsidP="00500A28">
                  <w:pPr>
                    <w:pStyle w:val="TableBullet"/>
                    <w:tabs>
                      <w:tab w:val="clear" w:pos="170"/>
                      <w:tab w:val="num" w:pos="340"/>
                    </w:tabs>
                    <w:spacing w:before="80"/>
                    <w:ind w:left="283"/>
                    <w:rPr>
                      <w:rFonts w:ascii="Times New Roman" w:hAnsi="Times New Roman"/>
                      <w:i/>
                      <w:sz w:val="26"/>
                      <w:lang w:eastAsia="en-US"/>
                    </w:rPr>
                  </w:pPr>
                  <w:r>
                    <w:t>land transport regulations</w:t>
                  </w:r>
                </w:p>
                <w:p w14:paraId="7C924A86" w14:textId="77777777" w:rsidR="008A2ED0" w:rsidRPr="00083E8B" w:rsidRDefault="008A2ED0" w:rsidP="00500A28">
                  <w:pPr>
                    <w:pStyle w:val="TableBullet"/>
                    <w:ind w:left="283"/>
                    <w:rPr>
                      <w:rFonts w:ascii="Times New Roman" w:hAnsi="Times New Roman"/>
                      <w:i/>
                      <w:sz w:val="26"/>
                      <w:lang w:eastAsia="en-US"/>
                    </w:rPr>
                  </w:pPr>
                  <w:r>
                    <w:t>road access</w:t>
                  </w:r>
                </w:p>
                <w:p w14:paraId="1341E401" w14:textId="77777777" w:rsidR="008A2ED0" w:rsidRDefault="008A2ED0" w:rsidP="00500A28">
                  <w:pPr>
                    <w:pStyle w:val="TableBullet"/>
                    <w:ind w:left="283"/>
                    <w:rPr>
                      <w:rFonts w:ascii="Times New Roman" w:hAnsi="Times New Roman"/>
                      <w:i/>
                      <w:sz w:val="26"/>
                      <w:lang w:eastAsia="en-US"/>
                    </w:rPr>
                  </w:pPr>
                  <w:r w:rsidRPr="00182F4B">
                    <w:t xml:space="preserve">transport </w:t>
                  </w:r>
                  <w:r>
                    <w:t xml:space="preserve">and use of </w:t>
                  </w:r>
                  <w:r w:rsidRPr="00182F4B">
                    <w:t>machinery</w:t>
                  </w:r>
                </w:p>
                <w:p w14:paraId="61D4AE70" w14:textId="77777777" w:rsidR="008A2ED0" w:rsidRPr="00F033B4" w:rsidRDefault="008A2ED0" w:rsidP="00500A28">
                  <w:pPr>
                    <w:pStyle w:val="TableBullet"/>
                    <w:ind w:left="283"/>
                    <w:rPr>
                      <w:i/>
                    </w:rPr>
                  </w:pPr>
                  <w:r w:rsidRPr="00F033B4">
                    <w:t xml:space="preserve">vehicle and machinery licensing </w:t>
                  </w:r>
                </w:p>
                <w:p w14:paraId="3734E1BE" w14:textId="77777777" w:rsidR="008A2ED0" w:rsidRPr="00182F4B" w:rsidRDefault="008A2ED0" w:rsidP="00500A28">
                  <w:pPr>
                    <w:pStyle w:val="TableBullet"/>
                    <w:ind w:left="283"/>
                    <w:rPr>
                      <w:i/>
                    </w:rPr>
                  </w:pPr>
                  <w:r w:rsidRPr="00182F4B">
                    <w:t xml:space="preserve">animal welfare </w:t>
                  </w:r>
                </w:p>
                <w:p w14:paraId="02C514D0" w14:textId="77777777" w:rsidR="008A2ED0" w:rsidRPr="00DD1161" w:rsidRDefault="008A2ED0" w:rsidP="00500A28">
                  <w:pPr>
                    <w:pStyle w:val="TableBullet"/>
                    <w:ind w:left="283"/>
                    <w:rPr>
                      <w:i/>
                    </w:rPr>
                  </w:pPr>
                  <w:r w:rsidRPr="00182F4B">
                    <w:t>livestock regulation and identification</w:t>
                  </w:r>
                </w:p>
              </w:tc>
            </w:tr>
            <w:tr w:rsidR="008A2ED0" w:rsidRPr="00E53FCA" w14:paraId="5A948436" w14:textId="77777777" w:rsidTr="00500A28">
              <w:tc>
                <w:tcPr>
                  <w:tcW w:w="1741" w:type="pct"/>
                  <w:tcBorders>
                    <w:top w:val="single" w:sz="6" w:space="0" w:color="BFBFBF"/>
                    <w:bottom w:val="single" w:sz="6" w:space="0" w:color="BFBFBF"/>
                  </w:tcBorders>
                </w:tcPr>
                <w:p w14:paraId="144E772F" w14:textId="77777777" w:rsidR="008A2ED0" w:rsidRDefault="008A2ED0" w:rsidP="00500A28">
                  <w:pPr>
                    <w:pStyle w:val="TableBullet"/>
                    <w:spacing w:before="80"/>
                    <w:rPr>
                      <w:i/>
                    </w:rPr>
                  </w:pPr>
                  <w:r w:rsidRPr="000A6C92">
                    <w:t xml:space="preserve">food </w:t>
                  </w:r>
                  <w:r>
                    <w:t>labelling</w:t>
                  </w:r>
                </w:p>
                <w:p w14:paraId="213EF74E" w14:textId="77777777" w:rsidR="008A2ED0" w:rsidRPr="000A6C92" w:rsidRDefault="008A2ED0" w:rsidP="00500A28">
                  <w:pPr>
                    <w:pStyle w:val="TableBullet"/>
                  </w:pPr>
                  <w:r>
                    <w:t>food standards</w:t>
                  </w:r>
                </w:p>
                <w:p w14:paraId="07A22BC7" w14:textId="77777777" w:rsidR="008A2ED0" w:rsidRDefault="008A2ED0" w:rsidP="00500A28">
                  <w:pPr>
                    <w:pStyle w:val="TableBullet"/>
                    <w:tabs>
                      <w:tab w:val="left" w:pos="170"/>
                      <w:tab w:val="num" w:pos="360"/>
                    </w:tabs>
                    <w:spacing w:line="220" w:lineRule="atLeast"/>
                    <w:ind w:left="6" w:hanging="6"/>
                  </w:pPr>
                  <w:r w:rsidRPr="00182F4B">
                    <w:t>biosecurity</w:t>
                  </w:r>
                </w:p>
                <w:p w14:paraId="73762CDC" w14:textId="77777777" w:rsidR="008A2ED0" w:rsidRDefault="008A2ED0" w:rsidP="00500A28">
                  <w:pPr>
                    <w:pStyle w:val="Tablebullet2"/>
                    <w:ind w:left="340" w:hanging="170"/>
                    <w:rPr>
                      <w:i/>
                    </w:rPr>
                  </w:pPr>
                  <w:r>
                    <w:t>pest surveillance</w:t>
                  </w:r>
                </w:p>
                <w:p w14:paraId="17A3DD46" w14:textId="77777777" w:rsidR="008A2ED0" w:rsidRDefault="008A2ED0" w:rsidP="00500A28">
                  <w:pPr>
                    <w:pStyle w:val="Tablebullet2"/>
                    <w:ind w:left="340" w:hanging="170"/>
                    <w:rPr>
                      <w:i/>
                    </w:rPr>
                  </w:pPr>
                  <w:r>
                    <w:t>export control</w:t>
                  </w:r>
                  <w:r w:rsidRPr="00F81463">
                    <w:t xml:space="preserve"> </w:t>
                  </w:r>
                </w:p>
                <w:p w14:paraId="046C88BF" w14:textId="77777777" w:rsidR="008A2ED0" w:rsidRPr="00E53FCA" w:rsidRDefault="008A2ED0" w:rsidP="00500A28">
                  <w:pPr>
                    <w:pStyle w:val="TableBullet"/>
                    <w:rPr>
                      <w:lang w:eastAsia="en-US"/>
                    </w:rPr>
                  </w:pPr>
                  <w:r>
                    <w:t>welfare of exported animals</w:t>
                  </w:r>
                </w:p>
              </w:tc>
              <w:tc>
                <w:tcPr>
                  <w:tcW w:w="1520" w:type="pct"/>
                  <w:tcBorders>
                    <w:top w:val="single" w:sz="6" w:space="0" w:color="BFBFBF"/>
                    <w:bottom w:val="single" w:sz="6" w:space="0" w:color="BFBFBF"/>
                  </w:tcBorders>
                  <w:shd w:val="clear" w:color="auto" w:fill="F2F2F2" w:themeFill="background1" w:themeFillShade="F2"/>
                </w:tcPr>
                <w:p w14:paraId="52C6B159" w14:textId="77777777" w:rsidR="008A2ED0" w:rsidRPr="00E53FCA" w:rsidRDefault="008A2ED0" w:rsidP="00500A28">
                  <w:pPr>
                    <w:pStyle w:val="TableBodyText"/>
                    <w:spacing w:before="80" w:after="0"/>
                    <w:ind w:left="0" w:right="0" w:firstLine="27"/>
                    <w:jc w:val="center"/>
                    <w:rPr>
                      <w:szCs w:val="24"/>
                      <w:lang w:eastAsia="en-US"/>
                    </w:rPr>
                  </w:pPr>
                  <w:r w:rsidRPr="000A6C92">
                    <w:t>Marketing</w:t>
                  </w:r>
                </w:p>
              </w:tc>
              <w:tc>
                <w:tcPr>
                  <w:tcW w:w="1739" w:type="pct"/>
                  <w:tcBorders>
                    <w:top w:val="single" w:sz="6" w:space="0" w:color="BFBFBF"/>
                    <w:bottom w:val="single" w:sz="6" w:space="0" w:color="BFBFBF"/>
                  </w:tcBorders>
                </w:tcPr>
                <w:p w14:paraId="2B8E7262" w14:textId="77777777" w:rsidR="008A2ED0" w:rsidRDefault="008A2ED0" w:rsidP="00500A28">
                  <w:pPr>
                    <w:pStyle w:val="TableBullet"/>
                    <w:spacing w:before="80"/>
                    <w:ind w:left="283"/>
                    <w:rPr>
                      <w:i/>
                      <w:lang w:eastAsia="en-US"/>
                    </w:rPr>
                  </w:pPr>
                  <w:r>
                    <w:t>food safety</w:t>
                  </w:r>
                </w:p>
                <w:p w14:paraId="12C6E548" w14:textId="77777777" w:rsidR="008A2ED0" w:rsidRDefault="008A2ED0" w:rsidP="00500A28">
                  <w:pPr>
                    <w:pStyle w:val="TableBullet"/>
                    <w:ind w:left="283"/>
                    <w:rPr>
                      <w:i/>
                      <w:lang w:eastAsia="en-US"/>
                    </w:rPr>
                  </w:pPr>
                  <w:r>
                    <w:t>food packaging</w:t>
                  </w:r>
                </w:p>
                <w:p w14:paraId="7356C02A" w14:textId="77777777" w:rsidR="008A2ED0" w:rsidRPr="00AE083E" w:rsidRDefault="008A2ED0" w:rsidP="00AE083E">
                  <w:pPr>
                    <w:pStyle w:val="TableBullet"/>
                    <w:ind w:left="283"/>
                  </w:pPr>
                  <w:r w:rsidRPr="00182F4B">
                    <w:t>biosecurity</w:t>
                  </w:r>
                </w:p>
                <w:p w14:paraId="6216F042" w14:textId="77777777" w:rsidR="008A2ED0" w:rsidRDefault="008A2ED0" w:rsidP="00500A28">
                  <w:pPr>
                    <w:pStyle w:val="TableBullet"/>
                    <w:ind w:left="283"/>
                    <w:rPr>
                      <w:i/>
                    </w:rPr>
                  </w:pPr>
                  <w:r>
                    <w:t xml:space="preserve">food certification for export </w:t>
                  </w:r>
                </w:p>
                <w:p w14:paraId="250C0E7C" w14:textId="77777777" w:rsidR="008A2ED0" w:rsidRPr="00AE083E" w:rsidRDefault="008A2ED0" w:rsidP="00AE083E">
                  <w:pPr>
                    <w:pStyle w:val="TableBullet"/>
                    <w:ind w:left="283"/>
                    <w:rPr>
                      <w:i/>
                    </w:rPr>
                  </w:pPr>
                  <w:r>
                    <w:t xml:space="preserve">pest and disease control and response </w:t>
                  </w:r>
                </w:p>
              </w:tc>
            </w:tr>
          </w:tbl>
          <w:p w14:paraId="3A4BDEED" w14:textId="699D5644" w:rsidR="008A2ED0" w:rsidRDefault="008A2ED0" w:rsidP="00F76578">
            <w:pPr>
              <w:pStyle w:val="Box"/>
            </w:pPr>
          </w:p>
        </w:tc>
      </w:tr>
      <w:tr w:rsidR="008A2ED0" w14:paraId="59BED8F0" w14:textId="77777777" w:rsidTr="00F76578">
        <w:trPr>
          <w:cantSplit/>
        </w:trPr>
        <w:tc>
          <w:tcPr>
            <w:tcW w:w="8771" w:type="dxa"/>
            <w:tcBorders>
              <w:top w:val="nil"/>
              <w:left w:val="nil"/>
              <w:bottom w:val="nil"/>
              <w:right w:val="nil"/>
            </w:tcBorders>
            <w:shd w:val="clear" w:color="auto" w:fill="auto"/>
          </w:tcPr>
          <w:p w14:paraId="1532D26A" w14:textId="1DF8A840" w:rsidR="008A2ED0" w:rsidRDefault="008A2ED0" w:rsidP="00C75AD1">
            <w:pPr>
              <w:pStyle w:val="Note"/>
              <w:rPr>
                <w:i/>
              </w:rPr>
            </w:pPr>
            <w:r w:rsidRPr="008E77FE">
              <w:rPr>
                <w:rStyle w:val="NoteLabel"/>
              </w:rPr>
              <w:t>a</w:t>
            </w:r>
            <w:r>
              <w:t xml:space="preserve"> There are also a range of issues and regulations that affect all stages of the agricultural supply chain. Cross-cutting issues include </w:t>
            </w:r>
            <w:r w:rsidRPr="00FD3567">
              <w:t>investment opportunities and access to capital</w:t>
            </w:r>
            <w:r>
              <w:t>, as well as regulations relating to competition, foreign investment</w:t>
            </w:r>
            <w:r w:rsidRPr="00FD3567">
              <w:t>, immigration, industrial relations, occupational health and safety</w:t>
            </w:r>
            <w:r w:rsidR="00A00205">
              <w:t>,</w:t>
            </w:r>
            <w:r>
              <w:t xml:space="preserve"> and </w:t>
            </w:r>
            <w:r w:rsidRPr="00FD3567">
              <w:t>taxation</w:t>
            </w:r>
            <w:r>
              <w:t>.</w:t>
            </w:r>
          </w:p>
        </w:tc>
      </w:tr>
      <w:tr w:rsidR="008A2ED0" w14:paraId="43389403" w14:textId="77777777" w:rsidTr="00F76578">
        <w:trPr>
          <w:cantSplit/>
        </w:trPr>
        <w:tc>
          <w:tcPr>
            <w:tcW w:w="8771" w:type="dxa"/>
            <w:tcBorders>
              <w:top w:val="nil"/>
              <w:left w:val="nil"/>
              <w:bottom w:val="nil"/>
              <w:right w:val="nil"/>
            </w:tcBorders>
            <w:shd w:val="clear" w:color="auto" w:fill="auto"/>
          </w:tcPr>
          <w:p w14:paraId="09956461" w14:textId="747CCB7D" w:rsidR="008A2ED0" w:rsidRDefault="008A2ED0" w:rsidP="00F221B1">
            <w:pPr>
              <w:pStyle w:val="Source"/>
            </w:pPr>
            <w:r>
              <w:rPr>
                <w:i/>
              </w:rPr>
              <w:t>Source</w:t>
            </w:r>
            <w:r w:rsidRPr="00167F06">
              <w:t xml:space="preserve">: </w:t>
            </w:r>
            <w:r>
              <w:t xml:space="preserve">Adapted from PC </w:t>
            </w:r>
            <w:r w:rsidRPr="00F221B1">
              <w:rPr>
                <w:rFonts w:cs="Arial"/>
              </w:rPr>
              <w:t>(2007)</w:t>
            </w:r>
            <w:r>
              <w:t>.</w:t>
            </w:r>
          </w:p>
        </w:tc>
      </w:tr>
      <w:tr w:rsidR="008A2ED0" w14:paraId="5FB87ABF" w14:textId="77777777" w:rsidTr="00F76578">
        <w:trPr>
          <w:cantSplit/>
        </w:trPr>
        <w:tc>
          <w:tcPr>
            <w:tcW w:w="8771" w:type="dxa"/>
            <w:tcBorders>
              <w:top w:val="nil"/>
              <w:left w:val="nil"/>
              <w:bottom w:val="single" w:sz="6" w:space="0" w:color="78A22F"/>
              <w:right w:val="nil"/>
            </w:tcBorders>
            <w:shd w:val="clear" w:color="auto" w:fill="auto"/>
          </w:tcPr>
          <w:p w14:paraId="6C930876" w14:textId="77777777" w:rsidR="008A2ED0" w:rsidRDefault="008A2ED0" w:rsidP="00F76578">
            <w:pPr>
              <w:pStyle w:val="Box"/>
              <w:spacing w:before="0" w:line="120" w:lineRule="exact"/>
            </w:pPr>
          </w:p>
        </w:tc>
      </w:tr>
      <w:tr w:rsidR="008A2ED0" w:rsidRPr="000863A5" w14:paraId="01C3F936" w14:textId="77777777" w:rsidTr="00F76578">
        <w:tc>
          <w:tcPr>
            <w:tcW w:w="8771" w:type="dxa"/>
            <w:tcBorders>
              <w:top w:val="single" w:sz="6" w:space="0" w:color="78A22F"/>
              <w:left w:val="nil"/>
              <w:bottom w:val="nil"/>
              <w:right w:val="nil"/>
            </w:tcBorders>
          </w:tcPr>
          <w:p w14:paraId="4349D02C" w14:textId="6E947CFE" w:rsidR="008A2ED0" w:rsidRPr="00626D32" w:rsidRDefault="008A2ED0" w:rsidP="00F76578">
            <w:pPr>
              <w:pStyle w:val="BoxSpaceBelow"/>
            </w:pPr>
          </w:p>
        </w:tc>
      </w:tr>
    </w:tbl>
    <w:p w14:paraId="2982B0C3" w14:textId="77777777" w:rsidR="002B1032" w:rsidRDefault="002B1032" w:rsidP="002B1032">
      <w:pPr>
        <w:pStyle w:val="Heading3"/>
      </w:pPr>
      <w:r>
        <w:lastRenderedPageBreak/>
        <w:t>Land tenure and use</w:t>
      </w:r>
    </w:p>
    <w:p w14:paraId="7EC6B824" w14:textId="5040B018" w:rsidR="000247BC" w:rsidRDefault="00EC02FD" w:rsidP="00C16757">
      <w:pPr>
        <w:spacing w:before="240" w:line="300" w:lineRule="atLeast"/>
        <w:jc w:val="both"/>
        <w:rPr>
          <w:sz w:val="24"/>
          <w:lang w:eastAsia="en-AU"/>
        </w:rPr>
      </w:pPr>
      <w:r>
        <w:rPr>
          <w:sz w:val="24"/>
          <w:lang w:eastAsia="en-AU"/>
        </w:rPr>
        <w:t xml:space="preserve">Agriculture </w:t>
      </w:r>
      <w:r w:rsidR="004F28F7">
        <w:rPr>
          <w:sz w:val="24"/>
          <w:lang w:eastAsia="en-AU"/>
        </w:rPr>
        <w:t xml:space="preserve">takes </w:t>
      </w:r>
      <w:r>
        <w:rPr>
          <w:sz w:val="24"/>
          <w:lang w:eastAsia="en-AU"/>
        </w:rPr>
        <w:t>up 5</w:t>
      </w:r>
      <w:r w:rsidR="00594F20">
        <w:rPr>
          <w:sz w:val="24"/>
          <w:lang w:eastAsia="en-AU"/>
        </w:rPr>
        <w:t>2</w:t>
      </w:r>
      <w:r>
        <w:rPr>
          <w:sz w:val="24"/>
          <w:lang w:eastAsia="en-AU"/>
        </w:rPr>
        <w:t xml:space="preserve"> per cent of </w:t>
      </w:r>
      <w:r w:rsidR="000D470D">
        <w:rPr>
          <w:sz w:val="24"/>
          <w:lang w:eastAsia="en-AU"/>
        </w:rPr>
        <w:t xml:space="preserve">Australia’s land </w:t>
      </w:r>
      <w:r>
        <w:rPr>
          <w:sz w:val="24"/>
          <w:lang w:eastAsia="en-AU"/>
        </w:rPr>
        <w:t xml:space="preserve">mass </w:t>
      </w:r>
      <w:r w:rsidRPr="00150F84">
        <w:rPr>
          <w:sz w:val="24"/>
          <w:szCs w:val="24"/>
        </w:rPr>
        <w:t>(ABS 2014)</w:t>
      </w:r>
      <w:r>
        <w:rPr>
          <w:sz w:val="24"/>
          <w:lang w:eastAsia="en-AU"/>
        </w:rPr>
        <w:t>. A</w:t>
      </w:r>
      <w:r w:rsidR="000D470D">
        <w:rPr>
          <w:sz w:val="24"/>
          <w:lang w:eastAsia="en-AU"/>
        </w:rPr>
        <w:t>gricultural production</w:t>
      </w:r>
      <w:r>
        <w:rPr>
          <w:sz w:val="24"/>
          <w:lang w:eastAsia="en-AU"/>
        </w:rPr>
        <w:t xml:space="preserve"> takes place on </w:t>
      </w:r>
      <w:r w:rsidR="000B23A0">
        <w:rPr>
          <w:sz w:val="24"/>
          <w:lang w:eastAsia="en-AU"/>
        </w:rPr>
        <w:t>both private (</w:t>
      </w:r>
      <w:r w:rsidR="0077148D">
        <w:rPr>
          <w:sz w:val="24"/>
          <w:lang w:eastAsia="en-AU"/>
        </w:rPr>
        <w:t>f</w:t>
      </w:r>
      <w:r w:rsidR="000B23A0">
        <w:rPr>
          <w:sz w:val="24"/>
          <w:lang w:eastAsia="en-AU"/>
        </w:rPr>
        <w:t>reehold) land a</w:t>
      </w:r>
      <w:r>
        <w:rPr>
          <w:sz w:val="24"/>
          <w:lang w:eastAsia="en-AU"/>
        </w:rPr>
        <w:t xml:space="preserve">nd </w:t>
      </w:r>
      <w:r w:rsidR="000B23A0">
        <w:rPr>
          <w:sz w:val="24"/>
          <w:lang w:eastAsia="en-AU"/>
        </w:rPr>
        <w:t>Crown land (under leasehold)</w:t>
      </w:r>
      <w:r>
        <w:rPr>
          <w:sz w:val="24"/>
          <w:lang w:eastAsia="en-AU"/>
        </w:rPr>
        <w:t>.</w:t>
      </w:r>
      <w:r w:rsidR="00D34760">
        <w:rPr>
          <w:sz w:val="24"/>
          <w:lang w:eastAsia="en-AU"/>
        </w:rPr>
        <w:t xml:space="preserve"> </w:t>
      </w:r>
      <w:r w:rsidR="000247BC">
        <w:rPr>
          <w:sz w:val="24"/>
          <w:lang w:eastAsia="en-AU"/>
        </w:rPr>
        <w:t>L</w:t>
      </w:r>
      <w:r w:rsidR="00D34760">
        <w:rPr>
          <w:sz w:val="24"/>
          <w:lang w:eastAsia="en-AU"/>
        </w:rPr>
        <w:t xml:space="preserve">and </w:t>
      </w:r>
      <w:r w:rsidR="000247BC">
        <w:rPr>
          <w:sz w:val="24"/>
          <w:lang w:eastAsia="en-AU"/>
        </w:rPr>
        <w:t xml:space="preserve">use </w:t>
      </w:r>
      <w:r w:rsidR="00D34760">
        <w:rPr>
          <w:sz w:val="24"/>
          <w:lang w:eastAsia="en-AU"/>
        </w:rPr>
        <w:t xml:space="preserve">is regulated through a </w:t>
      </w:r>
      <w:r w:rsidR="000D470D">
        <w:rPr>
          <w:sz w:val="24"/>
          <w:lang w:eastAsia="en-AU"/>
        </w:rPr>
        <w:t xml:space="preserve">range of mechanisms, including planning and zoning regulations and pastoral leases. </w:t>
      </w:r>
      <w:r w:rsidR="0077148D">
        <w:rPr>
          <w:sz w:val="24"/>
          <w:lang w:eastAsia="en-AU"/>
        </w:rPr>
        <w:t>Land use r</w:t>
      </w:r>
      <w:r w:rsidR="00D34760" w:rsidRPr="00C16757">
        <w:rPr>
          <w:sz w:val="24"/>
          <w:lang w:eastAsia="en-AU"/>
        </w:rPr>
        <w:t>egulation can</w:t>
      </w:r>
      <w:r w:rsidR="0077148D">
        <w:rPr>
          <w:sz w:val="24"/>
          <w:lang w:eastAsia="en-AU"/>
        </w:rPr>
        <w:t xml:space="preserve">: </w:t>
      </w:r>
    </w:p>
    <w:p w14:paraId="43CC9665" w14:textId="77777777" w:rsidR="000247BC" w:rsidRDefault="00D34760" w:rsidP="000247BC">
      <w:pPr>
        <w:pStyle w:val="ListBullet"/>
      </w:pPr>
      <w:r w:rsidRPr="00C16757">
        <w:t>confine certain types of land use to areas where they are less likely to adversely affect others</w:t>
      </w:r>
    </w:p>
    <w:p w14:paraId="7E482697" w14:textId="77777777" w:rsidR="000247BC" w:rsidRDefault="00D34760" w:rsidP="000247BC">
      <w:pPr>
        <w:pStyle w:val="ListBullet"/>
      </w:pPr>
      <w:r w:rsidRPr="00C16757">
        <w:t>restrict activities that affect the long</w:t>
      </w:r>
      <w:r w:rsidRPr="00C16757">
        <w:noBreakHyphen/>
        <w:t>term economic and environmental viability of the land</w:t>
      </w:r>
    </w:p>
    <w:p w14:paraId="34098CDB" w14:textId="3ECDC625" w:rsidR="00C16757" w:rsidRPr="00C16757" w:rsidRDefault="0066486E" w:rsidP="000247BC">
      <w:pPr>
        <w:pStyle w:val="ListBullet"/>
      </w:pPr>
      <w:r>
        <w:t>be used to manage land for public purposes, such as the coordination of community services and to preserve the environment</w:t>
      </w:r>
      <w:r w:rsidR="00D34760" w:rsidRPr="00C16757">
        <w:t>.</w:t>
      </w:r>
    </w:p>
    <w:p w14:paraId="7E2FD965" w14:textId="6D6D7B7B" w:rsidR="00C16757" w:rsidRPr="00C16757" w:rsidRDefault="00C16757" w:rsidP="00845818">
      <w:pPr>
        <w:pStyle w:val="Heading4"/>
      </w:pPr>
      <w:r w:rsidRPr="00C16757">
        <w:t>Land use planning</w:t>
      </w:r>
    </w:p>
    <w:p w14:paraId="25E9ED5C" w14:textId="13AE0096" w:rsidR="00C16757" w:rsidRPr="00845818" w:rsidRDefault="00C16757" w:rsidP="00845818">
      <w:pPr>
        <w:pStyle w:val="BodyText"/>
      </w:pPr>
      <w:r w:rsidRPr="00845818">
        <w:t xml:space="preserve">State, territory and local governments are responsible for </w:t>
      </w:r>
      <w:r w:rsidR="00FE3768" w:rsidRPr="00845818">
        <w:t xml:space="preserve">regulating private </w:t>
      </w:r>
      <w:r w:rsidRPr="00845818">
        <w:t xml:space="preserve">land use through legislation, state and regional plans, strategies and policies, and local planning schemes, which include zones and development standards. Land use regulation has the potential to facilitate improvements in the productivity of the land, but poorly applied regulation can impose an unnecessary burden. Some of </w:t>
      </w:r>
      <w:r w:rsidR="000247BC" w:rsidRPr="00845818">
        <w:t xml:space="preserve">the concerns raised about </w:t>
      </w:r>
      <w:r w:rsidRPr="00845818">
        <w:t>agricultural land use regulat</w:t>
      </w:r>
      <w:r w:rsidR="000247BC" w:rsidRPr="00845818">
        <w:t xml:space="preserve">ion </w:t>
      </w:r>
      <w:r w:rsidRPr="00845818">
        <w:t>include:</w:t>
      </w:r>
    </w:p>
    <w:p w14:paraId="4361D2EA" w14:textId="77777777" w:rsidR="00C16757" w:rsidRPr="00C16757" w:rsidRDefault="007B5470" w:rsidP="00023E6B">
      <w:pPr>
        <w:pStyle w:val="ListBullet"/>
      </w:pPr>
      <w:r>
        <w:t>complex and time</w:t>
      </w:r>
      <w:r>
        <w:noBreakHyphen/>
      </w:r>
      <w:r w:rsidR="00C16757" w:rsidRPr="00C16757">
        <w:t xml:space="preserve">consuming development </w:t>
      </w:r>
      <w:r w:rsidR="0083637D">
        <w:t xml:space="preserve">assessment and </w:t>
      </w:r>
      <w:r w:rsidR="00857F5F">
        <w:t>approval</w:t>
      </w:r>
      <w:r w:rsidR="00C16757" w:rsidRPr="00C16757">
        <w:t xml:space="preserve"> processes</w:t>
      </w:r>
      <w:r w:rsidR="00137345">
        <w:t xml:space="preserve">, which </w:t>
      </w:r>
      <w:r w:rsidR="00857F5F">
        <w:t xml:space="preserve">can harm investment and </w:t>
      </w:r>
      <w:r w:rsidR="00D763FC">
        <w:t>impede</w:t>
      </w:r>
      <w:r w:rsidR="00137345">
        <w:t xml:space="preserve"> expansion</w:t>
      </w:r>
      <w:r w:rsidR="00112013">
        <w:t xml:space="preserve"> </w:t>
      </w:r>
      <w:r w:rsidR="00EA574F" w:rsidRPr="00EA574F">
        <w:rPr>
          <w:szCs w:val="24"/>
        </w:rPr>
        <w:t>(ACMF 2014; Chappell 2014)</w:t>
      </w:r>
    </w:p>
    <w:p w14:paraId="2EC61FA0" w14:textId="12F7D8D4" w:rsidR="00C16757" w:rsidRPr="00C16757" w:rsidRDefault="00C16757" w:rsidP="00023E6B">
      <w:pPr>
        <w:pStyle w:val="ListBullet"/>
      </w:pPr>
      <w:r w:rsidRPr="00C16757">
        <w:t>differ</w:t>
      </w:r>
      <w:r w:rsidR="000247BC">
        <w:t xml:space="preserve">ent </w:t>
      </w:r>
      <w:r w:rsidR="00FE3768">
        <w:t xml:space="preserve">development </w:t>
      </w:r>
      <w:r w:rsidR="0083637D">
        <w:t>assessment and approval</w:t>
      </w:r>
      <w:r w:rsidR="0083637D" w:rsidRPr="00C16757">
        <w:t xml:space="preserve"> processes</w:t>
      </w:r>
      <w:r w:rsidR="0083637D" w:rsidRPr="00C16757" w:rsidDel="0083637D">
        <w:t xml:space="preserve"> </w:t>
      </w:r>
      <w:r w:rsidRPr="00C16757">
        <w:t>between regions, policy areas and levels of government</w:t>
      </w:r>
      <w:r w:rsidR="00137345">
        <w:t>, which can make it difficult for farmers to understand their obligations</w:t>
      </w:r>
      <w:r w:rsidR="00A3198D">
        <w:t xml:space="preserve"> </w:t>
      </w:r>
      <w:r w:rsidR="006E3E72" w:rsidRPr="006E3E72">
        <w:rPr>
          <w:szCs w:val="24"/>
        </w:rPr>
        <w:t>(VFF 2014)</w:t>
      </w:r>
    </w:p>
    <w:p w14:paraId="646BAE8C" w14:textId="77777777" w:rsidR="00C16757" w:rsidRPr="00C16757" w:rsidRDefault="005E72D2" w:rsidP="00023E6B">
      <w:pPr>
        <w:pStyle w:val="ListBullet"/>
      </w:pPr>
      <w:r>
        <w:t>the mix of options</w:t>
      </w:r>
      <w:r w:rsidR="00B37C80">
        <w:t xml:space="preserve"> for </w:t>
      </w:r>
      <w:r>
        <w:t>the</w:t>
      </w:r>
      <w:r w:rsidR="00B37C80">
        <w:t xml:space="preserve"> </w:t>
      </w:r>
      <w:r w:rsidR="00C16757" w:rsidRPr="00C16757">
        <w:t>management of land use conflicts</w:t>
      </w:r>
      <w:r w:rsidR="006A5093">
        <w:t xml:space="preserve">, </w:t>
      </w:r>
      <w:r w:rsidR="00C16757" w:rsidRPr="00C16757">
        <w:t xml:space="preserve">particularly </w:t>
      </w:r>
      <w:r w:rsidR="004403C4">
        <w:t xml:space="preserve">between agriculture, </w:t>
      </w:r>
      <w:r w:rsidR="00467FEE">
        <w:t>gas</w:t>
      </w:r>
      <w:r w:rsidR="00C16757" w:rsidRPr="00C16757">
        <w:t xml:space="preserve"> operations and residential uses</w:t>
      </w:r>
      <w:r w:rsidR="00A82563">
        <w:t>,</w:t>
      </w:r>
      <w:r w:rsidR="006A5093" w:rsidDel="00A82563">
        <w:t xml:space="preserve"> </w:t>
      </w:r>
      <w:r w:rsidR="00A82563">
        <w:t>including</w:t>
      </w:r>
      <w:r w:rsidR="006A5093">
        <w:t xml:space="preserve"> </w:t>
      </w:r>
      <w:r w:rsidR="00B37C80">
        <w:t>policies</w:t>
      </w:r>
      <w:r w:rsidR="008867C8">
        <w:t xml:space="preserve"> governing land access and use</w:t>
      </w:r>
      <w:r w:rsidR="00B37C80">
        <w:t>,</w:t>
      </w:r>
      <w:r w:rsidR="00B37C80" w:rsidRPr="00B37C80">
        <w:t xml:space="preserve"> </w:t>
      </w:r>
      <w:r w:rsidR="00B37C80">
        <w:t xml:space="preserve">compensation </w:t>
      </w:r>
      <w:r w:rsidR="008867C8">
        <w:t>arrangements</w:t>
      </w:r>
      <w:r w:rsidR="00B37C80">
        <w:t>, national frameworks</w:t>
      </w:r>
      <w:r w:rsidR="008867C8">
        <w:t xml:space="preserve"> and strategies</w:t>
      </w:r>
      <w:r w:rsidR="00B37C80">
        <w:t xml:space="preserve"> and right</w:t>
      </w:r>
      <w:r w:rsidR="00B37C80">
        <w:noBreakHyphen/>
        <w:t>to</w:t>
      </w:r>
      <w:r w:rsidR="00B37C80">
        <w:noBreakHyphen/>
        <w:t xml:space="preserve">farm laws </w:t>
      </w:r>
      <w:r w:rsidR="00CD16DE" w:rsidRPr="00CD16DE">
        <w:rPr>
          <w:szCs w:val="24"/>
        </w:rPr>
        <w:t>(Griffith 2015; PC 2015b; PIRSA 2013)</w:t>
      </w:r>
    </w:p>
    <w:p w14:paraId="099E89B9" w14:textId="679DC97F" w:rsidR="00C16757" w:rsidRPr="00C16757" w:rsidRDefault="006A5093" w:rsidP="00023E6B">
      <w:pPr>
        <w:pStyle w:val="ListBullet"/>
      </w:pPr>
      <w:r>
        <w:t xml:space="preserve">the degree of </w:t>
      </w:r>
      <w:r w:rsidR="00C16757" w:rsidRPr="00C16757">
        <w:t>prescriptiveness of zones, which may prevent the diversification of on</w:t>
      </w:r>
      <w:r w:rsidR="00C16757" w:rsidRPr="00C16757">
        <w:noBreakHyphen/>
        <w:t>farm activities</w:t>
      </w:r>
      <w:r w:rsidR="00A3198D">
        <w:t xml:space="preserve"> </w:t>
      </w:r>
      <w:r w:rsidR="00137345">
        <w:t xml:space="preserve">into areas such as processing, tourism and retail </w:t>
      </w:r>
      <w:r w:rsidR="00FF587F" w:rsidRPr="00FF587F">
        <w:rPr>
          <w:szCs w:val="24"/>
        </w:rPr>
        <w:t>(PC 2012)</w:t>
      </w:r>
      <w:r w:rsidR="00A404F5">
        <w:t>.</w:t>
      </w:r>
    </w:p>
    <w:p w14:paraId="221635BC" w14:textId="2719379A" w:rsidR="00C16757" w:rsidRPr="00C16757" w:rsidRDefault="00C16757" w:rsidP="00C16757">
      <w:pPr>
        <w:keepNext/>
        <w:spacing w:before="240" w:line="80" w:lineRule="exact"/>
        <w:rPr>
          <w:b/>
          <w:sz w:val="14"/>
          <w:lang w:eastAsia="en-AU"/>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C16757" w:rsidRPr="00C16757" w14:paraId="29C2C70F" w14:textId="77777777" w:rsidTr="00B4279E">
        <w:trPr>
          <w:cantSplit/>
        </w:trPr>
        <w:tc>
          <w:tcPr>
            <w:tcW w:w="8770" w:type="dxa"/>
            <w:tcBorders>
              <w:top w:val="single" w:sz="6" w:space="0" w:color="78A22F"/>
              <w:left w:val="nil"/>
              <w:bottom w:val="nil"/>
              <w:right w:val="nil"/>
            </w:tcBorders>
            <w:shd w:val="clear" w:color="auto" w:fill="auto"/>
          </w:tcPr>
          <w:p w14:paraId="49182841" w14:textId="48BAEA92" w:rsidR="00C16757" w:rsidRPr="007F6C76" w:rsidRDefault="00602D2C" w:rsidP="00C16757">
            <w:pPr>
              <w:keepLines/>
              <w:spacing w:before="120" w:line="280" w:lineRule="atLeast"/>
              <w:jc w:val="both"/>
              <w:rPr>
                <w:rFonts w:ascii="Arial" w:hAnsi="Arial"/>
                <w:b/>
                <w:i/>
                <w:sz w:val="22"/>
                <w:lang w:eastAsia="en-AU"/>
              </w:rPr>
            </w:pPr>
            <w:r w:rsidRPr="007F6C76">
              <w:rPr>
                <w:rFonts w:ascii="Arial" w:hAnsi="Arial"/>
                <w:b/>
                <w:i/>
                <w:sz w:val="22"/>
                <w:lang w:eastAsia="en-AU"/>
              </w:rPr>
              <w:t>Questions</w:t>
            </w:r>
          </w:p>
          <w:p w14:paraId="3ECD34B2" w14:textId="419998E9" w:rsidR="00C16757" w:rsidRPr="00C16757" w:rsidRDefault="00926A79" w:rsidP="00023E6B">
            <w:pPr>
              <w:pStyle w:val="InformationRequestBullet"/>
            </w:pPr>
            <w:r>
              <w:t>H</w:t>
            </w:r>
            <w:r w:rsidR="00C16757" w:rsidRPr="00C16757">
              <w:t>ow</w:t>
            </w:r>
            <w:r w:rsidR="00602D2C">
              <w:t xml:space="preserve"> could</w:t>
            </w:r>
            <w:r w:rsidR="00C16757" w:rsidRPr="00C16757">
              <w:t xml:space="preserve"> development </w:t>
            </w:r>
            <w:r w:rsidR="0083637D">
              <w:t>assessment and approval</w:t>
            </w:r>
            <w:r w:rsidR="0083637D" w:rsidRPr="00C16757">
              <w:t xml:space="preserve"> processes</w:t>
            </w:r>
            <w:r w:rsidR="0083637D" w:rsidRPr="00C16757" w:rsidDel="0083637D">
              <w:t xml:space="preserve"> </w:t>
            </w:r>
            <w:r w:rsidR="00C16757" w:rsidRPr="00C16757">
              <w:t>be improved</w:t>
            </w:r>
            <w:r w:rsidR="00602D2C">
              <w:t>?</w:t>
            </w:r>
          </w:p>
          <w:p w14:paraId="616B622F" w14:textId="13DDDDFB" w:rsidR="00C16757" w:rsidRPr="00C16757" w:rsidRDefault="00EC02FD" w:rsidP="00023E6B">
            <w:pPr>
              <w:pStyle w:val="InformationRequestBullet"/>
            </w:pPr>
            <w:r>
              <w:t xml:space="preserve">Do different development </w:t>
            </w:r>
            <w:r w:rsidR="0083637D">
              <w:t xml:space="preserve">assessment and </w:t>
            </w:r>
            <w:r>
              <w:t xml:space="preserve">approval processes </w:t>
            </w:r>
            <w:r w:rsidR="005459B5">
              <w:t xml:space="preserve">result in unnecessary regulatory burdens? </w:t>
            </w:r>
          </w:p>
          <w:p w14:paraId="6FA296E3" w14:textId="5A3C7DB7" w:rsidR="00C16757" w:rsidRPr="00C16757" w:rsidRDefault="00926A79" w:rsidP="00023E6B">
            <w:pPr>
              <w:pStyle w:val="InformationRequestBullet"/>
            </w:pPr>
            <w:r>
              <w:t>A</w:t>
            </w:r>
            <w:r w:rsidR="00602D2C">
              <w:t xml:space="preserve">re there </w:t>
            </w:r>
            <w:r w:rsidR="00B6397C">
              <w:t>i</w:t>
            </w:r>
            <w:r w:rsidR="00C16757" w:rsidRPr="00C16757">
              <w:t>nconsistencies between land use regulations and other regulations</w:t>
            </w:r>
            <w:r w:rsidR="00602D2C">
              <w:t>?</w:t>
            </w:r>
            <w:r w:rsidR="00C16757" w:rsidRPr="00C16757">
              <w:t xml:space="preserve"> </w:t>
            </w:r>
            <w:r w:rsidR="004F28F7">
              <w:t>What is the evidence for this?</w:t>
            </w:r>
          </w:p>
          <w:p w14:paraId="4B837F4C" w14:textId="61E037C4" w:rsidR="00C16757" w:rsidRPr="00C16757" w:rsidRDefault="00926A79" w:rsidP="00023E6B">
            <w:pPr>
              <w:pStyle w:val="InformationRequestBullet"/>
            </w:pPr>
            <w:r>
              <w:t>D</w:t>
            </w:r>
            <w:r w:rsidR="00602D2C">
              <w:t>o</w:t>
            </w:r>
            <w:r w:rsidR="00C16757" w:rsidRPr="00C16757">
              <w:t xml:space="preserve"> the benefits of regulations that </w:t>
            </w:r>
            <w:r w:rsidR="004403C4">
              <w:t>restrict</w:t>
            </w:r>
            <w:r w:rsidR="00C16757" w:rsidRPr="00C16757">
              <w:t xml:space="preserve"> land use </w:t>
            </w:r>
            <w:r w:rsidR="004403C4">
              <w:t>to</w:t>
            </w:r>
            <w:r w:rsidR="00C16757" w:rsidRPr="00C16757">
              <w:t xml:space="preserve"> agriculture</w:t>
            </w:r>
            <w:r w:rsidR="004403C4">
              <w:t xml:space="preserve"> activities </w:t>
            </w:r>
            <w:r w:rsidR="00C16757" w:rsidRPr="00C16757">
              <w:t>outweigh the costs</w:t>
            </w:r>
            <w:r w:rsidR="00602D2C">
              <w:t>?</w:t>
            </w:r>
          </w:p>
          <w:p w14:paraId="0EB7519E" w14:textId="00CF7C57" w:rsidR="00C16757" w:rsidRPr="00C16757" w:rsidRDefault="00926A79" w:rsidP="00023E6B">
            <w:pPr>
              <w:pStyle w:val="InformationRequestBullet"/>
            </w:pPr>
            <w:r>
              <w:t>I</w:t>
            </w:r>
            <w:r w:rsidR="00602D2C">
              <w:t>s</w:t>
            </w:r>
            <w:r w:rsidR="00C16757" w:rsidRPr="00C16757">
              <w:t xml:space="preserve"> there scope for zones to allow a broader range of complementary land uses, while still preserving agricultural interests</w:t>
            </w:r>
            <w:r w:rsidR="004F28F7">
              <w:t xml:space="preserve"> and recognising essential land management or conservation purposes</w:t>
            </w:r>
            <w:r w:rsidR="00602D2C">
              <w:t>?</w:t>
            </w:r>
          </w:p>
        </w:tc>
      </w:tr>
      <w:tr w:rsidR="00C16757" w:rsidRPr="00C16757" w14:paraId="38DEEDB3" w14:textId="77777777" w:rsidTr="00501025">
        <w:tc>
          <w:tcPr>
            <w:tcW w:w="8770" w:type="dxa"/>
            <w:tcBorders>
              <w:top w:val="nil"/>
              <w:left w:val="nil"/>
              <w:bottom w:val="single" w:sz="6" w:space="0" w:color="78A22F"/>
              <w:right w:val="nil"/>
            </w:tcBorders>
            <w:shd w:val="clear" w:color="auto" w:fill="auto"/>
          </w:tcPr>
          <w:p w14:paraId="305B47D1" w14:textId="77777777" w:rsidR="00C16757" w:rsidRPr="00C16757" w:rsidRDefault="00C16757" w:rsidP="00C16757">
            <w:pPr>
              <w:keepLines/>
              <w:spacing w:line="120" w:lineRule="exact"/>
              <w:jc w:val="both"/>
              <w:rPr>
                <w:rFonts w:ascii="Arial" w:hAnsi="Arial"/>
                <w:sz w:val="20"/>
                <w:lang w:eastAsia="en-AU"/>
              </w:rPr>
            </w:pPr>
          </w:p>
        </w:tc>
      </w:tr>
      <w:tr w:rsidR="00C16757" w:rsidRPr="00C16757" w14:paraId="6A06F3FE" w14:textId="77777777" w:rsidTr="00501025">
        <w:tc>
          <w:tcPr>
            <w:tcW w:w="8770" w:type="dxa"/>
            <w:tcBorders>
              <w:top w:val="single" w:sz="6" w:space="0" w:color="78A22F"/>
              <w:left w:val="nil"/>
              <w:bottom w:val="nil"/>
              <w:right w:val="nil"/>
            </w:tcBorders>
          </w:tcPr>
          <w:p w14:paraId="5B51BE86" w14:textId="0D76DA1A" w:rsidR="00C16757" w:rsidRPr="00C16757" w:rsidRDefault="00C16757" w:rsidP="00C16757">
            <w:pPr>
              <w:keepLines/>
              <w:spacing w:before="60" w:after="60" w:line="80" w:lineRule="exact"/>
              <w:jc w:val="both"/>
              <w:rPr>
                <w:rFonts w:ascii="Arial" w:hAnsi="Arial"/>
                <w:sz w:val="14"/>
                <w:lang w:eastAsia="en-AU"/>
              </w:rPr>
            </w:pPr>
          </w:p>
        </w:tc>
      </w:tr>
    </w:tbl>
    <w:p w14:paraId="5673CE33" w14:textId="77777777" w:rsidR="00845818" w:rsidRPr="007A09FF" w:rsidRDefault="00845818" w:rsidP="007A09FF">
      <w:pPr>
        <w:pStyle w:val="Heading4"/>
      </w:pPr>
      <w:r w:rsidRPr="007A09FF">
        <w:t>Pastoral leases</w:t>
      </w:r>
    </w:p>
    <w:p w14:paraId="4AD4EED3" w14:textId="29973C69" w:rsidR="001C344F" w:rsidRPr="001C344F" w:rsidRDefault="006A5093" w:rsidP="001C344F">
      <w:pPr>
        <w:pStyle w:val="BodyText"/>
      </w:pPr>
      <w:r>
        <w:t xml:space="preserve">A lot </w:t>
      </w:r>
      <w:r w:rsidR="00C242DE">
        <w:t xml:space="preserve">of Australia’s agricultural land is </w:t>
      </w:r>
      <w:r w:rsidR="00554FCC">
        <w:t xml:space="preserve">Crown </w:t>
      </w:r>
      <w:r w:rsidR="00C242DE">
        <w:t>land held by the public under long</w:t>
      </w:r>
      <w:r w:rsidR="00C242DE">
        <w:noBreakHyphen/>
        <w:t xml:space="preserve">term pastoral leases with state and territory governments. </w:t>
      </w:r>
      <w:r>
        <w:t xml:space="preserve">While </w:t>
      </w:r>
      <w:r w:rsidR="00C16757">
        <w:t>the</w:t>
      </w:r>
      <w:r w:rsidR="004541B3">
        <w:t xml:space="preserve"> terms of pastoral leases diffe</w:t>
      </w:r>
      <w:r w:rsidR="00C16757">
        <w:t xml:space="preserve">r across states and territories, </w:t>
      </w:r>
      <w:r w:rsidR="00DA3BB0">
        <w:t xml:space="preserve">some </w:t>
      </w:r>
      <w:r w:rsidR="004541B3">
        <w:t>common</w:t>
      </w:r>
      <w:r w:rsidR="003A2FFB">
        <w:t>ly raised</w:t>
      </w:r>
      <w:r w:rsidR="004541B3">
        <w:t xml:space="preserve"> issues </w:t>
      </w:r>
      <w:r w:rsidR="003A2FFB">
        <w:t>include</w:t>
      </w:r>
      <w:r w:rsidR="00FE3EBF">
        <w:t xml:space="preserve"> that: </w:t>
      </w:r>
    </w:p>
    <w:p w14:paraId="29F55CAA" w14:textId="77777777" w:rsidR="004541B3" w:rsidRDefault="00FE3EBF" w:rsidP="004541B3">
      <w:pPr>
        <w:pStyle w:val="ListBullet"/>
      </w:pPr>
      <w:r>
        <w:t xml:space="preserve">there are </w:t>
      </w:r>
      <w:r w:rsidR="003F247E">
        <w:t>impediments to the</w:t>
      </w:r>
      <w:r w:rsidR="00501025">
        <w:t xml:space="preserve"> diversification of </w:t>
      </w:r>
      <w:r w:rsidR="003F247E">
        <w:t>farming</w:t>
      </w:r>
      <w:r w:rsidR="00CB7206">
        <w:t xml:space="preserve"> activity</w:t>
      </w:r>
      <w:r>
        <w:t xml:space="preserve">, including </w:t>
      </w:r>
      <w:r w:rsidR="003F247E">
        <w:t xml:space="preserve">limits on the type and amount of alternative </w:t>
      </w:r>
      <w:r w:rsidR="00501025">
        <w:t>activities</w:t>
      </w:r>
      <w:r>
        <w:t xml:space="preserve"> (</w:t>
      </w:r>
      <w:r w:rsidR="003F247E">
        <w:t>such as tourism or horticulture</w:t>
      </w:r>
      <w:r>
        <w:t>)</w:t>
      </w:r>
      <w:r w:rsidR="00501025">
        <w:t xml:space="preserve"> </w:t>
      </w:r>
      <w:r w:rsidR="003F247E">
        <w:t xml:space="preserve">that can occur </w:t>
      </w:r>
      <w:r w:rsidR="00501025">
        <w:t>under pastoral lease</w:t>
      </w:r>
      <w:r w:rsidR="003F247E">
        <w:t xml:space="preserve">s </w:t>
      </w:r>
      <w:r w:rsidR="0066729B" w:rsidRPr="0066729B">
        <w:rPr>
          <w:szCs w:val="24"/>
        </w:rPr>
        <w:t>(Australian Government 2015b; Legislative Council of Western Australia 2014)</w:t>
      </w:r>
    </w:p>
    <w:p w14:paraId="4D6994A8" w14:textId="4828A7B8" w:rsidR="00501025" w:rsidRDefault="003F247E" w:rsidP="004541B3">
      <w:pPr>
        <w:pStyle w:val="ListBullet"/>
      </w:pPr>
      <w:r>
        <w:t>lack of security of tenure</w:t>
      </w:r>
      <w:r w:rsidR="00FE3EBF" w:rsidDel="00A7703C">
        <w:t xml:space="preserve"> </w:t>
      </w:r>
      <w:r w:rsidR="00FE3EBF">
        <w:t xml:space="preserve">can </w:t>
      </w:r>
      <w:r>
        <w:t xml:space="preserve">act as an </w:t>
      </w:r>
      <w:r w:rsidR="005B2EC0">
        <w:t xml:space="preserve">impediment to lending and investing in infrastructure </w:t>
      </w:r>
      <w:r w:rsidR="005B2EC0" w:rsidRPr="001019E2">
        <w:rPr>
          <w:szCs w:val="24"/>
        </w:rPr>
        <w:t>(</w:t>
      </w:r>
      <w:r w:rsidR="00BA5ECD">
        <w:rPr>
          <w:szCs w:val="24"/>
        </w:rPr>
        <w:t xml:space="preserve">WA </w:t>
      </w:r>
      <w:r w:rsidR="005B2EC0" w:rsidRPr="001019E2">
        <w:rPr>
          <w:szCs w:val="24"/>
        </w:rPr>
        <w:t>Department of Lands 2013)</w:t>
      </w:r>
      <w:r w:rsidR="005B2EC0">
        <w:t xml:space="preserve"> </w:t>
      </w:r>
    </w:p>
    <w:p w14:paraId="57987F0E" w14:textId="3A76A461" w:rsidR="00501025" w:rsidRPr="001C344F" w:rsidRDefault="005B2EC0" w:rsidP="004541B3">
      <w:pPr>
        <w:pStyle w:val="ListBullet"/>
      </w:pPr>
      <w:r>
        <w:t xml:space="preserve">permits for </w:t>
      </w:r>
      <w:r w:rsidR="0035159E">
        <w:t>alternative activities</w:t>
      </w:r>
      <w:r>
        <w:t xml:space="preserve"> under pastoral leases may not be registrable on the lease and therefore not transferable if the lease is </w:t>
      </w:r>
      <w:r w:rsidR="0035159E">
        <w:t>transferred</w:t>
      </w:r>
      <w:r>
        <w:t xml:space="preserve"> </w:t>
      </w:r>
      <w:r w:rsidR="008E7017" w:rsidRPr="008E17B1">
        <w:rPr>
          <w:szCs w:val="24"/>
        </w:rPr>
        <w:t>(Australian Government 2015b)</w:t>
      </w:r>
      <w:r>
        <w:t xml:space="preserve">. </w:t>
      </w:r>
    </w:p>
    <w:p w14:paraId="14928B6A" w14:textId="63AFDAE2" w:rsidR="005B2EC0" w:rsidRPr="005B2EC0" w:rsidRDefault="00BF223C" w:rsidP="005B2EC0">
      <w:pPr>
        <w:pStyle w:val="BodyText"/>
      </w:pPr>
      <w:r>
        <w:t>Lease</w:t>
      </w:r>
      <w:r w:rsidR="00CB7206">
        <w:t xml:space="preserve"> arrangements that unnecessarily </w:t>
      </w:r>
      <w:r w:rsidR="002D670A">
        <w:t>impede</w:t>
      </w:r>
      <w:r w:rsidR="002170B4">
        <w:t xml:space="preserve"> the emergence of non-pastoral activities or investment in infrastructure and </w:t>
      </w:r>
      <w:r w:rsidR="00FF6E7B">
        <w:t>agriculture</w:t>
      </w:r>
      <w:r w:rsidR="002170B4">
        <w:t>,</w:t>
      </w:r>
      <w:r w:rsidR="00CB7206">
        <w:t xml:space="preserve"> </w:t>
      </w:r>
      <w:r w:rsidR="002170B4">
        <w:t xml:space="preserve">could stifle innovation and </w:t>
      </w:r>
      <w:r w:rsidR="00B93FC3">
        <w:t xml:space="preserve">competition and </w:t>
      </w:r>
      <w:r w:rsidR="00A01D2E">
        <w:t xml:space="preserve">preclude </w:t>
      </w:r>
      <w:r w:rsidR="002170B4">
        <w:t xml:space="preserve">potential economic </w:t>
      </w:r>
      <w:r w:rsidR="00716EC0">
        <w:t xml:space="preserve">and social </w:t>
      </w:r>
      <w:r w:rsidR="002170B4">
        <w:t xml:space="preserve">gains </w:t>
      </w:r>
      <w:r w:rsidR="002B4E6F">
        <w:t>for</w:t>
      </w:r>
      <w:r w:rsidR="002170B4">
        <w:t xml:space="preserve"> f</w:t>
      </w:r>
      <w:r w:rsidR="002A417B">
        <w:t>armers and the wider community.</w:t>
      </w:r>
    </w:p>
    <w:p w14:paraId="279F4151" w14:textId="49F919D8" w:rsidR="00794FDC" w:rsidRPr="00C16757" w:rsidRDefault="00794FDC" w:rsidP="00794FDC">
      <w:pPr>
        <w:keepNext/>
        <w:spacing w:before="240" w:line="80" w:lineRule="exact"/>
        <w:rPr>
          <w:b/>
          <w:sz w:val="14"/>
          <w:lang w:eastAsia="en-AU"/>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794FDC" w:rsidRPr="00C16757" w14:paraId="310176A4" w14:textId="77777777" w:rsidTr="0036569A">
        <w:trPr>
          <w:cantSplit/>
        </w:trPr>
        <w:tc>
          <w:tcPr>
            <w:tcW w:w="8770" w:type="dxa"/>
            <w:tcBorders>
              <w:top w:val="single" w:sz="6" w:space="0" w:color="78A22F"/>
              <w:left w:val="nil"/>
              <w:bottom w:val="nil"/>
              <w:right w:val="nil"/>
            </w:tcBorders>
            <w:shd w:val="clear" w:color="auto" w:fill="auto"/>
          </w:tcPr>
          <w:p w14:paraId="23997DC9" w14:textId="4F6986AE" w:rsidR="00794FDC" w:rsidRPr="007F6C76" w:rsidRDefault="002A417B" w:rsidP="00794FDC">
            <w:pPr>
              <w:keepLines/>
              <w:spacing w:before="120" w:line="280" w:lineRule="atLeast"/>
              <w:jc w:val="both"/>
              <w:rPr>
                <w:rFonts w:ascii="Arial" w:hAnsi="Arial"/>
                <w:b/>
                <w:i/>
                <w:sz w:val="22"/>
                <w:lang w:eastAsia="en-AU"/>
              </w:rPr>
            </w:pPr>
            <w:r>
              <w:rPr>
                <w:rFonts w:ascii="Arial" w:hAnsi="Arial"/>
                <w:b/>
                <w:i/>
                <w:sz w:val="22"/>
                <w:lang w:eastAsia="en-AU"/>
              </w:rPr>
              <w:t>Questions</w:t>
            </w:r>
          </w:p>
          <w:p w14:paraId="62E19E6D" w14:textId="215E42B3" w:rsidR="00096C99" w:rsidRDefault="001C1832" w:rsidP="00C963C4">
            <w:pPr>
              <w:pStyle w:val="InformationRequestBullet"/>
            </w:pPr>
            <w:r>
              <w:t xml:space="preserve">Is diversification of agricultural activity unnecessarily restricted by </w:t>
            </w:r>
            <w:r w:rsidR="00745B56">
              <w:t xml:space="preserve">conditions in </w:t>
            </w:r>
            <w:r>
              <w:t xml:space="preserve">pastoral leases? </w:t>
            </w:r>
          </w:p>
          <w:p w14:paraId="1AE3014B" w14:textId="610431A8" w:rsidR="00C963C4" w:rsidRDefault="002F1D99" w:rsidP="00C963C4">
            <w:pPr>
              <w:pStyle w:val="InformationRequestBullet"/>
            </w:pPr>
            <w:r>
              <w:t>Is</w:t>
            </w:r>
            <w:r w:rsidR="00C963C4">
              <w:t xml:space="preserve"> pastoral leasehold an effective way of facilitating efficient land use</w:t>
            </w:r>
            <w:r>
              <w:t xml:space="preserve">? What </w:t>
            </w:r>
            <w:r w:rsidR="00C963C4">
              <w:t xml:space="preserve">other </w:t>
            </w:r>
            <w:r w:rsidR="00C92149">
              <w:t>approaches could be used</w:t>
            </w:r>
            <w:r>
              <w:t>?</w:t>
            </w:r>
          </w:p>
          <w:p w14:paraId="255A714F" w14:textId="6A682CF1" w:rsidR="00C963C4" w:rsidRPr="00C963C4" w:rsidRDefault="002F1D99" w:rsidP="00C963C4">
            <w:pPr>
              <w:pStyle w:val="InformationRequestBullet"/>
            </w:pPr>
            <w:r>
              <w:t xml:space="preserve">What implications </w:t>
            </w:r>
            <w:r w:rsidR="006F27AC">
              <w:t>(if any)</w:t>
            </w:r>
            <w:r w:rsidR="00C963C4">
              <w:t xml:space="preserve"> </w:t>
            </w:r>
            <w:r>
              <w:t xml:space="preserve">does the </w:t>
            </w:r>
            <w:r w:rsidR="00C963C4">
              <w:t xml:space="preserve">security of tenure </w:t>
            </w:r>
            <w:r w:rsidR="00FF6E7B">
              <w:t>of pastoral leases</w:t>
            </w:r>
            <w:r w:rsidR="00C963C4">
              <w:t xml:space="preserve"> </w:t>
            </w:r>
            <w:r>
              <w:t xml:space="preserve">have </w:t>
            </w:r>
            <w:r w:rsidR="00AF19D9">
              <w:t>for</w:t>
            </w:r>
            <w:r w:rsidR="00C963C4">
              <w:t xml:space="preserve"> lending or investment</w:t>
            </w:r>
            <w:r>
              <w:t>?</w:t>
            </w:r>
          </w:p>
          <w:p w14:paraId="3530ED04" w14:textId="33F3114A" w:rsidR="00794FDC" w:rsidRPr="00C16757" w:rsidRDefault="002F1D99" w:rsidP="00FE3EBF">
            <w:pPr>
              <w:pStyle w:val="InformationRequestBullet"/>
            </w:pPr>
            <w:r>
              <w:t xml:space="preserve">What are </w:t>
            </w:r>
            <w:r w:rsidR="003A77AE">
              <w:t xml:space="preserve">the highest priority reforms </w:t>
            </w:r>
            <w:r w:rsidR="00FE3EBF">
              <w:t xml:space="preserve">for </w:t>
            </w:r>
            <w:r w:rsidR="003A77AE">
              <w:t>improv</w:t>
            </w:r>
            <w:r w:rsidR="00FE3EBF">
              <w:t>ing</w:t>
            </w:r>
            <w:r w:rsidR="00C963C4">
              <w:t xml:space="preserve"> pastoral lease arrangements</w:t>
            </w:r>
            <w:r>
              <w:t>?</w:t>
            </w:r>
          </w:p>
        </w:tc>
      </w:tr>
      <w:tr w:rsidR="00794FDC" w:rsidRPr="00C16757" w14:paraId="1A16885D" w14:textId="77777777" w:rsidTr="0036569A">
        <w:trPr>
          <w:cantSplit/>
        </w:trPr>
        <w:tc>
          <w:tcPr>
            <w:tcW w:w="8770" w:type="dxa"/>
            <w:tcBorders>
              <w:top w:val="nil"/>
              <w:left w:val="nil"/>
              <w:bottom w:val="single" w:sz="6" w:space="0" w:color="78A22F"/>
              <w:right w:val="nil"/>
            </w:tcBorders>
            <w:shd w:val="clear" w:color="auto" w:fill="auto"/>
          </w:tcPr>
          <w:p w14:paraId="2031304C" w14:textId="77777777" w:rsidR="00794FDC" w:rsidRPr="00C16757" w:rsidRDefault="00794FDC" w:rsidP="00794FDC">
            <w:pPr>
              <w:keepLines/>
              <w:spacing w:line="120" w:lineRule="exact"/>
              <w:jc w:val="both"/>
              <w:rPr>
                <w:rFonts w:ascii="Arial" w:hAnsi="Arial"/>
                <w:sz w:val="20"/>
                <w:lang w:eastAsia="en-AU"/>
              </w:rPr>
            </w:pPr>
          </w:p>
        </w:tc>
      </w:tr>
      <w:tr w:rsidR="00794FDC" w:rsidRPr="00C16757" w14:paraId="7D56E349" w14:textId="77777777" w:rsidTr="0036569A">
        <w:trPr>
          <w:cantSplit/>
        </w:trPr>
        <w:tc>
          <w:tcPr>
            <w:tcW w:w="8770" w:type="dxa"/>
            <w:tcBorders>
              <w:top w:val="single" w:sz="6" w:space="0" w:color="78A22F"/>
              <w:left w:val="nil"/>
              <w:bottom w:val="nil"/>
              <w:right w:val="nil"/>
            </w:tcBorders>
          </w:tcPr>
          <w:p w14:paraId="6D7A0677" w14:textId="3DA302A5" w:rsidR="00794FDC" w:rsidRPr="00C16757" w:rsidRDefault="00794FDC" w:rsidP="00794FDC">
            <w:pPr>
              <w:keepLines/>
              <w:spacing w:before="60" w:after="60" w:line="80" w:lineRule="exact"/>
              <w:jc w:val="both"/>
              <w:rPr>
                <w:rFonts w:ascii="Arial" w:hAnsi="Arial"/>
                <w:sz w:val="14"/>
                <w:lang w:eastAsia="en-AU"/>
              </w:rPr>
            </w:pPr>
          </w:p>
        </w:tc>
      </w:tr>
    </w:tbl>
    <w:p w14:paraId="20EEE0BC" w14:textId="30E781DB" w:rsidR="001C344F" w:rsidRPr="007A09FF" w:rsidRDefault="001C344F" w:rsidP="007A09FF">
      <w:pPr>
        <w:pStyle w:val="Heading4"/>
      </w:pPr>
      <w:r w:rsidRPr="007A09FF">
        <w:lastRenderedPageBreak/>
        <w:t xml:space="preserve">Native </w:t>
      </w:r>
      <w:r w:rsidR="007F6689" w:rsidRPr="007A09FF">
        <w:t>title</w:t>
      </w:r>
    </w:p>
    <w:p w14:paraId="05FB1190" w14:textId="01FC3F07" w:rsidR="00717844" w:rsidRDefault="00C659D0" w:rsidP="00C659D0">
      <w:pPr>
        <w:pStyle w:val="BodyText"/>
      </w:pPr>
      <w:r>
        <w:t xml:space="preserve">Native title recognises the interests and rights of Indigenous people in relation to land, and can include the right to </w:t>
      </w:r>
      <w:r w:rsidRPr="00C817D4">
        <w:t xml:space="preserve">the possession, use and occupation of </w:t>
      </w:r>
      <w:r>
        <w:t>land</w:t>
      </w:r>
      <w:r w:rsidRPr="00C817D4">
        <w:t xml:space="preserve"> </w:t>
      </w:r>
      <w:r>
        <w:t xml:space="preserve">or the right to access land for particular purposes </w:t>
      </w:r>
      <w:r w:rsidR="000F11E8" w:rsidRPr="000F11E8">
        <w:rPr>
          <w:szCs w:val="24"/>
        </w:rPr>
        <w:t>(Kimberley Land Council 2014)</w:t>
      </w:r>
      <w:r>
        <w:t xml:space="preserve">. Across Australia, native title is claimed over a large portion of Crown land </w:t>
      </w:r>
      <w:r w:rsidR="000F11E8" w:rsidRPr="000F11E8">
        <w:rPr>
          <w:szCs w:val="24"/>
        </w:rPr>
        <w:t>(National Native Title Tribunal 2015)</w:t>
      </w:r>
      <w:r w:rsidR="001E2FED">
        <w:t>. As a result,</w:t>
      </w:r>
      <w:r>
        <w:t xml:space="preserve"> the use of this land for agricultural purposes may be subject to native title interests.</w:t>
      </w:r>
      <w:r w:rsidR="00717844">
        <w:t xml:space="preserve"> </w:t>
      </w:r>
    </w:p>
    <w:p w14:paraId="6D2AFC3D" w14:textId="4239DE38" w:rsidR="00614571" w:rsidRDefault="002D7FBB" w:rsidP="00235D11">
      <w:pPr>
        <w:pStyle w:val="BodyText"/>
      </w:pPr>
      <w:r>
        <w:t>N</w:t>
      </w:r>
      <w:r w:rsidR="00717844">
        <w:t>ative title legislation create</w:t>
      </w:r>
      <w:r>
        <w:t>s</w:t>
      </w:r>
      <w:r w:rsidR="00717844">
        <w:t xml:space="preserve"> a framework for resolving native title claims and manag</w:t>
      </w:r>
      <w:r>
        <w:t>ing</w:t>
      </w:r>
      <w:r w:rsidR="00717844">
        <w:t xml:space="preserve"> conflicting land uses on </w:t>
      </w:r>
      <w:r w:rsidR="00BC1255">
        <w:t>I</w:t>
      </w:r>
      <w:r w:rsidR="00717844">
        <w:t>ndigenous land.</w:t>
      </w:r>
      <w:r w:rsidR="00D077CA">
        <w:t xml:space="preserve"> </w:t>
      </w:r>
      <w:r w:rsidR="00235D11">
        <w:t xml:space="preserve">Some stakeholders to the White Paper on Developing Northern Australia observed that the costs and time delays associated with native title processes can make some developments unviable. </w:t>
      </w:r>
      <w:r w:rsidR="003749F2">
        <w:t>It was a</w:t>
      </w:r>
      <w:r w:rsidR="00235D11">
        <w:t>lso</w:t>
      </w:r>
      <w:r w:rsidR="003749F2">
        <w:t xml:space="preserve"> observed that </w:t>
      </w:r>
      <w:r w:rsidR="00614571" w:rsidRPr="00DA7521">
        <w:t>unresolved native title claims</w:t>
      </w:r>
      <w:r w:rsidR="00614571">
        <w:t xml:space="preserve"> can </w:t>
      </w:r>
      <w:r w:rsidR="0057729B">
        <w:t>mean that property rights are uncertain</w:t>
      </w:r>
      <w:r w:rsidR="005218BF">
        <w:t>, mak</w:t>
      </w:r>
      <w:r w:rsidR="00235D11">
        <w:t>ing</w:t>
      </w:r>
      <w:r w:rsidR="005218BF">
        <w:t xml:space="preserve"> negotiations relating to future land use more likely to break down</w:t>
      </w:r>
      <w:r w:rsidR="00614571">
        <w:t xml:space="preserve"> </w:t>
      </w:r>
      <w:r w:rsidR="008E17B1" w:rsidRPr="008E17B1">
        <w:rPr>
          <w:szCs w:val="24"/>
        </w:rPr>
        <w:t>(Australian Government 2015b)</w:t>
      </w:r>
      <w:r w:rsidR="00614571">
        <w:t>.</w:t>
      </w:r>
    </w:p>
    <w:p w14:paraId="2982B0C5" w14:textId="7A82AEB7" w:rsidR="00A46CFF" w:rsidRDefault="00A46CFF" w:rsidP="00A46CFF">
      <w:pPr>
        <w:pStyle w:val="BodyText"/>
        <w:keepNext/>
        <w:keepLines/>
        <w:spacing w:before="120" w:line="280" w:lineRule="atLeast"/>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46CFF" w:rsidRPr="002E6452" w14:paraId="2982B0C8" w14:textId="77777777" w:rsidTr="002B5666">
        <w:tc>
          <w:tcPr>
            <w:tcW w:w="8771" w:type="dxa"/>
            <w:tcBorders>
              <w:top w:val="single" w:sz="6" w:space="0" w:color="78A22F"/>
              <w:left w:val="nil"/>
              <w:bottom w:val="nil"/>
              <w:right w:val="nil"/>
            </w:tcBorders>
            <w:shd w:val="clear" w:color="auto" w:fill="auto"/>
          </w:tcPr>
          <w:p w14:paraId="2982B0C6" w14:textId="5983267F" w:rsidR="00A46CFF" w:rsidRPr="007F6C76" w:rsidRDefault="00717844" w:rsidP="002B5666">
            <w:pPr>
              <w:pStyle w:val="InformationRequest"/>
              <w:keepNext/>
              <w:rPr>
                <w:b/>
                <w:color w:val="000000" w:themeColor="text1"/>
              </w:rPr>
            </w:pPr>
            <w:r w:rsidRPr="007F6C76">
              <w:rPr>
                <w:b/>
                <w:color w:val="000000" w:themeColor="text1"/>
              </w:rPr>
              <w:t>Questions</w:t>
            </w:r>
          </w:p>
          <w:p w14:paraId="50AC52B0" w14:textId="731B7B40" w:rsidR="002C28E8" w:rsidRDefault="002C28E8" w:rsidP="00614571">
            <w:pPr>
              <w:pStyle w:val="InformationRequestBullet"/>
            </w:pPr>
            <w:r>
              <w:t>How well are native title processes managed?</w:t>
            </w:r>
            <w:r w:rsidR="00B66459">
              <w:t xml:space="preserve"> </w:t>
            </w:r>
          </w:p>
          <w:p w14:paraId="0AE313B5" w14:textId="3094353A" w:rsidR="009B186F" w:rsidRDefault="00717844" w:rsidP="00614571">
            <w:pPr>
              <w:pStyle w:val="InformationRequestBullet"/>
            </w:pPr>
            <w:r>
              <w:t>How do</w:t>
            </w:r>
            <w:r w:rsidR="009B186F">
              <w:t xml:space="preserve"> native title processes affect decisions relating to current or future land use</w:t>
            </w:r>
            <w:r>
              <w:t>?</w:t>
            </w:r>
          </w:p>
          <w:p w14:paraId="2982B0C7" w14:textId="059E0F3A" w:rsidR="00A46CFF" w:rsidRPr="002E6452" w:rsidRDefault="002C28E8" w:rsidP="00235D11">
            <w:pPr>
              <w:pStyle w:val="InformationRequestBullet"/>
            </w:pPr>
            <w:r>
              <w:t>What</w:t>
            </w:r>
            <w:r w:rsidR="00235D11">
              <w:t xml:space="preserve"> </w:t>
            </w:r>
            <w:r w:rsidR="00614571">
              <w:t xml:space="preserve">scope </w:t>
            </w:r>
            <w:r>
              <w:t>exists</w:t>
            </w:r>
            <w:r w:rsidR="00614571">
              <w:t xml:space="preserve"> </w:t>
            </w:r>
            <w:r w:rsidR="00235D11">
              <w:t xml:space="preserve">to </w:t>
            </w:r>
            <w:r w:rsidR="00614571">
              <w:t>reduc</w:t>
            </w:r>
            <w:r w:rsidR="00235D11">
              <w:t xml:space="preserve">e </w:t>
            </w:r>
            <w:r w:rsidR="000066DA">
              <w:t>any</w:t>
            </w:r>
            <w:r w:rsidR="00614571">
              <w:t xml:space="preserve"> unnecessary burden imposed by native title processes</w:t>
            </w:r>
            <w:r w:rsidR="005E12F6">
              <w:t xml:space="preserve"> and how should regulation be reformed to give this effect</w:t>
            </w:r>
            <w:r w:rsidR="00717844">
              <w:t>?</w:t>
            </w:r>
          </w:p>
        </w:tc>
      </w:tr>
      <w:tr w:rsidR="00A46CFF" w14:paraId="2982B0CA" w14:textId="77777777" w:rsidTr="002B5666">
        <w:trPr>
          <w:cantSplit/>
        </w:trPr>
        <w:tc>
          <w:tcPr>
            <w:tcW w:w="8771" w:type="dxa"/>
            <w:tcBorders>
              <w:top w:val="nil"/>
              <w:left w:val="nil"/>
              <w:bottom w:val="single" w:sz="6" w:space="0" w:color="78A22F"/>
              <w:right w:val="nil"/>
            </w:tcBorders>
            <w:shd w:val="clear" w:color="auto" w:fill="auto"/>
          </w:tcPr>
          <w:p w14:paraId="2982B0C9" w14:textId="77777777" w:rsidR="00A46CFF" w:rsidRDefault="00A46CFF" w:rsidP="002B5666">
            <w:pPr>
              <w:pStyle w:val="Box"/>
              <w:spacing w:before="0" w:line="120" w:lineRule="exact"/>
            </w:pPr>
          </w:p>
        </w:tc>
      </w:tr>
      <w:tr w:rsidR="00A46CFF" w:rsidRPr="000863A5" w14:paraId="2982B0CC" w14:textId="77777777" w:rsidTr="002B5666">
        <w:tc>
          <w:tcPr>
            <w:tcW w:w="8771" w:type="dxa"/>
            <w:tcBorders>
              <w:top w:val="single" w:sz="6" w:space="0" w:color="78A22F"/>
              <w:left w:val="nil"/>
              <w:bottom w:val="nil"/>
              <w:right w:val="nil"/>
            </w:tcBorders>
          </w:tcPr>
          <w:p w14:paraId="2982B0CB" w14:textId="6ED3418D" w:rsidR="00A46CFF" w:rsidRPr="00626D32" w:rsidRDefault="00A46CFF" w:rsidP="002B5666">
            <w:pPr>
              <w:pStyle w:val="BoxSpaceBelow"/>
            </w:pPr>
          </w:p>
        </w:tc>
      </w:tr>
    </w:tbl>
    <w:p w14:paraId="2982B0CD" w14:textId="77777777" w:rsidR="002B1032" w:rsidRDefault="002B1032" w:rsidP="00A23D2C">
      <w:pPr>
        <w:pStyle w:val="Heading3"/>
      </w:pPr>
      <w:r>
        <w:t>Environmental protection</w:t>
      </w:r>
    </w:p>
    <w:p w14:paraId="2982B0CE" w14:textId="058AE4A7" w:rsidR="000F42D6" w:rsidRDefault="000F42D6" w:rsidP="000F42D6">
      <w:pPr>
        <w:pStyle w:val="BodyText"/>
      </w:pPr>
      <w:r>
        <w:t xml:space="preserve">All levels of government have regulations </w:t>
      </w:r>
      <w:r w:rsidR="004247E7">
        <w:t xml:space="preserve">which </w:t>
      </w:r>
      <w:r w:rsidR="002671A2">
        <w:t xml:space="preserve">are designed </w:t>
      </w:r>
      <w:r w:rsidDel="002671A2">
        <w:t xml:space="preserve">to </w:t>
      </w:r>
      <w:r>
        <w:t>conserve biodiversity</w:t>
      </w:r>
      <w:r w:rsidR="00DB6CE5">
        <w:t xml:space="preserve">, </w:t>
      </w:r>
      <w:r w:rsidR="002B2CC9">
        <w:t xml:space="preserve">protect </w:t>
      </w:r>
      <w:r>
        <w:t>the environment</w:t>
      </w:r>
      <w:r w:rsidR="00DB6CE5">
        <w:t xml:space="preserve"> or </w:t>
      </w:r>
      <w:r w:rsidR="002671A2">
        <w:t>promot</w:t>
      </w:r>
      <w:r w:rsidR="00D43728">
        <w:t>e</w:t>
      </w:r>
      <w:r w:rsidR="002671A2">
        <w:t xml:space="preserve"> </w:t>
      </w:r>
      <w:r w:rsidR="00DB6CE5">
        <w:t>the sustainability of soils, waterways and ecosystems</w:t>
      </w:r>
      <w:r>
        <w:t xml:space="preserve">. </w:t>
      </w:r>
      <w:r w:rsidR="00B6736F">
        <w:t>For example, t</w:t>
      </w:r>
      <w:r>
        <w:t>he</w:t>
      </w:r>
      <w:r w:rsidR="00E86958">
        <w:t>y</w:t>
      </w:r>
      <w:r>
        <w:t xml:space="preserve"> include:</w:t>
      </w:r>
    </w:p>
    <w:p w14:paraId="2982B0CF" w14:textId="0883ACCC" w:rsidR="000F42D6" w:rsidRDefault="000F42D6" w:rsidP="007052CA">
      <w:pPr>
        <w:pStyle w:val="ListBullet"/>
      </w:pPr>
      <w:r>
        <w:t xml:space="preserve">the </w:t>
      </w:r>
      <w:r w:rsidRPr="00C70054">
        <w:rPr>
          <w:i/>
        </w:rPr>
        <w:t>Environment Protection and Biodiversity Conservation Act 1999</w:t>
      </w:r>
      <w:r w:rsidRPr="00162A62">
        <w:t xml:space="preserve"> (Cw</w:t>
      </w:r>
      <w:r>
        <w:t>l</w:t>
      </w:r>
      <w:r w:rsidRPr="00162A62">
        <w:t>th)</w:t>
      </w:r>
    </w:p>
    <w:p w14:paraId="63612C43" w14:textId="77777777" w:rsidR="00D34345" w:rsidRPr="00CA2037" w:rsidRDefault="00D34345" w:rsidP="00D34345">
      <w:pPr>
        <w:pStyle w:val="ListBullet"/>
      </w:pPr>
      <w:r>
        <w:t xml:space="preserve">state and territory laws relating to natural and cultural heritage; </w:t>
      </w:r>
      <w:r w:rsidRPr="00CA2037">
        <w:t>air, water and noise pollution</w:t>
      </w:r>
      <w:r>
        <w:t>;</w:t>
      </w:r>
      <w:r w:rsidRPr="00CA2037">
        <w:t xml:space="preserve"> and waste and resource recovery</w:t>
      </w:r>
    </w:p>
    <w:p w14:paraId="2982B0D0" w14:textId="48D77556" w:rsidR="000F42D6" w:rsidRDefault="000F42D6" w:rsidP="007052CA">
      <w:pPr>
        <w:pStyle w:val="ListBullet"/>
      </w:pPr>
      <w:r>
        <w:t>state and territory native vegetation regulations and associated policies</w:t>
      </w:r>
      <w:r w:rsidR="00554F8E">
        <w:t xml:space="preserve"> (</w:t>
      </w:r>
      <w:r w:rsidR="00E86958">
        <w:t xml:space="preserve">including </w:t>
      </w:r>
      <w:r>
        <w:t>those relating to risk assessment and to the use of offsets</w:t>
      </w:r>
      <w:r w:rsidR="00554F8E">
        <w:t>)</w:t>
      </w:r>
      <w:r>
        <w:t xml:space="preserve"> </w:t>
      </w:r>
    </w:p>
    <w:p w14:paraId="3B2A151B" w14:textId="35E4D7E1" w:rsidR="00614D52" w:rsidRDefault="000F42D6" w:rsidP="007052CA">
      <w:pPr>
        <w:pStyle w:val="ListBullet"/>
      </w:pPr>
      <w:r>
        <w:t>policies relating to climate change</w:t>
      </w:r>
      <w:r w:rsidR="00FC1BEA">
        <w:t xml:space="preserve"> and carbon emissions reduction</w:t>
      </w:r>
      <w:r w:rsidR="00CE1260">
        <w:t>.</w:t>
      </w:r>
    </w:p>
    <w:p w14:paraId="7DE167AB" w14:textId="329FC7F4" w:rsidR="00D75540" w:rsidRDefault="001B1FD1" w:rsidP="000F42D6">
      <w:pPr>
        <w:pStyle w:val="BodyText"/>
      </w:pPr>
      <w:r>
        <w:t xml:space="preserve">Environment protection regulations </w:t>
      </w:r>
      <w:r w:rsidR="000F42D6">
        <w:t xml:space="preserve">can </w:t>
      </w:r>
      <w:r w:rsidR="00FF247A">
        <w:t>affect</w:t>
      </w:r>
      <w:r w:rsidR="00E86958">
        <w:t xml:space="preserve"> </w:t>
      </w:r>
      <w:r w:rsidR="000F42D6">
        <w:t>farm business</w:t>
      </w:r>
      <w:r>
        <w:t xml:space="preserve">es. </w:t>
      </w:r>
      <w:r w:rsidR="000F42D6">
        <w:t xml:space="preserve">For example, </w:t>
      </w:r>
      <w:r w:rsidR="00D75540">
        <w:t xml:space="preserve">some agricultural activities, such as land clearing, </w:t>
      </w:r>
      <w:r w:rsidR="00E86958">
        <w:t xml:space="preserve">can </w:t>
      </w:r>
      <w:r w:rsidR="00D75540">
        <w:t xml:space="preserve">require government approval. </w:t>
      </w:r>
      <w:r w:rsidR="00170001">
        <w:t xml:space="preserve">Land use limitations, access to water, feral animal control, noise and fumes in peri-urban locations and controls on pesticide use all may be imposed via environmental </w:t>
      </w:r>
      <w:r w:rsidR="00563F02">
        <w:t>legislation</w:t>
      </w:r>
      <w:r w:rsidR="00170001">
        <w:t xml:space="preserve">. </w:t>
      </w:r>
      <w:r w:rsidR="00D75540">
        <w:t>In the context of the</w:t>
      </w:r>
      <w:r w:rsidR="006E27A0" w:rsidRPr="006E27A0">
        <w:rPr>
          <w:i/>
        </w:rPr>
        <w:t xml:space="preserve"> </w:t>
      </w:r>
      <w:r w:rsidR="006E27A0" w:rsidRPr="00C70054">
        <w:rPr>
          <w:i/>
        </w:rPr>
        <w:t>Environment Protection and Biodiversity Conservation Act 1999</w:t>
      </w:r>
      <w:r w:rsidR="006E27A0" w:rsidRPr="00162A62">
        <w:t xml:space="preserve"> (Cw</w:t>
      </w:r>
      <w:r w:rsidR="006E27A0">
        <w:t>l</w:t>
      </w:r>
      <w:r w:rsidR="006E27A0" w:rsidRPr="00162A62">
        <w:t>th)</w:t>
      </w:r>
      <w:bookmarkStart w:id="48" w:name="_GoBack"/>
      <w:bookmarkEnd w:id="48"/>
      <w:r w:rsidR="00D75540">
        <w:t xml:space="preserve">, </w:t>
      </w:r>
      <w:r w:rsidR="00170001">
        <w:t xml:space="preserve">some </w:t>
      </w:r>
      <w:r w:rsidR="00D75540">
        <w:t xml:space="preserve">matters of national environmental significance </w:t>
      </w:r>
      <w:r w:rsidR="00170001">
        <w:t>may also be</w:t>
      </w:r>
      <w:r w:rsidR="00D75540">
        <w:t xml:space="preserve"> relevant to farmers. </w:t>
      </w:r>
    </w:p>
    <w:p w14:paraId="2982B0D5" w14:textId="2F6F3244" w:rsidR="000F42D6" w:rsidRDefault="00170001" w:rsidP="000F42D6">
      <w:pPr>
        <w:pStyle w:val="BodyText"/>
      </w:pPr>
      <w:r>
        <w:lastRenderedPageBreak/>
        <w:t>Current reform e</w:t>
      </w:r>
      <w:r w:rsidR="000F42D6" w:rsidRPr="004E15AD">
        <w:t>fforts includ</w:t>
      </w:r>
      <w:r>
        <w:t>e</w:t>
      </w:r>
      <w:r w:rsidR="000F42D6" w:rsidRPr="004E15AD">
        <w:t xml:space="preserve"> the creation of one</w:t>
      </w:r>
      <w:r w:rsidR="000F42D6" w:rsidRPr="004E15AD">
        <w:noBreakHyphen/>
        <w:t>stop shop</w:t>
      </w:r>
      <w:r w:rsidR="00AB22F7">
        <w:t>s for</w:t>
      </w:r>
      <w:r w:rsidR="000F42D6" w:rsidRPr="004E15AD">
        <w:t xml:space="preserve"> environmental approval</w:t>
      </w:r>
      <w:r w:rsidR="00AB22F7">
        <w:t>s</w:t>
      </w:r>
      <w:r w:rsidR="00E86958">
        <w:t xml:space="preserve"> designed to reduce costs associated with project approvals and administration</w:t>
      </w:r>
      <w:r w:rsidR="000F42D6">
        <w:t xml:space="preserve">. </w:t>
      </w:r>
      <w:r w:rsidR="00B55250">
        <w:t>An</w:t>
      </w:r>
      <w:r w:rsidR="000F42D6">
        <w:t xml:space="preserve"> </w:t>
      </w:r>
      <w:r w:rsidR="00E86958">
        <w:t xml:space="preserve">important question for </w:t>
      </w:r>
      <w:r w:rsidR="000F42D6">
        <w:t xml:space="preserve">this inquiry </w:t>
      </w:r>
      <w:r w:rsidR="00E86958">
        <w:t xml:space="preserve">is </w:t>
      </w:r>
      <w:r w:rsidR="000F42D6">
        <w:t>whether i</w:t>
      </w:r>
      <w:r w:rsidR="00E86958">
        <w:t xml:space="preserve">t is possible to further </w:t>
      </w:r>
      <w:r w:rsidR="000F42D6">
        <w:t xml:space="preserve">reduce the burden of environmental protection regulation on farm businesses while </w:t>
      </w:r>
      <w:r w:rsidR="00856033">
        <w:t xml:space="preserve">maintaining </w:t>
      </w:r>
      <w:r w:rsidR="00D60D90">
        <w:t xml:space="preserve">desired </w:t>
      </w:r>
      <w:r w:rsidR="000F42D6">
        <w:t xml:space="preserve">environmental </w:t>
      </w:r>
      <w:r w:rsidR="00ED429C">
        <w:t>standards</w:t>
      </w:r>
      <w:r w:rsidR="000F42D6">
        <w:t xml:space="preserve">. </w:t>
      </w:r>
    </w:p>
    <w:p w14:paraId="2982B0D6" w14:textId="67A2E40C" w:rsidR="000F42D6" w:rsidRDefault="000F42D6" w:rsidP="000F42D6">
      <w:pPr>
        <w:pStyle w:val="BodyText"/>
        <w:keepNext/>
        <w:keepLines/>
        <w:spacing w:before="120" w:line="280" w:lineRule="atLeast"/>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F42D6" w:rsidRPr="002E6452" w14:paraId="2982B0DD" w14:textId="77777777" w:rsidTr="00CE746C">
        <w:trPr>
          <w:cantSplit/>
        </w:trPr>
        <w:tc>
          <w:tcPr>
            <w:tcW w:w="8771" w:type="dxa"/>
            <w:tcBorders>
              <w:top w:val="single" w:sz="6" w:space="0" w:color="78A22F"/>
              <w:left w:val="nil"/>
              <w:bottom w:val="nil"/>
              <w:right w:val="nil"/>
            </w:tcBorders>
            <w:shd w:val="clear" w:color="auto" w:fill="auto"/>
          </w:tcPr>
          <w:p w14:paraId="2982B0D7" w14:textId="375554AE" w:rsidR="000F42D6" w:rsidRPr="007F6C76" w:rsidRDefault="002F4CCD" w:rsidP="00213F63">
            <w:pPr>
              <w:pStyle w:val="InformationRequest"/>
              <w:keepLines w:val="0"/>
              <w:rPr>
                <w:b/>
                <w:color w:val="000000" w:themeColor="text1"/>
              </w:rPr>
            </w:pPr>
            <w:r w:rsidRPr="007F6C76">
              <w:rPr>
                <w:b/>
                <w:color w:val="000000" w:themeColor="text1"/>
              </w:rPr>
              <w:t>Questions</w:t>
            </w:r>
          </w:p>
          <w:p w14:paraId="2982B0D8" w14:textId="592956DD" w:rsidR="000F42D6" w:rsidRDefault="002F4CCD" w:rsidP="00213F63">
            <w:pPr>
              <w:pStyle w:val="InformationRequestBullet"/>
            </w:pPr>
            <w:r>
              <w:t xml:space="preserve">What </w:t>
            </w:r>
            <w:r w:rsidR="007C1F80">
              <w:t>excessive</w:t>
            </w:r>
            <w:r w:rsidR="000F42D6">
              <w:t xml:space="preserve"> and </w:t>
            </w:r>
            <w:r w:rsidR="007C1F80">
              <w:t>unnecessary</w:t>
            </w:r>
            <w:r w:rsidR="000F42D6">
              <w:t xml:space="preserve"> costs </w:t>
            </w:r>
            <w:r w:rsidR="0013640A">
              <w:t xml:space="preserve">do </w:t>
            </w:r>
            <w:r w:rsidR="000F42D6">
              <w:t xml:space="preserve">environmental </w:t>
            </w:r>
            <w:r w:rsidR="000F42D6" w:rsidDel="00267732">
              <w:t xml:space="preserve">protection </w:t>
            </w:r>
            <w:r w:rsidR="000F42D6">
              <w:t>regulations impose on farm businesses</w:t>
            </w:r>
            <w:r>
              <w:t xml:space="preserve">? </w:t>
            </w:r>
          </w:p>
          <w:p w14:paraId="2982B0D9" w14:textId="7C06F602" w:rsidR="000F42D6" w:rsidRDefault="002F4CCD" w:rsidP="000F42D6">
            <w:pPr>
              <w:pStyle w:val="InformationRequestBullet"/>
            </w:pPr>
            <w:r>
              <w:t xml:space="preserve">Do </w:t>
            </w:r>
            <w:r w:rsidR="000F42D6">
              <w:t xml:space="preserve">environmental </w:t>
            </w:r>
            <w:r w:rsidR="000F42D6" w:rsidDel="00267732">
              <w:t xml:space="preserve">protection </w:t>
            </w:r>
            <w:r w:rsidR="000F42D6">
              <w:t xml:space="preserve">regulations </w:t>
            </w:r>
            <w:r w:rsidR="00267732">
              <w:t xml:space="preserve">particularly </w:t>
            </w:r>
            <w:r w:rsidR="00D60D90">
              <w:t xml:space="preserve">affect </w:t>
            </w:r>
            <w:r w:rsidR="000F42D6">
              <w:t xml:space="preserve">certain </w:t>
            </w:r>
            <w:r w:rsidR="00267732">
              <w:t>b</w:t>
            </w:r>
            <w:r w:rsidR="000F42D6">
              <w:t>usinesses or</w:t>
            </w:r>
            <w:r w:rsidR="000F42D6" w:rsidDel="00267732">
              <w:t xml:space="preserve"> businesses in certain </w:t>
            </w:r>
            <w:r w:rsidR="000F42D6">
              <w:t>locations</w:t>
            </w:r>
            <w:r>
              <w:t>?</w:t>
            </w:r>
          </w:p>
          <w:p w14:paraId="2982B0DA" w14:textId="7CE40F12" w:rsidR="000F42D6" w:rsidRDefault="00267732" w:rsidP="00213F63">
            <w:pPr>
              <w:pStyle w:val="InformationRequestBullet"/>
            </w:pPr>
            <w:r>
              <w:t xml:space="preserve">Can </w:t>
            </w:r>
            <w:r w:rsidR="000F42D6">
              <w:t>the</w:t>
            </w:r>
            <w:r w:rsidR="005A1442" w:rsidDel="00267732">
              <w:t xml:space="preserve"> </w:t>
            </w:r>
            <w:r w:rsidR="000F42D6">
              <w:t xml:space="preserve">burden imposed by environmental </w:t>
            </w:r>
            <w:r w:rsidR="000F42D6" w:rsidDel="00267732">
              <w:t xml:space="preserve">protection </w:t>
            </w:r>
            <w:r w:rsidR="000F42D6">
              <w:t xml:space="preserve">regulations </w:t>
            </w:r>
            <w:r>
              <w:t xml:space="preserve">be reduced </w:t>
            </w:r>
            <w:r w:rsidR="000F42D6">
              <w:t xml:space="preserve">by changing </w:t>
            </w:r>
            <w:r>
              <w:t xml:space="preserve">the regulations or </w:t>
            </w:r>
            <w:r w:rsidR="000F42D6">
              <w:t>the way the</w:t>
            </w:r>
            <w:r>
              <w:t>y</w:t>
            </w:r>
            <w:r w:rsidR="000F42D6" w:rsidDel="00267732">
              <w:t xml:space="preserve"> </w:t>
            </w:r>
            <w:r w:rsidR="000F42D6">
              <w:t>are administered</w:t>
            </w:r>
            <w:r>
              <w:t>?</w:t>
            </w:r>
          </w:p>
          <w:p w14:paraId="2982B0DC" w14:textId="730836C4" w:rsidR="00CA23C6" w:rsidRPr="00CA23C6" w:rsidRDefault="002F4CCD" w:rsidP="003F186E">
            <w:pPr>
              <w:pStyle w:val="InformationRequestBullet"/>
            </w:pPr>
            <w:r>
              <w:t xml:space="preserve">Are </w:t>
            </w:r>
            <w:r w:rsidR="000F42D6">
              <w:t>there</w:t>
            </w:r>
            <w:r w:rsidR="000F42D6" w:rsidDel="003F186E">
              <w:t xml:space="preserve"> </w:t>
            </w:r>
            <w:r w:rsidR="00D926F7">
              <w:t xml:space="preserve">more </w:t>
            </w:r>
            <w:r w:rsidR="000F42D6">
              <w:t xml:space="preserve">effective approaches to environmental protection </w:t>
            </w:r>
            <w:r w:rsidR="00200F3F">
              <w:t xml:space="preserve">adopted </w:t>
            </w:r>
            <w:r w:rsidR="000F42D6">
              <w:t xml:space="preserve">overseas, or in </w:t>
            </w:r>
            <w:r w:rsidR="00267732">
              <w:t xml:space="preserve">other </w:t>
            </w:r>
            <w:r w:rsidR="000F42D6">
              <w:t>parts of Australia</w:t>
            </w:r>
            <w:r w:rsidR="00200F3F">
              <w:t>,</w:t>
            </w:r>
            <w:r w:rsidR="000F42D6">
              <w:t xml:space="preserve"> that should be </w:t>
            </w:r>
            <w:r w:rsidR="00200F3F">
              <w:t>considered</w:t>
            </w:r>
            <w:r>
              <w:t>?</w:t>
            </w:r>
            <w:r w:rsidR="000F42D6">
              <w:t xml:space="preserve"> </w:t>
            </w:r>
          </w:p>
        </w:tc>
      </w:tr>
      <w:tr w:rsidR="000F42D6" w14:paraId="2982B0DF" w14:textId="77777777" w:rsidTr="00CE746C">
        <w:trPr>
          <w:cantSplit/>
        </w:trPr>
        <w:tc>
          <w:tcPr>
            <w:tcW w:w="8771" w:type="dxa"/>
            <w:tcBorders>
              <w:top w:val="nil"/>
              <w:left w:val="nil"/>
              <w:bottom w:val="single" w:sz="6" w:space="0" w:color="78A22F"/>
              <w:right w:val="nil"/>
            </w:tcBorders>
            <w:shd w:val="clear" w:color="auto" w:fill="auto"/>
          </w:tcPr>
          <w:p w14:paraId="2982B0DE" w14:textId="77777777" w:rsidR="000F42D6" w:rsidRDefault="000F42D6" w:rsidP="00213F63">
            <w:pPr>
              <w:pStyle w:val="Box"/>
              <w:keepNext w:val="0"/>
              <w:spacing w:before="0" w:line="120" w:lineRule="exact"/>
            </w:pPr>
          </w:p>
        </w:tc>
      </w:tr>
      <w:tr w:rsidR="000F42D6" w:rsidRPr="000863A5" w14:paraId="2982B0E1" w14:textId="77777777" w:rsidTr="00CE746C">
        <w:trPr>
          <w:cantSplit/>
        </w:trPr>
        <w:tc>
          <w:tcPr>
            <w:tcW w:w="8771" w:type="dxa"/>
            <w:tcBorders>
              <w:top w:val="single" w:sz="6" w:space="0" w:color="78A22F"/>
              <w:left w:val="nil"/>
              <w:bottom w:val="nil"/>
              <w:right w:val="nil"/>
            </w:tcBorders>
          </w:tcPr>
          <w:p w14:paraId="2982B0E0" w14:textId="4EBD1DBE" w:rsidR="000F42D6" w:rsidRPr="00626D32" w:rsidRDefault="000F42D6" w:rsidP="00213F63">
            <w:pPr>
              <w:pStyle w:val="BoxSpaceBelow"/>
            </w:pPr>
          </w:p>
        </w:tc>
      </w:tr>
    </w:tbl>
    <w:p w14:paraId="2982B0E2" w14:textId="731B84ED" w:rsidR="002B1032" w:rsidRDefault="002B1032" w:rsidP="002B1032">
      <w:pPr>
        <w:pStyle w:val="Heading3"/>
      </w:pPr>
      <w:r>
        <w:t>Access to technologies</w:t>
      </w:r>
      <w:r w:rsidR="00595F85">
        <w:t xml:space="preserve"> and chemicals</w:t>
      </w:r>
      <w:r w:rsidR="00E27DE6">
        <w:t xml:space="preserve"> </w:t>
      </w:r>
    </w:p>
    <w:p w14:paraId="6F58597B" w14:textId="71565158" w:rsidR="004F1ECE" w:rsidRDefault="00897470" w:rsidP="004F1ECE">
      <w:pPr>
        <w:pStyle w:val="BodyText"/>
      </w:pPr>
      <w:r>
        <w:t>T</w:t>
      </w:r>
      <w:r w:rsidR="004F1ECE" w:rsidRPr="004F1ECE">
        <w:t>echnologies</w:t>
      </w:r>
      <w:r w:rsidR="00AC2450">
        <w:t xml:space="preserve"> </w:t>
      </w:r>
      <w:r w:rsidR="004544C9">
        <w:t>(</w:t>
      </w:r>
      <w:r w:rsidR="004F1ECE" w:rsidRPr="004F1ECE">
        <w:t>such as robotics, smart phone applications and biotechnology</w:t>
      </w:r>
      <w:r w:rsidR="004544C9">
        <w:t>)</w:t>
      </w:r>
      <w:r w:rsidR="001417B0">
        <w:t xml:space="preserve"> and agricultural </w:t>
      </w:r>
      <w:r w:rsidR="00F02FCA">
        <w:t>and veterinary (agvet)</w:t>
      </w:r>
      <w:r w:rsidR="001417B0">
        <w:t xml:space="preserve"> chemicals</w:t>
      </w:r>
      <w:r w:rsidR="004F1ECE" w:rsidRPr="004F1ECE">
        <w:t xml:space="preserve"> can increase agricultural productivity by improving resource use, producing higher yields and reducing </w:t>
      </w:r>
      <w:r w:rsidR="004F1ECE">
        <w:t>production</w:t>
      </w:r>
      <w:r w:rsidR="004F1ECE" w:rsidRPr="004F1ECE">
        <w:t xml:space="preserve"> costs</w:t>
      </w:r>
      <w:r w:rsidR="001B6807">
        <w:t>. They can also</w:t>
      </w:r>
      <w:r w:rsidR="00D60D90">
        <w:t xml:space="preserve"> increas</w:t>
      </w:r>
      <w:r w:rsidR="001B6807">
        <w:t>e</w:t>
      </w:r>
      <w:r w:rsidR="00D60D90">
        <w:t xml:space="preserve"> the quality of agricultural products</w:t>
      </w:r>
      <w:r w:rsidR="004F1ECE" w:rsidRPr="004F1ECE">
        <w:t>.</w:t>
      </w:r>
      <w:r w:rsidR="005243CF">
        <w:t xml:space="preserve"> Governments regulate access to agvet chemicals and some technologies to </w:t>
      </w:r>
      <w:r w:rsidR="00433D0F">
        <w:t>minimise the associated risks to human health and the environment.</w:t>
      </w:r>
      <w:r w:rsidR="005B602C">
        <w:t xml:space="preserve"> Limits on the agricultural use of </w:t>
      </w:r>
      <w:r w:rsidR="007F5DBB">
        <w:t>particular</w:t>
      </w:r>
      <w:r w:rsidR="005B602C">
        <w:t xml:space="preserve"> technologies and agvet chemicals can also enhance Australia’s reputation for producing clean and green food and fibre.</w:t>
      </w:r>
    </w:p>
    <w:p w14:paraId="18FF0046" w14:textId="5A66A03D" w:rsidR="00790FA0" w:rsidRPr="00790FA0" w:rsidRDefault="00790FA0" w:rsidP="00C11FA3">
      <w:pPr>
        <w:pStyle w:val="Heading4"/>
        <w:spacing w:before="240"/>
      </w:pPr>
      <w:r w:rsidRPr="00790FA0">
        <w:t>Technologies</w:t>
      </w:r>
    </w:p>
    <w:p w14:paraId="13315C19" w14:textId="346F695A" w:rsidR="00CA23C6" w:rsidRPr="000408C9" w:rsidRDefault="00C70F24" w:rsidP="000408C9">
      <w:pPr>
        <w:pStyle w:val="BodyText"/>
      </w:pPr>
      <w:r w:rsidRPr="005A1DEF">
        <w:t xml:space="preserve">In recent years, </w:t>
      </w:r>
      <w:r w:rsidR="006D6448" w:rsidRPr="005A1DEF">
        <w:t>restrict</w:t>
      </w:r>
      <w:r w:rsidR="00034BB7" w:rsidRPr="005A1DEF">
        <w:t>ed access to g</w:t>
      </w:r>
      <w:r w:rsidR="006D6448" w:rsidRPr="005A1DEF">
        <w:t>e</w:t>
      </w:r>
      <w:r w:rsidR="004145D9" w:rsidRPr="005A1DEF">
        <w:t>netically modified (GM) crops</w:t>
      </w:r>
      <w:r w:rsidR="00034BB7" w:rsidRPr="005A1DEF">
        <w:t xml:space="preserve"> stemming from </w:t>
      </w:r>
      <w:r w:rsidR="00E02514" w:rsidRPr="005A1DEF">
        <w:t>moratoriums on GM crops in some states</w:t>
      </w:r>
      <w:r w:rsidRPr="000408C9">
        <w:t xml:space="preserve"> </w:t>
      </w:r>
      <w:r w:rsidR="00034BB7" w:rsidRPr="000408C9">
        <w:t>has</w:t>
      </w:r>
      <w:r w:rsidR="00133034" w:rsidRPr="000408C9">
        <w:t xml:space="preserve"> been the subject of debate.</w:t>
      </w:r>
      <w:r w:rsidR="00245E80" w:rsidRPr="000408C9">
        <w:t xml:space="preserve"> </w:t>
      </w:r>
      <w:r w:rsidR="00554476" w:rsidRPr="000408C9">
        <w:t>For example,</w:t>
      </w:r>
      <w:r w:rsidR="00245E80" w:rsidRPr="000408C9">
        <w:t xml:space="preserve"> </w:t>
      </w:r>
      <w:r w:rsidR="008E3642" w:rsidRPr="000408C9">
        <w:t>South Australia, Tasmania and the A</w:t>
      </w:r>
      <w:r w:rsidR="00D60D90" w:rsidRPr="000408C9">
        <w:t>ustralian Capital Territory</w:t>
      </w:r>
      <w:r w:rsidR="008E3642" w:rsidRPr="000408C9">
        <w:t xml:space="preserve"> </w:t>
      </w:r>
      <w:r w:rsidR="003131B6" w:rsidRPr="000408C9">
        <w:t xml:space="preserve">have </w:t>
      </w:r>
      <w:r w:rsidR="00B8421E" w:rsidRPr="000408C9">
        <w:t>impose</w:t>
      </w:r>
      <w:r w:rsidR="003131B6" w:rsidRPr="000408C9">
        <w:t>d</w:t>
      </w:r>
      <w:r w:rsidR="00B8421E" w:rsidRPr="000408C9">
        <w:t xml:space="preserve"> a moratorium on </w:t>
      </w:r>
      <w:r w:rsidR="00650A97" w:rsidRPr="000408C9">
        <w:t xml:space="preserve">GM crop </w:t>
      </w:r>
      <w:r w:rsidR="00554476" w:rsidRPr="000408C9">
        <w:t>cultivation</w:t>
      </w:r>
      <w:r w:rsidR="003131B6" w:rsidRPr="000408C9">
        <w:t xml:space="preserve">. </w:t>
      </w:r>
      <w:r w:rsidR="00C91A93" w:rsidRPr="000408C9">
        <w:t>This is despite s</w:t>
      </w:r>
      <w:r w:rsidR="0046493F" w:rsidRPr="000408C9">
        <w:t>imilar</w:t>
      </w:r>
      <w:r w:rsidR="00650A97" w:rsidRPr="000408C9">
        <w:t xml:space="preserve"> </w:t>
      </w:r>
      <w:r w:rsidR="00063A65" w:rsidRPr="000408C9">
        <w:t>moratoria be</w:t>
      </w:r>
      <w:r w:rsidR="00CA23C6" w:rsidRPr="000408C9">
        <w:t>ing</w:t>
      </w:r>
      <w:r w:rsidR="00063A65" w:rsidRPr="000408C9">
        <w:t xml:space="preserve"> lifted in other jurisdictions</w:t>
      </w:r>
      <w:r w:rsidR="00CA23C6" w:rsidRPr="000408C9">
        <w:t xml:space="preserve">. A </w:t>
      </w:r>
      <w:r w:rsidR="00063A65" w:rsidRPr="000408C9">
        <w:t xml:space="preserve">number of GM </w:t>
      </w:r>
      <w:r w:rsidR="00063A65" w:rsidRPr="000408C9" w:rsidDel="00497F77">
        <w:t xml:space="preserve">crops </w:t>
      </w:r>
      <w:r w:rsidR="00CA23C6" w:rsidRPr="000408C9">
        <w:t xml:space="preserve">have also been </w:t>
      </w:r>
      <w:r w:rsidR="00063A65" w:rsidRPr="000408C9">
        <w:t xml:space="preserve">approved for release by the </w:t>
      </w:r>
      <w:r w:rsidR="003005DD" w:rsidRPr="000408C9">
        <w:t>Australian Government r</w:t>
      </w:r>
      <w:r w:rsidR="00063A65" w:rsidRPr="000408C9">
        <w:t>egulator</w:t>
      </w:r>
      <w:r w:rsidR="00481668" w:rsidRPr="000408C9">
        <w:t xml:space="preserve"> (the Gene Technology Regulator)</w:t>
      </w:r>
      <w:r w:rsidR="00B8256C" w:rsidRPr="000408C9">
        <w:t>.</w:t>
      </w:r>
      <w:r w:rsidR="002F61FE" w:rsidRPr="000408C9">
        <w:t xml:space="preserve"> </w:t>
      </w:r>
    </w:p>
    <w:p w14:paraId="61F7A4D0" w14:textId="261067D9" w:rsidR="00100B46" w:rsidRDefault="006962E6" w:rsidP="0059284F">
      <w:pPr>
        <w:pStyle w:val="BodyText"/>
      </w:pPr>
      <w:r>
        <w:t>GM crop restrict</w:t>
      </w:r>
      <w:r w:rsidR="0059284F">
        <w:t>ions</w:t>
      </w:r>
      <w:r>
        <w:t xml:space="preserve"> may</w:t>
      </w:r>
      <w:r w:rsidR="002D0A2E">
        <w:t xml:space="preserve"> benefit some farm businesses</w:t>
      </w:r>
      <w:r w:rsidR="00245399">
        <w:t xml:space="preserve"> (such as those growing organic products)</w:t>
      </w:r>
      <w:r w:rsidR="00B40CFC">
        <w:t>. However</w:t>
      </w:r>
      <w:r w:rsidR="002D0A2E">
        <w:t>,</w:t>
      </w:r>
      <w:r w:rsidR="00DE3EA4">
        <w:t xml:space="preserve"> concerns </w:t>
      </w:r>
      <w:r w:rsidR="00CA23C6">
        <w:t>hav</w:t>
      </w:r>
      <w:r w:rsidR="00DE3EA4">
        <w:t xml:space="preserve">e been raised </w:t>
      </w:r>
      <w:r w:rsidR="005B0ED0">
        <w:t>in several fo</w:t>
      </w:r>
      <w:r w:rsidR="00A60B9F">
        <w:t>r</w:t>
      </w:r>
      <w:r w:rsidR="005B0ED0">
        <w:t xml:space="preserve">ums, including </w:t>
      </w:r>
      <w:r w:rsidR="00A61EF3">
        <w:t xml:space="preserve">in </w:t>
      </w:r>
      <w:r w:rsidR="005B0ED0">
        <w:t>submissions to the Agricultural Competiveness White Paper</w:t>
      </w:r>
      <w:r w:rsidR="00A60B9F">
        <w:t>,</w:t>
      </w:r>
      <w:r w:rsidR="005B0ED0">
        <w:t xml:space="preserve"> </w:t>
      </w:r>
      <w:r w:rsidR="00DE3EA4">
        <w:t xml:space="preserve">about </w:t>
      </w:r>
      <w:r w:rsidR="002D0A2E">
        <w:t>t</w:t>
      </w:r>
      <w:r w:rsidR="002F61FE" w:rsidRPr="00E27DE6">
        <w:t>hese restrictions</w:t>
      </w:r>
      <w:r w:rsidR="002F61FE" w:rsidRPr="00E27DE6" w:rsidDel="00DE3EA4">
        <w:t xml:space="preserve"> </w:t>
      </w:r>
      <w:r w:rsidR="00293FAC">
        <w:t>impos</w:t>
      </w:r>
      <w:r w:rsidR="00DE3EA4">
        <w:t>ing</w:t>
      </w:r>
      <w:r w:rsidR="00293FAC">
        <w:t xml:space="preserve"> broader costs on </w:t>
      </w:r>
      <w:r w:rsidR="008D41BE">
        <w:t>Australian agriculture</w:t>
      </w:r>
      <w:r w:rsidR="00245399">
        <w:t xml:space="preserve"> </w:t>
      </w:r>
      <w:r w:rsidR="00481668">
        <w:t xml:space="preserve">and the community </w:t>
      </w:r>
      <w:r w:rsidR="00245399">
        <w:t>by:</w:t>
      </w:r>
    </w:p>
    <w:p w14:paraId="67837383" w14:textId="22304E53" w:rsidR="00245E80" w:rsidRDefault="002F61FE" w:rsidP="0076312B">
      <w:pPr>
        <w:pStyle w:val="ListBullet"/>
      </w:pPr>
      <w:r w:rsidRPr="00E27DE6">
        <w:t>limit</w:t>
      </w:r>
      <w:r w:rsidR="00245399">
        <w:t>ing</w:t>
      </w:r>
      <w:r w:rsidRPr="00E27DE6">
        <w:t xml:space="preserve"> the adoption of new agricultural biotechnologies</w:t>
      </w:r>
      <w:r w:rsidR="00245E80">
        <w:t xml:space="preserve"> and</w:t>
      </w:r>
      <w:r w:rsidR="002457CF" w:rsidRPr="00E27DE6">
        <w:t xml:space="preserve"> discourag</w:t>
      </w:r>
      <w:r w:rsidR="00245399">
        <w:t>ing</w:t>
      </w:r>
      <w:r w:rsidR="002457CF" w:rsidRPr="00E27DE6">
        <w:t xml:space="preserve"> innovation</w:t>
      </w:r>
    </w:p>
    <w:p w14:paraId="70ACFFC2" w14:textId="77777777" w:rsidR="001D7D36" w:rsidRPr="00E27DE6" w:rsidRDefault="00245399" w:rsidP="00245E80">
      <w:pPr>
        <w:pStyle w:val="ListBullet"/>
      </w:pPr>
      <w:r>
        <w:lastRenderedPageBreak/>
        <w:t>imposing</w:t>
      </w:r>
      <w:r w:rsidR="005E03BC" w:rsidRPr="00E27DE6">
        <w:t xml:space="preserve"> additional costs on farm businesses operating across jurisdictions</w:t>
      </w:r>
      <w:r w:rsidR="002D0A2E">
        <w:t xml:space="preserve"> </w:t>
      </w:r>
      <w:r w:rsidR="005F71BF" w:rsidRPr="005F71BF">
        <w:rPr>
          <w:szCs w:val="24"/>
        </w:rPr>
        <w:t>(AusBiotech 2014; Gibbs, Harris-Adams and Davidson 2013)</w:t>
      </w:r>
      <w:r w:rsidR="00AA5345" w:rsidRPr="00E27DE6">
        <w:t>.</w:t>
      </w:r>
    </w:p>
    <w:p w14:paraId="37DCA33F" w14:textId="77777777" w:rsidR="00CA6A60" w:rsidRDefault="00CA6A60" w:rsidP="00E27DE6">
      <w:pPr>
        <w:pStyle w:val="BodyText"/>
      </w:pPr>
      <w:r>
        <w:t>Concerns have also been raised about overlapping responsibilities and processes across</w:t>
      </w:r>
      <w:r w:rsidR="00F31BCE">
        <w:t xml:space="preserve"> </w:t>
      </w:r>
      <w:r>
        <w:t>agencies involved in</w:t>
      </w:r>
      <w:r w:rsidR="00BC495C">
        <w:t xml:space="preserve"> regulating</w:t>
      </w:r>
      <w:r>
        <w:t xml:space="preserve"> GM crops, lengthy decision making</w:t>
      </w:r>
      <w:r w:rsidR="003E2555">
        <w:t xml:space="preserve"> by state and territory governments</w:t>
      </w:r>
      <w:r w:rsidR="008E4F7A">
        <w:t>,</w:t>
      </w:r>
      <w:r>
        <w:t xml:space="preserve"> and high approval costs </w:t>
      </w:r>
      <w:r w:rsidR="00C010FC" w:rsidRPr="00C010FC">
        <w:rPr>
          <w:szCs w:val="24"/>
        </w:rPr>
        <w:t>(Gibbs, Harris-Adams and Davidson 2013; NFF 2013; Producers Forum 2014)</w:t>
      </w:r>
      <w:r w:rsidR="003E2555">
        <w:t>.</w:t>
      </w:r>
    </w:p>
    <w:p w14:paraId="0931AA55" w14:textId="1A159691" w:rsidR="00E7604D" w:rsidRDefault="00E7604D" w:rsidP="00E7604D">
      <w:pPr>
        <w:pStyle w:val="BodyText"/>
        <w:keepNext/>
        <w:keepLines/>
        <w:spacing w:before="120" w:line="280" w:lineRule="atLeast"/>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7604D" w:rsidRPr="002E6452" w14:paraId="1D4850CD" w14:textId="77777777" w:rsidTr="00FB5F61">
        <w:tc>
          <w:tcPr>
            <w:tcW w:w="8771" w:type="dxa"/>
            <w:tcBorders>
              <w:top w:val="single" w:sz="6" w:space="0" w:color="78A22F"/>
              <w:left w:val="nil"/>
              <w:bottom w:val="nil"/>
              <w:right w:val="nil"/>
            </w:tcBorders>
            <w:shd w:val="clear" w:color="auto" w:fill="auto"/>
          </w:tcPr>
          <w:p w14:paraId="51603E74" w14:textId="77777777" w:rsidR="00E7604D" w:rsidRPr="007F6C76" w:rsidRDefault="00E7604D" w:rsidP="00FB5F61">
            <w:pPr>
              <w:pStyle w:val="InformationRequest"/>
              <w:keepNext/>
              <w:rPr>
                <w:b/>
                <w:color w:val="000000" w:themeColor="text1"/>
              </w:rPr>
            </w:pPr>
            <w:r w:rsidRPr="007F6C76">
              <w:rPr>
                <w:b/>
                <w:color w:val="000000" w:themeColor="text1"/>
              </w:rPr>
              <w:t>Questions</w:t>
            </w:r>
          </w:p>
          <w:p w14:paraId="7448D9D7" w14:textId="77777777" w:rsidR="00E7604D" w:rsidRPr="00D30F3C" w:rsidRDefault="00E7604D" w:rsidP="00D30F3C">
            <w:pPr>
              <w:pStyle w:val="InformationRequestBullet"/>
            </w:pPr>
            <w:r w:rsidRPr="00D30F3C">
              <w:t>What are the benefits and costs of some jurisdictions specialising in GM free products relative to widespread cultivation of GM crops?</w:t>
            </w:r>
          </w:p>
          <w:p w14:paraId="29DA12A1" w14:textId="7794D1D3" w:rsidR="00E7604D" w:rsidRPr="00A45FD5" w:rsidRDefault="00E7604D" w:rsidP="00FB5F61">
            <w:pPr>
              <w:pStyle w:val="InformationRequestBullet"/>
            </w:pPr>
            <w:r>
              <w:t xml:space="preserve">How </w:t>
            </w:r>
            <w:r w:rsidR="00481668">
              <w:t xml:space="preserve">do </w:t>
            </w:r>
            <w:r>
              <w:t xml:space="preserve">GM crop </w:t>
            </w:r>
            <w:r w:rsidR="00481668">
              <w:t>moratoria affect</w:t>
            </w:r>
            <w:r>
              <w:t xml:space="preserve"> investment in Australian agriculture and the ability of domestic farmers to compete internationally?</w:t>
            </w:r>
          </w:p>
          <w:p w14:paraId="547BF71E" w14:textId="36DDBACC" w:rsidR="00481668" w:rsidRPr="00481668" w:rsidRDefault="00481668" w:rsidP="00920B4C">
            <w:pPr>
              <w:pStyle w:val="InformationRequestBullet"/>
            </w:pPr>
            <w:r>
              <w:t xml:space="preserve">What types of regulations are likely to be more </w:t>
            </w:r>
            <w:r w:rsidR="00C620EC">
              <w:t>effective</w:t>
            </w:r>
            <w:r>
              <w:t xml:space="preserve"> than moratoria</w:t>
            </w:r>
            <w:r w:rsidR="00C620EC">
              <w:t xml:space="preserve"> in addressing </w:t>
            </w:r>
            <w:r w:rsidR="0062597E">
              <w:t>any risks associated with</w:t>
            </w:r>
            <w:r w:rsidR="00C620EC">
              <w:t xml:space="preserve"> GM crops</w:t>
            </w:r>
            <w:r>
              <w:t>?</w:t>
            </w:r>
            <w:r w:rsidR="00920B4C">
              <w:t xml:space="preserve"> What overseas examples of GM regulation should the Commission examine?</w:t>
            </w:r>
          </w:p>
          <w:p w14:paraId="74A94851" w14:textId="588E353A" w:rsidR="00E7604D" w:rsidRPr="00F204DF" w:rsidRDefault="00B40CFC" w:rsidP="00E7604D">
            <w:pPr>
              <w:pStyle w:val="InformationRequestBullet"/>
            </w:pPr>
            <w:r w:rsidRPr="00B40CFC">
              <w:t>Is</w:t>
            </w:r>
            <w:r>
              <w:t xml:space="preserve"> the approval process for GM crops effective and efficient? If not, how can it be improved?</w:t>
            </w:r>
          </w:p>
        </w:tc>
      </w:tr>
      <w:tr w:rsidR="00E7604D" w14:paraId="7E8755BC" w14:textId="77777777" w:rsidTr="00FB5F61">
        <w:trPr>
          <w:cantSplit/>
        </w:trPr>
        <w:tc>
          <w:tcPr>
            <w:tcW w:w="8771" w:type="dxa"/>
            <w:tcBorders>
              <w:top w:val="nil"/>
              <w:left w:val="nil"/>
              <w:bottom w:val="single" w:sz="6" w:space="0" w:color="78A22F"/>
              <w:right w:val="nil"/>
            </w:tcBorders>
            <w:shd w:val="clear" w:color="auto" w:fill="auto"/>
          </w:tcPr>
          <w:p w14:paraId="7A50883C" w14:textId="77777777" w:rsidR="00E7604D" w:rsidRDefault="00E7604D" w:rsidP="00FB5F61">
            <w:pPr>
              <w:pStyle w:val="Box"/>
              <w:spacing w:before="0" w:line="120" w:lineRule="exact"/>
            </w:pPr>
          </w:p>
        </w:tc>
      </w:tr>
      <w:tr w:rsidR="00E7604D" w:rsidRPr="000863A5" w14:paraId="44C7A06B" w14:textId="77777777" w:rsidTr="00FB5F61">
        <w:tc>
          <w:tcPr>
            <w:tcW w:w="8771" w:type="dxa"/>
            <w:tcBorders>
              <w:top w:val="single" w:sz="6" w:space="0" w:color="78A22F"/>
              <w:left w:val="nil"/>
              <w:bottom w:val="nil"/>
              <w:right w:val="nil"/>
            </w:tcBorders>
          </w:tcPr>
          <w:p w14:paraId="28F11BE3" w14:textId="4053BA3F" w:rsidR="00E7604D" w:rsidRPr="00626D32" w:rsidRDefault="00E7604D" w:rsidP="00FB5F61">
            <w:pPr>
              <w:pStyle w:val="BoxSpaceBelow"/>
            </w:pPr>
          </w:p>
        </w:tc>
      </w:tr>
    </w:tbl>
    <w:p w14:paraId="680DF0C4" w14:textId="28D567CD" w:rsidR="00790FA0" w:rsidRDefault="00790FA0" w:rsidP="00200E8D">
      <w:pPr>
        <w:pStyle w:val="Heading4"/>
      </w:pPr>
      <w:r>
        <w:t>Agricultural and veterinary chemicals</w:t>
      </w:r>
    </w:p>
    <w:p w14:paraId="5FC9D839" w14:textId="709BFCB6" w:rsidR="00604035" w:rsidRDefault="00E7604D" w:rsidP="00E27DE6">
      <w:pPr>
        <w:pStyle w:val="BodyText"/>
      </w:pPr>
      <w:r>
        <w:t>T</w:t>
      </w:r>
      <w:r w:rsidR="00BF1B03">
        <w:t>he Australian Government (through t</w:t>
      </w:r>
      <w:r w:rsidR="00280E08">
        <w:t>he Australian Pesticides and Veterinary Medicines Authority</w:t>
      </w:r>
      <w:r w:rsidR="00585B57">
        <w:t xml:space="preserve"> (APVMA)</w:t>
      </w:r>
      <w:r w:rsidR="00BF1B03">
        <w:t>)</w:t>
      </w:r>
      <w:r w:rsidR="00585B57">
        <w:t xml:space="preserve"> </w:t>
      </w:r>
      <w:r w:rsidR="00280E08">
        <w:t>undertakes the evaluation, registration and approval of agvet chemical products</w:t>
      </w:r>
      <w:r w:rsidR="001E4E1C">
        <w:t>,</w:t>
      </w:r>
      <w:r>
        <w:t xml:space="preserve"> and </w:t>
      </w:r>
      <w:r w:rsidR="00BF1B03">
        <w:t>s</w:t>
      </w:r>
      <w:r w:rsidR="00280E08">
        <w:t>tate and territor</w:t>
      </w:r>
      <w:r w:rsidR="000F258E">
        <w:t>y governments</w:t>
      </w:r>
      <w:r w:rsidR="00280E08">
        <w:t xml:space="preserve"> regulat</w:t>
      </w:r>
      <w:r w:rsidR="009B79DC">
        <w:t>e</w:t>
      </w:r>
      <w:r w:rsidR="00280E08">
        <w:t xml:space="preserve"> the</w:t>
      </w:r>
      <w:r w:rsidR="0024156F">
        <w:t>ir</w:t>
      </w:r>
      <w:r w:rsidR="00280E08">
        <w:t xml:space="preserve"> use</w:t>
      </w:r>
      <w:r w:rsidR="00280E08" w:rsidDel="00532389">
        <w:t xml:space="preserve"> </w:t>
      </w:r>
      <w:r w:rsidR="00280E08">
        <w:t xml:space="preserve">after retail sale </w:t>
      </w:r>
      <w:r w:rsidR="006E3E72" w:rsidRPr="006E3E72">
        <w:rPr>
          <w:szCs w:val="24"/>
        </w:rPr>
        <w:t>(DoA 2014)</w:t>
      </w:r>
      <w:r w:rsidR="001233BB">
        <w:t>.</w:t>
      </w:r>
    </w:p>
    <w:p w14:paraId="7F20BA3F" w14:textId="0843D68E" w:rsidR="00604035" w:rsidRDefault="00306D3B" w:rsidP="00E27DE6">
      <w:pPr>
        <w:pStyle w:val="BodyText"/>
      </w:pPr>
      <w:r>
        <w:t>T</w:t>
      </w:r>
      <w:r w:rsidR="0070218B">
        <w:t>he Australian Government</w:t>
      </w:r>
      <w:r>
        <w:t xml:space="preserve"> has recently implemented reforms</w:t>
      </w:r>
      <w:r w:rsidR="00F77061">
        <w:t xml:space="preserve"> to </w:t>
      </w:r>
      <w:r w:rsidR="0070218B">
        <w:t xml:space="preserve">improve the consistency, efficiency, timeliness and transparency of the </w:t>
      </w:r>
      <w:r w:rsidR="00D37C51">
        <w:t xml:space="preserve">regulatory </w:t>
      </w:r>
      <w:r w:rsidR="0070218B">
        <w:t>system</w:t>
      </w:r>
      <w:r w:rsidR="00585B57">
        <w:t xml:space="preserve"> </w:t>
      </w:r>
      <w:r w:rsidR="00387FCA">
        <w:t>(</w:t>
      </w:r>
      <w:r w:rsidR="00E7604D">
        <w:t xml:space="preserve">including </w:t>
      </w:r>
      <w:r w:rsidR="00585B57">
        <w:t>by reforming</w:t>
      </w:r>
      <w:r w:rsidR="001D6133">
        <w:t xml:space="preserve"> the</w:t>
      </w:r>
      <w:r w:rsidR="00585B57">
        <w:t xml:space="preserve"> APVMA’s processes</w:t>
      </w:r>
      <w:r w:rsidR="00387FCA">
        <w:t xml:space="preserve">), </w:t>
      </w:r>
      <w:r>
        <w:t xml:space="preserve">but </w:t>
      </w:r>
      <w:r w:rsidR="00B510CC">
        <w:t xml:space="preserve">consultations for the Agricultural Competiveness White Paper </w:t>
      </w:r>
      <w:r w:rsidR="00AF7932" w:rsidRPr="00AF7932">
        <w:rPr>
          <w:szCs w:val="24"/>
        </w:rPr>
        <w:t>(Animal Medicines Australia 2014; Australian Government 2015a)</w:t>
      </w:r>
      <w:r w:rsidR="00FE09BC">
        <w:t xml:space="preserve"> </w:t>
      </w:r>
      <w:r w:rsidR="00B510CC">
        <w:t>and a previous review of regulatory burdens on agricultural businesses</w:t>
      </w:r>
      <w:r w:rsidR="00FE09BC">
        <w:t xml:space="preserve"> </w:t>
      </w:r>
      <w:r w:rsidR="00FE09BC" w:rsidRPr="00BD2D42">
        <w:rPr>
          <w:szCs w:val="24"/>
        </w:rPr>
        <w:t>(Gibbs, Harris-Adams and Davidson 2013)</w:t>
      </w:r>
      <w:r w:rsidR="00B510CC">
        <w:t xml:space="preserve"> raised a number of concerns</w:t>
      </w:r>
      <w:r w:rsidR="00D37C51">
        <w:t>.</w:t>
      </w:r>
      <w:r w:rsidR="000C466E">
        <w:t xml:space="preserve"> These include:</w:t>
      </w:r>
    </w:p>
    <w:p w14:paraId="411651BA" w14:textId="2F1E4A0A" w:rsidR="00BF18E5" w:rsidRDefault="00BF18E5" w:rsidP="006F17F5">
      <w:pPr>
        <w:pStyle w:val="ListBullet"/>
      </w:pPr>
      <w:r>
        <w:t xml:space="preserve">regulation </w:t>
      </w:r>
      <w:r w:rsidR="00E7604D">
        <w:t xml:space="preserve">that is </w:t>
      </w:r>
      <w:r w:rsidR="006F17F5">
        <w:t>sometimes</w:t>
      </w:r>
      <w:r>
        <w:t xml:space="preserve"> disproportionate to the risks </w:t>
      </w:r>
      <w:r w:rsidR="00CF757F">
        <w:t>agvet chemicals</w:t>
      </w:r>
      <w:r>
        <w:t xml:space="preserve"> pose</w:t>
      </w:r>
      <w:r w:rsidR="006F17F5">
        <w:t xml:space="preserve"> and </w:t>
      </w:r>
      <w:r w:rsidR="00561868">
        <w:t>the APVMA</w:t>
      </w:r>
      <w:r w:rsidR="006F17F5">
        <w:t xml:space="preserve"> </w:t>
      </w:r>
      <w:r w:rsidR="00BC1255">
        <w:t xml:space="preserve">not taking into account </w:t>
      </w:r>
      <w:r w:rsidR="006F17F5">
        <w:t>assessments conducted by overseas regulatory</w:t>
      </w:r>
      <w:r w:rsidR="005D3CB7">
        <w:t xml:space="preserve"> agencies</w:t>
      </w:r>
    </w:p>
    <w:p w14:paraId="1CCB6929" w14:textId="4A7EF420" w:rsidR="00B86E3B" w:rsidRDefault="000C466E" w:rsidP="006F17F5">
      <w:pPr>
        <w:pStyle w:val="ListBullet"/>
      </w:pPr>
      <w:r>
        <w:t>i</w:t>
      </w:r>
      <w:r w:rsidR="00B86E3B">
        <w:t>nconsistencies between states and territories in regulation after the point of sale</w:t>
      </w:r>
      <w:r w:rsidR="009A0A08">
        <w:t>, such as for ‘off-label use</w:t>
      </w:r>
      <w:r w:rsidR="00FB697F">
        <w:t>s</w:t>
      </w:r>
      <w:r w:rsidR="009A0A08">
        <w:t>’</w:t>
      </w:r>
      <w:r w:rsidR="00FB697F">
        <w:t xml:space="preserve"> — use on pests, crops and situations different to those labelled</w:t>
      </w:r>
      <w:r w:rsidR="00FE09BC">
        <w:t>.</w:t>
      </w:r>
      <w:r w:rsidR="00FB697F">
        <w:t xml:space="preserve"> </w:t>
      </w:r>
    </w:p>
    <w:p w14:paraId="52CB3B50" w14:textId="0EA7E8E9" w:rsidR="00A76490" w:rsidRDefault="007F3BAF" w:rsidP="002C7E57">
      <w:pPr>
        <w:pStyle w:val="BodyText"/>
      </w:pPr>
      <w:r>
        <w:t xml:space="preserve">Regulatory arrangements that are disproportionate to risks </w:t>
      </w:r>
      <w:r w:rsidR="00231339">
        <w:t xml:space="preserve">can </w:t>
      </w:r>
      <w:r w:rsidR="009C2F79">
        <w:t xml:space="preserve">place an unnecessary regulatory burden on </w:t>
      </w:r>
      <w:r w:rsidR="002C7E57">
        <w:t>Australian farmers</w:t>
      </w:r>
      <w:r w:rsidR="009C2F79">
        <w:t xml:space="preserve"> </w:t>
      </w:r>
      <w:r w:rsidR="00306D3B">
        <w:t xml:space="preserve">seeking </w:t>
      </w:r>
      <w:r w:rsidR="002C7E57">
        <w:t>to access productivity-enhancing agvet chemicals.</w:t>
      </w:r>
    </w:p>
    <w:p w14:paraId="2982B0E4" w14:textId="4840F4DD" w:rsidR="00352075" w:rsidRDefault="00352075" w:rsidP="00352075">
      <w:pPr>
        <w:pStyle w:val="BodyText"/>
        <w:keepNext/>
        <w:keepLines/>
        <w:spacing w:before="120" w:line="280" w:lineRule="atLeast"/>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2075" w:rsidRPr="002E6452" w14:paraId="2982B0E7" w14:textId="77777777" w:rsidTr="002B5666">
        <w:tc>
          <w:tcPr>
            <w:tcW w:w="8771" w:type="dxa"/>
            <w:tcBorders>
              <w:top w:val="single" w:sz="6" w:space="0" w:color="78A22F"/>
              <w:left w:val="nil"/>
              <w:bottom w:val="nil"/>
              <w:right w:val="nil"/>
            </w:tcBorders>
            <w:shd w:val="clear" w:color="auto" w:fill="auto"/>
          </w:tcPr>
          <w:p w14:paraId="2982B0E5" w14:textId="274471DE" w:rsidR="00352075" w:rsidRPr="007F6C76" w:rsidRDefault="00C40828" w:rsidP="002B5666">
            <w:pPr>
              <w:pStyle w:val="InformationRequest"/>
              <w:keepNext/>
              <w:rPr>
                <w:b/>
                <w:color w:val="000000" w:themeColor="text1"/>
              </w:rPr>
            </w:pPr>
            <w:r w:rsidRPr="007F6C76">
              <w:rPr>
                <w:b/>
                <w:color w:val="000000" w:themeColor="text1"/>
              </w:rPr>
              <w:t>Questions</w:t>
            </w:r>
          </w:p>
          <w:p w14:paraId="4449C3DF" w14:textId="6448E19D" w:rsidR="002F3155" w:rsidRDefault="00F43240" w:rsidP="002F3155">
            <w:pPr>
              <w:pStyle w:val="InformationRequestBullet"/>
            </w:pPr>
            <w:r>
              <w:t>Does the</w:t>
            </w:r>
            <w:r w:rsidR="00C73AEF" w:rsidRPr="002F3155">
              <w:t xml:space="preserve"> regulatory system for agvet chemicals effectively align regulatory effort with risk</w:t>
            </w:r>
            <w:r w:rsidR="005F6622">
              <w:t>?</w:t>
            </w:r>
            <w:r>
              <w:t xml:space="preserve"> How can a better system be achieved?</w:t>
            </w:r>
          </w:p>
          <w:p w14:paraId="2982B0E6" w14:textId="0C344CBE" w:rsidR="00F204DF" w:rsidRPr="00F204DF" w:rsidRDefault="00104D1B" w:rsidP="00C010FC">
            <w:pPr>
              <w:pStyle w:val="InformationRequestBullet"/>
            </w:pPr>
            <w:r>
              <w:t xml:space="preserve">Is </w:t>
            </w:r>
            <w:r w:rsidR="002F3155">
              <w:t>the</w:t>
            </w:r>
            <w:r>
              <w:t>re</w:t>
            </w:r>
            <w:r w:rsidR="002F3155">
              <w:t xml:space="preserve"> scope for Australian regulators</w:t>
            </w:r>
            <w:r w:rsidR="00D2601C">
              <w:t xml:space="preserve"> of agvet chemicals</w:t>
            </w:r>
            <w:r w:rsidR="002F3155">
              <w:t xml:space="preserve"> to recognise the tests and standards developed by their overseas counterparts</w:t>
            </w:r>
            <w:r w:rsidR="00B4149A">
              <w:t>?</w:t>
            </w:r>
          </w:p>
        </w:tc>
      </w:tr>
      <w:tr w:rsidR="00352075" w14:paraId="2982B0E9" w14:textId="77777777" w:rsidTr="002B5666">
        <w:trPr>
          <w:cantSplit/>
        </w:trPr>
        <w:tc>
          <w:tcPr>
            <w:tcW w:w="8771" w:type="dxa"/>
            <w:tcBorders>
              <w:top w:val="nil"/>
              <w:left w:val="nil"/>
              <w:bottom w:val="single" w:sz="6" w:space="0" w:color="78A22F"/>
              <w:right w:val="nil"/>
            </w:tcBorders>
            <w:shd w:val="clear" w:color="auto" w:fill="auto"/>
          </w:tcPr>
          <w:p w14:paraId="2982B0E8" w14:textId="77777777" w:rsidR="00352075" w:rsidRDefault="00352075" w:rsidP="002B5666">
            <w:pPr>
              <w:pStyle w:val="Box"/>
              <w:spacing w:before="0" w:line="120" w:lineRule="exact"/>
            </w:pPr>
          </w:p>
        </w:tc>
      </w:tr>
      <w:tr w:rsidR="00352075" w:rsidRPr="000863A5" w14:paraId="2982B0EB" w14:textId="77777777" w:rsidTr="002B5666">
        <w:tc>
          <w:tcPr>
            <w:tcW w:w="8771" w:type="dxa"/>
            <w:tcBorders>
              <w:top w:val="single" w:sz="6" w:space="0" w:color="78A22F"/>
              <w:left w:val="nil"/>
              <w:bottom w:val="nil"/>
              <w:right w:val="nil"/>
            </w:tcBorders>
          </w:tcPr>
          <w:p w14:paraId="2982B0EA" w14:textId="12B6B9E2" w:rsidR="00352075" w:rsidRPr="00626D32" w:rsidRDefault="00352075" w:rsidP="002B5666">
            <w:pPr>
              <w:pStyle w:val="BoxSpaceBelow"/>
            </w:pPr>
          </w:p>
        </w:tc>
      </w:tr>
    </w:tbl>
    <w:p w14:paraId="2982B0EC" w14:textId="77777777" w:rsidR="002B1032" w:rsidRDefault="002B1032" w:rsidP="002B1032">
      <w:pPr>
        <w:pStyle w:val="Heading3"/>
      </w:pPr>
      <w:r>
        <w:t>Water</w:t>
      </w:r>
    </w:p>
    <w:p w14:paraId="67A7C3AF" w14:textId="5A9EDAE1" w:rsidR="00DB0FC8" w:rsidRPr="00DB0FC8" w:rsidRDefault="006475CC" w:rsidP="00DB0FC8">
      <w:pPr>
        <w:pStyle w:val="BodyText"/>
      </w:pPr>
      <w:r>
        <w:t>Farm</w:t>
      </w:r>
      <w:r w:rsidR="00DB0FC8" w:rsidRPr="00DB0FC8">
        <w:t xml:space="preserve"> businesses</w:t>
      </w:r>
      <w:r>
        <w:t xml:space="preserve"> use water for diverse purposes such as watering crops</w:t>
      </w:r>
      <w:r w:rsidR="00A9635E">
        <w:t xml:space="preserve"> through </w:t>
      </w:r>
      <w:r>
        <w:t>irrigation and feeding livestock</w:t>
      </w:r>
      <w:r w:rsidR="00DB0FC8" w:rsidRPr="00DB0FC8">
        <w:t>. Constraints on the availability and cost of water can impose unnecessary costs on farmers and limit agricultural output and productivity, especially during drought</w:t>
      </w:r>
      <w:r w:rsidR="007F3BAF">
        <w:t>s</w:t>
      </w:r>
      <w:r w:rsidR="00DB0FC8" w:rsidRPr="00DB0FC8">
        <w:t>. Such constraints can include institutional impediments to water trading, over-allocation of water systems,</w:t>
      </w:r>
      <w:r w:rsidR="005B3579">
        <w:t xml:space="preserve"> and</w:t>
      </w:r>
      <w:r w:rsidR="00DB0FC8" w:rsidRPr="00DB0FC8">
        <w:t xml:space="preserve"> poorly designed water property rights.</w:t>
      </w:r>
    </w:p>
    <w:p w14:paraId="20F1E3DA" w14:textId="3B60C9B6" w:rsidR="00DB0FC8" w:rsidRPr="00DB0FC8" w:rsidRDefault="007F3BAF" w:rsidP="00DB0FC8">
      <w:pPr>
        <w:pStyle w:val="BodyText"/>
      </w:pPr>
      <w:r>
        <w:t xml:space="preserve">A number of recent </w:t>
      </w:r>
      <w:r w:rsidR="00DB0FC8" w:rsidRPr="00DB0FC8">
        <w:t>reviews of water arrangements</w:t>
      </w:r>
      <w:r>
        <w:t xml:space="preserve"> and </w:t>
      </w:r>
      <w:r w:rsidR="00DB0FC8" w:rsidRPr="00DB0FC8">
        <w:t>submissions to the Agricultural Competitiveness White Paper highlighted a range of water-related regulatory problems</w:t>
      </w:r>
      <w:r w:rsidR="00F936F0">
        <w:t xml:space="preserve"> </w:t>
      </w:r>
      <w:r w:rsidR="00A66082">
        <w:t>affecting Australian agriculture</w:t>
      </w:r>
      <w:r w:rsidR="00A71684">
        <w:t xml:space="preserve"> </w:t>
      </w:r>
      <w:r w:rsidR="00CE4698" w:rsidRPr="00CE4698">
        <w:rPr>
          <w:szCs w:val="24"/>
        </w:rPr>
        <w:t>(for example, Australian Government 2015b; AWA 2014; Commonwealth of Australia 2014; NWC 2012, 2013)</w:t>
      </w:r>
      <w:r w:rsidR="00DB0FC8" w:rsidRPr="00DB0FC8">
        <w:t xml:space="preserve">. </w:t>
      </w:r>
      <w:r w:rsidR="008177C3">
        <w:t>C</w:t>
      </w:r>
      <w:r>
        <w:t xml:space="preserve">oncerns raised </w:t>
      </w:r>
      <w:r w:rsidR="005F1AB0">
        <w:t>relate to:</w:t>
      </w:r>
    </w:p>
    <w:p w14:paraId="1B1CE744" w14:textId="6868F13A" w:rsidR="0089294D" w:rsidRPr="002E61A8" w:rsidRDefault="0089294D" w:rsidP="002E61A8">
      <w:pPr>
        <w:pStyle w:val="ListBullet"/>
      </w:pPr>
      <w:r w:rsidRPr="002E61A8">
        <w:rPr>
          <w:i/>
        </w:rPr>
        <w:t>information provision</w:t>
      </w:r>
      <w:r w:rsidR="007F3BAF" w:rsidRPr="002E61A8">
        <w:t xml:space="preserve">, including </w:t>
      </w:r>
      <w:r w:rsidRPr="002E61A8">
        <w:t>the transparency, quality, timeliness and communication of information in water markets</w:t>
      </w:r>
      <w:r w:rsidR="007F3BAF" w:rsidRPr="002E61A8">
        <w:t xml:space="preserve"> and </w:t>
      </w:r>
      <w:r w:rsidR="006C55E7" w:rsidRPr="002E61A8">
        <w:t>information on the connection between groundwater and surface water</w:t>
      </w:r>
      <w:r w:rsidR="007F3BAF" w:rsidRPr="002E61A8">
        <w:t xml:space="preserve"> </w:t>
      </w:r>
    </w:p>
    <w:p w14:paraId="24E1F986" w14:textId="1100432A" w:rsidR="0089294D" w:rsidRPr="002E61A8" w:rsidRDefault="0089294D" w:rsidP="002E61A8">
      <w:pPr>
        <w:pStyle w:val="ListBullet"/>
      </w:pPr>
      <w:r w:rsidRPr="002E61A8">
        <w:rPr>
          <w:i/>
        </w:rPr>
        <w:t>water trading</w:t>
      </w:r>
      <w:r w:rsidR="007F3BAF" w:rsidRPr="002E61A8">
        <w:t xml:space="preserve">, including </w:t>
      </w:r>
      <w:r w:rsidRPr="002E61A8">
        <w:t>urban</w:t>
      </w:r>
      <w:r w:rsidR="00FA1839" w:rsidRPr="002E61A8">
        <w:t>–</w:t>
      </w:r>
      <w:r w:rsidRPr="002E61A8">
        <w:t xml:space="preserve">rural water trade, </w:t>
      </w:r>
      <w:r w:rsidR="008177C3" w:rsidRPr="002E61A8">
        <w:t xml:space="preserve">the </w:t>
      </w:r>
      <w:r w:rsidR="006C55E7" w:rsidRPr="002E61A8">
        <w:t xml:space="preserve">allocation of water entitlements and development of water markets in Northern Australia, </w:t>
      </w:r>
      <w:r w:rsidR="008177C3" w:rsidRPr="002E61A8">
        <w:t xml:space="preserve">the </w:t>
      </w:r>
      <w:r w:rsidR="006652D7" w:rsidRPr="002E61A8">
        <w:t>role of water brokers and the</w:t>
      </w:r>
      <w:r w:rsidR="008177C3" w:rsidRPr="002E61A8">
        <w:t xml:space="preserve"> </w:t>
      </w:r>
      <w:r w:rsidR="006C55E7" w:rsidRPr="002E61A8">
        <w:t>treatment of water market speculators</w:t>
      </w:r>
      <w:r w:rsidR="009B5F2F" w:rsidRPr="002E61A8">
        <w:t>, and underdeveloped ground water markers</w:t>
      </w:r>
    </w:p>
    <w:p w14:paraId="7AD9D4C5" w14:textId="4D3E8933" w:rsidR="0089294D" w:rsidRPr="00DB0FC8" w:rsidRDefault="0089294D" w:rsidP="002E61A8">
      <w:pPr>
        <w:pStyle w:val="ListBullet"/>
      </w:pPr>
      <w:r w:rsidRPr="002E61A8">
        <w:rPr>
          <w:i/>
        </w:rPr>
        <w:t>water</w:t>
      </w:r>
      <w:r w:rsidR="00FD3855" w:rsidRPr="002E61A8">
        <w:rPr>
          <w:i/>
        </w:rPr>
        <w:t xml:space="preserve"> access and</w:t>
      </w:r>
      <w:r w:rsidRPr="002E61A8">
        <w:rPr>
          <w:i/>
        </w:rPr>
        <w:t xml:space="preserve"> management</w:t>
      </w:r>
      <w:r w:rsidR="008177C3" w:rsidRPr="002E61A8">
        <w:t xml:space="preserve">, including </w:t>
      </w:r>
      <w:r w:rsidR="00916199" w:rsidRPr="002E61A8">
        <w:t>water recovery targets</w:t>
      </w:r>
      <w:r w:rsidR="005F6047" w:rsidRPr="002E61A8">
        <w:t xml:space="preserve"> and the allocation of responsibilities across different tiers of government for</w:t>
      </w:r>
      <w:r w:rsidR="005F6047">
        <w:t xml:space="preserve"> water management in the Murray Darling Basin</w:t>
      </w:r>
      <w:r w:rsidR="00916199">
        <w:t xml:space="preserve">, </w:t>
      </w:r>
      <w:r w:rsidR="005F6047">
        <w:t>and planning processes in Northern Australia.</w:t>
      </w:r>
    </w:p>
    <w:p w14:paraId="2982B0F3" w14:textId="5800B268" w:rsidR="00352075" w:rsidRDefault="00352075" w:rsidP="00352075">
      <w:pPr>
        <w:pStyle w:val="BodyText"/>
        <w:keepNext/>
        <w:keepLines/>
        <w:spacing w:before="120" w:line="280" w:lineRule="atLeast"/>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2075" w:rsidRPr="002E6452" w14:paraId="2982B0F6" w14:textId="77777777" w:rsidTr="002B5666">
        <w:tc>
          <w:tcPr>
            <w:tcW w:w="8771" w:type="dxa"/>
            <w:tcBorders>
              <w:top w:val="single" w:sz="6" w:space="0" w:color="78A22F"/>
              <w:left w:val="nil"/>
              <w:bottom w:val="nil"/>
              <w:right w:val="nil"/>
            </w:tcBorders>
            <w:shd w:val="clear" w:color="auto" w:fill="auto"/>
          </w:tcPr>
          <w:p w14:paraId="2982B0F4" w14:textId="5B75CC6F" w:rsidR="00352075" w:rsidRPr="007F6C76" w:rsidRDefault="00037F8F" w:rsidP="002B5666">
            <w:pPr>
              <w:pStyle w:val="InformationRequest"/>
              <w:keepNext/>
              <w:rPr>
                <w:b/>
                <w:color w:val="000000" w:themeColor="text1"/>
              </w:rPr>
            </w:pPr>
            <w:r w:rsidRPr="007F6C76">
              <w:rPr>
                <w:b/>
                <w:color w:val="000000" w:themeColor="text1"/>
              </w:rPr>
              <w:t>Questions</w:t>
            </w:r>
            <w:r w:rsidR="00BF2280" w:rsidRPr="007F6C76">
              <w:rPr>
                <w:b/>
                <w:color w:val="000000" w:themeColor="text1"/>
              </w:rPr>
              <w:t xml:space="preserve"> </w:t>
            </w:r>
          </w:p>
          <w:p w14:paraId="1851738E" w14:textId="51C7244A" w:rsidR="007A4B96" w:rsidRPr="008A72A4" w:rsidRDefault="007A4B96" w:rsidP="007A4B96">
            <w:pPr>
              <w:pStyle w:val="InformationRequestBullet"/>
            </w:pPr>
            <w:r>
              <w:t>Are there aspects of the water market that are imposing an unnecessary regulatory burden on farm businesses? If so, what are they?</w:t>
            </w:r>
            <w:r w:rsidR="006652D7">
              <w:t xml:space="preserve"> </w:t>
            </w:r>
          </w:p>
          <w:p w14:paraId="2982B0F5" w14:textId="142AD5E5" w:rsidR="00352075" w:rsidRPr="002E6452" w:rsidRDefault="00276652" w:rsidP="007A4B96">
            <w:pPr>
              <w:pStyle w:val="InformationRequestBullet"/>
              <w:rPr>
                <w:lang w:eastAsia="en-US"/>
              </w:rPr>
            </w:pPr>
            <w:r>
              <w:t>W</w:t>
            </w:r>
            <w:r w:rsidR="004F1754" w:rsidRPr="00F973BA">
              <w:t>hat aspect</w:t>
            </w:r>
            <w:r>
              <w:t>s</w:t>
            </w:r>
            <w:r w:rsidR="004F1754" w:rsidRPr="00F973BA">
              <w:t xml:space="preserve"> of </w:t>
            </w:r>
            <w:r>
              <w:t xml:space="preserve">water regulation </w:t>
            </w:r>
            <w:r w:rsidR="007A4B96">
              <w:t xml:space="preserve">are having a material </w:t>
            </w:r>
            <w:r w:rsidR="001B6807">
              <w:t xml:space="preserve">effect </w:t>
            </w:r>
            <w:r w:rsidR="007A4B96">
              <w:t>on the competitiveness of farm businesses and the productivity of Australian agriculture</w:t>
            </w:r>
            <w:r w:rsidR="004F1754" w:rsidRPr="00F973BA">
              <w:t>?</w:t>
            </w:r>
          </w:p>
        </w:tc>
      </w:tr>
      <w:tr w:rsidR="00352075" w14:paraId="2982B0F8" w14:textId="77777777" w:rsidTr="002B5666">
        <w:trPr>
          <w:cantSplit/>
        </w:trPr>
        <w:tc>
          <w:tcPr>
            <w:tcW w:w="8771" w:type="dxa"/>
            <w:tcBorders>
              <w:top w:val="nil"/>
              <w:left w:val="nil"/>
              <w:bottom w:val="single" w:sz="6" w:space="0" w:color="78A22F"/>
              <w:right w:val="nil"/>
            </w:tcBorders>
            <w:shd w:val="clear" w:color="auto" w:fill="auto"/>
          </w:tcPr>
          <w:p w14:paraId="2982B0F7" w14:textId="77777777" w:rsidR="00352075" w:rsidRDefault="00352075" w:rsidP="002B5666">
            <w:pPr>
              <w:pStyle w:val="Box"/>
              <w:spacing w:before="0" w:line="120" w:lineRule="exact"/>
            </w:pPr>
          </w:p>
        </w:tc>
      </w:tr>
      <w:tr w:rsidR="00352075" w:rsidRPr="000863A5" w14:paraId="2982B0FA" w14:textId="77777777" w:rsidTr="002B5666">
        <w:tc>
          <w:tcPr>
            <w:tcW w:w="8771" w:type="dxa"/>
            <w:tcBorders>
              <w:top w:val="single" w:sz="6" w:space="0" w:color="78A22F"/>
              <w:left w:val="nil"/>
              <w:bottom w:val="nil"/>
              <w:right w:val="nil"/>
            </w:tcBorders>
          </w:tcPr>
          <w:p w14:paraId="2982B0F9" w14:textId="2DC91367" w:rsidR="00352075" w:rsidRPr="00626D32" w:rsidRDefault="00352075" w:rsidP="002B5666">
            <w:pPr>
              <w:pStyle w:val="BoxSpaceBelow"/>
            </w:pPr>
          </w:p>
        </w:tc>
      </w:tr>
    </w:tbl>
    <w:p w14:paraId="2982B0FB" w14:textId="77777777" w:rsidR="002B1032" w:rsidRDefault="002B1032" w:rsidP="002B1032">
      <w:pPr>
        <w:pStyle w:val="Heading3"/>
      </w:pPr>
      <w:r>
        <w:lastRenderedPageBreak/>
        <w:t>Transport</w:t>
      </w:r>
    </w:p>
    <w:p w14:paraId="47500BC5" w14:textId="206A382B" w:rsidR="00445BF2" w:rsidRDefault="00E716CD" w:rsidP="00D526DB">
      <w:pPr>
        <w:pStyle w:val="BodyText"/>
      </w:pPr>
      <w:r>
        <w:t xml:space="preserve">Given the rural location of </w:t>
      </w:r>
      <w:r w:rsidR="003C089D">
        <w:t xml:space="preserve">a lot of </w:t>
      </w:r>
      <w:r>
        <w:t>agricu</w:t>
      </w:r>
      <w:r w:rsidR="001825F6">
        <w:t xml:space="preserve">ltural </w:t>
      </w:r>
      <w:r>
        <w:t xml:space="preserve">production </w:t>
      </w:r>
      <w:r w:rsidR="001825F6">
        <w:t>across Australia, t</w:t>
      </w:r>
      <w:r w:rsidR="00856033">
        <w:t xml:space="preserve">he transport system is </w:t>
      </w:r>
      <w:r w:rsidR="001825F6">
        <w:t xml:space="preserve">central </w:t>
      </w:r>
      <w:r w:rsidR="00856033">
        <w:t xml:space="preserve">to </w:t>
      </w:r>
      <w:r w:rsidR="001825F6">
        <w:t xml:space="preserve">the competitiveness of farm businesses. </w:t>
      </w:r>
      <w:r w:rsidR="00A95EBC">
        <w:t>Various</w:t>
      </w:r>
      <w:r w:rsidR="00445BF2">
        <w:t xml:space="preserve"> modes of transport</w:t>
      </w:r>
      <w:r w:rsidR="00FE0595">
        <w:t xml:space="preserve"> </w:t>
      </w:r>
      <w:r w:rsidR="00445BF2">
        <w:t>are subject to regulation</w:t>
      </w:r>
      <w:r w:rsidR="003C089D">
        <w:t>. Transport regulation is aimed at addressing</w:t>
      </w:r>
      <w:r w:rsidR="00445BF2" w:rsidDel="003C089D">
        <w:t xml:space="preserve"> </w:t>
      </w:r>
      <w:r w:rsidR="00012287">
        <w:t xml:space="preserve">a range of issues, including </w:t>
      </w:r>
      <w:r w:rsidR="00445BF2">
        <w:t xml:space="preserve">competition, public safety, amenity, and the protection of public infrastructure. </w:t>
      </w:r>
    </w:p>
    <w:p w14:paraId="58037344" w14:textId="09543986" w:rsidR="009C4778" w:rsidRDefault="002B1528" w:rsidP="009C4778">
      <w:pPr>
        <w:pStyle w:val="BodyText"/>
      </w:pPr>
      <w:r>
        <w:t xml:space="preserve">In Australia, the majority of agricultural goods </w:t>
      </w:r>
      <w:r w:rsidR="001825F6">
        <w:t xml:space="preserve">are </w:t>
      </w:r>
      <w:r>
        <w:t>transport</w:t>
      </w:r>
      <w:r w:rsidR="001825F6">
        <w:t xml:space="preserve">ed </w:t>
      </w:r>
      <w:r>
        <w:t xml:space="preserve">via </w:t>
      </w:r>
      <w:r w:rsidR="008E17B1">
        <w:t>road</w:t>
      </w:r>
      <w:r w:rsidR="00467FEE">
        <w:t xml:space="preserve"> using heavy vehicles</w:t>
      </w:r>
      <w:r>
        <w:t xml:space="preserve"> </w:t>
      </w:r>
      <w:r w:rsidRPr="00993800">
        <w:rPr>
          <w:szCs w:val="24"/>
        </w:rPr>
        <w:t>(Tulloh and Pearce 2011)</w:t>
      </w:r>
      <w:r>
        <w:t xml:space="preserve">. </w:t>
      </w:r>
      <w:r w:rsidR="001825F6">
        <w:t xml:space="preserve">Moves </w:t>
      </w:r>
      <w:r w:rsidR="00B35A46">
        <w:t>toward</w:t>
      </w:r>
      <w:r w:rsidR="001825F6">
        <w:t xml:space="preserve">s </w:t>
      </w:r>
      <w:r w:rsidR="00B35A46">
        <w:t xml:space="preserve">national heavy vehicle regulations and a single regulator </w:t>
      </w:r>
      <w:r w:rsidR="00920B4C">
        <w:t>have been aimed</w:t>
      </w:r>
      <w:r w:rsidR="008671CF">
        <w:t xml:space="preserve"> </w:t>
      </w:r>
      <w:r w:rsidR="00920B4C">
        <w:t xml:space="preserve">at </w:t>
      </w:r>
      <w:r w:rsidR="00B35A46">
        <w:t>lessen</w:t>
      </w:r>
      <w:r w:rsidR="00920B4C">
        <w:t>ing</w:t>
      </w:r>
      <w:r w:rsidR="00B35A46">
        <w:t xml:space="preserve"> compliance burden</w:t>
      </w:r>
      <w:r w:rsidR="001825F6">
        <w:t>s</w:t>
      </w:r>
      <w:r w:rsidR="00B35A46">
        <w:t xml:space="preserve">, </w:t>
      </w:r>
      <w:r w:rsidR="00920B4C">
        <w:t xml:space="preserve">reducing </w:t>
      </w:r>
      <w:r w:rsidR="00B35A46">
        <w:t xml:space="preserve">duplication and inconsistency between states and territories, and </w:t>
      </w:r>
      <w:r w:rsidR="00920B4C">
        <w:t xml:space="preserve">facilitating </w:t>
      </w:r>
      <w:r w:rsidR="00B35A46">
        <w:t>cross</w:t>
      </w:r>
      <w:r w:rsidR="00B35A46">
        <w:noBreakHyphen/>
        <w:t>border operations.</w:t>
      </w:r>
      <w:r w:rsidR="005C334C" w:rsidDel="005B0482">
        <w:t xml:space="preserve"> </w:t>
      </w:r>
      <w:r w:rsidR="005B0482">
        <w:t xml:space="preserve">While </w:t>
      </w:r>
      <w:r w:rsidR="005C334C">
        <w:t xml:space="preserve">progress continues to be made </w:t>
      </w:r>
      <w:r w:rsidR="00D526DB">
        <w:t>(NHVR 2015)</w:t>
      </w:r>
      <w:r w:rsidR="00F630CB">
        <w:t>,</w:t>
      </w:r>
      <w:r w:rsidR="005B0482">
        <w:t xml:space="preserve"> concerns </w:t>
      </w:r>
      <w:r w:rsidR="001825F6">
        <w:t>remain.</w:t>
      </w:r>
    </w:p>
    <w:p w14:paraId="654914F6" w14:textId="5DEF4189" w:rsidR="00B35A46" w:rsidRDefault="00740FAD" w:rsidP="00B35A46">
      <w:pPr>
        <w:pStyle w:val="ListBullet"/>
      </w:pPr>
      <w:r>
        <w:t>S</w:t>
      </w:r>
      <w:r w:rsidR="00B35A46">
        <w:t xml:space="preserve">takeholders </w:t>
      </w:r>
      <w:r w:rsidR="00E31162">
        <w:t>argue</w:t>
      </w:r>
      <w:r w:rsidR="00B35A46">
        <w:t xml:space="preserve"> that </w:t>
      </w:r>
      <w:r>
        <w:t xml:space="preserve">the </w:t>
      </w:r>
      <w:r w:rsidRPr="009C4778">
        <w:rPr>
          <w:i/>
        </w:rPr>
        <w:t>Road Safety Remuneration Act 2012</w:t>
      </w:r>
      <w:r>
        <w:t xml:space="preserve"> (Cwlth) — which restricts unsafe work practices — </w:t>
      </w:r>
      <w:r w:rsidR="00B35A46">
        <w:t xml:space="preserve">duplicates other regulations and has </w:t>
      </w:r>
      <w:r w:rsidR="004A4F91">
        <w:t>not</w:t>
      </w:r>
      <w:r w:rsidR="00B35A46">
        <w:t xml:space="preserve"> led to safety improvements </w:t>
      </w:r>
      <w:r w:rsidR="00D011C4" w:rsidRPr="00D011C4">
        <w:rPr>
          <w:szCs w:val="24"/>
        </w:rPr>
        <w:t>(ALC 2013; NFF 2014b; Retailer and Supplier Roundtable Ltd 2014)</w:t>
      </w:r>
      <w:r w:rsidR="00B35A46">
        <w:t xml:space="preserve">. </w:t>
      </w:r>
    </w:p>
    <w:p w14:paraId="180AA01C" w14:textId="4F6A225C" w:rsidR="009C4778" w:rsidRDefault="009C4778" w:rsidP="005D0C04">
      <w:pPr>
        <w:pStyle w:val="ListBullet"/>
      </w:pPr>
      <w:r>
        <w:t xml:space="preserve">Western Australia and the Northern Territory are yet to commence the </w:t>
      </w:r>
      <w:r w:rsidR="00090F35" w:rsidRPr="00467FEE">
        <w:rPr>
          <w:i/>
        </w:rPr>
        <w:t xml:space="preserve">Heavy Vehicle National Law Act 2012 </w:t>
      </w:r>
      <w:r w:rsidR="00090F35">
        <w:t>(Qld) (HVNL)</w:t>
      </w:r>
      <w:r w:rsidR="004A4F91">
        <w:t>, partly</w:t>
      </w:r>
      <w:r>
        <w:t xml:space="preserve"> due</w:t>
      </w:r>
      <w:r w:rsidR="005D0C04">
        <w:t xml:space="preserve"> to</w:t>
      </w:r>
      <w:r>
        <w:t xml:space="preserve"> the restrictiveness of access conditions and the </w:t>
      </w:r>
      <w:r w:rsidR="004A4F91">
        <w:t>im</w:t>
      </w:r>
      <w:r>
        <w:t xml:space="preserve">practicality of the national fatigue management system </w:t>
      </w:r>
      <w:r w:rsidR="0066729B" w:rsidRPr="0066729B">
        <w:rPr>
          <w:szCs w:val="24"/>
        </w:rPr>
        <w:t>(Gardner 2015; NT Department of Transport 2014)</w:t>
      </w:r>
      <w:r>
        <w:t>.</w:t>
      </w:r>
      <w:r w:rsidR="00090F35">
        <w:t xml:space="preserve"> </w:t>
      </w:r>
    </w:p>
    <w:p w14:paraId="2F6A529F" w14:textId="79D2571D" w:rsidR="005D0C04" w:rsidRDefault="009C4778" w:rsidP="005D0C04">
      <w:pPr>
        <w:pStyle w:val="ListBullet"/>
      </w:pPr>
      <w:r>
        <w:t>States and territories are permitted to have their own derogations from the HVNL</w:t>
      </w:r>
      <w:r w:rsidR="00740FAD">
        <w:t xml:space="preserve">, </w:t>
      </w:r>
      <w:r w:rsidR="00A82563">
        <w:t>potentially</w:t>
      </w:r>
      <w:r w:rsidR="00740FAD">
        <w:t xml:space="preserve"> creating</w:t>
      </w:r>
      <w:r>
        <w:t xml:space="preserve"> </w:t>
      </w:r>
      <w:r w:rsidR="00740FAD">
        <w:t xml:space="preserve">inconsistencies that </w:t>
      </w:r>
      <w:r w:rsidR="005D0C04">
        <w:t xml:space="preserve">may force operators to resort to a ‘lowest common denominator’ approach in employing a vehicle combination that meets the requirements of all jurisdictions </w:t>
      </w:r>
      <w:r w:rsidR="005D0C04" w:rsidRPr="005D0C04">
        <w:rPr>
          <w:szCs w:val="24"/>
        </w:rPr>
        <w:t>(ALC 2010)</w:t>
      </w:r>
      <w:r w:rsidR="005D0C04">
        <w:t>.</w:t>
      </w:r>
    </w:p>
    <w:p w14:paraId="28E62200" w14:textId="5D0FA998" w:rsidR="009C4778" w:rsidRDefault="009C4778" w:rsidP="005D0C04">
      <w:pPr>
        <w:pStyle w:val="ListBullet"/>
      </w:pPr>
      <w:r>
        <w:t xml:space="preserve">The HVNL recognises local governments as road managers. </w:t>
      </w:r>
      <w:r w:rsidR="005D0C04">
        <w:t>Local restrictions on road access for some heavy vehicles may adverse</w:t>
      </w:r>
      <w:r w:rsidR="004A4F91">
        <w:t>ly</w:t>
      </w:r>
      <w:r w:rsidR="005D0C04">
        <w:t xml:space="preserve"> </w:t>
      </w:r>
      <w:r w:rsidR="004A4F91">
        <w:t>affect</w:t>
      </w:r>
      <w:r w:rsidR="005D0C04">
        <w:t xml:space="preserve"> agricultural productivity </w:t>
      </w:r>
      <w:r w:rsidR="005D0C04" w:rsidRPr="005D0C04">
        <w:rPr>
          <w:szCs w:val="24"/>
        </w:rPr>
        <w:t>(Retailer and Supplier Roundtable Ltd 2014)</w:t>
      </w:r>
      <w:r w:rsidR="005D0C04">
        <w:t>.</w:t>
      </w:r>
    </w:p>
    <w:p w14:paraId="63DCC0E0" w14:textId="727EE72F" w:rsidR="00655FA9" w:rsidRDefault="00655FA9" w:rsidP="007C3880">
      <w:pPr>
        <w:pStyle w:val="ListBullet"/>
        <w:numPr>
          <w:ilvl w:val="0"/>
          <w:numId w:val="0"/>
        </w:numPr>
      </w:pPr>
      <w:r>
        <w:t xml:space="preserve">Reforms to reduce regulatory </w:t>
      </w:r>
      <w:r w:rsidR="00B338E1">
        <w:t>inefficiencies</w:t>
      </w:r>
      <w:r>
        <w:t xml:space="preserve"> in </w:t>
      </w:r>
      <w:r w:rsidR="00487D7C">
        <w:t>other transport sectors</w:t>
      </w:r>
      <w:r w:rsidR="000E5CD2">
        <w:t xml:space="preserve"> </w:t>
      </w:r>
      <w:r w:rsidR="005B0482">
        <w:t xml:space="preserve">are </w:t>
      </w:r>
      <w:r w:rsidR="000E5CD2">
        <w:t>occurr</w:t>
      </w:r>
      <w:r w:rsidR="005B0482">
        <w:t>ing</w:t>
      </w:r>
      <w:r w:rsidR="000E5CD2">
        <w:t xml:space="preserve"> at </w:t>
      </w:r>
      <w:r w:rsidR="005B0482">
        <w:t>different rates</w:t>
      </w:r>
      <w:r>
        <w:t xml:space="preserve">. </w:t>
      </w:r>
      <w:r w:rsidR="005B0482">
        <w:t>T</w:t>
      </w:r>
      <w:r>
        <w:t xml:space="preserve">he </w:t>
      </w:r>
      <w:r w:rsidR="00D71AEE">
        <w:t>Competition Policy Review (</w:t>
      </w:r>
      <w:r>
        <w:t>Harper Review</w:t>
      </w:r>
      <w:r w:rsidR="00D71AEE">
        <w:t>)</w:t>
      </w:r>
      <w:r>
        <w:t xml:space="preserve"> found that rail access regimes, though complex, have improved efficiency in the rail freight sector</w:t>
      </w:r>
      <w:r w:rsidR="00EA454E">
        <w:t xml:space="preserve"> </w:t>
      </w:r>
      <w:r w:rsidR="00EA454E" w:rsidRPr="00EA454E">
        <w:rPr>
          <w:szCs w:val="24"/>
        </w:rPr>
        <w:t>(Harper et al. 2015)</w:t>
      </w:r>
      <w:r>
        <w:t xml:space="preserve">. Conversely, proposed </w:t>
      </w:r>
      <w:r w:rsidR="00BC1255">
        <w:t>legislation</w:t>
      </w:r>
      <w:r>
        <w:t xml:space="preserve"> (Shipping Legislation Amendment Bill 2015) to improve competition in coastal shipping, by streamlining regulatory requirements for foreign ships, has been rejected by</w:t>
      </w:r>
      <w:r w:rsidRPr="00655FA9">
        <w:t xml:space="preserve"> </w:t>
      </w:r>
      <w:r>
        <w:t>the Senate</w:t>
      </w:r>
      <w:r w:rsidR="002F231B">
        <w:t xml:space="preserve">. </w:t>
      </w:r>
      <w:r w:rsidR="00EA454E">
        <w:t>R</w:t>
      </w:r>
      <w:r w:rsidR="00233A16">
        <w:t xml:space="preserve">egulatory barriers to competition </w:t>
      </w:r>
      <w:r w:rsidR="00CE4698">
        <w:t xml:space="preserve">and a lack of investment </w:t>
      </w:r>
      <w:r w:rsidR="00233A16">
        <w:t xml:space="preserve">in ports and air </w:t>
      </w:r>
      <w:r w:rsidR="00CE4698">
        <w:t xml:space="preserve">services have </w:t>
      </w:r>
      <w:r w:rsidR="003C089D">
        <w:t xml:space="preserve">also </w:t>
      </w:r>
      <w:r w:rsidR="00CE4698">
        <w:t>been raised as issues that affect efficient access to these transport modes</w:t>
      </w:r>
      <w:r w:rsidR="00D011C4">
        <w:t xml:space="preserve"> </w:t>
      </w:r>
      <w:r w:rsidR="00D011C4" w:rsidRPr="00D011C4">
        <w:rPr>
          <w:szCs w:val="24"/>
        </w:rPr>
        <w:t>(ALEC 2014; Harper et al. 2015; NFF 2014a)</w:t>
      </w:r>
      <w:r w:rsidR="00CE4698">
        <w:t>.</w:t>
      </w:r>
    </w:p>
    <w:p w14:paraId="251613CE" w14:textId="25286BF4" w:rsidR="00D526DB" w:rsidRDefault="00D526DB" w:rsidP="00D526DB">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Pr>
      <w:tblGrid>
        <w:gridCol w:w="8770"/>
      </w:tblGrid>
      <w:tr w:rsidR="00D526DB" w14:paraId="41FB1B2B" w14:textId="77777777" w:rsidTr="006C50B1">
        <w:trPr>
          <w:cantSplit/>
        </w:trPr>
        <w:tc>
          <w:tcPr>
            <w:tcW w:w="8770" w:type="dxa"/>
            <w:tcBorders>
              <w:top w:val="single" w:sz="6" w:space="0" w:color="78A22F"/>
              <w:left w:val="nil"/>
              <w:bottom w:val="nil"/>
              <w:right w:val="nil"/>
            </w:tcBorders>
            <w:hideMark/>
          </w:tcPr>
          <w:p w14:paraId="5B02812E" w14:textId="1AC247D5" w:rsidR="00D526DB" w:rsidRPr="007F6C76" w:rsidRDefault="00926A79">
            <w:pPr>
              <w:pStyle w:val="InformationRequest"/>
              <w:rPr>
                <w:b/>
              </w:rPr>
            </w:pPr>
            <w:r w:rsidRPr="007F6C76">
              <w:rPr>
                <w:b/>
              </w:rPr>
              <w:t>Questions</w:t>
            </w:r>
          </w:p>
          <w:p w14:paraId="0286E9A4" w14:textId="40A48B72" w:rsidR="005D06B7" w:rsidRDefault="001825F6" w:rsidP="00BD4E6F">
            <w:pPr>
              <w:pStyle w:val="InformationRequestBullet"/>
            </w:pPr>
            <w:r>
              <w:t xml:space="preserve">Do </w:t>
            </w:r>
            <w:r w:rsidR="005D06B7">
              <w:t xml:space="preserve">transport regulations impose </w:t>
            </w:r>
            <w:r>
              <w:t xml:space="preserve">unnecessary burdens </w:t>
            </w:r>
            <w:r w:rsidR="005D06B7">
              <w:t>on agricultural producers</w:t>
            </w:r>
            <w:r w:rsidR="00926A79">
              <w:t>?</w:t>
            </w:r>
          </w:p>
          <w:p w14:paraId="6DA55906" w14:textId="37C876AA" w:rsidR="00C12101" w:rsidRPr="00C12101" w:rsidRDefault="00926A79" w:rsidP="00C12101">
            <w:pPr>
              <w:pStyle w:val="InformationRequestBullet"/>
            </w:pPr>
            <w:r>
              <w:t xml:space="preserve">Are there </w:t>
            </w:r>
            <w:r w:rsidR="00C12101" w:rsidRPr="00C12101">
              <w:t>transport regulation</w:t>
            </w:r>
            <w:r w:rsidR="00B92DA2">
              <w:t>s</w:t>
            </w:r>
            <w:r w:rsidR="00C12101" w:rsidRPr="00C12101">
              <w:t xml:space="preserve"> that duplicate or are inco</w:t>
            </w:r>
            <w:r w:rsidR="00C12101">
              <w:t>nsistent with other regulations</w:t>
            </w:r>
            <w:r>
              <w:t>?</w:t>
            </w:r>
          </w:p>
          <w:p w14:paraId="5C33006C" w14:textId="3CC0A363" w:rsidR="007A4F74" w:rsidDel="00A47856" w:rsidRDefault="007A4F74" w:rsidP="007A4F74">
            <w:pPr>
              <w:pStyle w:val="InformationRequestBullet"/>
            </w:pPr>
            <w:r>
              <w:t xml:space="preserve">Would alterations to the </w:t>
            </w:r>
            <w:r w:rsidDel="00A47856">
              <w:t xml:space="preserve">HVNL </w:t>
            </w:r>
            <w:r>
              <w:t xml:space="preserve">offer material benefit </w:t>
            </w:r>
            <w:r w:rsidR="005221DF">
              <w:t xml:space="preserve">in terms of </w:t>
            </w:r>
            <w:r w:rsidDel="00A47856">
              <w:t>reduc</w:t>
            </w:r>
            <w:r>
              <w:t xml:space="preserve">ing regulatory </w:t>
            </w:r>
            <w:r w:rsidDel="00A47856">
              <w:t>burden</w:t>
            </w:r>
            <w:r>
              <w:t xml:space="preserve"> on farmers? At what cost?</w:t>
            </w:r>
          </w:p>
          <w:p w14:paraId="7620DED4" w14:textId="5D38EDD1" w:rsidR="00D526DB" w:rsidRDefault="00926A79" w:rsidP="00BD4E6F">
            <w:pPr>
              <w:pStyle w:val="InformationRequestBullet"/>
            </w:pPr>
            <w:r>
              <w:t>H</w:t>
            </w:r>
            <w:r w:rsidR="00D526DB">
              <w:t>ow</w:t>
            </w:r>
            <w:r>
              <w:t xml:space="preserve"> could</w:t>
            </w:r>
            <w:r w:rsidR="00D526DB">
              <w:t xml:space="preserve"> access decision-making by road managers be improved</w:t>
            </w:r>
            <w:r w:rsidR="00E31162">
              <w:t xml:space="preserve"> to allow freer movement of agricultural produce</w:t>
            </w:r>
            <w:r>
              <w:t>?</w:t>
            </w:r>
          </w:p>
          <w:p w14:paraId="401EA9CC" w14:textId="14ED0057" w:rsidR="00993A9C" w:rsidRDefault="00926A79" w:rsidP="002647EB">
            <w:pPr>
              <w:pStyle w:val="InformationRequestBullet"/>
            </w:pPr>
            <w:r>
              <w:t>Is there</w:t>
            </w:r>
            <w:r w:rsidR="00D526DB">
              <w:t xml:space="preserve"> scope </w:t>
            </w:r>
            <w:r w:rsidR="00B92DA2">
              <w:t>to</w:t>
            </w:r>
            <w:r w:rsidR="00F9325C">
              <w:t xml:space="preserve"> </w:t>
            </w:r>
            <w:r w:rsidR="00B92DA2">
              <w:t>reduce</w:t>
            </w:r>
            <w:r w:rsidR="00F9325C">
              <w:t xml:space="preserve"> the burden </w:t>
            </w:r>
            <w:r>
              <w:t>of</w:t>
            </w:r>
            <w:r w:rsidR="00F9325C">
              <w:t xml:space="preserve"> rail</w:t>
            </w:r>
            <w:r w:rsidR="00F962A1">
              <w:t>, port or air freight</w:t>
            </w:r>
            <w:r w:rsidR="00F9325C">
              <w:t xml:space="preserve"> transport regulation</w:t>
            </w:r>
            <w:r w:rsidR="00F962A1">
              <w:t>s</w:t>
            </w:r>
            <w:r w:rsidR="00E31162">
              <w:t xml:space="preserve"> on farmers</w:t>
            </w:r>
            <w:r>
              <w:t>?</w:t>
            </w:r>
          </w:p>
          <w:p w14:paraId="6611551D" w14:textId="25F9972C" w:rsidR="00D526DB" w:rsidRDefault="00EE1811" w:rsidP="00F630CB">
            <w:pPr>
              <w:pStyle w:val="InformationRequestBullet"/>
            </w:pPr>
            <w:r>
              <w:t xml:space="preserve">Are </w:t>
            </w:r>
            <w:r w:rsidR="002507CE">
              <w:t xml:space="preserve">there </w:t>
            </w:r>
            <w:r w:rsidR="00034A8A">
              <w:t xml:space="preserve">aspects of coastal shipping regulation </w:t>
            </w:r>
            <w:r w:rsidR="0046747D">
              <w:t>that are a</w:t>
            </w:r>
            <w:r>
              <w:t>n unnecessary</w:t>
            </w:r>
            <w:r w:rsidR="0046747D">
              <w:t xml:space="preserve"> bu</w:t>
            </w:r>
            <w:r w:rsidR="00E31162">
              <w:t xml:space="preserve">rden </w:t>
            </w:r>
            <w:r w:rsidR="0046747D">
              <w:t>on farm</w:t>
            </w:r>
            <w:r w:rsidR="00F630CB">
              <w:t xml:space="preserve"> businesses</w:t>
            </w:r>
            <w:r w:rsidR="0046747D">
              <w:t>?</w:t>
            </w:r>
          </w:p>
        </w:tc>
      </w:tr>
      <w:tr w:rsidR="00D526DB" w14:paraId="227FA7E1" w14:textId="77777777" w:rsidTr="008F2921">
        <w:trPr>
          <w:cantSplit/>
        </w:trPr>
        <w:tc>
          <w:tcPr>
            <w:tcW w:w="8770" w:type="dxa"/>
            <w:tcBorders>
              <w:top w:val="nil"/>
              <w:left w:val="nil"/>
              <w:bottom w:val="single" w:sz="6" w:space="0" w:color="78A22F"/>
              <w:right w:val="nil"/>
            </w:tcBorders>
          </w:tcPr>
          <w:p w14:paraId="594E0E19" w14:textId="77777777" w:rsidR="00D526DB" w:rsidRDefault="00D526DB">
            <w:pPr>
              <w:pStyle w:val="Space"/>
              <w:keepNext w:val="0"/>
              <w:keepLines/>
            </w:pPr>
          </w:p>
        </w:tc>
      </w:tr>
      <w:tr w:rsidR="00D526DB" w14:paraId="50723E73" w14:textId="77777777" w:rsidTr="00771314">
        <w:trPr>
          <w:cantSplit/>
        </w:trPr>
        <w:tc>
          <w:tcPr>
            <w:tcW w:w="8770" w:type="dxa"/>
            <w:tcBorders>
              <w:top w:val="single" w:sz="6" w:space="0" w:color="78A22F"/>
              <w:left w:val="nil"/>
              <w:bottom w:val="nil"/>
              <w:right w:val="nil"/>
            </w:tcBorders>
          </w:tcPr>
          <w:p w14:paraId="16583191" w14:textId="1C746CED" w:rsidR="00D526DB" w:rsidRDefault="00D526DB">
            <w:pPr>
              <w:pStyle w:val="BoxSpaceBelow"/>
              <w:keepLines/>
            </w:pPr>
          </w:p>
        </w:tc>
      </w:tr>
    </w:tbl>
    <w:p w14:paraId="2982B105" w14:textId="77777777" w:rsidR="002B1032" w:rsidRDefault="002B1032" w:rsidP="002B1032">
      <w:pPr>
        <w:pStyle w:val="Heading3"/>
      </w:pPr>
      <w:r>
        <w:t>Animal welfare</w:t>
      </w:r>
    </w:p>
    <w:p w14:paraId="733ACE3B" w14:textId="4C13BF29" w:rsidR="00EE1811" w:rsidRDefault="00EE1811" w:rsidP="00AB7988">
      <w:pPr>
        <w:pStyle w:val="BodyText"/>
      </w:pPr>
      <w:r>
        <w:t>A</w:t>
      </w:r>
      <w:r w:rsidR="00856033">
        <w:t>nimal welfare</w:t>
      </w:r>
      <w:r w:rsidR="00995691">
        <w:t xml:space="preserve"> regulations</w:t>
      </w:r>
      <w:r w:rsidR="00B371C9">
        <w:t xml:space="preserve"> </w:t>
      </w:r>
      <w:r w:rsidR="00C06474">
        <w:t>are</w:t>
      </w:r>
      <w:r w:rsidR="00B371C9">
        <w:t xml:space="preserve"> </w:t>
      </w:r>
      <w:r>
        <w:t xml:space="preserve">in place </w:t>
      </w:r>
      <w:r w:rsidR="00B371C9">
        <w:t xml:space="preserve">to ensure that community expectations for the humane treatment of animals are met. </w:t>
      </w:r>
      <w:r w:rsidR="00CF3E53">
        <w:t>Regulations relating to animal welfare apply at both the Australian, and state and territory government levels</w:t>
      </w:r>
      <w:r w:rsidR="00AB7988" w:rsidRPr="006D64A6">
        <w:t xml:space="preserve">. </w:t>
      </w:r>
      <w:r w:rsidR="002A798C">
        <w:t>There are suggestions that c</w:t>
      </w:r>
      <w:r w:rsidR="00AB7988" w:rsidRPr="006D64A6">
        <w:t xml:space="preserve">omplying with multiple, inconsistent, regulatory regimes for animal welfare </w:t>
      </w:r>
      <w:r w:rsidR="00100F59">
        <w:t xml:space="preserve">can </w:t>
      </w:r>
      <w:r w:rsidR="00AB7988" w:rsidRPr="006D64A6">
        <w:t xml:space="preserve">increase costs for businesses operating across </w:t>
      </w:r>
      <w:r w:rsidR="00AB7988">
        <w:t xml:space="preserve">state and territory borders </w:t>
      </w:r>
      <w:r w:rsidR="00AB7988" w:rsidRPr="006D64A6">
        <w:t xml:space="preserve">(Gibbs, Harris-Adams and Davidson 2013). </w:t>
      </w:r>
    </w:p>
    <w:p w14:paraId="4AC72722" w14:textId="771DFAA9" w:rsidR="00D522D5" w:rsidRPr="006D64A6" w:rsidRDefault="00D522D5" w:rsidP="00D522D5">
      <w:pPr>
        <w:pStyle w:val="BodyText"/>
      </w:pPr>
      <w:r>
        <w:t xml:space="preserve">Efforts to move toward national animal welfare standards have been underway since the Australian Animal Welfare Strategy was endorsed in 2004 by the then Primary Industries Ministerial Council. However, concerns have been raised about the speed at which the national standards have been developed </w:t>
      </w:r>
      <w:r w:rsidRPr="00D81274">
        <w:rPr>
          <w:szCs w:val="24"/>
        </w:rPr>
        <w:t>(Gibbs, Harris-Adams and Davidson 2013; PC 2007)</w:t>
      </w:r>
      <w:r>
        <w:t xml:space="preserve">, with further delays occurring following funding ceasing for the </w:t>
      </w:r>
      <w:r w:rsidR="0048666C">
        <w:t>Strategy</w:t>
      </w:r>
      <w:r>
        <w:t xml:space="preserve"> and its coordinating body, the Australian Animal Welfare Advisory Committee, in July 2014. </w:t>
      </w:r>
    </w:p>
    <w:p w14:paraId="2088C359" w14:textId="55FEB605" w:rsidR="00AB7988" w:rsidRDefault="00AB7988" w:rsidP="00AB7988">
      <w:pPr>
        <w:pStyle w:val="BodyText"/>
      </w:pPr>
      <w:r w:rsidRPr="006D64A6">
        <w:t>Regulatory c</w:t>
      </w:r>
      <w:r>
        <w:t xml:space="preserve">osts </w:t>
      </w:r>
      <w:r w:rsidR="00D522D5">
        <w:t>for livestock producers</w:t>
      </w:r>
      <w:r>
        <w:t xml:space="preserve"> </w:t>
      </w:r>
      <w:r w:rsidR="002A798C">
        <w:t>may also include</w:t>
      </w:r>
      <w:r w:rsidRPr="0031153E">
        <w:t xml:space="preserve"> </w:t>
      </w:r>
      <w:r>
        <w:t>requirement</w:t>
      </w:r>
      <w:r w:rsidR="003F186E">
        <w:t>s</w:t>
      </w:r>
      <w:r>
        <w:t xml:space="preserve"> to </w:t>
      </w:r>
      <w:r w:rsidR="00CF3E53">
        <w:t>comply with Australian Government</w:t>
      </w:r>
      <w:r w:rsidR="00CF3E53" w:rsidRPr="0031153E">
        <w:t xml:space="preserve"> </w:t>
      </w:r>
      <w:r w:rsidR="00CF3E53">
        <w:t xml:space="preserve">regulatory arrangements </w:t>
      </w:r>
      <w:r w:rsidRPr="0031153E">
        <w:t xml:space="preserve">governing </w:t>
      </w:r>
      <w:r>
        <w:t>animal welfare for live exports</w:t>
      </w:r>
      <w:r w:rsidR="003F186E">
        <w:t xml:space="preserve"> under </w:t>
      </w:r>
      <w:r>
        <w:t xml:space="preserve">the Australian Standards for the Export of Livestock </w:t>
      </w:r>
      <w:r w:rsidR="003F186E">
        <w:t>and</w:t>
      </w:r>
      <w:r w:rsidR="00BB36CB">
        <w:t xml:space="preserve"> </w:t>
      </w:r>
      <w:r w:rsidR="00CF3E53">
        <w:t>t</w:t>
      </w:r>
      <w:r>
        <w:t>he Exporter Supply Chain Assurance System (ESCAS)</w:t>
      </w:r>
      <w:r w:rsidR="003F186E">
        <w:t>, which</w:t>
      </w:r>
      <w:r>
        <w:t xml:space="preserve"> provide</w:t>
      </w:r>
      <w:r w:rsidR="003F186E">
        <w:t>s</w:t>
      </w:r>
      <w:r>
        <w:t xml:space="preserve"> for the welfare of exported livestock after arrival in the importing countr</w:t>
      </w:r>
      <w:r w:rsidR="00CF3E53">
        <w:t>y</w:t>
      </w:r>
      <w:r w:rsidR="00F53230">
        <w:t>.</w:t>
      </w:r>
      <w:r w:rsidR="00633DE9" w:rsidRPr="00633DE9">
        <w:t xml:space="preserve"> </w:t>
      </w:r>
      <w:r w:rsidR="00633DE9">
        <w:t xml:space="preserve">The ESCAS has undergone some reforms to streamline auditing and reporting requirements, </w:t>
      </w:r>
      <w:r w:rsidR="003F186E">
        <w:t xml:space="preserve">although </w:t>
      </w:r>
      <w:r w:rsidR="00633DE9">
        <w:t>a 2015 review identified outstanding inefficiencies in managing non</w:t>
      </w:r>
      <w:r w:rsidR="00633DE9">
        <w:noBreakHyphen/>
        <w:t xml:space="preserve">compliance and in administration </w:t>
      </w:r>
      <w:r w:rsidR="00633DE9" w:rsidRPr="0031799D">
        <w:rPr>
          <w:szCs w:val="24"/>
        </w:rPr>
        <w:t>(Commonwealth of Australia 2015)</w:t>
      </w:r>
      <w:r w:rsidR="00633DE9">
        <w:t>.</w:t>
      </w:r>
    </w:p>
    <w:p w14:paraId="510A39F9" w14:textId="6A0F608A" w:rsidR="00AB7988" w:rsidRPr="004E3B94" w:rsidRDefault="00AB7988" w:rsidP="00AB7988">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AB7988" w14:paraId="46AC493B" w14:textId="77777777" w:rsidTr="00F630CB">
        <w:trPr>
          <w:cantSplit/>
        </w:trPr>
        <w:tc>
          <w:tcPr>
            <w:tcW w:w="8770" w:type="dxa"/>
            <w:tcBorders>
              <w:top w:val="single" w:sz="6" w:space="0" w:color="78A22F"/>
              <w:left w:val="nil"/>
              <w:bottom w:val="nil"/>
              <w:right w:val="nil"/>
            </w:tcBorders>
            <w:shd w:val="clear" w:color="auto" w:fill="auto"/>
          </w:tcPr>
          <w:p w14:paraId="105EF507" w14:textId="41C2DEC9" w:rsidR="00AB7988" w:rsidRPr="007F6C76" w:rsidRDefault="000F4D5F" w:rsidP="00AB7988">
            <w:pPr>
              <w:pStyle w:val="InformationRequest"/>
              <w:rPr>
                <w:b/>
              </w:rPr>
            </w:pPr>
            <w:r w:rsidRPr="007F6C76">
              <w:rPr>
                <w:b/>
              </w:rPr>
              <w:t>Questions</w:t>
            </w:r>
          </w:p>
          <w:p w14:paraId="47AE9545" w14:textId="15AB7C8D" w:rsidR="00EE4A72" w:rsidRDefault="00EE4A72" w:rsidP="00AB7988">
            <w:pPr>
              <w:pStyle w:val="InformationRequestBullet"/>
            </w:pPr>
            <w:r>
              <w:t xml:space="preserve">Do existing animal welfare regulations (at the Australian and state and territory </w:t>
            </w:r>
            <w:r w:rsidR="00531A16">
              <w:t xml:space="preserve">government </w:t>
            </w:r>
            <w:r>
              <w:t>levels) efficiently and effectively meet community expectations about the human</w:t>
            </w:r>
            <w:r w:rsidR="00DC470C">
              <w:t>e</w:t>
            </w:r>
            <w:r>
              <w:t xml:space="preserve"> treatment of animals used in agriculture production?</w:t>
            </w:r>
          </w:p>
          <w:p w14:paraId="25EAD2C7" w14:textId="2A99A473" w:rsidR="00AB7988" w:rsidRDefault="00B271CA" w:rsidP="00AB7988">
            <w:pPr>
              <w:pStyle w:val="InformationRequestBullet"/>
            </w:pPr>
            <w:r>
              <w:t>Do</w:t>
            </w:r>
            <w:r w:rsidR="000F4D5F">
              <w:t xml:space="preserve"> </w:t>
            </w:r>
            <w:r w:rsidR="00AB7988" w:rsidRPr="00DD4742">
              <w:t xml:space="preserve">animal welfare regulations </w:t>
            </w:r>
            <w:r w:rsidR="009E7130">
              <w:t xml:space="preserve">materially </w:t>
            </w:r>
            <w:r w:rsidR="00AB7988" w:rsidRPr="00DD4742">
              <w:t xml:space="preserve">affect </w:t>
            </w:r>
            <w:r w:rsidR="00AB7988" w:rsidRPr="00710451">
              <w:t>the competitiveness of livestock industries</w:t>
            </w:r>
            <w:r>
              <w:t>, and</w:t>
            </w:r>
            <w:r w:rsidR="004869B3">
              <w:t>,</w:t>
            </w:r>
            <w:r>
              <w:t xml:space="preserve"> if so, how</w:t>
            </w:r>
            <w:r w:rsidR="000F4D5F">
              <w:t>?</w:t>
            </w:r>
          </w:p>
          <w:p w14:paraId="3CA4EFD7" w14:textId="565FF705" w:rsidR="00AB7988" w:rsidRDefault="00D84A3E" w:rsidP="00AB7988">
            <w:pPr>
              <w:pStyle w:val="InformationRequestBullet"/>
            </w:pPr>
            <w:r>
              <w:t>W</w:t>
            </w:r>
            <w:r w:rsidR="000F4D5F">
              <w:t xml:space="preserve">hat are the </w:t>
            </w:r>
            <w:r w:rsidR="0046747D">
              <w:t xml:space="preserve">reform </w:t>
            </w:r>
            <w:r w:rsidR="00AB7988" w:rsidRPr="00710451">
              <w:t>priorities for animal welfare regulations</w:t>
            </w:r>
            <w:r w:rsidR="002A798C">
              <w:t>, if any,</w:t>
            </w:r>
            <w:r w:rsidR="00224199">
              <w:t xml:space="preserve"> and have recent reforms, for example in relation to the ESCAS, delivered net benefits to the community</w:t>
            </w:r>
            <w:r w:rsidR="000F4D5F">
              <w:t>?</w:t>
            </w:r>
          </w:p>
          <w:p w14:paraId="1E91D2E4" w14:textId="45B9929A" w:rsidR="00AB7988" w:rsidRDefault="0046747D" w:rsidP="00AB7988">
            <w:pPr>
              <w:pStyle w:val="InformationRequestBullet"/>
            </w:pPr>
            <w:r>
              <w:t>How</w:t>
            </w:r>
            <w:r w:rsidR="00AB7988" w:rsidRPr="00710451">
              <w:t xml:space="preserve"> </w:t>
            </w:r>
            <w:r w:rsidR="000F4D5F">
              <w:t xml:space="preserve">do </w:t>
            </w:r>
            <w:r w:rsidR="00AB7988" w:rsidRPr="00710451">
              <w:t>variations between state and territory animal welfare regulations affect livestock businesses</w:t>
            </w:r>
            <w:r w:rsidR="00AF08BB">
              <w:t xml:space="preserve"> and/or consumers</w:t>
            </w:r>
            <w:r w:rsidR="000F4D5F">
              <w:t>?</w:t>
            </w:r>
          </w:p>
          <w:p w14:paraId="5A2B1A7B" w14:textId="624B8A8B" w:rsidR="00AB7988" w:rsidRDefault="00887603" w:rsidP="003F186E">
            <w:pPr>
              <w:pStyle w:val="InformationRequestBullet"/>
            </w:pPr>
            <w:r>
              <w:t>What are the costs and benefits of</w:t>
            </w:r>
            <w:r w:rsidR="00B87F9A">
              <w:t xml:space="preserve"> national animal welfare standard</w:t>
            </w:r>
            <w:r w:rsidR="00F630CB">
              <w:t>s</w:t>
            </w:r>
            <w:r w:rsidR="00EE4A72">
              <w:t>?</w:t>
            </w:r>
            <w:r>
              <w:t xml:space="preserve"> Are there any </w:t>
            </w:r>
            <w:r w:rsidR="0046747D">
              <w:t xml:space="preserve">barriers to </w:t>
            </w:r>
            <w:r w:rsidR="00AB7988" w:rsidRPr="00710451">
              <w:t xml:space="preserve">implementing </w:t>
            </w:r>
            <w:r>
              <w:t>national standard</w:t>
            </w:r>
            <w:r w:rsidR="00F630CB">
              <w:t>s</w:t>
            </w:r>
            <w:r w:rsidR="000F4D5F">
              <w:t>?</w:t>
            </w:r>
          </w:p>
          <w:p w14:paraId="5B5428C1" w14:textId="71EE4A36" w:rsidR="00AB7988" w:rsidRPr="00CE4C64" w:rsidRDefault="0030265B" w:rsidP="003F186E">
            <w:pPr>
              <w:pStyle w:val="InformationRequestBullet"/>
            </w:pPr>
            <w:r>
              <w:t>Are animal welfare regulations appropriately</w:t>
            </w:r>
            <w:r w:rsidR="000722C4">
              <w:t xml:space="preserve"> enforced</w:t>
            </w:r>
            <w:r>
              <w:t>?</w:t>
            </w:r>
          </w:p>
        </w:tc>
      </w:tr>
      <w:tr w:rsidR="00AB7988" w14:paraId="5262D657" w14:textId="77777777" w:rsidTr="00F630CB">
        <w:trPr>
          <w:cantSplit/>
        </w:trPr>
        <w:tc>
          <w:tcPr>
            <w:tcW w:w="8770" w:type="dxa"/>
            <w:tcBorders>
              <w:top w:val="nil"/>
              <w:left w:val="nil"/>
              <w:bottom w:val="single" w:sz="6" w:space="0" w:color="78A22F"/>
              <w:right w:val="nil"/>
            </w:tcBorders>
            <w:shd w:val="clear" w:color="auto" w:fill="auto"/>
          </w:tcPr>
          <w:p w14:paraId="5A824375" w14:textId="77777777" w:rsidR="00AB7988" w:rsidRDefault="00AB7988" w:rsidP="00AB7988">
            <w:pPr>
              <w:pStyle w:val="Space"/>
              <w:keepNext w:val="0"/>
              <w:keepLines/>
            </w:pPr>
          </w:p>
        </w:tc>
      </w:tr>
      <w:tr w:rsidR="00AB7988" w:rsidRPr="000863A5" w14:paraId="1D481EA8" w14:textId="77777777" w:rsidTr="00F630CB">
        <w:trPr>
          <w:cantSplit/>
        </w:trPr>
        <w:tc>
          <w:tcPr>
            <w:tcW w:w="8770" w:type="dxa"/>
            <w:tcBorders>
              <w:top w:val="single" w:sz="6" w:space="0" w:color="78A22F"/>
              <w:left w:val="nil"/>
              <w:bottom w:val="nil"/>
              <w:right w:val="nil"/>
            </w:tcBorders>
          </w:tcPr>
          <w:p w14:paraId="34C5A498" w14:textId="23AE8FAF" w:rsidR="00AB7988" w:rsidRPr="00626D32" w:rsidRDefault="00AB7988" w:rsidP="00AB7988">
            <w:pPr>
              <w:pStyle w:val="BoxSpaceBelow"/>
              <w:keepLines/>
            </w:pPr>
          </w:p>
        </w:tc>
      </w:tr>
    </w:tbl>
    <w:p w14:paraId="2982B107" w14:textId="77777777" w:rsidR="002B1032" w:rsidRDefault="002B1032" w:rsidP="00A23D2C">
      <w:pPr>
        <w:pStyle w:val="Heading3"/>
      </w:pPr>
      <w:r>
        <w:t>Biosecurity</w:t>
      </w:r>
    </w:p>
    <w:p w14:paraId="72837AB7" w14:textId="5CB69538" w:rsidR="00DA0DB7" w:rsidRDefault="00735D02" w:rsidP="00DA0DB7">
      <w:pPr>
        <w:pStyle w:val="BodyText"/>
      </w:pPr>
      <w:r>
        <w:t>Australia’s</w:t>
      </w:r>
      <w:r w:rsidR="00856033">
        <w:t xml:space="preserve"> biosecurity system </w:t>
      </w:r>
      <w:r>
        <w:t>seeks to</w:t>
      </w:r>
      <w:r w:rsidR="00856033">
        <w:t xml:space="preserve"> protect Australia from the entry, establishment or spread of harmful pests (including weeds) and diseases</w:t>
      </w:r>
      <w:r w:rsidR="00DA0DB7">
        <w:t xml:space="preserve">. </w:t>
      </w:r>
      <w:r>
        <w:t>It</w:t>
      </w:r>
      <w:r w:rsidR="00B31E87">
        <w:t xml:space="preserve"> also aims to maintain </w:t>
      </w:r>
      <w:r w:rsidR="00DA0DB7">
        <w:t>Australia</w:t>
      </w:r>
      <w:r w:rsidR="00B31E87">
        <w:t>’s</w:t>
      </w:r>
      <w:r w:rsidR="00DA0DB7">
        <w:t xml:space="preserve"> reputation for safe, high-quality produce</w:t>
      </w:r>
      <w:r w:rsidR="00AF5507">
        <w:t>,</w:t>
      </w:r>
      <w:r w:rsidR="00DA0DB7">
        <w:t xml:space="preserve"> </w:t>
      </w:r>
      <w:r w:rsidR="00856033">
        <w:t xml:space="preserve">which </w:t>
      </w:r>
      <w:r w:rsidR="00DA0DB7">
        <w:t>safeguards</w:t>
      </w:r>
      <w:r w:rsidR="00B31E87">
        <w:t xml:space="preserve"> </w:t>
      </w:r>
      <w:r w:rsidR="00DA0DB7">
        <w:t xml:space="preserve">access to overseas markets. </w:t>
      </w:r>
    </w:p>
    <w:p w14:paraId="57CE7771" w14:textId="413214FC" w:rsidR="0079478B" w:rsidRDefault="005B0482" w:rsidP="00DA0DB7">
      <w:pPr>
        <w:pStyle w:val="BodyText"/>
      </w:pPr>
      <w:r>
        <w:t>T</w:t>
      </w:r>
      <w:r w:rsidR="00DA0DB7">
        <w:t>he Australian Government is responsible for biosecurity activities offshore and at the border, while state and territory governments are responsible for post</w:t>
      </w:r>
      <w:r w:rsidR="00DA0DB7">
        <w:noBreakHyphen/>
        <w:t>border controls. Australia</w:t>
      </w:r>
      <w:r w:rsidR="00E11548">
        <w:t>’s primar</w:t>
      </w:r>
      <w:r w:rsidR="00A758E7">
        <w:t>y piece of legislation for biosecurity</w:t>
      </w:r>
      <w:r w:rsidR="00DA0DB7">
        <w:t xml:space="preserve"> </w:t>
      </w:r>
      <w:r w:rsidR="00A758E7">
        <w:t>(</w:t>
      </w:r>
      <w:r w:rsidR="00DA0DB7">
        <w:t xml:space="preserve">the </w:t>
      </w:r>
      <w:r w:rsidR="00DA0DB7" w:rsidRPr="00E85FAA">
        <w:rPr>
          <w:i/>
        </w:rPr>
        <w:t>Quarantine</w:t>
      </w:r>
      <w:r w:rsidR="00BF7FB3">
        <w:rPr>
          <w:i/>
        </w:rPr>
        <w:t> </w:t>
      </w:r>
      <w:r w:rsidR="00DA0DB7" w:rsidRPr="00E85FAA">
        <w:rPr>
          <w:i/>
        </w:rPr>
        <w:t>Act</w:t>
      </w:r>
      <w:r w:rsidR="00BF7FB3">
        <w:rPr>
          <w:i/>
        </w:rPr>
        <w:t> </w:t>
      </w:r>
      <w:r w:rsidR="00DA0DB7" w:rsidRPr="00E85FAA">
        <w:rPr>
          <w:i/>
        </w:rPr>
        <w:t>1908</w:t>
      </w:r>
      <w:r w:rsidR="00BF7FB3">
        <w:rPr>
          <w:i/>
        </w:rPr>
        <w:t xml:space="preserve"> </w:t>
      </w:r>
      <w:r w:rsidR="00BF7FB3" w:rsidRPr="006B0817">
        <w:t>(Cwlth)</w:t>
      </w:r>
      <w:r w:rsidR="00A758E7">
        <w:t>)</w:t>
      </w:r>
      <w:r w:rsidR="00DA0DB7">
        <w:t xml:space="preserve"> will be replaced by the </w:t>
      </w:r>
      <w:r w:rsidR="00DA0DB7" w:rsidRPr="00E85FAA">
        <w:rPr>
          <w:i/>
        </w:rPr>
        <w:t>Biosecurity Act 2015</w:t>
      </w:r>
      <w:r w:rsidR="00DA0DB7">
        <w:t xml:space="preserve"> in </w:t>
      </w:r>
      <w:r w:rsidR="00AF5507">
        <w:t>June </w:t>
      </w:r>
      <w:r w:rsidR="00DA0DB7">
        <w:t>2016</w:t>
      </w:r>
      <w:r w:rsidR="00CC3BAF">
        <w:t xml:space="preserve">. </w:t>
      </w:r>
      <w:r w:rsidR="009E7E77">
        <w:t xml:space="preserve">The Biosecurity Act </w:t>
      </w:r>
      <w:r w:rsidR="00377965">
        <w:t>aims to introduce</w:t>
      </w:r>
      <w:r w:rsidR="009E7E77">
        <w:t xml:space="preserve"> a more flexible, risk-based approach to biosecurity regulation. </w:t>
      </w:r>
      <w:r w:rsidR="00CC3BAF">
        <w:t xml:space="preserve">Biosecurity </w:t>
      </w:r>
      <w:r w:rsidR="00257CD3">
        <w:t xml:space="preserve">arrangements are also </w:t>
      </w:r>
      <w:r w:rsidR="007978CF">
        <w:t>shaped</w:t>
      </w:r>
      <w:r w:rsidR="00257CD3">
        <w:t xml:space="preserve"> by regulations in</w:t>
      </w:r>
      <w:r w:rsidR="00CC3BAF">
        <w:t xml:space="preserve"> other areas of policy such as food safety</w:t>
      </w:r>
      <w:r w:rsidR="007A0995">
        <w:t xml:space="preserve"> and export certification</w:t>
      </w:r>
      <w:r w:rsidR="00CC3BAF">
        <w:t>.</w:t>
      </w:r>
    </w:p>
    <w:p w14:paraId="3907BCBC" w14:textId="4E8F208F" w:rsidR="00DA0DB7" w:rsidRDefault="00F84098" w:rsidP="00DA0DB7">
      <w:pPr>
        <w:pStyle w:val="BodyText"/>
      </w:pPr>
      <w:r>
        <w:t>G</w:t>
      </w:r>
      <w:r w:rsidR="00DA0DB7">
        <w:t xml:space="preserve">overnment actions </w:t>
      </w:r>
      <w:r>
        <w:t xml:space="preserve">to </w:t>
      </w:r>
      <w:r w:rsidR="00DA0DB7">
        <w:t xml:space="preserve">strengthen biosecurity in Australia can affect the costs and regulatory burdens faced by industry. </w:t>
      </w:r>
      <w:r w:rsidR="005B0482">
        <w:t>A</w:t>
      </w:r>
      <w:r w:rsidR="00DA0DB7">
        <w:t xml:space="preserve"> conservative approach to import risk assessments can increase the cost of imported agricultural </w:t>
      </w:r>
      <w:r w:rsidR="00DA0DB7" w:rsidDel="000A0A54">
        <w:t>in</w:t>
      </w:r>
      <w:r w:rsidR="00DD6CFA" w:rsidDel="000A0A54">
        <w:t>puts</w:t>
      </w:r>
      <w:r w:rsidR="005B0482">
        <w:t xml:space="preserve"> (</w:t>
      </w:r>
      <w:r w:rsidR="000A0A54">
        <w:t>such as grain for feedlot cattle</w:t>
      </w:r>
      <w:r w:rsidR="005B0482">
        <w:t>)</w:t>
      </w:r>
      <w:r w:rsidR="00C620F6">
        <w:t>,</w:t>
      </w:r>
      <w:r w:rsidR="005B0482">
        <w:t xml:space="preserve"> but</w:t>
      </w:r>
      <w:r w:rsidR="000A0A54">
        <w:t xml:space="preserve"> </w:t>
      </w:r>
      <w:r w:rsidR="00857F6C">
        <w:t xml:space="preserve">underestimating the </w:t>
      </w:r>
      <w:r w:rsidR="00BF7FB3">
        <w:t xml:space="preserve">biosecurity </w:t>
      </w:r>
      <w:r w:rsidR="00DA0DB7">
        <w:t xml:space="preserve">risks </w:t>
      </w:r>
      <w:r w:rsidR="00857F6C">
        <w:t>pose</w:t>
      </w:r>
      <w:r w:rsidR="007978CF">
        <w:t>d by imports</w:t>
      </w:r>
      <w:r w:rsidR="00857F6C">
        <w:t xml:space="preserve"> </w:t>
      </w:r>
      <w:r w:rsidR="00DA0DB7">
        <w:t>can undermine Australia’s rela</w:t>
      </w:r>
      <w:r w:rsidR="001975CA">
        <w:t>tive pest- and disease</w:t>
      </w:r>
      <w:r w:rsidR="001975CA">
        <w:noBreakHyphen/>
      </w:r>
      <w:r w:rsidR="00DA0DB7">
        <w:t>free status</w:t>
      </w:r>
      <w:r w:rsidR="005B0482">
        <w:t xml:space="preserve"> </w:t>
      </w:r>
      <w:r w:rsidR="005B0482" w:rsidRPr="0003041A">
        <w:rPr>
          <w:szCs w:val="24"/>
        </w:rPr>
        <w:t>(ALFA 2014)</w:t>
      </w:r>
      <w:r w:rsidR="00DA0DB7">
        <w:t xml:space="preserve">. </w:t>
      </w:r>
      <w:r w:rsidR="00150100">
        <w:t>G</w:t>
      </w:r>
      <w:r w:rsidR="00DA0DB7">
        <w:t>overnment processes</w:t>
      </w:r>
      <w:r w:rsidR="009F64E8">
        <w:t xml:space="preserve"> can </w:t>
      </w:r>
      <w:r w:rsidR="00745138">
        <w:t xml:space="preserve">influence </w:t>
      </w:r>
      <w:r w:rsidR="009F64E8">
        <w:t xml:space="preserve">the timeliness of getting products </w:t>
      </w:r>
      <w:r w:rsidR="00DB0060">
        <w:t>to market, and cost</w:t>
      </w:r>
      <w:r w:rsidR="00DB0060">
        <w:noBreakHyphen/>
      </w:r>
      <w:r w:rsidR="00230BCF">
        <w:t>recovery</w:t>
      </w:r>
      <w:r w:rsidR="00893999">
        <w:t xml:space="preserve"> arrangements can</w:t>
      </w:r>
      <w:r w:rsidR="009F64E8">
        <w:t xml:space="preserve"> affect </w:t>
      </w:r>
      <w:r w:rsidR="0027353C">
        <w:t>the</w:t>
      </w:r>
      <w:r w:rsidR="009F64E8">
        <w:t xml:space="preserve"> costs</w:t>
      </w:r>
      <w:r w:rsidR="0027353C">
        <w:t xml:space="preserve"> borne by industry</w:t>
      </w:r>
      <w:r w:rsidR="00213905">
        <w:t xml:space="preserve"> — issues</w:t>
      </w:r>
      <w:r w:rsidR="00504BDD">
        <w:t xml:space="preserve"> particularly relevant for</w:t>
      </w:r>
      <w:r w:rsidR="009F64E8">
        <w:t xml:space="preserve"> </w:t>
      </w:r>
      <w:r w:rsidR="00DA0DB7">
        <w:t>export certification</w:t>
      </w:r>
      <w:r w:rsidR="00213905">
        <w:t xml:space="preserve"> arrangements</w:t>
      </w:r>
      <w:r w:rsidR="00DA0DB7">
        <w:t xml:space="preserve"> and</w:t>
      </w:r>
      <w:r w:rsidR="00504BDD">
        <w:t xml:space="preserve"> biosecurity</w:t>
      </w:r>
      <w:r w:rsidR="00DA0DB7">
        <w:t xml:space="preserve"> audits</w:t>
      </w:r>
      <w:r w:rsidR="00504BDD">
        <w:t>.</w:t>
      </w:r>
      <w:r w:rsidR="00DA0DB7">
        <w:t xml:space="preserve"> </w:t>
      </w:r>
      <w:r w:rsidR="005B0482">
        <w:t>In addition, d</w:t>
      </w:r>
      <w:r w:rsidR="00DA0DB7">
        <w:t xml:space="preserve">iffering state and territory regulations can impede </w:t>
      </w:r>
      <w:r w:rsidR="00150100">
        <w:t xml:space="preserve">trade </w:t>
      </w:r>
      <w:r w:rsidR="00EC1643">
        <w:t>and</w:t>
      </w:r>
      <w:r w:rsidR="00150100">
        <w:t xml:space="preserve"> the movement of goods </w:t>
      </w:r>
      <w:r w:rsidR="00DA0DB7">
        <w:t>within Australia.</w:t>
      </w:r>
    </w:p>
    <w:p w14:paraId="78E054AE" w14:textId="5E2ACE51" w:rsidR="00DA0DB7" w:rsidRDefault="009E7E77" w:rsidP="00DA0DB7">
      <w:pPr>
        <w:pStyle w:val="BodyText"/>
      </w:pPr>
      <w:r>
        <w:t xml:space="preserve">In addition to the new Biosecurity Act, </w:t>
      </w:r>
      <w:r w:rsidR="005B0482">
        <w:t>other</w:t>
      </w:r>
      <w:r w:rsidR="00771D20">
        <w:t xml:space="preserve"> recent</w:t>
      </w:r>
      <w:r w:rsidR="00771D20" w:rsidDel="005B0482">
        <w:t xml:space="preserve"> </w:t>
      </w:r>
      <w:r w:rsidR="00F55550">
        <w:t xml:space="preserve">reforms </w:t>
      </w:r>
      <w:r w:rsidR="001E23D6">
        <w:t>to</w:t>
      </w:r>
      <w:r w:rsidR="00771D20">
        <w:t xml:space="preserve"> exp</w:t>
      </w:r>
      <w:r w:rsidR="00443CCE">
        <w:t>ort certification arrangements</w:t>
      </w:r>
      <w:r w:rsidR="00EC1643">
        <w:t xml:space="preserve"> includ</w:t>
      </w:r>
      <w:r w:rsidR="005B0482">
        <w:t>e</w:t>
      </w:r>
      <w:r w:rsidR="009B67C0">
        <w:t xml:space="preserve"> meat inspection reform</w:t>
      </w:r>
      <w:r w:rsidR="00EC1643">
        <w:t>s</w:t>
      </w:r>
      <w:r w:rsidR="009B67C0">
        <w:t xml:space="preserve"> and </w:t>
      </w:r>
      <w:r w:rsidR="0099747E">
        <w:t>a return to f</w:t>
      </w:r>
      <w:r w:rsidR="00A805A1">
        <w:t>ull cost recovery for</w:t>
      </w:r>
      <w:r w:rsidR="009B67C0">
        <w:t xml:space="preserve"> export certification services</w:t>
      </w:r>
      <w:r w:rsidR="0099747E">
        <w:t xml:space="preserve">. </w:t>
      </w:r>
      <w:r w:rsidR="001E23D6">
        <w:t>The e</w:t>
      </w:r>
      <w:r w:rsidR="00E20DE7">
        <w:t xml:space="preserve">ffectiveness of these reforms, </w:t>
      </w:r>
      <w:r w:rsidR="00001524">
        <w:t>along with other proposed</w:t>
      </w:r>
      <w:r w:rsidR="00DA0DB7">
        <w:t xml:space="preserve"> reform </w:t>
      </w:r>
      <w:r w:rsidR="00815462">
        <w:lastRenderedPageBreak/>
        <w:t xml:space="preserve">opportunities </w:t>
      </w:r>
      <w:r w:rsidR="00810A0D">
        <w:t>that</w:t>
      </w:r>
      <w:r w:rsidR="00DA0DB7">
        <w:t xml:space="preserve"> </w:t>
      </w:r>
      <w:r w:rsidR="00001524">
        <w:t xml:space="preserve">may </w:t>
      </w:r>
      <w:r w:rsidR="007A7113">
        <w:t xml:space="preserve">decrease burdens on industry while </w:t>
      </w:r>
      <w:r w:rsidR="00DA0DB7">
        <w:t>uphold</w:t>
      </w:r>
      <w:r w:rsidR="007A7113">
        <w:t>ing</w:t>
      </w:r>
      <w:r w:rsidR="00DA0DB7">
        <w:t xml:space="preserve"> Australia’s favourable </w:t>
      </w:r>
      <w:r>
        <w:t xml:space="preserve">plant and animal health </w:t>
      </w:r>
      <w:r w:rsidR="00DA0DB7">
        <w:t>status</w:t>
      </w:r>
      <w:r w:rsidR="00B20CE2">
        <w:t>,</w:t>
      </w:r>
      <w:r w:rsidR="0062387B">
        <w:t xml:space="preserve"> </w:t>
      </w:r>
      <w:r w:rsidR="005B0482">
        <w:t xml:space="preserve">will be </w:t>
      </w:r>
      <w:r w:rsidR="001F2222">
        <w:t>consider</w:t>
      </w:r>
      <w:r w:rsidR="005B0482">
        <w:t>ed</w:t>
      </w:r>
      <w:r w:rsidR="0062387B" w:rsidDel="005B0482">
        <w:t xml:space="preserve"> </w:t>
      </w:r>
      <w:r w:rsidR="005B0482">
        <w:t xml:space="preserve">in </w:t>
      </w:r>
      <w:r w:rsidR="0062387B">
        <w:t>this inquiry.</w:t>
      </w:r>
    </w:p>
    <w:p w14:paraId="2982B10A" w14:textId="39BDFD3C" w:rsidR="00352075" w:rsidRDefault="00352075" w:rsidP="00352075">
      <w:pPr>
        <w:pStyle w:val="BodyText"/>
        <w:keepNext/>
        <w:keepLines/>
        <w:spacing w:before="120" w:line="280" w:lineRule="atLeast"/>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2075" w:rsidRPr="002E6452" w14:paraId="2982B10D" w14:textId="77777777" w:rsidTr="002B5666">
        <w:tc>
          <w:tcPr>
            <w:tcW w:w="8771" w:type="dxa"/>
            <w:tcBorders>
              <w:top w:val="single" w:sz="6" w:space="0" w:color="78A22F"/>
              <w:left w:val="nil"/>
              <w:bottom w:val="nil"/>
              <w:right w:val="nil"/>
            </w:tcBorders>
            <w:shd w:val="clear" w:color="auto" w:fill="auto"/>
          </w:tcPr>
          <w:p w14:paraId="2982B10B" w14:textId="74868E3A" w:rsidR="00352075" w:rsidRPr="007F6C76" w:rsidRDefault="007066C5" w:rsidP="002B5666">
            <w:pPr>
              <w:pStyle w:val="InformationRequest"/>
              <w:keepNext/>
              <w:rPr>
                <w:b/>
                <w:color w:val="000000" w:themeColor="text1"/>
              </w:rPr>
            </w:pPr>
            <w:r w:rsidRPr="007F6C76">
              <w:rPr>
                <w:b/>
                <w:color w:val="000000" w:themeColor="text1"/>
              </w:rPr>
              <w:t>Questions</w:t>
            </w:r>
          </w:p>
          <w:p w14:paraId="221E619B" w14:textId="71AC968E" w:rsidR="002F3D67" w:rsidRPr="0071550E" w:rsidRDefault="00AD4835" w:rsidP="002F3D67">
            <w:pPr>
              <w:pStyle w:val="InformationRequestBullet"/>
            </w:pPr>
            <w:r>
              <w:t xml:space="preserve">What improvements could be made to government </w:t>
            </w:r>
            <w:r w:rsidR="002F3D67">
              <w:t>export certification process</w:t>
            </w:r>
            <w:r w:rsidR="005952DE">
              <w:t>es</w:t>
            </w:r>
            <w:r w:rsidR="007066C5">
              <w:t>?</w:t>
            </w:r>
            <w:r w:rsidR="002F3D67">
              <w:t xml:space="preserve"> </w:t>
            </w:r>
          </w:p>
          <w:p w14:paraId="02934E3B" w14:textId="6D31A93E" w:rsidR="002F3D67" w:rsidRDefault="007066C5" w:rsidP="002F3D67">
            <w:pPr>
              <w:pStyle w:val="InformationRequestBullet"/>
            </w:pPr>
            <w:r>
              <w:t>Are</w:t>
            </w:r>
            <w:r w:rsidR="00126E07">
              <w:t xml:space="preserve"> </w:t>
            </w:r>
            <w:r w:rsidR="00845E39">
              <w:t xml:space="preserve">requirements for </w:t>
            </w:r>
            <w:r w:rsidR="00126E07">
              <w:t>biosecurity-related audit</w:t>
            </w:r>
            <w:r w:rsidR="00AD4835">
              <w:t xml:space="preserve"> arrangements unnecessarily </w:t>
            </w:r>
            <w:r w:rsidR="00126E07">
              <w:t>burdensome</w:t>
            </w:r>
            <w:r w:rsidR="00AD4835">
              <w:t xml:space="preserve">? </w:t>
            </w:r>
            <w:r>
              <w:t xml:space="preserve">Could </w:t>
            </w:r>
            <w:r w:rsidR="002F3B25">
              <w:t>audits be combined or streamlined</w:t>
            </w:r>
            <w:r>
              <w:t>?</w:t>
            </w:r>
          </w:p>
          <w:p w14:paraId="2820E1C3" w14:textId="6B512DAD" w:rsidR="00F66FD6" w:rsidRDefault="005D56D6" w:rsidP="00417ABC">
            <w:pPr>
              <w:pStyle w:val="InformationRequestBullet"/>
            </w:pPr>
            <w:r>
              <w:t>Is it likely that</w:t>
            </w:r>
            <w:r w:rsidR="00417ABC">
              <w:t xml:space="preserve"> the new </w:t>
            </w:r>
            <w:r w:rsidR="00417ABC" w:rsidRPr="00417ABC">
              <w:t>Biosecurity Act 2015</w:t>
            </w:r>
            <w:r w:rsidR="00417ABC" w:rsidRPr="006D38C9">
              <w:t xml:space="preserve"> (Cwlth</w:t>
            </w:r>
            <w:r w:rsidR="002803E9">
              <w:t xml:space="preserve">) </w:t>
            </w:r>
            <w:r>
              <w:t xml:space="preserve">will </w:t>
            </w:r>
            <w:r w:rsidR="002803E9">
              <w:t xml:space="preserve">achieve </w:t>
            </w:r>
            <w:r w:rsidR="00AD4835">
              <w:t xml:space="preserve">its aims of </w:t>
            </w:r>
            <w:r w:rsidR="002803E9">
              <w:t>managing biosecurity risks to an acceptable level, managing the impact associated with biosecurity incidents, and maximising the economic efficiency of the management of biosecurity risks</w:t>
            </w:r>
            <w:r w:rsidR="007066C5">
              <w:t>?</w:t>
            </w:r>
            <w:r w:rsidR="002803E9">
              <w:t xml:space="preserve"> </w:t>
            </w:r>
          </w:p>
          <w:p w14:paraId="58B34C5C" w14:textId="58EC1E2E" w:rsidR="004C540A" w:rsidRPr="004C540A" w:rsidRDefault="007066C5" w:rsidP="00417ABC">
            <w:pPr>
              <w:pStyle w:val="InformationRequestBullet"/>
            </w:pPr>
            <w:r>
              <w:t>Do</w:t>
            </w:r>
            <w:r w:rsidR="00672CCF">
              <w:t xml:space="preserve"> risk assessments</w:t>
            </w:r>
            <w:r w:rsidR="00787D88">
              <w:t xml:space="preserve"> </w:t>
            </w:r>
            <w:r w:rsidR="00AD4835">
              <w:t xml:space="preserve">of imported agricultural inputs </w:t>
            </w:r>
            <w:r w:rsidR="00A52241">
              <w:t xml:space="preserve">effectively </w:t>
            </w:r>
            <w:r w:rsidR="00787D88">
              <w:t>balance</w:t>
            </w:r>
            <w:r w:rsidR="00672CCF">
              <w:t xml:space="preserve"> </w:t>
            </w:r>
            <w:r w:rsidR="00AD4835">
              <w:t xml:space="preserve">the need to </w:t>
            </w:r>
            <w:r w:rsidR="00672CCF">
              <w:t>protect Australia</w:t>
            </w:r>
            <w:r w:rsidR="00787D88">
              <w:t xml:space="preserve"> </w:t>
            </w:r>
            <w:r w:rsidR="00AD4835">
              <w:t xml:space="preserve">from </w:t>
            </w:r>
            <w:r w:rsidR="00787D88">
              <w:t xml:space="preserve">harmful pests and diseases </w:t>
            </w:r>
            <w:r w:rsidR="00AD4835">
              <w:t xml:space="preserve">with the need to minimise the </w:t>
            </w:r>
            <w:r w:rsidR="00787D88">
              <w:t>burden on importers</w:t>
            </w:r>
            <w:r>
              <w:t>?</w:t>
            </w:r>
            <w:r w:rsidR="00672CCF">
              <w:t xml:space="preserve"> </w:t>
            </w:r>
          </w:p>
          <w:p w14:paraId="2982B10C" w14:textId="0154D123" w:rsidR="00352075" w:rsidRPr="002E6452" w:rsidRDefault="009E7130" w:rsidP="00F630CB">
            <w:pPr>
              <w:pStyle w:val="InformationRequestBullet"/>
            </w:pPr>
            <w:r>
              <w:t xml:space="preserve">Are there useful overseas examples of biosecurity regulation that the Commission </w:t>
            </w:r>
            <w:r w:rsidR="00F630CB">
              <w:t>should</w:t>
            </w:r>
            <w:r>
              <w:t xml:space="preserve"> examine?</w:t>
            </w:r>
          </w:p>
        </w:tc>
      </w:tr>
      <w:tr w:rsidR="00352075" w14:paraId="2982B10F" w14:textId="77777777" w:rsidTr="002B5666">
        <w:trPr>
          <w:cantSplit/>
        </w:trPr>
        <w:tc>
          <w:tcPr>
            <w:tcW w:w="8771" w:type="dxa"/>
            <w:tcBorders>
              <w:top w:val="nil"/>
              <w:left w:val="nil"/>
              <w:bottom w:val="single" w:sz="6" w:space="0" w:color="78A22F"/>
              <w:right w:val="nil"/>
            </w:tcBorders>
            <w:shd w:val="clear" w:color="auto" w:fill="auto"/>
          </w:tcPr>
          <w:p w14:paraId="2982B10E" w14:textId="77777777" w:rsidR="00352075" w:rsidRDefault="00352075" w:rsidP="002B5666">
            <w:pPr>
              <w:pStyle w:val="Box"/>
              <w:spacing w:before="0" w:line="120" w:lineRule="exact"/>
            </w:pPr>
          </w:p>
        </w:tc>
      </w:tr>
      <w:tr w:rsidR="00352075" w:rsidRPr="000863A5" w14:paraId="2982B111" w14:textId="77777777" w:rsidTr="002B5666">
        <w:tc>
          <w:tcPr>
            <w:tcW w:w="8771" w:type="dxa"/>
            <w:tcBorders>
              <w:top w:val="single" w:sz="6" w:space="0" w:color="78A22F"/>
              <w:left w:val="nil"/>
              <w:bottom w:val="nil"/>
              <w:right w:val="nil"/>
            </w:tcBorders>
          </w:tcPr>
          <w:p w14:paraId="2982B110" w14:textId="10E524BA" w:rsidR="00352075" w:rsidRPr="00626D32" w:rsidRDefault="00352075" w:rsidP="002B5666">
            <w:pPr>
              <w:pStyle w:val="BoxSpaceBelow"/>
            </w:pPr>
          </w:p>
        </w:tc>
      </w:tr>
    </w:tbl>
    <w:p w14:paraId="2982B113" w14:textId="0A5CFA8F" w:rsidR="00466DE8" w:rsidRPr="008C6B93" w:rsidRDefault="007066C5" w:rsidP="00563F02">
      <w:pPr>
        <w:pStyle w:val="Heading3"/>
        <w:tabs>
          <w:tab w:val="center" w:pos="4394"/>
        </w:tabs>
      </w:pPr>
      <w:r>
        <w:t>Consumer</w:t>
      </w:r>
      <w:r w:rsidR="00DE4A10">
        <w:t>-related regulation</w:t>
      </w:r>
    </w:p>
    <w:p w14:paraId="4A8E4533" w14:textId="2452454D" w:rsidR="004F5BB4" w:rsidRDefault="00927077" w:rsidP="00613F24">
      <w:pPr>
        <w:pStyle w:val="BodyText"/>
      </w:pPr>
      <w:r>
        <w:t>Consumer-related regulation, including food safety and labelling</w:t>
      </w:r>
      <w:r w:rsidR="004F5BB4">
        <w:t xml:space="preserve"> regulations</w:t>
      </w:r>
      <w:r>
        <w:t xml:space="preserve">, </w:t>
      </w:r>
      <w:r w:rsidR="00FE7949">
        <w:t xml:space="preserve">are in place to </w:t>
      </w:r>
      <w:r w:rsidR="00EC6C8E">
        <w:t>protect</w:t>
      </w:r>
      <w:r w:rsidR="009F2EA1">
        <w:t xml:space="preserve"> </w:t>
      </w:r>
      <w:r w:rsidR="00EC6C8E">
        <w:t>and provide information to consumers</w:t>
      </w:r>
      <w:r w:rsidR="00FE7949">
        <w:t xml:space="preserve"> and to protect the international reputation of </w:t>
      </w:r>
      <w:r w:rsidR="002E2F31">
        <w:t xml:space="preserve">Australia’s </w:t>
      </w:r>
      <w:r w:rsidR="00FE7949">
        <w:t xml:space="preserve">food products. But consumer-related regulation </w:t>
      </w:r>
      <w:r w:rsidR="00F03804">
        <w:t xml:space="preserve">that </w:t>
      </w:r>
      <w:r w:rsidR="00FE7949">
        <w:t xml:space="preserve">imposes excessive compliance burdens on businesses </w:t>
      </w:r>
      <w:r w:rsidR="00F03804">
        <w:t>may</w:t>
      </w:r>
      <w:r w:rsidR="00FE7949">
        <w:t xml:space="preserve"> have </w:t>
      </w:r>
      <w:r w:rsidR="00EE1811">
        <w:t>un</w:t>
      </w:r>
      <w:r w:rsidR="00FE7949">
        <w:t xml:space="preserve">intended consequences (such as higher food prices and less consumer choice). </w:t>
      </w:r>
    </w:p>
    <w:p w14:paraId="751D046F" w14:textId="4D6EBD54" w:rsidR="004D046A" w:rsidRPr="00437C59" w:rsidRDefault="004D046A" w:rsidP="00437C59">
      <w:pPr>
        <w:pStyle w:val="Heading4"/>
      </w:pPr>
      <w:r w:rsidRPr="00437C59">
        <w:t>Food safety</w:t>
      </w:r>
    </w:p>
    <w:p w14:paraId="5DA15616" w14:textId="519420AA" w:rsidR="00035CA3" w:rsidRDefault="00A75C58" w:rsidP="00A75C58">
      <w:pPr>
        <w:pStyle w:val="BodyText"/>
      </w:pPr>
      <w:r>
        <w:t xml:space="preserve">Governments in Australia mandate food safety standards to protect consumers against foodborne illnesses. </w:t>
      </w:r>
      <w:r w:rsidR="00EC05EA">
        <w:t xml:space="preserve">Outbreaks of foodborne illnesses can </w:t>
      </w:r>
      <w:r w:rsidR="00AA2AE6">
        <w:t>also</w:t>
      </w:r>
      <w:r w:rsidR="00EC05EA">
        <w:t xml:space="preserve"> damage the reputation of Australian industries</w:t>
      </w:r>
      <w:r w:rsidR="00F37ECD">
        <w:t xml:space="preserve">, </w:t>
      </w:r>
      <w:r w:rsidR="00755A66">
        <w:t>and</w:t>
      </w:r>
      <w:r w:rsidR="00F37ECD">
        <w:t xml:space="preserve"> can have wider effects in international markets</w:t>
      </w:r>
      <w:r w:rsidR="00EC05EA">
        <w:t>.</w:t>
      </w:r>
    </w:p>
    <w:p w14:paraId="567E3FEA" w14:textId="7686FD0C" w:rsidR="00D428E5" w:rsidRDefault="00A75C58" w:rsidP="00A75C58">
      <w:pPr>
        <w:pStyle w:val="BodyText"/>
      </w:pPr>
      <w:r>
        <w:t xml:space="preserve">The </w:t>
      </w:r>
      <w:r w:rsidRPr="007664B6">
        <w:t>Australia New Zealand Food Standards Code</w:t>
      </w:r>
      <w:r w:rsidR="008B32A6">
        <w:rPr>
          <w:i/>
        </w:rPr>
        <w:t xml:space="preserve"> </w:t>
      </w:r>
      <w:r w:rsidR="008B32A6">
        <w:t xml:space="preserve">sets </w:t>
      </w:r>
      <w:r w:rsidR="003B731C">
        <w:t xml:space="preserve">national </w:t>
      </w:r>
      <w:r w:rsidR="008B32A6">
        <w:t>food safety standards</w:t>
      </w:r>
      <w:r w:rsidR="003B731C">
        <w:t>, which are implemented through state and territory legislation.</w:t>
      </w:r>
      <w:r w:rsidR="00FA63D5">
        <w:t xml:space="preserve"> </w:t>
      </w:r>
      <w:r w:rsidR="00EC05EA">
        <w:t>S</w:t>
      </w:r>
      <w:r w:rsidR="001465DB">
        <w:t>tates</w:t>
      </w:r>
      <w:r w:rsidR="00EC05EA">
        <w:t>’</w:t>
      </w:r>
      <w:r w:rsidR="001465DB">
        <w:t xml:space="preserve"> a</w:t>
      </w:r>
      <w:r w:rsidR="00035CA3">
        <w:t>utonomy in</w:t>
      </w:r>
      <w:r w:rsidR="005C055C">
        <w:t xml:space="preserve"> implement</w:t>
      </w:r>
      <w:r w:rsidR="00035CA3">
        <w:t>ing</w:t>
      </w:r>
      <w:r w:rsidR="00D428E5">
        <w:t xml:space="preserve"> their own legislation allows them to</w:t>
      </w:r>
      <w:r w:rsidR="001465DB">
        <w:t xml:space="preserve"> </w:t>
      </w:r>
      <w:r w:rsidR="00FA63D5">
        <w:t>respond</w:t>
      </w:r>
      <w:r w:rsidR="005C055C">
        <w:t xml:space="preserve"> to the </w:t>
      </w:r>
      <w:r w:rsidR="00AA2AE6">
        <w:t xml:space="preserve">specific </w:t>
      </w:r>
      <w:r w:rsidR="005C055C">
        <w:t>needs of their jurisdictions</w:t>
      </w:r>
      <w:r w:rsidR="00AA2AE6">
        <w:t xml:space="preserve">. </w:t>
      </w:r>
      <w:r w:rsidR="005C055C">
        <w:t>However,</w:t>
      </w:r>
      <w:r w:rsidR="005C055C" w:rsidDel="00FE788D">
        <w:t xml:space="preserve"> </w:t>
      </w:r>
      <w:r w:rsidR="005C055C">
        <w:t>arrangements</w:t>
      </w:r>
      <w:r w:rsidR="00FE788D">
        <w:t xml:space="preserve"> that differ unnecessarily</w:t>
      </w:r>
      <w:r w:rsidR="005C055C">
        <w:t xml:space="preserve"> can </w:t>
      </w:r>
      <w:r w:rsidR="00FE788D">
        <w:t>increase</w:t>
      </w:r>
      <w:r w:rsidR="005C055C">
        <w:t xml:space="preserve"> compliance burdens for busi</w:t>
      </w:r>
      <w:r w:rsidR="00395F4C">
        <w:t>nesses operating across states</w:t>
      </w:r>
      <w:r w:rsidR="005C055C">
        <w:t xml:space="preserve">, or </w:t>
      </w:r>
      <w:r w:rsidR="00484C19">
        <w:t xml:space="preserve">create </w:t>
      </w:r>
      <w:r w:rsidR="00FA63D5">
        <w:t>barrier</w:t>
      </w:r>
      <w:r w:rsidR="00484C19">
        <w:t>s</w:t>
      </w:r>
      <w:r w:rsidR="00FA63D5">
        <w:t xml:space="preserve"> for</w:t>
      </w:r>
      <w:r w:rsidR="005C055C">
        <w:t xml:space="preserve"> business</w:t>
      </w:r>
      <w:r w:rsidR="00FA63D5">
        <w:t>es</w:t>
      </w:r>
      <w:r w:rsidR="005C055C">
        <w:t xml:space="preserve"> </w:t>
      </w:r>
      <w:r w:rsidR="00FA63D5">
        <w:t>wanting to expand</w:t>
      </w:r>
      <w:r w:rsidR="005C055C">
        <w:t xml:space="preserve"> </w:t>
      </w:r>
      <w:r w:rsidR="0056738C">
        <w:t>across state borders</w:t>
      </w:r>
      <w:r w:rsidR="005C055C">
        <w:t xml:space="preserve">. </w:t>
      </w:r>
    </w:p>
    <w:p w14:paraId="72EC75F5" w14:textId="55DD73DA" w:rsidR="00C541E9" w:rsidRDefault="00F37ECD" w:rsidP="00A75C58">
      <w:pPr>
        <w:pStyle w:val="BodyText"/>
      </w:pPr>
      <w:r>
        <w:t>A</w:t>
      </w:r>
      <w:r w:rsidR="00D428E5">
        <w:t xml:space="preserve">udits </w:t>
      </w:r>
      <w:r w:rsidR="00395F4C">
        <w:t>are a significant</w:t>
      </w:r>
      <w:r>
        <w:t xml:space="preserve"> </w:t>
      </w:r>
      <w:r w:rsidR="00395F4C">
        <w:t xml:space="preserve">part </w:t>
      </w:r>
      <w:r>
        <w:t xml:space="preserve">of </w:t>
      </w:r>
      <w:r w:rsidR="00755A66">
        <w:t>Australia’s</w:t>
      </w:r>
      <w:r w:rsidR="00D428E5">
        <w:t xml:space="preserve"> food safety</w:t>
      </w:r>
      <w:r w:rsidR="00F53234">
        <w:t xml:space="preserve"> </w:t>
      </w:r>
      <w:r w:rsidR="00755A66">
        <w:t>system</w:t>
      </w:r>
      <w:r w:rsidR="00AA2AE6">
        <w:t xml:space="preserve"> and are used to </w:t>
      </w:r>
      <w:r w:rsidR="00E20553">
        <w:t>verify that standards have been met</w:t>
      </w:r>
      <w:r w:rsidR="00D428E5">
        <w:t>.</w:t>
      </w:r>
      <w:r>
        <w:t xml:space="preserve"> </w:t>
      </w:r>
      <w:r w:rsidR="00E1592F">
        <w:t>I</w:t>
      </w:r>
      <w:r w:rsidR="00C541E9">
        <w:t>f audits are not administered efficiently</w:t>
      </w:r>
      <w:r w:rsidR="00395F4C">
        <w:t xml:space="preserve"> </w:t>
      </w:r>
      <w:r w:rsidR="000411EE">
        <w:t>they can impose unnecessary burdens on businesses</w:t>
      </w:r>
      <w:r w:rsidR="00C541E9">
        <w:t xml:space="preserve">. </w:t>
      </w:r>
    </w:p>
    <w:p w14:paraId="0ED8A04F" w14:textId="10C380CA" w:rsidR="00D428E5" w:rsidRDefault="00395F4C" w:rsidP="00A75C58">
      <w:pPr>
        <w:pStyle w:val="BodyText"/>
      </w:pPr>
      <w:r>
        <w:lastRenderedPageBreak/>
        <w:t>Submissions to the Agricultural Competitiveness White Paper</w:t>
      </w:r>
      <w:r w:rsidR="00AF7932">
        <w:t xml:space="preserve"> </w:t>
      </w:r>
      <w:r>
        <w:t xml:space="preserve">suggest that there may </w:t>
      </w:r>
      <w:r w:rsidR="00E06CD5">
        <w:t xml:space="preserve">be </w:t>
      </w:r>
      <w:r>
        <w:t xml:space="preserve">scope </w:t>
      </w:r>
      <w:r w:rsidR="00DD335D">
        <w:t xml:space="preserve">to </w:t>
      </w:r>
      <w:r w:rsidR="00523871">
        <w:t xml:space="preserve">reduce the burden of food safety audits, for example by streamlining audits for </w:t>
      </w:r>
      <w:r w:rsidR="009B6802">
        <w:t>domestic and export</w:t>
      </w:r>
      <w:r w:rsidR="00523871">
        <w:t xml:space="preserve"> purposes </w:t>
      </w:r>
      <w:r w:rsidR="00AF7932" w:rsidRPr="00AF7932">
        <w:rPr>
          <w:szCs w:val="24"/>
        </w:rPr>
        <w:t>(Australian Dairy Industry Council Inc. and Dairy Australia 2014)</w:t>
      </w:r>
      <w:r w:rsidR="00AF7932">
        <w:t xml:space="preserve"> </w:t>
      </w:r>
      <w:r w:rsidR="00523871">
        <w:t xml:space="preserve">or </w:t>
      </w:r>
      <w:r w:rsidR="000411EE">
        <w:t>by combining audits for</w:t>
      </w:r>
      <w:r w:rsidR="00523871">
        <w:t xml:space="preserve"> industries that are highly vertically integrated (such as the poultry industry)</w:t>
      </w:r>
      <w:r w:rsidR="00AF7932">
        <w:t xml:space="preserve"> </w:t>
      </w:r>
      <w:r w:rsidR="00AF7932" w:rsidRPr="00AF7932">
        <w:rPr>
          <w:szCs w:val="24"/>
        </w:rPr>
        <w:t>(Victorian Chicken Meat Council 2012)</w:t>
      </w:r>
      <w:r w:rsidR="00523871">
        <w:t>.</w:t>
      </w:r>
    </w:p>
    <w:p w14:paraId="042B791D" w14:textId="5B3A2ED7" w:rsidR="00232AE9" w:rsidRDefault="00752EF9" w:rsidP="00A75C58">
      <w:pPr>
        <w:pStyle w:val="BodyText"/>
      </w:pPr>
      <w:r>
        <w:t xml:space="preserve">Previous </w:t>
      </w:r>
      <w:r w:rsidR="009850E4">
        <w:t>reviews into food safety</w:t>
      </w:r>
      <w:r w:rsidR="00232AE9">
        <w:t xml:space="preserve"> in Australia</w:t>
      </w:r>
      <w:r w:rsidR="009850E4">
        <w:t xml:space="preserve"> </w:t>
      </w:r>
      <w:r w:rsidR="005B0482">
        <w:t xml:space="preserve">have also </w:t>
      </w:r>
      <w:r w:rsidR="009850E4">
        <w:t>suggested potential avenues for reform</w:t>
      </w:r>
      <w:r w:rsidR="004A0501">
        <w:t>,</w:t>
      </w:r>
      <w:r w:rsidR="00AA2AE6">
        <w:t xml:space="preserve"> such as </w:t>
      </w:r>
      <w:r w:rsidR="00BA7ACE">
        <w:t>limiting the ability of states and territories to vary the national standards, or recognising</w:t>
      </w:r>
      <w:r w:rsidR="00047EFC">
        <w:t xml:space="preserve"> private sector standards for</w:t>
      </w:r>
      <w:r w:rsidR="00BA7ACE">
        <w:t xml:space="preserve"> audits</w:t>
      </w:r>
      <w:r w:rsidR="00047EFC">
        <w:t xml:space="preserve"> conducted by government agencies</w:t>
      </w:r>
      <w:r>
        <w:t xml:space="preserve"> </w:t>
      </w:r>
      <w:r w:rsidR="00E02F2D" w:rsidRPr="00E02F2D">
        <w:rPr>
          <w:szCs w:val="24"/>
        </w:rPr>
        <w:t>(Gibbs, Harris-Adams and Davidson 2013; RRC 2013; SCAFPS 2012)</w:t>
      </w:r>
      <w:r w:rsidR="00047EFC">
        <w:t>.</w:t>
      </w:r>
      <w:r w:rsidR="00F53234">
        <w:t xml:space="preserve"> </w:t>
      </w:r>
    </w:p>
    <w:p w14:paraId="2982B114" w14:textId="7B7F8DF3" w:rsidR="00352075" w:rsidRDefault="00352075" w:rsidP="00A75C58">
      <w:pPr>
        <w:pStyle w:val="BodyText"/>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2075" w:rsidRPr="002E6452" w14:paraId="2982B117" w14:textId="77777777" w:rsidTr="002B5666">
        <w:tc>
          <w:tcPr>
            <w:tcW w:w="8771" w:type="dxa"/>
            <w:tcBorders>
              <w:top w:val="single" w:sz="6" w:space="0" w:color="78A22F"/>
              <w:left w:val="nil"/>
              <w:bottom w:val="nil"/>
              <w:right w:val="nil"/>
            </w:tcBorders>
            <w:shd w:val="clear" w:color="auto" w:fill="auto"/>
          </w:tcPr>
          <w:p w14:paraId="2982B115" w14:textId="3491F96A" w:rsidR="00352075" w:rsidRPr="007F6C76" w:rsidRDefault="007066C5" w:rsidP="002B5666">
            <w:pPr>
              <w:pStyle w:val="InformationRequest"/>
              <w:keepNext/>
              <w:rPr>
                <w:b/>
                <w:color w:val="000000" w:themeColor="text1"/>
              </w:rPr>
            </w:pPr>
            <w:r w:rsidRPr="007F6C76">
              <w:rPr>
                <w:b/>
                <w:color w:val="000000" w:themeColor="text1"/>
              </w:rPr>
              <w:t>Questions</w:t>
            </w:r>
          </w:p>
          <w:p w14:paraId="006D2611" w14:textId="774C1707" w:rsidR="00994162" w:rsidRDefault="00994162" w:rsidP="00523871">
            <w:pPr>
              <w:pStyle w:val="InformationRequestBullet"/>
            </w:pPr>
            <w:r>
              <w:t>Are food safety standards proportionate to the risks they are designed to address?</w:t>
            </w:r>
          </w:p>
          <w:p w14:paraId="13D2743D" w14:textId="262A2027" w:rsidR="00001524" w:rsidRPr="00001524" w:rsidRDefault="00001524" w:rsidP="00001524">
            <w:pPr>
              <w:pStyle w:val="InformationRequestBullet"/>
            </w:pPr>
            <w:r>
              <w:t>Are there known examples of best practice process at the state and territory level in dealing with food safety regulation?</w:t>
            </w:r>
          </w:p>
          <w:p w14:paraId="7A6C26A2" w14:textId="4B78EEBF" w:rsidR="00AF4A1F" w:rsidRDefault="00FB0F6D" w:rsidP="00523871">
            <w:pPr>
              <w:pStyle w:val="InformationRequestBullet"/>
            </w:pPr>
            <w:r>
              <w:t xml:space="preserve">Are there unnecessary differences between </w:t>
            </w:r>
            <w:r w:rsidR="00523871">
              <w:t xml:space="preserve">state and territory </w:t>
            </w:r>
            <w:r w:rsidR="00205100">
              <w:t xml:space="preserve">food safety standards </w:t>
            </w:r>
            <w:r>
              <w:t xml:space="preserve">and the </w:t>
            </w:r>
            <w:r w:rsidR="007664B6" w:rsidRPr="007664B6">
              <w:t>Australia New Zealand Food Standards Code</w:t>
            </w:r>
            <w:r w:rsidR="007066C5">
              <w:t>?</w:t>
            </w:r>
          </w:p>
          <w:p w14:paraId="34C15EEF" w14:textId="3EAC16E1" w:rsidR="00523871" w:rsidRPr="00523871" w:rsidRDefault="007066C5" w:rsidP="00523871">
            <w:pPr>
              <w:pStyle w:val="InformationRequestBullet"/>
            </w:pPr>
            <w:r>
              <w:t>Do</w:t>
            </w:r>
            <w:r w:rsidR="00523871">
              <w:t xml:space="preserve"> differ</w:t>
            </w:r>
            <w:r w:rsidR="002D1C10">
              <w:t>ing</w:t>
            </w:r>
            <w:r w:rsidR="00523871">
              <w:t xml:space="preserve"> state and territory arrangements </w:t>
            </w:r>
            <w:r w:rsidR="00FB0F6D">
              <w:t xml:space="preserve">create </w:t>
            </w:r>
            <w:r w:rsidR="00523871">
              <w:t xml:space="preserve">unnecessary burdens </w:t>
            </w:r>
            <w:r w:rsidR="00985C4C">
              <w:t>on</w:t>
            </w:r>
            <w:r w:rsidR="00523871">
              <w:t xml:space="preserve"> </w:t>
            </w:r>
            <w:r w:rsidR="007063A6">
              <w:t xml:space="preserve">farming </w:t>
            </w:r>
            <w:r w:rsidR="00523871">
              <w:t xml:space="preserve">businesses operating across </w:t>
            </w:r>
            <w:r w:rsidR="00FB0F6D">
              <w:t>borders</w:t>
            </w:r>
            <w:r>
              <w:t>?</w:t>
            </w:r>
            <w:r w:rsidR="00994162">
              <w:t xml:space="preserve"> </w:t>
            </w:r>
          </w:p>
          <w:p w14:paraId="2982B116" w14:textId="2190A2D4" w:rsidR="00352075" w:rsidRPr="00523871" w:rsidRDefault="00FB0F6D" w:rsidP="00024EC6">
            <w:pPr>
              <w:pStyle w:val="InformationRequestBullet"/>
            </w:pPr>
            <w:r>
              <w:t xml:space="preserve">Do food safety audits create an </w:t>
            </w:r>
            <w:r w:rsidR="00523871">
              <w:t>unnecessary regulatory burden</w:t>
            </w:r>
            <w:r w:rsidR="00C70709">
              <w:t>? C</w:t>
            </w:r>
            <w:r>
              <w:t xml:space="preserve">ould </w:t>
            </w:r>
            <w:r w:rsidR="00523871">
              <w:t>food safety audits</w:t>
            </w:r>
            <w:r>
              <w:t xml:space="preserve"> </w:t>
            </w:r>
            <w:r w:rsidR="00523871">
              <w:t>be streamlined or combined</w:t>
            </w:r>
            <w:r w:rsidR="007066C5">
              <w:t>?</w:t>
            </w:r>
            <w:r w:rsidR="00523871" w:rsidRPr="00523871">
              <w:t xml:space="preserve"> </w:t>
            </w:r>
          </w:p>
        </w:tc>
      </w:tr>
      <w:tr w:rsidR="00352075" w14:paraId="2982B119" w14:textId="77777777" w:rsidTr="002B5666">
        <w:trPr>
          <w:cantSplit/>
        </w:trPr>
        <w:tc>
          <w:tcPr>
            <w:tcW w:w="8771" w:type="dxa"/>
            <w:tcBorders>
              <w:top w:val="nil"/>
              <w:left w:val="nil"/>
              <w:bottom w:val="single" w:sz="6" w:space="0" w:color="78A22F"/>
              <w:right w:val="nil"/>
            </w:tcBorders>
            <w:shd w:val="clear" w:color="auto" w:fill="auto"/>
          </w:tcPr>
          <w:p w14:paraId="2982B118" w14:textId="77777777" w:rsidR="00352075" w:rsidRDefault="00352075" w:rsidP="002B5666">
            <w:pPr>
              <w:pStyle w:val="Box"/>
              <w:spacing w:before="0" w:line="120" w:lineRule="exact"/>
            </w:pPr>
          </w:p>
        </w:tc>
      </w:tr>
      <w:tr w:rsidR="00352075" w:rsidRPr="000863A5" w14:paraId="2982B11B" w14:textId="77777777" w:rsidTr="002B5666">
        <w:tc>
          <w:tcPr>
            <w:tcW w:w="8771" w:type="dxa"/>
            <w:tcBorders>
              <w:top w:val="single" w:sz="6" w:space="0" w:color="78A22F"/>
              <w:left w:val="nil"/>
              <w:bottom w:val="nil"/>
              <w:right w:val="nil"/>
            </w:tcBorders>
          </w:tcPr>
          <w:p w14:paraId="2982B11A" w14:textId="23BA9DB6" w:rsidR="00352075" w:rsidRPr="00626D32" w:rsidRDefault="00352075" w:rsidP="002B5666">
            <w:pPr>
              <w:pStyle w:val="BoxSpaceBelow"/>
            </w:pPr>
          </w:p>
        </w:tc>
      </w:tr>
    </w:tbl>
    <w:p w14:paraId="2875F0BC" w14:textId="77777777" w:rsidR="005006E5" w:rsidRDefault="005006E5" w:rsidP="005006E5">
      <w:pPr>
        <w:pStyle w:val="Heading4"/>
      </w:pPr>
      <w:r>
        <w:t>Food labelling (including country-of-origin labelling)</w:t>
      </w:r>
    </w:p>
    <w:p w14:paraId="031EED81" w14:textId="274D098C" w:rsidR="005006E5" w:rsidRDefault="005006E5" w:rsidP="005006E5">
      <w:pPr>
        <w:pStyle w:val="BodyText"/>
      </w:pPr>
      <w:r>
        <w:t xml:space="preserve">Food labels </w:t>
      </w:r>
      <w:r w:rsidR="00EC6C8E">
        <w:t>seek</w:t>
      </w:r>
      <w:r w:rsidR="00FB0F6D">
        <w:t xml:space="preserve"> to inform </w:t>
      </w:r>
      <w:r>
        <w:t xml:space="preserve">consumers </w:t>
      </w:r>
      <w:r w:rsidR="00FB0F6D">
        <w:t>a</w:t>
      </w:r>
      <w:r>
        <w:t xml:space="preserve">bout </w:t>
      </w:r>
      <w:r w:rsidR="00FB0F6D">
        <w:t xml:space="preserve">a </w:t>
      </w:r>
      <w:r>
        <w:t>product</w:t>
      </w:r>
      <w:r w:rsidR="00FB0F6D">
        <w:t>’s</w:t>
      </w:r>
      <w:r>
        <w:t xml:space="preserve"> nutritional value, ingredients, allergens and country of origin. </w:t>
      </w:r>
      <w:r w:rsidR="00A35EF0">
        <w:t>L</w:t>
      </w:r>
      <w:r>
        <w:t xml:space="preserve">abels can also </w:t>
      </w:r>
      <w:r w:rsidR="00FB0F6D">
        <w:t xml:space="preserve">detail </w:t>
      </w:r>
      <w:r w:rsidR="005A14E5">
        <w:t xml:space="preserve">other </w:t>
      </w:r>
      <w:r w:rsidR="00A35EF0">
        <w:t>food</w:t>
      </w:r>
      <w:r w:rsidR="005A14E5">
        <w:t xml:space="preserve"> characteristics, such as whether</w:t>
      </w:r>
      <w:r>
        <w:t xml:space="preserve"> the product is organic</w:t>
      </w:r>
      <w:r w:rsidR="00FB0F6D">
        <w:t xml:space="preserve">, </w:t>
      </w:r>
      <w:r>
        <w:t>free</w:t>
      </w:r>
      <w:r>
        <w:noBreakHyphen/>
        <w:t xml:space="preserve">range, or </w:t>
      </w:r>
      <w:r w:rsidR="00FB0F6D">
        <w:t xml:space="preserve">free of </w:t>
      </w:r>
      <w:r w:rsidR="007664B6">
        <w:t xml:space="preserve">genetically </w:t>
      </w:r>
      <w:r>
        <w:t>modified material.</w:t>
      </w:r>
    </w:p>
    <w:p w14:paraId="548A19EC" w14:textId="1418E54D" w:rsidR="005006E5" w:rsidRDefault="005006E5" w:rsidP="005006E5">
      <w:pPr>
        <w:pStyle w:val="BodyText"/>
      </w:pPr>
      <w:r>
        <w:t>Australia’s food labelling system comprises the</w:t>
      </w:r>
      <w:r w:rsidRPr="00EA7C77">
        <w:t xml:space="preserve"> Australia New Zealand Food Standards Code</w:t>
      </w:r>
      <w:r>
        <w:t xml:space="preserve"> and Australian Consumer Law (contained within the </w:t>
      </w:r>
      <w:r>
        <w:rPr>
          <w:i/>
        </w:rPr>
        <w:t>Competition and Consumer Act 2010</w:t>
      </w:r>
      <w:r w:rsidRPr="007664B6">
        <w:t>)</w:t>
      </w:r>
      <w:r>
        <w:t xml:space="preserve"> </w:t>
      </w:r>
      <w:r w:rsidR="003D6169" w:rsidRPr="003D6169">
        <w:rPr>
          <w:szCs w:val="24"/>
        </w:rPr>
        <w:t>(FSANZ 2013)</w:t>
      </w:r>
      <w:r>
        <w:t xml:space="preserve">. The Food Standards Code outlines what information must be provided on labels, while the Australian Consumer Law contains provisions primarily relating to false, misleading or deceptive conduct. Country-of-origin labelling is mandatory in Australia. </w:t>
      </w:r>
    </w:p>
    <w:p w14:paraId="51114515" w14:textId="358CE29D" w:rsidR="005006E5" w:rsidRDefault="005006E5" w:rsidP="005006E5">
      <w:pPr>
        <w:pStyle w:val="BodyText"/>
      </w:pPr>
      <w:r>
        <w:t xml:space="preserve">Food labels </w:t>
      </w:r>
      <w:r w:rsidR="00EC6C8E">
        <w:t xml:space="preserve">can help </w:t>
      </w:r>
      <w:r>
        <w:t xml:space="preserve">consumers protect their health (for example, by avoiding expired food and allergens) </w:t>
      </w:r>
      <w:r w:rsidR="00392C39">
        <w:t>and to</w:t>
      </w:r>
      <w:r>
        <w:t xml:space="preserve"> purchase products that align with their preferences</w:t>
      </w:r>
      <w:r w:rsidR="0006042D">
        <w:t>, such as free</w:t>
      </w:r>
      <w:r w:rsidR="008E203E">
        <w:noBreakHyphen/>
      </w:r>
      <w:r w:rsidR="0006042D">
        <w:t>range products</w:t>
      </w:r>
      <w:r w:rsidR="0079535C">
        <w:t>,</w:t>
      </w:r>
      <w:r w:rsidR="0006042D">
        <w:t xml:space="preserve"> or food produced within Australia or in an environmentally</w:t>
      </w:r>
      <w:r w:rsidR="007664B6">
        <w:t xml:space="preserve"> </w:t>
      </w:r>
      <w:r w:rsidR="0006042D">
        <w:t>friendly way</w:t>
      </w:r>
      <w:r>
        <w:t>.</w:t>
      </w:r>
      <w:r w:rsidR="00EA574F">
        <w:t xml:space="preserve"> Mandatory or voluntary labelling can enable producers</w:t>
      </w:r>
      <w:r w:rsidR="006E3E72">
        <w:t xml:space="preserve"> to enjoy a competitive advantage by exploiting their reputation for</w:t>
      </w:r>
      <w:r w:rsidR="00EA574F">
        <w:t xml:space="preserve"> </w:t>
      </w:r>
      <w:r w:rsidR="006E3E72">
        <w:t xml:space="preserve">producing </w:t>
      </w:r>
      <w:r w:rsidR="00EA574F">
        <w:t>safe, high</w:t>
      </w:r>
      <w:r w:rsidR="00EA574F">
        <w:noBreakHyphen/>
        <w:t>quality food in an ethical</w:t>
      </w:r>
      <w:r w:rsidR="006E3E72">
        <w:t xml:space="preserve"> and</w:t>
      </w:r>
      <w:r w:rsidR="00EA574F">
        <w:t xml:space="preserve"> </w:t>
      </w:r>
      <w:r w:rsidR="006E3E72">
        <w:t xml:space="preserve">sustainable </w:t>
      </w:r>
      <w:r w:rsidR="00EA574F">
        <w:t xml:space="preserve">way </w:t>
      </w:r>
      <w:r w:rsidR="00D011C4" w:rsidRPr="00D011C4">
        <w:rPr>
          <w:szCs w:val="24"/>
        </w:rPr>
        <w:t>(NFF 2014c)</w:t>
      </w:r>
      <w:r>
        <w:t xml:space="preserve">. </w:t>
      </w:r>
      <w:r w:rsidR="008E203E">
        <w:t>However, labelling</w:t>
      </w:r>
      <w:r w:rsidR="00392C39">
        <w:t xml:space="preserve"> laws</w:t>
      </w:r>
      <w:r w:rsidR="00BD7490">
        <w:t xml:space="preserve"> can </w:t>
      </w:r>
      <w:r w:rsidR="00392C39">
        <w:t>impose administrative burden</w:t>
      </w:r>
      <w:r w:rsidR="00BD7490">
        <w:t>s</w:t>
      </w:r>
      <w:r w:rsidR="00392C39">
        <w:t xml:space="preserve"> and compliance costs, which may be passed onto consumers in the form of higher prices.</w:t>
      </w:r>
    </w:p>
    <w:p w14:paraId="1E941903" w14:textId="1FF804ED" w:rsidR="005006E5" w:rsidRPr="0084307F" w:rsidRDefault="005006E5" w:rsidP="005006E5">
      <w:pPr>
        <w:pStyle w:val="BodyText"/>
      </w:pPr>
      <w:r>
        <w:lastRenderedPageBreak/>
        <w:t>In July 2015, the Australian Government proposed a new country</w:t>
      </w:r>
      <w:r>
        <w:noBreakHyphen/>
        <w:t>of</w:t>
      </w:r>
      <w:r>
        <w:noBreakHyphen/>
        <w:t xml:space="preserve">origin food labelling system, which </w:t>
      </w:r>
      <w:r w:rsidR="007664B6">
        <w:t xml:space="preserve">would </w:t>
      </w:r>
      <w:r>
        <w:t xml:space="preserve">apply primarily to fresh produce and minimally processed foods </w:t>
      </w:r>
      <w:r w:rsidR="006E3E72" w:rsidRPr="006E3E72">
        <w:rPr>
          <w:szCs w:val="24"/>
        </w:rPr>
        <w:t>(Department of Industry, Innovation and Science 2015a, 2015b)</w:t>
      </w:r>
      <w:r>
        <w:t>. If agreed to by the states and territories, the new system could be implemented by mid</w:t>
      </w:r>
      <w:r>
        <w:noBreakHyphen/>
        <w:t>2016</w:t>
      </w:r>
      <w:r w:rsidR="00D92C14">
        <w:t xml:space="preserve"> with a phase in period</w:t>
      </w:r>
      <w:r w:rsidR="008929AD">
        <w:t>.</w:t>
      </w:r>
    </w:p>
    <w:p w14:paraId="229E3A1B" w14:textId="73151047" w:rsidR="00373FAC" w:rsidRPr="004E3B94" w:rsidRDefault="00373FAC" w:rsidP="00373FAC">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373FAC" w:rsidRPr="00E82B49" w14:paraId="6CA0C287" w14:textId="77777777" w:rsidTr="003502BB">
        <w:tc>
          <w:tcPr>
            <w:tcW w:w="8770" w:type="dxa"/>
            <w:tcBorders>
              <w:top w:val="single" w:sz="6" w:space="0" w:color="78A22F"/>
              <w:left w:val="nil"/>
              <w:bottom w:val="nil"/>
              <w:right w:val="nil"/>
            </w:tcBorders>
            <w:shd w:val="clear" w:color="auto" w:fill="auto"/>
          </w:tcPr>
          <w:p w14:paraId="2B27DFBF" w14:textId="004B3BC1" w:rsidR="00373FAC" w:rsidRPr="007F6C76" w:rsidRDefault="00381D99" w:rsidP="003502BB">
            <w:pPr>
              <w:pStyle w:val="InformationRequest"/>
              <w:rPr>
                <w:b/>
              </w:rPr>
            </w:pPr>
            <w:r w:rsidRPr="007F6C76">
              <w:rPr>
                <w:b/>
              </w:rPr>
              <w:t>Questions</w:t>
            </w:r>
          </w:p>
          <w:p w14:paraId="33BF763C" w14:textId="608FFDEC" w:rsidR="00373FAC" w:rsidRDefault="00381D99" w:rsidP="00BD4E6F">
            <w:pPr>
              <w:pStyle w:val="InformationRequestBullet"/>
            </w:pPr>
            <w:r>
              <w:t>Do</w:t>
            </w:r>
            <w:r w:rsidDel="00DD03DD">
              <w:t xml:space="preserve"> </w:t>
            </w:r>
            <w:r w:rsidR="000568D6">
              <w:t>food label</w:t>
            </w:r>
            <w:r>
              <w:t xml:space="preserve">s </w:t>
            </w:r>
            <w:r w:rsidR="00FB0F6D">
              <w:t xml:space="preserve">provide information </w:t>
            </w:r>
            <w:r w:rsidR="00EC6C8E">
              <w:t xml:space="preserve">that is useful for </w:t>
            </w:r>
            <w:r w:rsidR="00DD03DD">
              <w:t>consumers</w:t>
            </w:r>
            <w:r>
              <w:t>?</w:t>
            </w:r>
            <w:r w:rsidR="009E7130">
              <w:t xml:space="preserve"> What aspects of labelling are likely to be most important to consumers?</w:t>
            </w:r>
          </w:p>
          <w:p w14:paraId="72F5C4D2" w14:textId="77777777" w:rsidR="008A031C" w:rsidRDefault="00381D99" w:rsidP="00BD4E6F">
            <w:pPr>
              <w:pStyle w:val="InformationRequestBullet"/>
            </w:pPr>
            <w:r>
              <w:t xml:space="preserve">What </w:t>
            </w:r>
            <w:r w:rsidR="003D4CA8">
              <w:t xml:space="preserve">unnecessary burdens </w:t>
            </w:r>
            <w:r w:rsidR="00FB0F6D">
              <w:t>do</w:t>
            </w:r>
            <w:r w:rsidR="00F7536F">
              <w:t xml:space="preserve"> labelling standards impose on agricultural producers</w:t>
            </w:r>
            <w:r>
              <w:t xml:space="preserve">? </w:t>
            </w:r>
          </w:p>
          <w:p w14:paraId="0BF4D19F" w14:textId="598CB110" w:rsidR="008A031C" w:rsidRPr="008A031C" w:rsidRDefault="009E7130" w:rsidP="008A031C">
            <w:pPr>
              <w:pStyle w:val="BoxListBullet2"/>
              <w:rPr>
                <w:i/>
                <w:sz w:val="22"/>
                <w:szCs w:val="22"/>
              </w:rPr>
            </w:pPr>
            <w:r w:rsidRPr="008A031C">
              <w:rPr>
                <w:i/>
                <w:sz w:val="22"/>
                <w:szCs w:val="22"/>
              </w:rPr>
              <w:t xml:space="preserve">Are labelling standards overly prescriptive? </w:t>
            </w:r>
          </w:p>
          <w:p w14:paraId="33EF285E" w14:textId="4A1A6DDE" w:rsidR="00F7536F" w:rsidRPr="008A031C" w:rsidRDefault="008A031C" w:rsidP="008A031C">
            <w:pPr>
              <w:pStyle w:val="BoxListBullet2"/>
              <w:rPr>
                <w:i/>
                <w:sz w:val="22"/>
                <w:szCs w:val="22"/>
              </w:rPr>
            </w:pPr>
            <w:r w:rsidRPr="008A031C">
              <w:rPr>
                <w:i/>
                <w:sz w:val="22"/>
                <w:szCs w:val="22"/>
              </w:rPr>
              <w:t>Are there inconsistencies in labelling requirements?</w:t>
            </w:r>
          </w:p>
          <w:p w14:paraId="365BF1D7" w14:textId="6AF6EF21" w:rsidR="0056208A" w:rsidRDefault="00FB0F6D" w:rsidP="00BD4E6F">
            <w:pPr>
              <w:pStyle w:val="InformationRequestBullet"/>
            </w:pPr>
            <w:r>
              <w:t xml:space="preserve">Do Australia’s </w:t>
            </w:r>
            <w:r w:rsidR="00137578">
              <w:t xml:space="preserve">truth-in-labelling laws </w:t>
            </w:r>
            <w:r w:rsidR="000722C6">
              <w:t>enable</w:t>
            </w:r>
            <w:r w:rsidR="00137578">
              <w:t xml:space="preserve"> agricultural producers to </w:t>
            </w:r>
            <w:r w:rsidR="000722C6">
              <w:t xml:space="preserve">differentiate their products </w:t>
            </w:r>
            <w:r>
              <w:t xml:space="preserve">for </w:t>
            </w:r>
            <w:r w:rsidR="00137578">
              <w:t xml:space="preserve">competitive </w:t>
            </w:r>
            <w:r w:rsidR="000722C6">
              <w:t>advantage</w:t>
            </w:r>
            <w:r w:rsidR="00381D99">
              <w:t xml:space="preserve">? </w:t>
            </w:r>
          </w:p>
          <w:p w14:paraId="38CDB136" w14:textId="77777777" w:rsidR="009E7130" w:rsidRDefault="00381D99" w:rsidP="009E7130">
            <w:pPr>
              <w:pStyle w:val="InformationRequestBullet"/>
            </w:pPr>
            <w:r>
              <w:t xml:space="preserve">Are </w:t>
            </w:r>
            <w:r w:rsidR="000568D6">
              <w:t>food</w:t>
            </w:r>
            <w:r w:rsidR="00373FAC">
              <w:t xml:space="preserve"> labelling system</w:t>
            </w:r>
            <w:r w:rsidR="000568D6">
              <w:t>s</w:t>
            </w:r>
            <w:r w:rsidR="00373FAC">
              <w:t xml:space="preserve"> appropriately enforced across jurisdictions</w:t>
            </w:r>
            <w:r>
              <w:t>?</w:t>
            </w:r>
          </w:p>
          <w:p w14:paraId="05ECE884" w14:textId="222C21B6" w:rsidR="00373FAC" w:rsidRPr="000E48DF" w:rsidRDefault="009E7130" w:rsidP="00BD4E6F">
            <w:pPr>
              <w:pStyle w:val="InformationRequestBullet"/>
            </w:pPr>
            <w:r>
              <w:t>What aspect of food labelling should be mandatory rather than voluntary?</w:t>
            </w:r>
          </w:p>
        </w:tc>
      </w:tr>
      <w:tr w:rsidR="00373FAC" w14:paraId="1A1B3D8E" w14:textId="77777777" w:rsidTr="003502BB">
        <w:tc>
          <w:tcPr>
            <w:tcW w:w="8770" w:type="dxa"/>
            <w:tcBorders>
              <w:top w:val="nil"/>
              <w:left w:val="nil"/>
              <w:bottom w:val="single" w:sz="6" w:space="0" w:color="78A22F"/>
              <w:right w:val="nil"/>
            </w:tcBorders>
            <w:shd w:val="clear" w:color="auto" w:fill="auto"/>
          </w:tcPr>
          <w:p w14:paraId="6E53A62F" w14:textId="77777777" w:rsidR="00373FAC" w:rsidRDefault="00373FAC" w:rsidP="003502BB">
            <w:pPr>
              <w:pStyle w:val="Space"/>
              <w:keepNext w:val="0"/>
              <w:keepLines/>
            </w:pPr>
          </w:p>
        </w:tc>
      </w:tr>
      <w:tr w:rsidR="00373FAC" w:rsidRPr="000863A5" w14:paraId="236DE4F3" w14:textId="77777777" w:rsidTr="003502BB">
        <w:tc>
          <w:tcPr>
            <w:tcW w:w="8770" w:type="dxa"/>
            <w:tcBorders>
              <w:top w:val="single" w:sz="6" w:space="0" w:color="78A22F"/>
              <w:left w:val="nil"/>
              <w:bottom w:val="nil"/>
              <w:right w:val="nil"/>
            </w:tcBorders>
          </w:tcPr>
          <w:p w14:paraId="22153A64" w14:textId="56DD6BCC" w:rsidR="00373FAC" w:rsidRPr="00626D32" w:rsidRDefault="00373FAC" w:rsidP="003502BB">
            <w:pPr>
              <w:pStyle w:val="BoxSpaceBelow"/>
              <w:keepLines/>
            </w:pPr>
          </w:p>
        </w:tc>
      </w:tr>
    </w:tbl>
    <w:p w14:paraId="030E8812" w14:textId="42B8F2E5" w:rsidR="00BF2C7F" w:rsidRPr="00BF2C7F" w:rsidRDefault="00BF2C7F" w:rsidP="00284004">
      <w:pPr>
        <w:pStyle w:val="Heading3"/>
        <w:tabs>
          <w:tab w:val="center" w:pos="4394"/>
        </w:tabs>
      </w:pPr>
      <w:r w:rsidRPr="00BF2C7F">
        <w:t>Competition regulation</w:t>
      </w:r>
    </w:p>
    <w:p w14:paraId="24EAB6D3" w14:textId="1A2DA57A" w:rsidR="00240E6F" w:rsidRDefault="00B51307" w:rsidP="00693BCD">
      <w:pPr>
        <w:pStyle w:val="BodyText"/>
      </w:pPr>
      <w:r>
        <w:t>Some</w:t>
      </w:r>
      <w:r w:rsidR="00A9032F">
        <w:t xml:space="preserve"> regulations</w:t>
      </w:r>
      <w:r>
        <w:t>,</w:t>
      </w:r>
      <w:r w:rsidR="00A9032F">
        <w:t xml:space="preserve"> </w:t>
      </w:r>
      <w:r>
        <w:t>designed in the interest of a particular industry or</w:t>
      </w:r>
      <w:r w:rsidR="00A9032F">
        <w:t xml:space="preserve"> with another purpose in mind (such as biosecurity)</w:t>
      </w:r>
      <w:r>
        <w:t>,</w:t>
      </w:r>
      <w:r w:rsidR="00A9032F">
        <w:t xml:space="preserve"> can have a negative effect on competition. </w:t>
      </w:r>
      <w:r w:rsidR="00CD16DE">
        <w:t xml:space="preserve">For example, </w:t>
      </w:r>
      <w:r w:rsidR="00471F92">
        <w:t>the sale of fresh potatoes is restricted</w:t>
      </w:r>
      <w:r w:rsidR="00545693">
        <w:t xml:space="preserve"> in Western Australia</w:t>
      </w:r>
      <w:r w:rsidR="00471F92">
        <w:t xml:space="preserve"> </w:t>
      </w:r>
      <w:r w:rsidR="00CD16DE" w:rsidRPr="00CD16DE">
        <w:rPr>
          <w:szCs w:val="24"/>
        </w:rPr>
        <w:t>(Harper et al. 2015, p. 116)</w:t>
      </w:r>
      <w:r w:rsidR="00741DA4">
        <w:t xml:space="preserve">. </w:t>
      </w:r>
      <w:r w:rsidR="001054F3">
        <w:t>Regulations that restrict competition can imp</w:t>
      </w:r>
      <w:r w:rsidR="0081681B">
        <w:t>ede</w:t>
      </w:r>
      <w:r w:rsidR="001054F3">
        <w:t xml:space="preserve"> improvements </w:t>
      </w:r>
      <w:r w:rsidR="00257A78">
        <w:t xml:space="preserve">in </w:t>
      </w:r>
      <w:r w:rsidR="001054F3">
        <w:t>productivity and innovation</w:t>
      </w:r>
      <w:r w:rsidR="00A9032F">
        <w:t xml:space="preserve">. </w:t>
      </w:r>
    </w:p>
    <w:p w14:paraId="10AEBB26" w14:textId="31BC76A1" w:rsidR="00693BCD" w:rsidRDefault="00693BCD" w:rsidP="00693BCD">
      <w:pPr>
        <w:pStyle w:val="BodyText"/>
      </w:pPr>
      <w:r>
        <w:t xml:space="preserve">Australia </w:t>
      </w:r>
      <w:r w:rsidRPr="00BF2C7F">
        <w:t xml:space="preserve">has a significant body of regulation </w:t>
      </w:r>
      <w:r>
        <w:t xml:space="preserve">— most notably the </w:t>
      </w:r>
      <w:r w:rsidRPr="00BF2C7F">
        <w:rPr>
          <w:i/>
        </w:rPr>
        <w:t>Competition and Consumer Act 2010</w:t>
      </w:r>
      <w:r w:rsidRPr="00BF2C7F">
        <w:t xml:space="preserve"> (Cwlth)</w:t>
      </w:r>
      <w:r>
        <w:t xml:space="preserve"> (CCA) — to</w:t>
      </w:r>
      <w:r w:rsidRPr="00BF2C7F">
        <w:t xml:space="preserve"> </w:t>
      </w:r>
      <w:r>
        <w:t>prohibit anticompetitive behaviour.</w:t>
      </w:r>
      <w:r w:rsidR="003420EE">
        <w:t xml:space="preserve"> </w:t>
      </w:r>
      <w:r w:rsidR="00AA5378">
        <w:t>T</w:t>
      </w:r>
      <w:r>
        <w:t xml:space="preserve">he CCA </w:t>
      </w:r>
      <w:r w:rsidR="00AA5378">
        <w:t>allows</w:t>
      </w:r>
      <w:r>
        <w:t xml:space="preserve"> a group of </w:t>
      </w:r>
      <w:r w:rsidRPr="00AB125A">
        <w:t xml:space="preserve">small businesses </w:t>
      </w:r>
      <w:r>
        <w:t xml:space="preserve">to apply for an </w:t>
      </w:r>
      <w:r w:rsidRPr="00AB125A">
        <w:t>exempt</w:t>
      </w:r>
      <w:r>
        <w:t xml:space="preserve">ion </w:t>
      </w:r>
      <w:r w:rsidRPr="00AB125A">
        <w:t xml:space="preserve">from cartel provisions </w:t>
      </w:r>
      <w:r>
        <w:t xml:space="preserve">of the law so that they can </w:t>
      </w:r>
      <w:r w:rsidRPr="00AB125A">
        <w:t>collectively bargain</w:t>
      </w:r>
      <w:r>
        <w:t xml:space="preserve">, rather than compete, to transact with </w:t>
      </w:r>
      <w:r w:rsidRPr="00AB125A">
        <w:t>a large business</w:t>
      </w:r>
      <w:r>
        <w:t>. The collective bargaining exemption is intended for cases where competition is unlikely to result in the best possible outcome for the community due to a significant imbalance in bargaining power.</w:t>
      </w:r>
      <w:r w:rsidR="0015722F">
        <w:t xml:space="preserve"> The use of this option has, however, been limited.</w:t>
      </w:r>
    </w:p>
    <w:p w14:paraId="1A4E6691" w14:textId="6BC60F3A" w:rsidR="00693BCD" w:rsidRPr="008B44D8" w:rsidRDefault="005B0482" w:rsidP="00693BCD">
      <w:pPr>
        <w:pStyle w:val="BodyText"/>
        <w:rPr>
          <w:b/>
        </w:rPr>
      </w:pPr>
      <w:r>
        <w:t>The</w:t>
      </w:r>
      <w:r w:rsidDel="00240E6F">
        <w:t xml:space="preserve"> </w:t>
      </w:r>
      <w:r w:rsidR="00240E6F">
        <w:t>Harper</w:t>
      </w:r>
      <w:r>
        <w:t xml:space="preserve"> Review</w:t>
      </w:r>
      <w:r w:rsidR="00693BCD" w:rsidRPr="00BD1CC1">
        <w:t xml:space="preserve"> </w:t>
      </w:r>
      <w:r w:rsidR="00693BCD">
        <w:t xml:space="preserve">recommended that the notification process for collective bargaining be </w:t>
      </w:r>
      <w:r>
        <w:t xml:space="preserve">enhanced and </w:t>
      </w:r>
      <w:r w:rsidR="00693BCD">
        <w:t xml:space="preserve">made more flexible. </w:t>
      </w:r>
      <w:r w:rsidR="00693BCD" w:rsidRPr="00442277">
        <w:t>The review also recommended that the maximum value thresholds for notifying a collective bargaining arrangement be examined to ensure they are high enough to include typical small business transactions (Harper et al. 2015)</w:t>
      </w:r>
      <w:r w:rsidR="003D4CA8">
        <w:t>.</w:t>
      </w:r>
    </w:p>
    <w:p w14:paraId="4CC18046" w14:textId="7AE2E33C" w:rsidR="00693BCD" w:rsidRDefault="005B0482" w:rsidP="00693BCD">
      <w:pPr>
        <w:pStyle w:val="BodyText"/>
      </w:pPr>
      <w:r>
        <w:t>Both t</w:t>
      </w:r>
      <w:r w:rsidR="00693BCD">
        <w:t xml:space="preserve">he Harper Review </w:t>
      </w:r>
      <w:r>
        <w:t xml:space="preserve">and the Agricultural Competitiveness White Paper </w:t>
      </w:r>
      <w:r w:rsidR="00693BCD">
        <w:t>found low level</w:t>
      </w:r>
      <w:r>
        <w:t>s</w:t>
      </w:r>
      <w:r w:rsidR="00693BCD">
        <w:t xml:space="preserve"> of awareness of the collective bargaining provisions among small businesses</w:t>
      </w:r>
      <w:r>
        <w:t xml:space="preserve"> </w:t>
      </w:r>
      <w:r w:rsidR="00660F20" w:rsidRPr="00660F20">
        <w:rPr>
          <w:szCs w:val="24"/>
        </w:rPr>
        <w:t>(Australian Government</w:t>
      </w:r>
      <w:r w:rsidR="00660F20" w:rsidRPr="00A528E8">
        <w:rPr>
          <w:szCs w:val="24"/>
        </w:rPr>
        <w:t> </w:t>
      </w:r>
      <w:r w:rsidR="00660F20" w:rsidRPr="00F37872">
        <w:rPr>
          <w:szCs w:val="24"/>
        </w:rPr>
        <w:t>2015a)</w:t>
      </w:r>
      <w:r w:rsidR="00693BCD">
        <w:t>.</w:t>
      </w:r>
      <w:r w:rsidR="001663C6">
        <w:t xml:space="preserve"> The </w:t>
      </w:r>
      <w:r w:rsidR="0050670E">
        <w:t xml:space="preserve">Australian </w:t>
      </w:r>
      <w:r w:rsidR="001663C6">
        <w:t xml:space="preserve">Government </w:t>
      </w:r>
      <w:r w:rsidR="0050670E">
        <w:t>supported</w:t>
      </w:r>
      <w:r w:rsidR="001663C6">
        <w:t xml:space="preserve"> </w:t>
      </w:r>
      <w:r w:rsidR="002F4334">
        <w:t>the Harper Review</w:t>
      </w:r>
      <w:r w:rsidR="00EF54EC">
        <w:t>’s</w:t>
      </w:r>
      <w:r w:rsidR="001663C6">
        <w:t xml:space="preserve"> recommendation</w:t>
      </w:r>
      <w:r w:rsidR="002F4334">
        <w:t xml:space="preserve">s relating to </w:t>
      </w:r>
      <w:r>
        <w:t xml:space="preserve">raising awareness of the </w:t>
      </w:r>
      <w:r w:rsidR="002F4334">
        <w:t>collective bargaining</w:t>
      </w:r>
      <w:r>
        <w:t xml:space="preserve"> </w:t>
      </w:r>
      <w:r>
        <w:lastRenderedPageBreak/>
        <w:t>provisions of the CCA, and</w:t>
      </w:r>
      <w:r w:rsidR="001663C6">
        <w:t xml:space="preserve"> i</w:t>
      </w:r>
      <w:r w:rsidR="00693BCD">
        <w:t xml:space="preserve">n its </w:t>
      </w:r>
      <w:r>
        <w:t>Agricultural Competitiveness W</w:t>
      </w:r>
      <w:r w:rsidR="00693BCD">
        <w:t xml:space="preserve">hite </w:t>
      </w:r>
      <w:r>
        <w:t>P</w:t>
      </w:r>
      <w:r w:rsidR="00693BCD">
        <w:t>aper, committed $</w:t>
      </w:r>
      <w:r>
        <w:t>13.8</w:t>
      </w:r>
      <w:r w:rsidR="00693BCD">
        <w:t xml:space="preserve"> million to a </w:t>
      </w:r>
      <w:r w:rsidR="00693BCD" w:rsidRPr="00B03AD6">
        <w:t>two-year pilot program to provide farmers with knowledge and materials on</w:t>
      </w:r>
      <w:r w:rsidR="00693BCD">
        <w:t xml:space="preserve"> </w:t>
      </w:r>
      <w:r w:rsidR="00693BCD" w:rsidRPr="00B03AD6">
        <w:t>collective bargaining</w:t>
      </w:r>
      <w:r w:rsidR="00693BCD">
        <w:t xml:space="preserve">, </w:t>
      </w:r>
      <w:r w:rsidR="00693BCD" w:rsidRPr="005A25C6">
        <w:t>cooperatives and innovative business models</w:t>
      </w:r>
      <w:r w:rsidR="00693BCD">
        <w:t>.</w:t>
      </w:r>
    </w:p>
    <w:p w14:paraId="3662CEBA" w14:textId="7D4863A3" w:rsidR="00693BCD" w:rsidRPr="002A7FCD" w:rsidRDefault="00693BCD" w:rsidP="00693BCD">
      <w:pPr>
        <w:pStyle w:val="BodyText"/>
      </w:pPr>
      <w:r w:rsidRPr="002A7FCD">
        <w:t xml:space="preserve">The CCA can also be used to </w:t>
      </w:r>
      <w:r>
        <w:t>authorise</w:t>
      </w:r>
      <w:r w:rsidRPr="002A7FCD">
        <w:t xml:space="preserve"> an </w:t>
      </w:r>
      <w:r>
        <w:t xml:space="preserve">enforceable </w:t>
      </w:r>
      <w:r w:rsidRPr="002A7FCD">
        <w:t xml:space="preserve">industry code of conduct which </w:t>
      </w:r>
      <w:r>
        <w:t xml:space="preserve">shapes </w:t>
      </w:r>
      <w:r w:rsidR="00C6339E">
        <w:t>market conduct</w:t>
      </w:r>
      <w:r w:rsidRPr="002A7FCD">
        <w:t xml:space="preserve"> in ways that are thought </w:t>
      </w:r>
      <w:r w:rsidRPr="008D5D1B">
        <w:t xml:space="preserve">to be beneficial to community wellbeing. Examples include the Food and Grocery Code of Conduct, Port Access Code of Conduct for Grain Export Terminals, and Horticulture Code of Conduct. An unpublished review of the Horticulture Code of Conduct was </w:t>
      </w:r>
      <w:r w:rsidR="00825A07" w:rsidRPr="008D5D1B">
        <w:t xml:space="preserve">completed </w:t>
      </w:r>
      <w:r w:rsidRPr="008D5D1B">
        <w:t>and delivered to the Australian Government in November 2015 (Department of Agriculture and Water Resources 2015).</w:t>
      </w:r>
    </w:p>
    <w:p w14:paraId="07A1927C" w14:textId="792C2FA4" w:rsidR="00693BCD" w:rsidRDefault="00693BCD" w:rsidP="00693BCD">
      <w:pPr>
        <w:pStyle w:val="BodyText"/>
        <w:keepNext/>
        <w:keepLines/>
        <w:spacing w:before="120" w:line="280" w:lineRule="atLeast"/>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693BCD" w:rsidRPr="002E6452" w14:paraId="12FF1FD6" w14:textId="77777777" w:rsidTr="004328EB">
        <w:tc>
          <w:tcPr>
            <w:tcW w:w="8771" w:type="dxa"/>
            <w:tcBorders>
              <w:top w:val="single" w:sz="6" w:space="0" w:color="78A22F"/>
              <w:left w:val="nil"/>
              <w:bottom w:val="nil"/>
              <w:right w:val="nil"/>
            </w:tcBorders>
            <w:shd w:val="clear" w:color="auto" w:fill="auto"/>
          </w:tcPr>
          <w:p w14:paraId="5C7D5B83" w14:textId="2F08B2EF" w:rsidR="00693BCD" w:rsidRPr="007F6C76" w:rsidRDefault="00D443FF" w:rsidP="004328EB">
            <w:pPr>
              <w:pStyle w:val="InformationRequest"/>
              <w:keepNext/>
              <w:widowControl w:val="0"/>
              <w:rPr>
                <w:b/>
                <w:color w:val="000000" w:themeColor="text1"/>
              </w:rPr>
            </w:pPr>
            <w:r w:rsidRPr="007F6C76">
              <w:rPr>
                <w:b/>
                <w:color w:val="000000" w:themeColor="text1"/>
              </w:rPr>
              <w:t>Questions</w:t>
            </w:r>
          </w:p>
          <w:p w14:paraId="043DE151" w14:textId="6912438C" w:rsidR="00AB25CB" w:rsidRDefault="00DD2C76" w:rsidP="00693BCD">
            <w:pPr>
              <w:pStyle w:val="InformationRequestBullet"/>
              <w:numPr>
                <w:ilvl w:val="0"/>
                <w:numId w:val="49"/>
              </w:numPr>
            </w:pPr>
            <w:r>
              <w:t>Where a</w:t>
            </w:r>
            <w:r w:rsidR="00AB25CB">
              <w:t xml:space="preserve">re the restrictions on competition in the agricultural sector or its supply chains? </w:t>
            </w:r>
          </w:p>
          <w:p w14:paraId="502CA0D5" w14:textId="6F9782DC" w:rsidR="00693BCD" w:rsidRDefault="00D443FF" w:rsidP="00693BCD">
            <w:pPr>
              <w:pStyle w:val="InformationRequestBullet"/>
              <w:numPr>
                <w:ilvl w:val="0"/>
                <w:numId w:val="49"/>
              </w:numPr>
            </w:pPr>
            <w:r>
              <w:t>Is</w:t>
            </w:r>
            <w:r w:rsidR="00693BCD">
              <w:t xml:space="preserve"> competition </w:t>
            </w:r>
            <w:r w:rsidR="0015722F">
              <w:t>facilitated or reduced by</w:t>
            </w:r>
            <w:r w:rsidR="00693BCD">
              <w:t xml:space="preserve"> regulations allowing small businesses to collectively bargain with a large business, or by industry codes of conduct authorised under the </w:t>
            </w:r>
            <w:r w:rsidR="00693BCD" w:rsidRPr="004F6497">
              <w:t>Competition and Consumer Act 2010 (Cwlth)</w:t>
            </w:r>
            <w:r>
              <w:t>?</w:t>
            </w:r>
          </w:p>
          <w:p w14:paraId="3E046A08" w14:textId="77777777" w:rsidR="00F51B2F" w:rsidRDefault="00AB25CB" w:rsidP="00F51B2F">
            <w:pPr>
              <w:pStyle w:val="InformationRequestBullet"/>
              <w:widowControl w:val="0"/>
              <w:numPr>
                <w:ilvl w:val="0"/>
                <w:numId w:val="49"/>
              </w:numPr>
              <w:rPr>
                <w:szCs w:val="22"/>
              </w:rPr>
            </w:pPr>
            <w:r>
              <w:t xml:space="preserve">What </w:t>
            </w:r>
            <w:r w:rsidR="003D4CA8">
              <w:t xml:space="preserve">are the likely </w:t>
            </w:r>
            <w:r>
              <w:t>effec</w:t>
            </w:r>
            <w:r w:rsidR="003D4CA8">
              <w:t xml:space="preserve">ts of the changes </w:t>
            </w:r>
            <w:r>
              <w:rPr>
                <w:szCs w:val="22"/>
              </w:rPr>
              <w:t xml:space="preserve">suggested in the Government’s </w:t>
            </w:r>
            <w:r w:rsidR="00554FCC">
              <w:t>Agricultural Competitiveness White Paper</w:t>
            </w:r>
            <w:r w:rsidR="00693BCD">
              <w:rPr>
                <w:szCs w:val="22"/>
              </w:rPr>
              <w:t xml:space="preserve"> </w:t>
            </w:r>
            <w:r w:rsidR="00693BCD" w:rsidRPr="00F151B0">
              <w:rPr>
                <w:szCs w:val="22"/>
              </w:rPr>
              <w:t xml:space="preserve">and </w:t>
            </w:r>
            <w:r>
              <w:rPr>
                <w:szCs w:val="22"/>
              </w:rPr>
              <w:t xml:space="preserve">the </w:t>
            </w:r>
            <w:r w:rsidR="00693BCD" w:rsidRPr="00F151B0">
              <w:rPr>
                <w:szCs w:val="22"/>
              </w:rPr>
              <w:t>Harper Review</w:t>
            </w:r>
            <w:r w:rsidR="00D443FF">
              <w:rPr>
                <w:szCs w:val="22"/>
              </w:rPr>
              <w:t>?</w:t>
            </w:r>
          </w:p>
          <w:p w14:paraId="4DFD8C60" w14:textId="1A5565FD" w:rsidR="00693BCD" w:rsidRPr="00767689" w:rsidRDefault="00F51B2F" w:rsidP="005D56D6">
            <w:pPr>
              <w:pStyle w:val="InformationRequestBullet"/>
              <w:widowControl w:val="0"/>
              <w:numPr>
                <w:ilvl w:val="0"/>
                <w:numId w:val="49"/>
              </w:numPr>
            </w:pPr>
            <w:r>
              <w:t xml:space="preserve">What areas of regulation which affect competition in the agriculture sector are </w:t>
            </w:r>
            <w:r w:rsidR="005D56D6">
              <w:t xml:space="preserve">favourably positioned </w:t>
            </w:r>
            <w:r>
              <w:t>for reform?</w:t>
            </w:r>
          </w:p>
        </w:tc>
      </w:tr>
      <w:tr w:rsidR="00693BCD" w14:paraId="05085B2D" w14:textId="77777777" w:rsidTr="004328EB">
        <w:trPr>
          <w:cantSplit/>
        </w:trPr>
        <w:tc>
          <w:tcPr>
            <w:tcW w:w="8771" w:type="dxa"/>
            <w:tcBorders>
              <w:top w:val="nil"/>
              <w:left w:val="nil"/>
              <w:bottom w:val="single" w:sz="6" w:space="0" w:color="78A22F"/>
              <w:right w:val="nil"/>
            </w:tcBorders>
            <w:shd w:val="clear" w:color="auto" w:fill="auto"/>
          </w:tcPr>
          <w:p w14:paraId="607509DD" w14:textId="488975D8" w:rsidR="00693BCD" w:rsidRDefault="00693BCD" w:rsidP="004328EB">
            <w:pPr>
              <w:pStyle w:val="Box"/>
              <w:spacing w:before="0" w:line="120" w:lineRule="exact"/>
            </w:pPr>
          </w:p>
        </w:tc>
      </w:tr>
      <w:tr w:rsidR="00F151B0" w:rsidRPr="000863A5" w14:paraId="2A418137" w14:textId="77777777" w:rsidTr="003A745D">
        <w:tc>
          <w:tcPr>
            <w:tcW w:w="8771" w:type="dxa"/>
            <w:tcBorders>
              <w:top w:val="single" w:sz="6" w:space="0" w:color="78A22F"/>
              <w:left w:val="nil"/>
              <w:bottom w:val="nil"/>
              <w:right w:val="nil"/>
            </w:tcBorders>
          </w:tcPr>
          <w:p w14:paraId="34C2A505" w14:textId="6EF53F97" w:rsidR="00F151B0" w:rsidRPr="00626D32" w:rsidRDefault="00F151B0" w:rsidP="003A745D">
            <w:pPr>
              <w:pStyle w:val="BoxSpaceBelow"/>
            </w:pPr>
          </w:p>
        </w:tc>
      </w:tr>
    </w:tbl>
    <w:p w14:paraId="1F82E9C9" w14:textId="34685BFD" w:rsidR="00893CCA" w:rsidRDefault="00AA59A1" w:rsidP="00893CCA">
      <w:pPr>
        <w:pStyle w:val="Heading3"/>
      </w:pPr>
      <w:r>
        <w:t>I</w:t>
      </w:r>
      <w:r w:rsidR="000A6FF7" w:rsidRPr="00B07C5D">
        <w:t>nvestment</w:t>
      </w:r>
    </w:p>
    <w:p w14:paraId="799ED820" w14:textId="5625FC09" w:rsidR="00771314" w:rsidRDefault="00771314" w:rsidP="00771314">
      <w:pPr>
        <w:pStyle w:val="BodyText"/>
      </w:pPr>
      <w:r>
        <w:t>Australia’s attractiveness to both domestic and foreign investors is</w:t>
      </w:r>
      <w:r w:rsidR="00B34C7C">
        <w:t xml:space="preserve"> partly influenced </w:t>
      </w:r>
      <w:r>
        <w:t>by the regulatory environment in place. Effective regulation can increase investor certainty, but excessive regulatory restrictions can restrict new entrants and the adoption of new technologies or techniques. This can in turn stifle investment</w:t>
      </w:r>
      <w:r w:rsidR="008E22B8">
        <w:t>, competition</w:t>
      </w:r>
      <w:r>
        <w:t xml:space="preserve"> and innovation in agriculture.  </w:t>
      </w:r>
    </w:p>
    <w:p w14:paraId="3B28B6D4" w14:textId="413C3BD5" w:rsidR="000A6FF7" w:rsidRPr="00F16854" w:rsidRDefault="007F19D7" w:rsidP="000A6FF7">
      <w:pPr>
        <w:pStyle w:val="BodyText"/>
      </w:pPr>
      <w:r>
        <w:t xml:space="preserve">Australia’s </w:t>
      </w:r>
      <w:r w:rsidR="00247FBC">
        <w:t>foreign</w:t>
      </w:r>
      <w:r w:rsidR="000A6FF7">
        <w:t xml:space="preserve"> investment framework comprises the </w:t>
      </w:r>
      <w:r w:rsidR="000A6FF7">
        <w:rPr>
          <w:i/>
        </w:rPr>
        <w:t xml:space="preserve">Foreign Acquisitions and Takeovers Act 1975 </w:t>
      </w:r>
      <w:r w:rsidR="000A6FF7">
        <w:t>(</w:t>
      </w:r>
      <w:r w:rsidR="00F165F5">
        <w:t xml:space="preserve">Cwlth) </w:t>
      </w:r>
      <w:r w:rsidR="000A6FF7">
        <w:t xml:space="preserve">and associated regulations, and foreign investment policy. </w:t>
      </w:r>
      <w:r w:rsidR="00861823">
        <w:t>The Foreign Investment Review Board is a non</w:t>
      </w:r>
      <w:r w:rsidR="00861823">
        <w:noBreakHyphen/>
      </w:r>
      <w:r w:rsidR="00861823" w:rsidRPr="00861823">
        <w:t xml:space="preserve">statutory body that advises the Treasurer and the Government on Australia’s foreign investment policy and its administration, including </w:t>
      </w:r>
      <w:r w:rsidR="005F1785" w:rsidRPr="00F16854">
        <w:t>screening</w:t>
      </w:r>
      <w:r w:rsidR="00861823" w:rsidRPr="00F16854">
        <w:t xml:space="preserve"> investment proposals </w:t>
      </w:r>
      <w:r w:rsidR="005F1785" w:rsidRPr="00F16854">
        <w:t>to determine</w:t>
      </w:r>
      <w:r w:rsidR="00861823" w:rsidRPr="00F16854">
        <w:t xml:space="preserve"> whether </w:t>
      </w:r>
      <w:r w:rsidR="005F1785" w:rsidRPr="00F16854">
        <w:t>they</w:t>
      </w:r>
      <w:r w:rsidR="00861823" w:rsidRPr="00F16854">
        <w:t xml:space="preserve"> are contrary to the national interest</w:t>
      </w:r>
      <w:r w:rsidR="005B1C7B" w:rsidRPr="00F16854">
        <w:t xml:space="preserve"> </w:t>
      </w:r>
      <w:r w:rsidR="006F030A" w:rsidRPr="006F030A">
        <w:rPr>
          <w:szCs w:val="24"/>
        </w:rPr>
        <w:t>(FIRB 2015a)</w:t>
      </w:r>
      <w:r w:rsidR="000A6FF7" w:rsidRPr="00F16854">
        <w:t>.</w:t>
      </w:r>
    </w:p>
    <w:p w14:paraId="076989A8" w14:textId="6BB34986" w:rsidR="00D05E33" w:rsidRDefault="00D05E33" w:rsidP="0036569A">
      <w:pPr>
        <w:pStyle w:val="BodyText"/>
        <w:keepNext/>
      </w:pPr>
      <w:r>
        <w:t xml:space="preserve">A variety of issues have been raised </w:t>
      </w:r>
      <w:r w:rsidR="005B0482">
        <w:t>about</w:t>
      </w:r>
      <w:r>
        <w:t xml:space="preserve"> Australia’s foreign investment framework</w:t>
      </w:r>
      <w:r w:rsidR="005B0482">
        <w:t>, including</w:t>
      </w:r>
      <w:r w:rsidDel="005B0482">
        <w:t>:</w:t>
      </w:r>
    </w:p>
    <w:p w14:paraId="01BA2DCA" w14:textId="34037704" w:rsidR="00D05E33" w:rsidRDefault="00D05E33" w:rsidP="003679E9">
      <w:pPr>
        <w:pStyle w:val="ListBullet"/>
      </w:pPr>
      <w:r>
        <w:t xml:space="preserve">the relative restrictiveness of </w:t>
      </w:r>
      <w:r w:rsidR="00B34C7C">
        <w:t>Australia’s regulatory system</w:t>
      </w:r>
      <w:r>
        <w:t xml:space="preserve"> compared to other developed countries, and whether this </w:t>
      </w:r>
      <w:r w:rsidR="00FD7F8D">
        <w:t>deters</w:t>
      </w:r>
      <w:r>
        <w:t xml:space="preserve"> foreign investment </w:t>
      </w:r>
      <w:r w:rsidR="00E15A5B" w:rsidRPr="00E15A5B">
        <w:rPr>
          <w:szCs w:val="24"/>
        </w:rPr>
        <w:t>(OECD</w:t>
      </w:r>
      <w:r w:rsidR="00E15A5B" w:rsidRPr="008A0356">
        <w:rPr>
          <w:szCs w:val="24"/>
        </w:rPr>
        <w:t> </w:t>
      </w:r>
      <w:r w:rsidR="00E15A5B" w:rsidRPr="00700C4D">
        <w:rPr>
          <w:szCs w:val="24"/>
        </w:rPr>
        <w:t>2014; PC 2015a)</w:t>
      </w:r>
    </w:p>
    <w:p w14:paraId="71409C49" w14:textId="52C71CE3" w:rsidR="00D05E33" w:rsidRDefault="00D05E33" w:rsidP="003679E9">
      <w:pPr>
        <w:pStyle w:val="ListBullet"/>
      </w:pPr>
      <w:r>
        <w:lastRenderedPageBreak/>
        <w:t>the lack of transparency</w:t>
      </w:r>
      <w:r w:rsidR="00E10732">
        <w:t xml:space="preserve"> </w:t>
      </w:r>
      <w:r w:rsidR="00A600A0">
        <w:t>—</w:t>
      </w:r>
      <w:r>
        <w:t xml:space="preserve"> particularly </w:t>
      </w:r>
      <w:r w:rsidR="00A600A0">
        <w:t xml:space="preserve">the Treasurer’s significant discretionary power and </w:t>
      </w:r>
      <w:r>
        <w:t>application of the national interest test</w:t>
      </w:r>
      <w:r w:rsidR="00A600A0">
        <w:t xml:space="preserve"> —</w:t>
      </w:r>
      <w:r>
        <w:t xml:space="preserve"> which </w:t>
      </w:r>
      <w:r w:rsidR="00367036">
        <w:t>may create</w:t>
      </w:r>
      <w:r>
        <w:t xml:space="preserve"> uncertainty for investors and expose the process to accusations of discrimination </w:t>
      </w:r>
      <w:r w:rsidR="00660F20" w:rsidRPr="00660F20">
        <w:rPr>
          <w:szCs w:val="24"/>
        </w:rPr>
        <w:t>(RRATRC</w:t>
      </w:r>
      <w:r w:rsidR="00660F20" w:rsidRPr="00A528E8">
        <w:rPr>
          <w:szCs w:val="24"/>
        </w:rPr>
        <w:t> </w:t>
      </w:r>
      <w:r w:rsidR="00660F20" w:rsidRPr="00F37872">
        <w:rPr>
          <w:szCs w:val="24"/>
        </w:rPr>
        <w:t>2013; Sanyal</w:t>
      </w:r>
      <w:r w:rsidR="00660F20" w:rsidRPr="004D5C2B">
        <w:rPr>
          <w:szCs w:val="24"/>
        </w:rPr>
        <w:t> 2014)</w:t>
      </w:r>
    </w:p>
    <w:p w14:paraId="5478216F" w14:textId="3B692BFF" w:rsidR="00536D98" w:rsidRDefault="00D05E33" w:rsidP="00536D98">
      <w:pPr>
        <w:pStyle w:val="ListBullet"/>
      </w:pPr>
      <w:r>
        <w:t>determining the appropriate foreign investment threshold for screening</w:t>
      </w:r>
      <w:r w:rsidR="00AD311F">
        <w:t xml:space="preserve"> by the Foreign Investment Review Board</w:t>
      </w:r>
      <w:r>
        <w:t xml:space="preserve">, which requires weighing increased compliance costs against the community’s desire for greater scrutiny </w:t>
      </w:r>
      <w:r w:rsidRPr="006D0BB8">
        <w:rPr>
          <w:szCs w:val="24"/>
        </w:rPr>
        <w:t>(The Treasury 2015)</w:t>
      </w:r>
      <w:r w:rsidR="00536D98">
        <w:t xml:space="preserve">. </w:t>
      </w:r>
    </w:p>
    <w:p w14:paraId="550FD249" w14:textId="3ECF5858" w:rsidR="000A6FF7" w:rsidRPr="000A6FF7" w:rsidRDefault="000A6FF7" w:rsidP="000A6FF7">
      <w:pPr>
        <w:pStyle w:val="BodyText"/>
      </w:pPr>
      <w:r>
        <w:t xml:space="preserve">In 2015, </w:t>
      </w:r>
      <w:r w:rsidR="00C22167">
        <w:t>changes</w:t>
      </w:r>
      <w:r>
        <w:t xml:space="preserve"> to </w:t>
      </w:r>
      <w:r w:rsidR="00FC0730">
        <w:t>the</w:t>
      </w:r>
      <w:r>
        <w:t xml:space="preserve"> foreign investment framework were announced. </w:t>
      </w:r>
      <w:r w:rsidR="00162063">
        <w:t>These</w:t>
      </w:r>
      <w:r>
        <w:t xml:space="preserve"> included reductions to screening thresholds for investments in agricultural land and agribusiness, the </w:t>
      </w:r>
      <w:r w:rsidR="00CC2289">
        <w:t>introduction</w:t>
      </w:r>
      <w:r>
        <w:t xml:space="preserve"> of a national foreign investment register</w:t>
      </w:r>
      <w:r w:rsidR="00FC0730">
        <w:t xml:space="preserve"> for agricultural land</w:t>
      </w:r>
      <w:r w:rsidR="00CC2289">
        <w:t xml:space="preserve">, and the introduction of application fees </w:t>
      </w:r>
      <w:r w:rsidR="00794AC7" w:rsidRPr="00794AC7">
        <w:rPr>
          <w:szCs w:val="24"/>
        </w:rPr>
        <w:t>(Hockey 2015)</w:t>
      </w:r>
      <w:r w:rsidR="00CC2289">
        <w:t>.</w:t>
      </w:r>
      <w:r w:rsidR="00794AC7">
        <w:t xml:space="preserve"> </w:t>
      </w:r>
      <w:r w:rsidR="005D56D6" w:rsidRPr="00767689">
        <w:rPr>
          <w:color w:val="000000" w:themeColor="text1"/>
        </w:rPr>
        <w:t xml:space="preserve">The </w:t>
      </w:r>
      <w:r w:rsidR="005D56D6" w:rsidRPr="00767689">
        <w:rPr>
          <w:i/>
          <w:iCs/>
          <w:color w:val="000000" w:themeColor="text1"/>
        </w:rPr>
        <w:t>Register of Foreign Ownership of Agricultural Land Act 2015</w:t>
      </w:r>
      <w:r w:rsidR="005D56D6" w:rsidRPr="00767689">
        <w:rPr>
          <w:color w:val="000000" w:themeColor="text1"/>
        </w:rPr>
        <w:t xml:space="preserve"> and the provisions of the </w:t>
      </w:r>
      <w:r w:rsidR="005D56D6" w:rsidRPr="00767689">
        <w:rPr>
          <w:i/>
          <w:iCs/>
          <w:color w:val="000000" w:themeColor="text1"/>
        </w:rPr>
        <w:t xml:space="preserve">Foreign Acquisitions and Takeovers Legislation Amendment Act 2015 </w:t>
      </w:r>
      <w:r w:rsidR="005D56D6" w:rsidRPr="00767689">
        <w:rPr>
          <w:color w:val="000000" w:themeColor="text1"/>
        </w:rPr>
        <w:t>commenced on 1 December 2015</w:t>
      </w:r>
      <w:r w:rsidR="00794AC7" w:rsidRPr="00767689">
        <w:rPr>
          <w:color w:val="000000" w:themeColor="text1"/>
        </w:rPr>
        <w:t>.</w:t>
      </w:r>
    </w:p>
    <w:p w14:paraId="2982B11E" w14:textId="59DFA18D" w:rsidR="00352075" w:rsidRDefault="00352075" w:rsidP="009E710C">
      <w:pPr>
        <w:pStyle w:val="BodyText"/>
        <w:keepNext/>
        <w:keepLines/>
        <w:spacing w:before="100" w:line="280" w:lineRule="atLeast"/>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2075" w:rsidRPr="002E6452" w14:paraId="2982B121" w14:textId="77777777" w:rsidTr="002B5666">
        <w:tc>
          <w:tcPr>
            <w:tcW w:w="8771" w:type="dxa"/>
            <w:tcBorders>
              <w:top w:val="single" w:sz="6" w:space="0" w:color="78A22F"/>
              <w:left w:val="nil"/>
              <w:bottom w:val="nil"/>
              <w:right w:val="nil"/>
            </w:tcBorders>
            <w:shd w:val="clear" w:color="auto" w:fill="auto"/>
          </w:tcPr>
          <w:p w14:paraId="2982B11F" w14:textId="64BD6A27" w:rsidR="00352075" w:rsidRPr="007F6C76" w:rsidRDefault="00926A79" w:rsidP="002B5666">
            <w:pPr>
              <w:pStyle w:val="InformationRequest"/>
              <w:keepNext/>
              <w:rPr>
                <w:b/>
                <w:color w:val="000000" w:themeColor="text1"/>
              </w:rPr>
            </w:pPr>
            <w:r w:rsidRPr="007F6C76">
              <w:rPr>
                <w:b/>
                <w:color w:val="000000" w:themeColor="text1"/>
              </w:rPr>
              <w:t>Questions</w:t>
            </w:r>
          </w:p>
          <w:p w14:paraId="6FD920AA" w14:textId="77777777" w:rsidR="005658ED" w:rsidRDefault="005658ED" w:rsidP="005658ED">
            <w:pPr>
              <w:pStyle w:val="InformationRequestBullet"/>
              <w:rPr>
                <w:rFonts w:ascii="Times New Roman" w:hAnsi="Times New Roman"/>
                <w:i w:val="0"/>
                <w:sz w:val="26"/>
                <w:lang w:eastAsia="en-US"/>
              </w:rPr>
            </w:pPr>
            <w:r>
              <w:t xml:space="preserve">Are there regulatory impediments to domestic or foreign investment in agriculture? </w:t>
            </w:r>
          </w:p>
          <w:p w14:paraId="74200FFA" w14:textId="35DF8783" w:rsidR="001E13C0" w:rsidRPr="00962471" w:rsidRDefault="00926A79" w:rsidP="005658ED">
            <w:pPr>
              <w:pStyle w:val="InformationRequestBullet"/>
              <w:rPr>
                <w:spacing w:val="-4"/>
              </w:rPr>
            </w:pPr>
            <w:r w:rsidRPr="00962471">
              <w:rPr>
                <w:spacing w:val="-4"/>
              </w:rPr>
              <w:t xml:space="preserve">What are </w:t>
            </w:r>
            <w:r w:rsidR="001E13C0" w:rsidRPr="00962471">
              <w:rPr>
                <w:spacing w:val="-4"/>
              </w:rPr>
              <w:t xml:space="preserve">the costs and benefits of the foreign investment framework </w:t>
            </w:r>
            <w:r w:rsidR="00523384" w:rsidRPr="00962471">
              <w:rPr>
                <w:spacing w:val="-4"/>
              </w:rPr>
              <w:t xml:space="preserve">for </w:t>
            </w:r>
            <w:r w:rsidR="001E13C0" w:rsidRPr="00962471">
              <w:rPr>
                <w:spacing w:val="-4"/>
              </w:rPr>
              <w:t>agriculture</w:t>
            </w:r>
            <w:r w:rsidRPr="00962471">
              <w:rPr>
                <w:spacing w:val="-4"/>
              </w:rPr>
              <w:t>?</w:t>
            </w:r>
          </w:p>
          <w:p w14:paraId="0CD43342" w14:textId="73D163B7" w:rsidR="00F51B2F" w:rsidRDefault="00926A79" w:rsidP="005658ED">
            <w:pPr>
              <w:pStyle w:val="InformationRequestBullet"/>
            </w:pPr>
            <w:r>
              <w:t>Are</w:t>
            </w:r>
            <w:r w:rsidR="008D16CA">
              <w:t xml:space="preserve"> </w:t>
            </w:r>
            <w:r w:rsidR="00AB70A4">
              <w:t xml:space="preserve">foreign investment </w:t>
            </w:r>
            <w:r w:rsidR="008D16CA">
              <w:t>review processes timely, efficient and transparent</w:t>
            </w:r>
            <w:r>
              <w:t>?</w:t>
            </w:r>
          </w:p>
          <w:p w14:paraId="2982B120" w14:textId="48639BFD" w:rsidR="00352075" w:rsidRPr="00962471" w:rsidRDefault="00F51B2F" w:rsidP="005D56D6">
            <w:pPr>
              <w:pStyle w:val="InformationRequestBullet"/>
              <w:rPr>
                <w:spacing w:val="-4"/>
              </w:rPr>
            </w:pPr>
            <w:r w:rsidRPr="00962471">
              <w:rPr>
                <w:spacing w:val="-4"/>
              </w:rPr>
              <w:t>What are the likely implications for the agriculture sector from the recent reduc</w:t>
            </w:r>
            <w:r w:rsidR="005D56D6" w:rsidRPr="00962471">
              <w:rPr>
                <w:spacing w:val="-4"/>
              </w:rPr>
              <w:t>tion in</w:t>
            </w:r>
            <w:r w:rsidRPr="00962471">
              <w:rPr>
                <w:spacing w:val="-4"/>
              </w:rPr>
              <w:t xml:space="preserve"> screening thresholds, creati</w:t>
            </w:r>
            <w:r w:rsidR="005D56D6" w:rsidRPr="00962471">
              <w:rPr>
                <w:spacing w:val="-4"/>
              </w:rPr>
              <w:t>on of</w:t>
            </w:r>
            <w:r w:rsidRPr="00962471">
              <w:rPr>
                <w:spacing w:val="-4"/>
              </w:rPr>
              <w:t xml:space="preserve"> a national </w:t>
            </w:r>
            <w:r w:rsidR="005D56D6" w:rsidRPr="00962471">
              <w:rPr>
                <w:spacing w:val="-4"/>
              </w:rPr>
              <w:t xml:space="preserve">foreign investment </w:t>
            </w:r>
            <w:r w:rsidRPr="00962471">
              <w:rPr>
                <w:spacing w:val="-4"/>
              </w:rPr>
              <w:t>register</w:t>
            </w:r>
            <w:r w:rsidR="005658ED" w:rsidRPr="00962471">
              <w:rPr>
                <w:spacing w:val="-4"/>
              </w:rPr>
              <w:t>,</w:t>
            </w:r>
            <w:r w:rsidRPr="00962471">
              <w:rPr>
                <w:spacing w:val="-4"/>
              </w:rPr>
              <w:t xml:space="preserve"> and the introduction of application fees for proposals of foreign acquisition of agricultural land</w:t>
            </w:r>
            <w:r w:rsidR="005D56D6" w:rsidRPr="00962471">
              <w:rPr>
                <w:spacing w:val="-4"/>
              </w:rPr>
              <w:t>?</w:t>
            </w:r>
          </w:p>
        </w:tc>
      </w:tr>
      <w:tr w:rsidR="00352075" w14:paraId="2982B123" w14:textId="77777777" w:rsidTr="002B5666">
        <w:trPr>
          <w:cantSplit/>
        </w:trPr>
        <w:tc>
          <w:tcPr>
            <w:tcW w:w="8771" w:type="dxa"/>
            <w:tcBorders>
              <w:top w:val="nil"/>
              <w:left w:val="nil"/>
              <w:bottom w:val="single" w:sz="6" w:space="0" w:color="78A22F"/>
              <w:right w:val="nil"/>
            </w:tcBorders>
            <w:shd w:val="clear" w:color="auto" w:fill="auto"/>
          </w:tcPr>
          <w:p w14:paraId="2982B122" w14:textId="77777777" w:rsidR="00352075" w:rsidRDefault="00352075" w:rsidP="002B5666">
            <w:pPr>
              <w:pStyle w:val="Box"/>
              <w:spacing w:before="0" w:line="120" w:lineRule="exact"/>
            </w:pPr>
          </w:p>
        </w:tc>
      </w:tr>
    </w:tbl>
    <w:p w14:paraId="7BAD7DAC" w14:textId="2D3FE738" w:rsidR="00624486" w:rsidRPr="00BF2C7F" w:rsidRDefault="002A417B" w:rsidP="00962471">
      <w:pPr>
        <w:pStyle w:val="Heading3"/>
        <w:spacing w:before="500"/>
      </w:pPr>
      <w:r>
        <w:t>Other issues</w:t>
      </w:r>
    </w:p>
    <w:p w14:paraId="03874514" w14:textId="03DD8078" w:rsidR="00DA6E1F" w:rsidRDefault="00624486" w:rsidP="00624486">
      <w:pPr>
        <w:pStyle w:val="BodyText"/>
      </w:pPr>
      <w:r>
        <w:t>Other</w:t>
      </w:r>
      <w:r w:rsidRPr="008D6F2C">
        <w:t xml:space="preserve"> government policies and regulations </w:t>
      </w:r>
      <w:r>
        <w:t xml:space="preserve">may also </w:t>
      </w:r>
      <w:r w:rsidRPr="008D6F2C">
        <w:t xml:space="preserve">affect the competitiveness of </w:t>
      </w:r>
      <w:r>
        <w:t>farm businesses</w:t>
      </w:r>
      <w:r w:rsidR="00F049E9">
        <w:t xml:space="preserve">. </w:t>
      </w:r>
      <w:r>
        <w:t>For example, p</w:t>
      </w:r>
      <w:r w:rsidRPr="00175ABB">
        <w:t>oor regulatory frameworks governing electricity markets</w:t>
      </w:r>
      <w:r>
        <w:t xml:space="preserve"> have contributed to sharp, and in some cases unnecessary, increases in </w:t>
      </w:r>
      <w:r w:rsidRPr="00175ABB">
        <w:t>energy costs</w:t>
      </w:r>
      <w:r>
        <w:t xml:space="preserve"> for dairy farmers</w:t>
      </w:r>
      <w:r w:rsidRPr="00175ABB">
        <w:t xml:space="preserve"> </w:t>
      </w:r>
      <w:r w:rsidR="006C50B1" w:rsidRPr="006C50B1">
        <w:rPr>
          <w:szCs w:val="24"/>
        </w:rPr>
        <w:t>(PC 2014)</w:t>
      </w:r>
      <w:r>
        <w:t xml:space="preserve">. </w:t>
      </w:r>
      <w:r w:rsidR="00ED24DB">
        <w:t>Also, regulatory impediments may prevent increased employment of some temporary workers</w:t>
      </w:r>
      <w:r w:rsidR="000C60C4">
        <w:t xml:space="preserve"> in the agriculture sector</w:t>
      </w:r>
      <w:r w:rsidR="00F51B2F">
        <w:t xml:space="preserve"> or encourage the use of particular types of visa classes over others (such as the 457 skilled visa, the working holiday visa and the seasonal worker visa)</w:t>
      </w:r>
      <w:r w:rsidR="00ED24DB">
        <w:t>.</w:t>
      </w:r>
      <w:r>
        <w:t xml:space="preserve"> </w:t>
      </w:r>
      <w:r w:rsidR="00863D65">
        <w:t xml:space="preserve">There may also be other regulations that affect businesses in all sectors of the economy </w:t>
      </w:r>
      <w:r w:rsidR="00372C09">
        <w:t>that have</w:t>
      </w:r>
      <w:r w:rsidR="00863D65">
        <w:t xml:space="preserve"> a large </w:t>
      </w:r>
      <w:r w:rsidR="00723D50">
        <w:t xml:space="preserve">effect </w:t>
      </w:r>
      <w:r w:rsidR="00863D65">
        <w:t xml:space="preserve">on farm businesses. </w:t>
      </w:r>
    </w:p>
    <w:p w14:paraId="2D52226A" w14:textId="05D8A73D" w:rsidR="00624486" w:rsidRDefault="00624486" w:rsidP="009E710C">
      <w:pPr>
        <w:pStyle w:val="BodyText"/>
        <w:spacing w:before="120" w:line="280" w:lineRule="atLeast"/>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624486" w:rsidRPr="002E6452" w14:paraId="61045AA8" w14:textId="77777777" w:rsidTr="0081524D">
        <w:tc>
          <w:tcPr>
            <w:tcW w:w="8771" w:type="dxa"/>
            <w:tcBorders>
              <w:top w:val="single" w:sz="6" w:space="0" w:color="78A22F"/>
              <w:left w:val="nil"/>
              <w:bottom w:val="nil"/>
              <w:right w:val="nil"/>
            </w:tcBorders>
            <w:shd w:val="clear" w:color="auto" w:fill="auto"/>
          </w:tcPr>
          <w:p w14:paraId="61543B6F" w14:textId="77777777" w:rsidR="00EA1897" w:rsidRPr="007F6C76" w:rsidRDefault="00EA1897" w:rsidP="00962471">
            <w:pPr>
              <w:pStyle w:val="InformationRequest"/>
              <w:keepLines w:val="0"/>
              <w:rPr>
                <w:b/>
                <w:color w:val="000000" w:themeColor="text1"/>
              </w:rPr>
            </w:pPr>
            <w:r w:rsidRPr="007F6C76">
              <w:rPr>
                <w:b/>
                <w:color w:val="000000" w:themeColor="text1"/>
              </w:rPr>
              <w:t>Questions</w:t>
            </w:r>
          </w:p>
          <w:p w14:paraId="4CB38375" w14:textId="39CA7D06" w:rsidR="009A7F0E" w:rsidRDefault="00DA6E1F" w:rsidP="00962471">
            <w:pPr>
              <w:pStyle w:val="InformationRequestBullet"/>
            </w:pPr>
            <w:r>
              <w:t xml:space="preserve">Are there any </w:t>
            </w:r>
            <w:r w:rsidR="00624486">
              <w:t xml:space="preserve">other </w:t>
            </w:r>
            <w:r w:rsidR="00624486" w:rsidRPr="008D6F2C">
              <w:t xml:space="preserve">government regulations </w:t>
            </w:r>
            <w:r>
              <w:t xml:space="preserve">that </w:t>
            </w:r>
            <w:r w:rsidR="00267732">
              <w:t>reduce t</w:t>
            </w:r>
            <w:r w:rsidR="00624486">
              <w:t>he competiveness of farm businesses</w:t>
            </w:r>
            <w:r w:rsidR="00672B44">
              <w:t xml:space="preserve"> and</w:t>
            </w:r>
            <w:r w:rsidR="00E06CD5">
              <w:t>/</w:t>
            </w:r>
            <w:r w:rsidR="00672B44">
              <w:t>or the productivity of the agriculture sector</w:t>
            </w:r>
            <w:r w:rsidR="00624486">
              <w:t>?</w:t>
            </w:r>
            <w:r w:rsidR="003B26D4">
              <w:t xml:space="preserve"> </w:t>
            </w:r>
            <w:r w:rsidR="00267732">
              <w:t xml:space="preserve">In what way are </w:t>
            </w:r>
            <w:r w:rsidR="00863D65" w:rsidDel="00267732">
              <w:t>farm businesses</w:t>
            </w:r>
            <w:r>
              <w:t xml:space="preserve"> </w:t>
            </w:r>
            <w:r w:rsidR="00267732">
              <w:t>affected</w:t>
            </w:r>
            <w:r>
              <w:t>?</w:t>
            </w:r>
          </w:p>
          <w:p w14:paraId="4A37FD7C" w14:textId="42479E2D" w:rsidR="00624486" w:rsidRPr="002E6452" w:rsidRDefault="009A7F0E" w:rsidP="00962471">
            <w:pPr>
              <w:pStyle w:val="InformationRequestBullet"/>
            </w:pPr>
            <w:r>
              <w:t>Are there other significant regulatory issues affecting farm businesses not directly addressed in this issues paper?</w:t>
            </w:r>
          </w:p>
        </w:tc>
      </w:tr>
      <w:tr w:rsidR="00624486" w14:paraId="28AA7310" w14:textId="77777777" w:rsidTr="0081524D">
        <w:trPr>
          <w:cantSplit/>
        </w:trPr>
        <w:tc>
          <w:tcPr>
            <w:tcW w:w="8771" w:type="dxa"/>
            <w:tcBorders>
              <w:top w:val="nil"/>
              <w:left w:val="nil"/>
              <w:bottom w:val="single" w:sz="6" w:space="0" w:color="78A22F"/>
              <w:right w:val="nil"/>
            </w:tcBorders>
            <w:shd w:val="clear" w:color="auto" w:fill="auto"/>
          </w:tcPr>
          <w:p w14:paraId="7F16CC59" w14:textId="77777777" w:rsidR="00624486" w:rsidRDefault="00624486" w:rsidP="00962471">
            <w:pPr>
              <w:pStyle w:val="Box"/>
              <w:keepNext w:val="0"/>
              <w:spacing w:before="0" w:line="120" w:lineRule="exact"/>
            </w:pPr>
          </w:p>
        </w:tc>
      </w:tr>
      <w:tr w:rsidR="00624486" w:rsidRPr="000863A5" w14:paraId="3F5B84AD" w14:textId="77777777" w:rsidTr="0081524D">
        <w:tc>
          <w:tcPr>
            <w:tcW w:w="8771" w:type="dxa"/>
            <w:tcBorders>
              <w:top w:val="single" w:sz="6" w:space="0" w:color="78A22F"/>
              <w:left w:val="nil"/>
              <w:bottom w:val="nil"/>
              <w:right w:val="nil"/>
            </w:tcBorders>
          </w:tcPr>
          <w:p w14:paraId="2E0CE28A" w14:textId="63948ED9" w:rsidR="00624486" w:rsidRPr="00626D32" w:rsidRDefault="00624486" w:rsidP="00962471">
            <w:pPr>
              <w:pStyle w:val="BoxSpaceBelow"/>
            </w:pPr>
          </w:p>
        </w:tc>
      </w:tr>
    </w:tbl>
    <w:p w14:paraId="55E1D27D" w14:textId="77777777" w:rsidR="006A25AC" w:rsidRDefault="006A25AC" w:rsidP="006A25AC">
      <w:pPr>
        <w:pStyle w:val="Heading2"/>
      </w:pPr>
      <w:bookmarkStart w:id="49" w:name="_Toc438195738"/>
      <w:bookmarkStart w:id="50" w:name="_Toc438195863"/>
      <w:bookmarkStart w:id="51" w:name="_Toc438195902"/>
      <w:bookmarkStart w:id="52" w:name="_Toc438197965"/>
      <w:bookmarkStart w:id="53" w:name="_Toc438202823"/>
      <w:bookmarkStart w:id="54" w:name="_Toc438203914"/>
      <w:bookmarkStart w:id="55" w:name="_Toc438204247"/>
      <w:bookmarkStart w:id="56" w:name="_Toc438204920"/>
      <w:bookmarkStart w:id="57" w:name="_Toc434482401"/>
      <w:bookmarkStart w:id="58" w:name="_Toc435705814"/>
      <w:bookmarkStart w:id="59" w:name="_Toc435706006"/>
      <w:bookmarkStart w:id="60" w:name="_Toc436136387"/>
      <w:bookmarkStart w:id="61" w:name="_Toc437597270"/>
      <w:r>
        <w:lastRenderedPageBreak/>
        <w:t>Attachment A</w:t>
      </w:r>
      <w:bookmarkEnd w:id="49"/>
      <w:bookmarkEnd w:id="50"/>
      <w:bookmarkEnd w:id="51"/>
      <w:bookmarkEnd w:id="52"/>
      <w:bookmarkEnd w:id="53"/>
      <w:bookmarkEnd w:id="54"/>
      <w:bookmarkEnd w:id="55"/>
      <w:bookmarkEnd w:id="56"/>
    </w:p>
    <w:p w14:paraId="219CA7F6" w14:textId="266E229C" w:rsidR="006A25AC" w:rsidRPr="000067CC" w:rsidRDefault="006A25AC" w:rsidP="006A25AC">
      <w:pPr>
        <w:pStyle w:val="Heading2nosectionno"/>
        <w:spacing w:before="240" w:after="600" w:line="240" w:lineRule="auto"/>
        <w:jc w:val="center"/>
      </w:pPr>
      <w:r w:rsidRPr="000067CC">
        <w:t>Terms of reference</w:t>
      </w:r>
    </w:p>
    <w:p w14:paraId="11E45985" w14:textId="77777777" w:rsidR="006A25AC" w:rsidRPr="00A463A1" w:rsidRDefault="006A25AC" w:rsidP="006A25AC">
      <w:pPr>
        <w:pStyle w:val="BodyText"/>
        <w:spacing w:after="360" w:line="240" w:lineRule="auto"/>
        <w:jc w:val="center"/>
        <w:rPr>
          <w:rFonts w:asciiTheme="majorHAnsi" w:hAnsiTheme="majorHAnsi" w:cstheme="majorHAnsi"/>
          <w:b/>
        </w:rPr>
      </w:pPr>
      <w:r w:rsidRPr="00A463A1">
        <w:rPr>
          <w:rFonts w:asciiTheme="majorHAnsi" w:hAnsiTheme="majorHAnsi" w:cstheme="majorHAnsi"/>
          <w:b/>
        </w:rPr>
        <w:t>INQUIRY INTO THE REGULATION OF AUSTRALIAN AGRICULTURE</w:t>
      </w:r>
    </w:p>
    <w:p w14:paraId="004AEBEF" w14:textId="77777777" w:rsidR="006A25AC" w:rsidRDefault="006A25AC" w:rsidP="006A25AC">
      <w:pPr>
        <w:pStyle w:val="BodyText"/>
      </w:pPr>
      <w:r w:rsidRPr="00E12EA6">
        <w:t>I, Scott Morrison, Treasurer</w:t>
      </w:r>
      <w:r>
        <w:t xml:space="preserve">, pursuant to Parts 2 and 3 of the </w:t>
      </w:r>
      <w:r w:rsidRPr="007420BC">
        <w:rPr>
          <w:i/>
        </w:rPr>
        <w:t>Productivity Commission Act</w:t>
      </w:r>
      <w:r>
        <w:rPr>
          <w:i/>
        </w:rPr>
        <w:t> </w:t>
      </w:r>
      <w:r w:rsidRPr="007420BC">
        <w:rPr>
          <w:i/>
        </w:rPr>
        <w:t>1998</w:t>
      </w:r>
      <w:r>
        <w:t>, hereby request that the Productivity Commission undertake an inquiry into the regulatory burden imposed on Australian farm businesses.</w:t>
      </w:r>
    </w:p>
    <w:p w14:paraId="5549CE2B" w14:textId="77777777" w:rsidR="006A25AC" w:rsidRDefault="006A25AC" w:rsidP="006A25AC">
      <w:pPr>
        <w:pStyle w:val="Heading3"/>
      </w:pPr>
      <w:r>
        <w:t>Background</w:t>
      </w:r>
    </w:p>
    <w:p w14:paraId="0B77371F" w14:textId="77777777" w:rsidR="006A25AC" w:rsidRDefault="006A25AC" w:rsidP="006A25AC">
      <w:pPr>
        <w:pStyle w:val="BodyText"/>
      </w:pPr>
      <w:r>
        <w:t>The Australian Government has identified the agriculture sector as one of the five pillars of the economy. It is promoting the economic potential of the sector by removing unnecessary regulatory burdens and promoting improved productivity and global competitiveness.</w:t>
      </w:r>
    </w:p>
    <w:p w14:paraId="778A468C" w14:textId="77777777" w:rsidR="006A25AC" w:rsidRDefault="006A25AC" w:rsidP="006A25AC">
      <w:pPr>
        <w:pStyle w:val="BodyText"/>
      </w:pPr>
      <w:r>
        <w:t>The Australian Government’s deregulation agenda has focussed on reducing Commonwealth red tape. As part of its deregulation agenda, the Government is implementing reforms in agricultural and veterinary chemicals, biosecurity and export certification. However, there is an opportunity for better national outcomes for the agriculture sector by considering regulation at all levels of government. This is particularly applicable in the areas of transport, environmental protection, native vegetation management, land tenure, animal welfare and food safety in which the states and territories have significant responsibility.</w:t>
      </w:r>
    </w:p>
    <w:p w14:paraId="0EC16219" w14:textId="77777777" w:rsidR="006A25AC" w:rsidRDefault="006A25AC" w:rsidP="006A25AC">
      <w:pPr>
        <w:pStyle w:val="BodyText"/>
      </w:pPr>
      <w:r>
        <w:t>While regulation targets valid objectives, such as protecting consumers from unsafe food, protecting the environment or supporting the export of goods, poorly implemented and administered regulation and the cumulative impact of regulation can have adverse effects on farm businesses. It can unnecessarily restrict farm management decisions and reduce investment.</w:t>
      </w:r>
    </w:p>
    <w:p w14:paraId="2BDD0883" w14:textId="77777777" w:rsidR="006A25AC" w:rsidRDefault="006A25AC" w:rsidP="006A25AC">
      <w:pPr>
        <w:pStyle w:val="BodyText"/>
      </w:pPr>
      <w:r>
        <w:t>Inconsistent and overlapping regulations between jurisdictions can also create adverse effects and raise costs for farm businesses.</w:t>
      </w:r>
    </w:p>
    <w:p w14:paraId="599C629A" w14:textId="77777777" w:rsidR="006A25AC" w:rsidRDefault="006A25AC" w:rsidP="006A25AC">
      <w:pPr>
        <w:pStyle w:val="Heading3"/>
      </w:pPr>
      <w:r>
        <w:t>Scope of the inquiry</w:t>
      </w:r>
    </w:p>
    <w:p w14:paraId="5F7FA60E" w14:textId="77777777" w:rsidR="006A25AC" w:rsidRDefault="006A25AC" w:rsidP="006A25AC">
      <w:pPr>
        <w:pStyle w:val="BodyText"/>
      </w:pPr>
      <w:r>
        <w:t>The inquiry will focus on regulation with a material impact on domestic and international competitiveness of farm businesses and the productivity of Australian agriculture. The inquiry will define priority areas for removing or reducing unnecessary regulatory burdens where doing so will/can contribute to improved productivity for farm businesses as well as the wider economy.</w:t>
      </w:r>
    </w:p>
    <w:p w14:paraId="3F124772" w14:textId="77777777" w:rsidR="006A25AC" w:rsidRDefault="006A25AC" w:rsidP="006A25AC">
      <w:pPr>
        <w:pStyle w:val="BodyText"/>
      </w:pPr>
      <w:r>
        <w:lastRenderedPageBreak/>
        <w:t>The inquiry will also review regulation of farm businesses to identify unnecessary restrictions on competition.</w:t>
      </w:r>
    </w:p>
    <w:p w14:paraId="3B4BAA85" w14:textId="77777777" w:rsidR="006A25AC" w:rsidRDefault="006A25AC" w:rsidP="006A25AC">
      <w:pPr>
        <w:pStyle w:val="BodyText"/>
      </w:pPr>
      <w:r>
        <w:t>While focused on the impact of regulation on farm businesses, the inquiry should also consider the material impact arising from regulation imposed along the supply chain such as regulations introduced to meet the requirements of international markets.</w:t>
      </w:r>
    </w:p>
    <w:p w14:paraId="60D97C71" w14:textId="77777777" w:rsidR="006A25AC" w:rsidRDefault="006A25AC" w:rsidP="006A25AC">
      <w:pPr>
        <w:pStyle w:val="BodyText"/>
      </w:pPr>
      <w:r>
        <w:t>Consistent with its legislative remit, the Commission is to have particular regard to:</w:t>
      </w:r>
    </w:p>
    <w:p w14:paraId="1287E9DF" w14:textId="77777777" w:rsidR="006A25AC" w:rsidRDefault="006A25AC" w:rsidP="006A25AC">
      <w:pPr>
        <w:pStyle w:val="ListBullet"/>
      </w:pPr>
      <w:r>
        <w:t>areas of regulation that directly affect farm businesses, including those identified as areas of concern through the white papers on agricultural competitiveness and northern Australia. This includes regulatory arrangements affecting access to new technologies, investment opportunities, land tenure, relevant environmental protection and native vegetation laws, animal welfare and the Exporter Supply Chain Assurance System</w:t>
      </w:r>
    </w:p>
    <w:p w14:paraId="0323DC4B" w14:textId="77777777" w:rsidR="006A25AC" w:rsidRDefault="006A25AC" w:rsidP="006A25AC">
      <w:pPr>
        <w:pStyle w:val="ListBullet"/>
      </w:pPr>
      <w:r>
        <w:t>areas where there is greatest scope to reduce unnecessary regulatory burden and pursue regulatory objectives in more efficient (least cost) ways</w:t>
      </w:r>
    </w:p>
    <w:p w14:paraId="11C6D947" w14:textId="77777777" w:rsidR="006A25AC" w:rsidRDefault="006A25AC" w:rsidP="006A25AC">
      <w:pPr>
        <w:pStyle w:val="ListBullet"/>
      </w:pPr>
      <w:r>
        <w:t>whether the current level at which matters are regulated (national, State and local) is appropriate and whether there is scope for better coordinated action across governments to reduce unnecessary overlap</w:t>
      </w:r>
    </w:p>
    <w:p w14:paraId="148A3CD5" w14:textId="77777777" w:rsidR="006A25AC" w:rsidRDefault="006A25AC" w:rsidP="006A25AC">
      <w:pPr>
        <w:pStyle w:val="ListBullet"/>
      </w:pPr>
      <w:r>
        <w:t>whether Australia’s farm export competitiveness can be improved by minimising duplication between domestic regulation and importing country requirements</w:t>
      </w:r>
    </w:p>
    <w:p w14:paraId="164C7F2A" w14:textId="77777777" w:rsidR="006A25AC" w:rsidRDefault="006A25AC" w:rsidP="006A25AC">
      <w:pPr>
        <w:pStyle w:val="ListBullet"/>
      </w:pPr>
      <w:r>
        <w:t>relevant regulatory approaches adopted in other countries.</w:t>
      </w:r>
    </w:p>
    <w:p w14:paraId="0FB72230" w14:textId="77777777" w:rsidR="006A25AC" w:rsidRDefault="006A25AC" w:rsidP="006A25AC">
      <w:pPr>
        <w:pStyle w:val="Heading4"/>
      </w:pPr>
      <w:r>
        <w:t>Specific requirements</w:t>
      </w:r>
    </w:p>
    <w:p w14:paraId="7FA73A30" w14:textId="77777777" w:rsidR="006A25AC" w:rsidRDefault="006A25AC" w:rsidP="006A25AC">
      <w:pPr>
        <w:pStyle w:val="BodyText"/>
      </w:pPr>
      <w:r>
        <w:t>In undertaking the inquiry, the Commission should:</w:t>
      </w:r>
    </w:p>
    <w:p w14:paraId="4D7050D4" w14:textId="77777777" w:rsidR="006A25AC" w:rsidRDefault="006A25AC" w:rsidP="006A25AC">
      <w:pPr>
        <w:pStyle w:val="ListBullet"/>
      </w:pPr>
      <w:r>
        <w:t>identify specific areas of regulation that are unnecessarily burdensome, complex or redundant</w:t>
      </w:r>
    </w:p>
    <w:p w14:paraId="68D9A590" w14:textId="77777777" w:rsidR="006A25AC" w:rsidRDefault="006A25AC" w:rsidP="006A25AC">
      <w:pPr>
        <w:pStyle w:val="ListBullet"/>
      </w:pPr>
      <w:r>
        <w:t>identify priority areas for regulatory reform</w:t>
      </w:r>
    </w:p>
    <w:p w14:paraId="00B16945" w14:textId="77777777" w:rsidR="006A25AC" w:rsidRDefault="006A25AC" w:rsidP="006A25AC">
      <w:pPr>
        <w:pStyle w:val="ListBullet"/>
      </w:pPr>
      <w:r>
        <w:t>provide recommendations to alleviate regulatory burden identified.</w:t>
      </w:r>
    </w:p>
    <w:p w14:paraId="31203B62" w14:textId="77777777" w:rsidR="006A25AC" w:rsidRDefault="006A25AC" w:rsidP="006A25AC">
      <w:pPr>
        <w:pStyle w:val="BodyText"/>
      </w:pPr>
      <w:r>
        <w:t>For the purposes of this inquiry, the regulatory issues affecting:</w:t>
      </w:r>
    </w:p>
    <w:p w14:paraId="3C92E4BC" w14:textId="77777777" w:rsidR="006A25AC" w:rsidRDefault="006A25AC" w:rsidP="006A25AC">
      <w:pPr>
        <w:pStyle w:val="ListBullet"/>
      </w:pPr>
      <w:r>
        <w:t>marine fisheries and aquaculture industries will be investigated as part of a separate Productivity Commission inquiry into the Regulation of Australian Marine Fisheries and Aquaculture Sectors.</w:t>
      </w:r>
    </w:p>
    <w:p w14:paraId="6A5DE63C" w14:textId="77777777" w:rsidR="006A25AC" w:rsidRDefault="006A25AC" w:rsidP="006A25AC">
      <w:pPr>
        <w:pStyle w:val="Heading3"/>
      </w:pPr>
      <w:r>
        <w:t>Process</w:t>
      </w:r>
    </w:p>
    <w:p w14:paraId="2F567D8A" w14:textId="77777777" w:rsidR="006A25AC" w:rsidRDefault="006A25AC" w:rsidP="006A25AC">
      <w:pPr>
        <w:pStyle w:val="BodyText"/>
      </w:pPr>
      <w:r>
        <w:t>The Commission is to advertise nationally, consult with key interest groups and affected parties, hold hearings, invite public submissions and release a draft report to the public.</w:t>
      </w:r>
    </w:p>
    <w:p w14:paraId="241AE6A2" w14:textId="77777777" w:rsidR="006A25AC" w:rsidRDefault="006A25AC" w:rsidP="006A25AC">
      <w:pPr>
        <w:pStyle w:val="BodyText"/>
      </w:pPr>
      <w:r>
        <w:lastRenderedPageBreak/>
        <w:t>To expedite the review the Commission should consider relevant submissions to the white papers on agricultural competitiveness and Northern Australia and other relevant material in the public domain.</w:t>
      </w:r>
    </w:p>
    <w:p w14:paraId="370EA3FA" w14:textId="77777777" w:rsidR="006A25AC" w:rsidRDefault="006A25AC" w:rsidP="006A25AC">
      <w:pPr>
        <w:pStyle w:val="BodyText"/>
      </w:pPr>
      <w:r>
        <w:t>The final report should be provided within nine months of the receipt of these Terms of Reference.</w:t>
      </w:r>
    </w:p>
    <w:p w14:paraId="190E3C7C" w14:textId="77777777" w:rsidR="006A25AC" w:rsidRPr="0060787F" w:rsidRDefault="006A25AC" w:rsidP="00FF2401">
      <w:pPr>
        <w:pStyle w:val="BodyText"/>
        <w:spacing w:before="600"/>
        <w:jc w:val="left"/>
      </w:pPr>
      <w:r w:rsidRPr="0060787F">
        <w:t>S. MORRISON</w:t>
      </w:r>
      <w:r w:rsidRPr="0060787F">
        <w:br/>
        <w:t>Treasurer</w:t>
      </w:r>
    </w:p>
    <w:p w14:paraId="52332010" w14:textId="77777777" w:rsidR="006A25AC" w:rsidRPr="00A27942" w:rsidRDefault="006A25AC" w:rsidP="006A25AC">
      <w:pPr>
        <w:pStyle w:val="BodyText"/>
        <w:jc w:val="left"/>
      </w:pPr>
      <w:r w:rsidRPr="00A27942">
        <w:t>20 November 2015</w:t>
      </w:r>
    </w:p>
    <w:p w14:paraId="29CB88EC" w14:textId="77777777" w:rsidR="006A25AC" w:rsidRDefault="006A25AC">
      <w:pPr>
        <w:rPr>
          <w:rFonts w:ascii="Arial" w:hAnsi="Arial"/>
          <w:b/>
          <w:sz w:val="32"/>
          <w:lang w:eastAsia="en-AU"/>
        </w:rPr>
      </w:pPr>
      <w:r>
        <w:br w:type="page"/>
      </w:r>
    </w:p>
    <w:p w14:paraId="2982B129" w14:textId="5B8CDC47" w:rsidR="00391500" w:rsidRDefault="00391500" w:rsidP="0047610D">
      <w:pPr>
        <w:pStyle w:val="Heading2"/>
      </w:pPr>
      <w:bookmarkStart w:id="62" w:name="_Toc438195739"/>
      <w:bookmarkStart w:id="63" w:name="_Toc438195864"/>
      <w:bookmarkStart w:id="64" w:name="_Toc438195903"/>
      <w:bookmarkStart w:id="65" w:name="_Toc438197966"/>
      <w:bookmarkStart w:id="66" w:name="_Toc438202824"/>
      <w:bookmarkStart w:id="67" w:name="_Toc438203915"/>
      <w:bookmarkStart w:id="68" w:name="_Toc438204248"/>
      <w:bookmarkStart w:id="69" w:name="_Toc438204921"/>
      <w:r>
        <w:lastRenderedPageBreak/>
        <w:t xml:space="preserve">Attachment </w:t>
      </w:r>
      <w:bookmarkEnd w:id="57"/>
      <w:bookmarkEnd w:id="58"/>
      <w:bookmarkEnd w:id="59"/>
      <w:bookmarkEnd w:id="60"/>
      <w:bookmarkEnd w:id="61"/>
      <w:r w:rsidR="00EA2CE6">
        <w:t>B</w:t>
      </w:r>
      <w:bookmarkEnd w:id="62"/>
      <w:bookmarkEnd w:id="63"/>
      <w:bookmarkEnd w:id="64"/>
      <w:bookmarkEnd w:id="65"/>
      <w:bookmarkEnd w:id="66"/>
      <w:bookmarkEnd w:id="67"/>
      <w:bookmarkEnd w:id="68"/>
      <w:bookmarkEnd w:id="69"/>
    </w:p>
    <w:p w14:paraId="2982B12A" w14:textId="77777777" w:rsidR="00391500" w:rsidRPr="00391500" w:rsidRDefault="00391500" w:rsidP="007A3512">
      <w:pPr>
        <w:pStyle w:val="Heading3"/>
        <w:spacing w:before="360"/>
      </w:pPr>
      <w:r>
        <w:t>H</w:t>
      </w:r>
      <w:r w:rsidRPr="00391500">
        <w:t>ow to make a submission</w:t>
      </w:r>
    </w:p>
    <w:p w14:paraId="2982B12B" w14:textId="576D8CA2" w:rsidR="00391500" w:rsidRDefault="00391500" w:rsidP="00391500">
      <w:pPr>
        <w:pStyle w:val="BodyText"/>
      </w:pPr>
      <w:r>
        <w:t>Th</w:t>
      </w:r>
      <w:r w:rsidR="008E688B">
        <w:t xml:space="preserve">e </w:t>
      </w:r>
      <w:r>
        <w:t>Commission invites interested people and organisations to make a written submission.</w:t>
      </w:r>
    </w:p>
    <w:p w14:paraId="2982B12C" w14:textId="77777777" w:rsidR="00BD0197" w:rsidRDefault="00391500" w:rsidP="00BD0197">
      <w:pPr>
        <w:pStyle w:val="BodyText"/>
      </w:pPr>
      <w:r>
        <w:t xml:space="preserve">Each submission, except for any information supplied in confidence (see below), will be published on the Commission’s website shortly after receipt, and will remain there indefinitely as a public document. </w:t>
      </w:r>
      <w:r w:rsidR="00BD0197">
        <w:t>The Commission reserves the right to not publish material on its website that is offensive, potentially defamatory, or clearly out of scope for the inquiry or study in question.</w:t>
      </w:r>
    </w:p>
    <w:p w14:paraId="2982B12D" w14:textId="77777777" w:rsidR="00BD0197" w:rsidRDefault="00BD0197" w:rsidP="00BD0197">
      <w:pPr>
        <w:pStyle w:val="BodyText"/>
      </w:pPr>
      <w:r>
        <w:t>When providing a submission to the Commission, you may wish to remain anonymous or use a pseudonym. Please note that, if you choose to remain anonymous or use a pseudonym, the Commission may place less weight on your submission.</w:t>
      </w:r>
    </w:p>
    <w:p w14:paraId="2982B12E" w14:textId="77777777" w:rsidR="00391500" w:rsidRDefault="00BD0197" w:rsidP="00BD0197">
      <w:pPr>
        <w:pStyle w:val="BodyText"/>
      </w:pPr>
      <w:r>
        <w:t>Copyright in submissions sent to the Commission resides with the author(s), not with the Commission. Submitters should ensure that they hold copyright in any submitted documents, or that the copyright holder has authorised the publication of any relevant documents on the Commission’s website.</w:t>
      </w:r>
    </w:p>
    <w:p w14:paraId="2982B12F" w14:textId="77777777" w:rsidR="00391500" w:rsidRDefault="00391500" w:rsidP="00391500">
      <w:pPr>
        <w:pStyle w:val="Heading4"/>
      </w:pPr>
      <w:r>
        <w:t>How to prepare a submission</w:t>
      </w:r>
    </w:p>
    <w:p w14:paraId="2982B130" w14:textId="77777777" w:rsidR="00391500" w:rsidRDefault="00391500" w:rsidP="00391500">
      <w:pPr>
        <w:pStyle w:val="BodyText"/>
      </w:pPr>
      <w:r>
        <w:t>Submissions may range from a short letter outlining your views on a particular topic to a much more substantial document covering a range of issues. Where possible, you should provide evidence, such as relevant data and documentation, to support your views.</w:t>
      </w:r>
    </w:p>
    <w:p w14:paraId="2982B131" w14:textId="796DD91F" w:rsidR="00391500" w:rsidRDefault="00391500" w:rsidP="00391500">
      <w:pPr>
        <w:pStyle w:val="BodyText"/>
      </w:pPr>
      <w:r>
        <w:t>This is a public review and all submissions should be provided as public documents that can be placed on the Commission’s website for others to read and comment on.</w:t>
      </w:r>
      <w:r w:rsidR="00BD0197" w:rsidRPr="00BD0197">
        <w:t xml:space="preserve"> However, information which is of a confidential nature or which is submitted in confidence can be treated as such by the Commission, provided the cause for such treatment is shown. The Commission may also request a non-confidential summary of the confidential material it is given, or the reasons why a summary cannot be provided. You are encouraged to contact the Commission for further information and advice before submitting such material. Material supplied in confidence should be provided under separate cover and clearly marked </w:t>
      </w:r>
      <w:r w:rsidR="004707C0">
        <w:t>‘</w:t>
      </w:r>
      <w:r w:rsidR="004707C0" w:rsidRPr="00BD0197">
        <w:t xml:space="preserve">IN </w:t>
      </w:r>
      <w:r w:rsidR="00BD0197" w:rsidRPr="00BD0197">
        <w:t>CONFIDENCE</w:t>
      </w:r>
      <w:r w:rsidR="004707C0">
        <w:t>’</w:t>
      </w:r>
      <w:r w:rsidR="00BD0197" w:rsidRPr="00BD0197">
        <w:t>.</w:t>
      </w:r>
    </w:p>
    <w:p w14:paraId="2982B132" w14:textId="77777777" w:rsidR="00391500" w:rsidRDefault="00391500" w:rsidP="007A3512">
      <w:pPr>
        <w:pStyle w:val="Heading4"/>
        <w:keepNext w:val="0"/>
      </w:pPr>
      <w:r>
        <w:t xml:space="preserve">How to </w:t>
      </w:r>
      <w:r w:rsidR="00AA4178">
        <w:t>lodge</w:t>
      </w:r>
      <w:r>
        <w:t xml:space="preserve"> a submission</w:t>
      </w:r>
    </w:p>
    <w:p w14:paraId="2982B133" w14:textId="062F7419" w:rsidR="005C5E19" w:rsidRDefault="005C5E19" w:rsidP="007A3512">
      <w:pPr>
        <w:pStyle w:val="BodyText"/>
      </w:pPr>
      <w:r w:rsidRPr="005C5E19">
        <w:t xml:space="preserve">Each submission should be accompanied by a submission cover sheet. The submission cover sheet is available on the inquiry web page. For submissions received from individuals, all </w:t>
      </w:r>
      <w:r w:rsidRPr="005C5E19">
        <w:rPr>
          <w:b/>
        </w:rPr>
        <w:t>personal</w:t>
      </w:r>
      <w:r w:rsidRPr="005C5E19">
        <w:t xml:space="preserve"> details (</w:t>
      </w:r>
      <w:r w:rsidR="004707C0">
        <w:t>for example,</w:t>
      </w:r>
      <w:r w:rsidR="004707C0" w:rsidRPr="005C5E19">
        <w:t xml:space="preserve"> </w:t>
      </w:r>
      <w:r w:rsidRPr="005C5E19">
        <w:t xml:space="preserve">home and email address, signatures, phone, mobile and fax numbers) will be removed before </w:t>
      </w:r>
      <w:r w:rsidR="00BD0197">
        <w:t xml:space="preserve">they are </w:t>
      </w:r>
      <w:r w:rsidRPr="005C5E19">
        <w:t>published on the website for privacy reasons.</w:t>
      </w:r>
    </w:p>
    <w:p w14:paraId="2982B134" w14:textId="2EA55C56" w:rsidR="005C5E19" w:rsidRDefault="005C5E19" w:rsidP="007A3512">
      <w:pPr>
        <w:pStyle w:val="BodyText"/>
      </w:pPr>
      <w:r>
        <w:lastRenderedPageBreak/>
        <w:t xml:space="preserve">The Commission prefers to receive submissions as a Microsoft Word (.docx) files. PDF files are acceptable if produced from a Word document or similar text based software. You may wish to research the Internet on how to make your documents more accessible or for the more technical, follow advice from </w:t>
      </w:r>
      <w:hyperlink r:id="rId31" w:history="1">
        <w:r w:rsidRPr="00C738C7">
          <w:t>Web Content Accessibility Guidelines (WCAG)</w:t>
        </w:r>
        <w:r w:rsidR="003F6832">
          <w:t> </w:t>
        </w:r>
        <w:r w:rsidRPr="00C738C7">
          <w:t>2.0</w:t>
        </w:r>
      </w:hyperlink>
      <w:r w:rsidR="00C738C7" w:rsidRPr="00C738C7">
        <w:t xml:space="preserve"> </w:t>
      </w:r>
      <w:r w:rsidR="00C738C7">
        <w:t>&lt;</w:t>
      </w:r>
      <w:hyperlink r:id="rId32" w:history="1">
        <w:r w:rsidR="00C738C7" w:rsidRPr="00C738C7">
          <w:t>http://www.w3.org/TR/WCAG20/</w:t>
        </w:r>
      </w:hyperlink>
      <w:r w:rsidR="00C738C7">
        <w:t>&gt;</w:t>
      </w:r>
      <w:r>
        <w:t>.</w:t>
      </w:r>
    </w:p>
    <w:p w14:paraId="2982B135" w14:textId="77777777" w:rsidR="005C5E19" w:rsidRDefault="005C5E19" w:rsidP="007A3512">
      <w:pPr>
        <w:pStyle w:val="BodyText"/>
      </w:pPr>
      <w:r>
        <w:t xml:space="preserve">Do not send password protected files. Do not send us material for which you are not the copyright owner </w:t>
      </w:r>
      <w:r w:rsidR="0045244F">
        <w:t xml:space="preserve">— </w:t>
      </w:r>
      <w:r>
        <w:t xml:space="preserve">such as newspaper articles </w:t>
      </w:r>
      <w:r w:rsidR="0045244F">
        <w:t>—</w:t>
      </w:r>
      <w:r>
        <w:t xml:space="preserve"> you should just reference or link to this material in your submission.</w:t>
      </w:r>
    </w:p>
    <w:p w14:paraId="2982B136" w14:textId="77777777" w:rsidR="00391500" w:rsidRDefault="00391500" w:rsidP="007A3512">
      <w:pPr>
        <w:pStyle w:val="BodyText"/>
      </w:pPr>
      <w:r>
        <w:t>Track changes, editing marks, hidden text and internal links should be removed from submissions before sending to the Commission. To ensure hyperlinks work in your submission, the Commission recommends that you type the full web address (eg http://www.referred-website.com/folder/file-name.html).</w:t>
      </w:r>
    </w:p>
    <w:p w14:paraId="2982B137" w14:textId="77777777" w:rsidR="00AA4178" w:rsidRPr="00AA4178" w:rsidRDefault="00AA4178" w:rsidP="00AA4178">
      <w:pPr>
        <w:pStyle w:val="BodyText"/>
      </w:pPr>
      <w:r w:rsidRPr="00AA4178">
        <w:t>Submissions sent by email must not exceed 20 megabytes in size as our email system cannot accept anything larger. If your submission is greater than 20</w:t>
      </w:r>
      <w:r>
        <w:t xml:space="preserve"> </w:t>
      </w:r>
      <w:r w:rsidRPr="00AA4178">
        <w:t>mb in size, please contact the Administrative Officer for the relevant project to organise another method of sending your submission to the Commission.</w:t>
      </w:r>
    </w:p>
    <w:p w14:paraId="2982B138" w14:textId="77777777" w:rsidR="00391500" w:rsidRDefault="00AA4178" w:rsidP="00AA4178">
      <w:pPr>
        <w:pStyle w:val="BodyText"/>
      </w:pPr>
      <w:r>
        <w:t>Submissions can be accepted by email or post:</w:t>
      </w:r>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8"/>
        <w:gridCol w:w="7621"/>
      </w:tblGrid>
      <w:tr w:rsidR="00AA4178" w14:paraId="2982B13B" w14:textId="77777777" w:rsidTr="003D2F6A">
        <w:tc>
          <w:tcPr>
            <w:tcW w:w="1248" w:type="dxa"/>
          </w:tcPr>
          <w:p w14:paraId="2982B139" w14:textId="77777777" w:rsidR="00AA4178" w:rsidRDefault="00AA4178" w:rsidP="00AA4178">
            <w:pPr>
              <w:pStyle w:val="BodyText"/>
              <w:tabs>
                <w:tab w:val="left" w:pos="1701"/>
              </w:tabs>
              <w:spacing w:before="120"/>
            </w:pPr>
            <w:r>
              <w:t>Email*</w:t>
            </w:r>
          </w:p>
        </w:tc>
        <w:tc>
          <w:tcPr>
            <w:tcW w:w="7621" w:type="dxa"/>
          </w:tcPr>
          <w:p w14:paraId="2982B13A" w14:textId="18D41348" w:rsidR="00AA4178" w:rsidRPr="003E0204" w:rsidRDefault="006E27A0" w:rsidP="00A13642">
            <w:pPr>
              <w:pStyle w:val="BodyText"/>
              <w:tabs>
                <w:tab w:val="left" w:pos="1701"/>
              </w:tabs>
              <w:spacing w:before="120"/>
            </w:pPr>
            <w:hyperlink r:id="rId33" w:history="1">
              <w:r w:rsidR="003E0204" w:rsidRPr="00103495">
                <w:t>agriculture@pc.gov.au</w:t>
              </w:r>
            </w:hyperlink>
          </w:p>
        </w:tc>
      </w:tr>
      <w:tr w:rsidR="00AA4178" w14:paraId="2982B13E" w14:textId="77777777" w:rsidTr="003D2F6A">
        <w:tc>
          <w:tcPr>
            <w:tcW w:w="1248" w:type="dxa"/>
          </w:tcPr>
          <w:p w14:paraId="2982B13C" w14:textId="77777777" w:rsidR="00AA4178" w:rsidRDefault="00AA4178" w:rsidP="00AA4178">
            <w:pPr>
              <w:pStyle w:val="BodyText"/>
              <w:tabs>
                <w:tab w:val="left" w:pos="1701"/>
              </w:tabs>
              <w:spacing w:before="120"/>
            </w:pPr>
            <w:r>
              <w:t>Post</w:t>
            </w:r>
          </w:p>
        </w:tc>
        <w:tc>
          <w:tcPr>
            <w:tcW w:w="7621" w:type="dxa"/>
          </w:tcPr>
          <w:p w14:paraId="2982B13D" w14:textId="77777777" w:rsidR="00AA4178" w:rsidRPr="003D2F6A" w:rsidRDefault="00A13642" w:rsidP="003D2F6A">
            <w:pPr>
              <w:pStyle w:val="BodyText"/>
              <w:jc w:val="left"/>
            </w:pPr>
            <w:r w:rsidRPr="003D2F6A">
              <w:t>Regulation of Australian Agriculture</w:t>
            </w:r>
            <w:r w:rsidRPr="003D2F6A">
              <w:br/>
              <w:t>Productivity Commission</w:t>
            </w:r>
            <w:r w:rsidRPr="003D2F6A">
              <w:br/>
              <w:t>Locked Bag 2, Collins St East PO</w:t>
            </w:r>
            <w:r w:rsidRPr="003D2F6A">
              <w:br/>
              <w:t>Melbourne VIC 8003</w:t>
            </w:r>
          </w:p>
        </w:tc>
      </w:tr>
    </w:tbl>
    <w:p w14:paraId="2982B13F" w14:textId="77777777" w:rsidR="00391500" w:rsidRDefault="00391500" w:rsidP="00391500">
      <w:pPr>
        <w:pStyle w:val="BodyText"/>
      </w:pPr>
      <w:r>
        <w:t>*</w:t>
      </w:r>
      <w:r w:rsidRPr="007354B8">
        <w:t xml:space="preserve"> </w:t>
      </w:r>
      <w:r>
        <w:t>If you do not receive notification of receipt of an email message you have sent to the Commission within two working days of sending, please contact the Administrative Officer.</w:t>
      </w:r>
    </w:p>
    <w:p w14:paraId="2982B140" w14:textId="77777777" w:rsidR="00391500" w:rsidRPr="00391500" w:rsidRDefault="00391500" w:rsidP="00391500">
      <w:pPr>
        <w:pStyle w:val="Heading4"/>
      </w:pPr>
      <w:r w:rsidRPr="00391500">
        <w:t>Due date for submissions</w:t>
      </w:r>
    </w:p>
    <w:p w14:paraId="2982B141" w14:textId="3C44259E" w:rsidR="00391500" w:rsidRDefault="00391500" w:rsidP="00391500">
      <w:pPr>
        <w:pStyle w:val="BodyText"/>
      </w:pPr>
      <w:r>
        <w:t xml:space="preserve">Please send submissions to the Commission by </w:t>
      </w:r>
      <w:r w:rsidR="008E7017">
        <w:t>Friday 12</w:t>
      </w:r>
      <w:r w:rsidR="00927077">
        <w:t xml:space="preserve"> February 2016. </w:t>
      </w:r>
    </w:p>
    <w:p w14:paraId="2982B142" w14:textId="77777777" w:rsidR="0047610D" w:rsidRDefault="0047610D">
      <w:pPr>
        <w:rPr>
          <w:sz w:val="24"/>
          <w:lang w:eastAsia="en-AU"/>
        </w:rPr>
      </w:pPr>
      <w:r>
        <w:br w:type="page"/>
      </w:r>
    </w:p>
    <w:p w14:paraId="4668EB8A" w14:textId="77777777" w:rsidR="00872896" w:rsidRDefault="00872896" w:rsidP="00872896">
      <w:pPr>
        <w:pStyle w:val="Heading2"/>
        <w:spacing w:after="600"/>
      </w:pPr>
      <w:bookmarkStart w:id="70" w:name="_Toc415487508"/>
      <w:bookmarkStart w:id="71" w:name="_Toc415493834"/>
      <w:bookmarkStart w:id="72" w:name="_Toc415494276"/>
      <w:bookmarkStart w:id="73" w:name="_Toc415664548"/>
      <w:bookmarkStart w:id="74" w:name="_Toc434482402"/>
      <w:bookmarkStart w:id="75" w:name="_Toc435705815"/>
      <w:bookmarkStart w:id="76" w:name="_Toc435706007"/>
      <w:bookmarkStart w:id="77" w:name="_Toc436136388"/>
      <w:bookmarkStart w:id="78" w:name="_Toc437597271"/>
      <w:bookmarkStart w:id="79" w:name="_Toc438114383"/>
      <w:bookmarkStart w:id="80" w:name="_Toc438195740"/>
      <w:bookmarkStart w:id="81" w:name="_Toc438195865"/>
      <w:bookmarkStart w:id="82" w:name="_Toc438195904"/>
      <w:bookmarkStart w:id="83" w:name="_Toc438197967"/>
      <w:bookmarkStart w:id="84" w:name="_Toc438202825"/>
      <w:bookmarkStart w:id="85" w:name="_Toc438203916"/>
      <w:bookmarkStart w:id="86" w:name="_Toc438204249"/>
      <w:bookmarkStart w:id="87" w:name="_Toc438204922"/>
      <w:r>
        <w:lastRenderedPageBreak/>
        <w:t>References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7650062C" w14:textId="77777777" w:rsidR="00EE7CFC" w:rsidRDefault="00EE7CFC" w:rsidP="00EE7CFC">
      <w:pPr>
        <w:pStyle w:val="Reference"/>
      </w:pPr>
      <w:r>
        <w:t xml:space="preserve">ABS (Australian Bureau of Statistics) 2012, </w:t>
      </w:r>
      <w:r w:rsidRPr="00FB3C80">
        <w:rPr>
          <w:i/>
        </w:rPr>
        <w:t>Australian Social Trends</w:t>
      </w:r>
      <w:r>
        <w:t>, December, Cat. no. 4102.0.</w:t>
      </w:r>
    </w:p>
    <w:p w14:paraId="7709AC55" w14:textId="77777777" w:rsidR="00EE7CFC" w:rsidRDefault="00EE7CFC" w:rsidP="00EE7CFC">
      <w:pPr>
        <w:pStyle w:val="Reference"/>
      </w:pPr>
      <w:r>
        <w:t xml:space="preserve">—— 2014, </w:t>
      </w:r>
      <w:r w:rsidRPr="00FB3C80">
        <w:rPr>
          <w:i/>
        </w:rPr>
        <w:t>Agricultural Commodities</w:t>
      </w:r>
      <w:r>
        <w:t>, Australia, 2012-13, 30 May, Cat. no. 7121.0.</w:t>
      </w:r>
    </w:p>
    <w:p w14:paraId="49253DBA" w14:textId="77777777" w:rsidR="00EE7CFC" w:rsidRDefault="00EE7CFC" w:rsidP="00EE7CFC">
      <w:pPr>
        <w:pStyle w:val="Reference"/>
      </w:pPr>
      <w:r>
        <w:t xml:space="preserve">ACMF (Australian Chicken Meat Federation Inc) 2014, </w:t>
      </w:r>
      <w:r w:rsidRPr="00FB3C80">
        <w:rPr>
          <w:i/>
        </w:rPr>
        <w:t>Submission to the Agricultural Competitiveness Taskforce</w:t>
      </w:r>
      <w:r>
        <w:t>, 17 April, North Sydney.</w:t>
      </w:r>
    </w:p>
    <w:p w14:paraId="34BDE45C" w14:textId="77777777" w:rsidR="00EE7CFC" w:rsidRDefault="00EE7CFC" w:rsidP="00EE7CFC">
      <w:pPr>
        <w:pStyle w:val="Reference"/>
      </w:pPr>
      <w:r>
        <w:t xml:space="preserve">AgForce Queensland 2012, </w:t>
      </w:r>
      <w:r w:rsidRPr="00FB3C80">
        <w:rPr>
          <w:i/>
        </w:rPr>
        <w:t>AgForce Submission: Queensland Competition Authority: Reducing the Burden of Regulation</w:t>
      </w:r>
      <w:r>
        <w:t>, August, Roma, QLD.</w:t>
      </w:r>
    </w:p>
    <w:p w14:paraId="73EE6473" w14:textId="77777777" w:rsidR="00EE7CFC" w:rsidRDefault="00EE7CFC" w:rsidP="00EE7CFC">
      <w:pPr>
        <w:pStyle w:val="Reference"/>
      </w:pPr>
      <w:r>
        <w:t xml:space="preserve">ALC (Australian Logistics Council) 2010, </w:t>
      </w:r>
      <w:r w:rsidRPr="00FB3C80">
        <w:rPr>
          <w:i/>
        </w:rPr>
        <w:t>Cross Border Regulation in Australia</w:t>
      </w:r>
      <w:r>
        <w:t>, Robina, Queensland.</w:t>
      </w:r>
    </w:p>
    <w:p w14:paraId="1B90977A" w14:textId="77777777" w:rsidR="00EE7CFC" w:rsidRDefault="00EE7CFC" w:rsidP="00EE7CFC">
      <w:pPr>
        <w:pStyle w:val="Reference"/>
      </w:pPr>
      <w:r>
        <w:t xml:space="preserve">—— 2013, </w:t>
      </w:r>
      <w:r w:rsidRPr="00FB3C80">
        <w:rPr>
          <w:i/>
        </w:rPr>
        <w:t>Stronger Supply Chains, A Stronger Australia</w:t>
      </w:r>
      <w:r>
        <w:t>, November, Robina, Queensland.</w:t>
      </w:r>
    </w:p>
    <w:p w14:paraId="150FD500" w14:textId="77777777" w:rsidR="00EE7CFC" w:rsidRDefault="00EE7CFC" w:rsidP="00EE7CFC">
      <w:pPr>
        <w:pStyle w:val="Reference"/>
      </w:pPr>
      <w:r>
        <w:t xml:space="preserve">ALEC (Australian Livestock Exporters’ Council) 2014, </w:t>
      </w:r>
      <w:r w:rsidRPr="00FB3C80">
        <w:rPr>
          <w:i/>
        </w:rPr>
        <w:t>Submission to the Agricultural Competitiveness White Paper</w:t>
      </w:r>
      <w:r>
        <w:t>, 21 April, Sydney.</w:t>
      </w:r>
    </w:p>
    <w:p w14:paraId="1B6B24E3" w14:textId="77777777" w:rsidR="00EE7CFC" w:rsidRDefault="00EE7CFC" w:rsidP="00EE7CFC">
      <w:pPr>
        <w:pStyle w:val="Reference"/>
      </w:pPr>
      <w:r>
        <w:t xml:space="preserve">ALFA (Australian Lot Feeders’ Association) 2014, </w:t>
      </w:r>
      <w:r w:rsidRPr="00FB3C80">
        <w:rPr>
          <w:i/>
        </w:rPr>
        <w:t>Submission in Response to the Agricultural Competitiveness Green Paper</w:t>
      </w:r>
      <w:r>
        <w:t>, December, Sydney.</w:t>
      </w:r>
    </w:p>
    <w:p w14:paraId="7872E1AB" w14:textId="77777777" w:rsidR="00EE7CFC" w:rsidRDefault="00EE7CFC" w:rsidP="00EE7CFC">
      <w:pPr>
        <w:pStyle w:val="Reference"/>
      </w:pPr>
      <w:r>
        <w:t xml:space="preserve">Animal Medicines Australia 2014, </w:t>
      </w:r>
      <w:r w:rsidRPr="00FB3C80">
        <w:rPr>
          <w:i/>
        </w:rPr>
        <w:t>Submission to the Agricultural and Veterinary Chemicals Legislation Amendment (Removing Re-approval and Re-registration) Bill 2013</w:t>
      </w:r>
      <w:r>
        <w:t>.</w:t>
      </w:r>
    </w:p>
    <w:p w14:paraId="6A4848B7" w14:textId="77777777" w:rsidR="00EE7CFC" w:rsidRDefault="00EE7CFC" w:rsidP="00EE7CFC">
      <w:pPr>
        <w:pStyle w:val="Reference"/>
      </w:pPr>
      <w:r>
        <w:t xml:space="preserve">AusBiotech 2014, </w:t>
      </w:r>
      <w:r w:rsidRPr="00FB3C80">
        <w:rPr>
          <w:i/>
        </w:rPr>
        <w:t>Submission to the Agricultural Competitiveness Green Paper</w:t>
      </w:r>
      <w:r>
        <w:t>, South Yarra.</w:t>
      </w:r>
    </w:p>
    <w:p w14:paraId="721A8E63" w14:textId="77777777" w:rsidR="00EE7CFC" w:rsidRDefault="00EE7CFC" w:rsidP="00EE7CFC">
      <w:pPr>
        <w:pStyle w:val="Reference"/>
      </w:pPr>
      <w:r>
        <w:t xml:space="preserve">Australian Dairy Industry Council Inc. and Dairy Australia 2014, </w:t>
      </w:r>
      <w:r w:rsidRPr="00FB3C80">
        <w:rPr>
          <w:i/>
        </w:rPr>
        <w:t>Submission to the Agricultural Competitiveness Green Paper</w:t>
      </w:r>
      <w:r>
        <w:t>, December, Melbourne.</w:t>
      </w:r>
    </w:p>
    <w:p w14:paraId="7FD55A1B" w14:textId="77777777" w:rsidR="00EE7CFC" w:rsidRDefault="00EE7CFC" w:rsidP="00EE7CFC">
      <w:pPr>
        <w:pStyle w:val="Reference"/>
      </w:pPr>
      <w:r>
        <w:t xml:space="preserve">Australian Government 2015a, </w:t>
      </w:r>
      <w:r w:rsidRPr="00FB3C80">
        <w:rPr>
          <w:i/>
        </w:rPr>
        <w:t>Agricultural Competitiveness White Paper</w:t>
      </w:r>
      <w:r>
        <w:t>, Canberra.</w:t>
      </w:r>
    </w:p>
    <w:p w14:paraId="36EEBE76" w14:textId="77777777" w:rsidR="00EE7CFC" w:rsidRDefault="00EE7CFC" w:rsidP="00EE7CFC">
      <w:pPr>
        <w:pStyle w:val="Reference"/>
      </w:pPr>
      <w:r>
        <w:t xml:space="preserve">—— 2015b, </w:t>
      </w:r>
      <w:r w:rsidRPr="00FB3C80">
        <w:rPr>
          <w:i/>
        </w:rPr>
        <w:t>Our North, Our Future: White Paper on Developing Northern Australia</w:t>
      </w:r>
      <w:r>
        <w:t>, Canberra.</w:t>
      </w:r>
    </w:p>
    <w:p w14:paraId="000D8A11" w14:textId="77777777" w:rsidR="00EE7CFC" w:rsidRDefault="00EE7CFC" w:rsidP="00EE7CFC">
      <w:pPr>
        <w:pStyle w:val="Reference"/>
      </w:pPr>
      <w:r>
        <w:t xml:space="preserve">AWA (Australian Water Association) 2014, </w:t>
      </w:r>
      <w:r w:rsidRPr="00FB3C80">
        <w:rPr>
          <w:i/>
        </w:rPr>
        <w:t>Submission to the Agricultural Competitiveness Green Paper</w:t>
      </w:r>
      <w:r>
        <w:t>, 12 December.</w:t>
      </w:r>
    </w:p>
    <w:p w14:paraId="22764F72" w14:textId="77777777" w:rsidR="00EE7CFC" w:rsidRDefault="00EE7CFC" w:rsidP="00EE7CFC">
      <w:pPr>
        <w:pStyle w:val="Reference"/>
      </w:pPr>
      <w:r>
        <w:t xml:space="preserve">Chappell, K. 2014, ‘New planning push’, </w:t>
      </w:r>
      <w:r w:rsidRPr="00FB3C80">
        <w:rPr>
          <w:i/>
        </w:rPr>
        <w:t>The Land</w:t>
      </w:r>
      <w:r>
        <w:t>, 3 May.</w:t>
      </w:r>
    </w:p>
    <w:p w14:paraId="2FD294C5" w14:textId="77777777" w:rsidR="00EE7CFC" w:rsidRDefault="00EE7CFC" w:rsidP="00EE7CFC">
      <w:pPr>
        <w:pStyle w:val="Reference"/>
      </w:pPr>
      <w:r>
        <w:t xml:space="preserve">Commonwealth of Australia 2014, </w:t>
      </w:r>
      <w:r w:rsidRPr="00FB3C80">
        <w:rPr>
          <w:i/>
        </w:rPr>
        <w:t>Report of the Independent Review of the Water Act 2007</w:t>
      </w:r>
      <w:r>
        <w:t>, November, Canberra.</w:t>
      </w:r>
    </w:p>
    <w:p w14:paraId="3CA20E34" w14:textId="77777777" w:rsidR="00EE7CFC" w:rsidRDefault="00EE7CFC" w:rsidP="00EE7CFC">
      <w:pPr>
        <w:pStyle w:val="Reference"/>
      </w:pPr>
      <w:r>
        <w:t xml:space="preserve">—— 2015, </w:t>
      </w:r>
      <w:r w:rsidRPr="00FB3C80">
        <w:rPr>
          <w:i/>
        </w:rPr>
        <w:t>Exporter Supply Chain Assurance System Report</w:t>
      </w:r>
      <w:r>
        <w:t>, January, Canberra.</w:t>
      </w:r>
    </w:p>
    <w:p w14:paraId="3007A30E" w14:textId="3ECDFBAA" w:rsidR="00EE7CFC" w:rsidRDefault="00EE7CFC" w:rsidP="00EE7CFC">
      <w:pPr>
        <w:pStyle w:val="Reference"/>
      </w:pPr>
      <w:r>
        <w:t xml:space="preserve">Department of Agriculture and Water Resources 2015, </w:t>
      </w:r>
      <w:r w:rsidRPr="00FB3C80">
        <w:rPr>
          <w:i/>
        </w:rPr>
        <w:t>Review of the Horticulture Code of Conduct</w:t>
      </w:r>
      <w:r>
        <w:t>, Canberra.</w:t>
      </w:r>
    </w:p>
    <w:p w14:paraId="30071279" w14:textId="6DE7C9E0" w:rsidR="00EE7CFC" w:rsidRDefault="00EE7CFC" w:rsidP="00EE7CFC">
      <w:pPr>
        <w:pStyle w:val="Reference"/>
      </w:pPr>
      <w:r>
        <w:lastRenderedPageBreak/>
        <w:t xml:space="preserve">Department of Industry, Innovation and Science 2015a, </w:t>
      </w:r>
      <w:r w:rsidRPr="00C70A2E">
        <w:rPr>
          <w:i/>
        </w:rPr>
        <w:t xml:space="preserve">Country of </w:t>
      </w:r>
      <w:r w:rsidR="00C70A2E">
        <w:rPr>
          <w:i/>
        </w:rPr>
        <w:t>o</w:t>
      </w:r>
      <w:r w:rsidRPr="00C70A2E">
        <w:rPr>
          <w:i/>
        </w:rPr>
        <w:t xml:space="preserve">rigin </w:t>
      </w:r>
      <w:r w:rsidR="00C70A2E">
        <w:rPr>
          <w:i/>
        </w:rPr>
        <w:t>l</w:t>
      </w:r>
      <w:r w:rsidRPr="00C70A2E">
        <w:rPr>
          <w:i/>
        </w:rPr>
        <w:t>abelling</w:t>
      </w:r>
      <w:r>
        <w:t>, http://www.industry.gov.au/industry/IndustrySectors/FoodManufacturingIndustry/Pages/Country-of-Origin-Labelling.aspx#header (accessed 28 September 2015).</w:t>
      </w:r>
    </w:p>
    <w:p w14:paraId="1A5C8340" w14:textId="77777777" w:rsidR="00EE7CFC" w:rsidRDefault="00EE7CFC" w:rsidP="00EE7CFC">
      <w:pPr>
        <w:pStyle w:val="Reference"/>
      </w:pPr>
      <w:r>
        <w:t xml:space="preserve">—— 2015b, </w:t>
      </w:r>
      <w:r w:rsidRPr="00C70A2E">
        <w:rPr>
          <w:i/>
        </w:rPr>
        <w:t>Proposed reforms to country of origin food labels - overview</w:t>
      </w:r>
      <w:r>
        <w:t>, www.industry.gov.au/industry/IndustrySectors/FoodManufacturingIndustry/Pages/Proposed-reforms-to-country-of-origin-food-labels-overview.aspx (accessed 29 September 2015).</w:t>
      </w:r>
    </w:p>
    <w:p w14:paraId="6A23F92D" w14:textId="77777777" w:rsidR="00EE7CFC" w:rsidRDefault="00EE7CFC" w:rsidP="00EE7CFC">
      <w:pPr>
        <w:pStyle w:val="Reference"/>
      </w:pPr>
      <w:r>
        <w:t xml:space="preserve">Department of Lands (WA) 2013, </w:t>
      </w:r>
      <w:r w:rsidRPr="00C70A2E">
        <w:rPr>
          <w:i/>
        </w:rPr>
        <w:t>Department of Lands Submission to the Inquiry into Pastoral Leases in Western Australia</w:t>
      </w:r>
      <w:r>
        <w:t>, 27 September, Perth.</w:t>
      </w:r>
    </w:p>
    <w:p w14:paraId="011B25C4" w14:textId="77777777" w:rsidR="00EE7CFC" w:rsidRDefault="00EE7CFC" w:rsidP="00EE7CFC">
      <w:pPr>
        <w:pStyle w:val="Reference"/>
      </w:pPr>
      <w:r>
        <w:t xml:space="preserve">DFAT (Department of Foreign Affairs and Trade) 2015, </w:t>
      </w:r>
      <w:r w:rsidRPr="00C70A2E">
        <w:rPr>
          <w:i/>
        </w:rPr>
        <w:t>Agriculture</w:t>
      </w:r>
      <w:r>
        <w:t>, http://dfat.gov.au/trade/topics/pages/agriculture.aspx (accessed 17 December 2015).</w:t>
      </w:r>
    </w:p>
    <w:p w14:paraId="098491B2" w14:textId="77777777" w:rsidR="00EE7CFC" w:rsidRDefault="00EE7CFC" w:rsidP="00EE7CFC">
      <w:pPr>
        <w:pStyle w:val="Reference"/>
      </w:pPr>
      <w:r>
        <w:t xml:space="preserve">DoA (Department of Agriculture) 2014, </w:t>
      </w:r>
      <w:r w:rsidRPr="00C70A2E">
        <w:rPr>
          <w:i/>
        </w:rPr>
        <w:t>Chemicals of Security Concern Regulation Impact Statement Response</w:t>
      </w:r>
      <w:r>
        <w:t>.</w:t>
      </w:r>
    </w:p>
    <w:p w14:paraId="3DD603B3" w14:textId="77777777" w:rsidR="00EE7CFC" w:rsidRDefault="00EE7CFC" w:rsidP="00EE7CFC">
      <w:pPr>
        <w:pStyle w:val="Reference"/>
      </w:pPr>
      <w:r>
        <w:t xml:space="preserve">FIRB (Foreign Investment Review Board) 2015a, </w:t>
      </w:r>
      <w:r w:rsidRPr="00C70A2E">
        <w:rPr>
          <w:i/>
        </w:rPr>
        <w:t>About FIRB</w:t>
      </w:r>
      <w:r>
        <w:t>, http://firb.gov.au/about/ (accessed 15 December 2015).</w:t>
      </w:r>
    </w:p>
    <w:p w14:paraId="5658CB8C" w14:textId="77777777" w:rsidR="00EE7CFC" w:rsidRDefault="00EE7CFC" w:rsidP="00EE7CFC">
      <w:pPr>
        <w:pStyle w:val="Reference"/>
      </w:pPr>
      <w:r>
        <w:t xml:space="preserve">—— 2015b, </w:t>
      </w:r>
      <w:r w:rsidRPr="00C70A2E">
        <w:rPr>
          <w:i/>
        </w:rPr>
        <w:t>Australia’s Foreign Investment Policy</w:t>
      </w:r>
      <w:r>
        <w:t>, December, https://firb.gov.au/resources/policy-documents/ (accessed 18 December 2015).</w:t>
      </w:r>
    </w:p>
    <w:p w14:paraId="2785901B" w14:textId="77777777" w:rsidR="00EE7CFC" w:rsidRDefault="00EE7CFC" w:rsidP="00EE7CFC">
      <w:pPr>
        <w:pStyle w:val="Reference"/>
      </w:pPr>
      <w:r>
        <w:t xml:space="preserve">FSANZ (Food Standards Australia New Zealand) 2013, </w:t>
      </w:r>
      <w:r w:rsidRPr="00C70A2E">
        <w:rPr>
          <w:i/>
        </w:rPr>
        <w:t>Country of origin labelling</w:t>
      </w:r>
      <w:r>
        <w:t>, http://www.foodstandards.gov.au/consumer/labelling/coo/Pages/default.aspx (accessed 29 September 2015).</w:t>
      </w:r>
    </w:p>
    <w:p w14:paraId="49F611E8" w14:textId="77777777" w:rsidR="00EE7CFC" w:rsidRDefault="00EE7CFC" w:rsidP="00EE7CFC">
      <w:pPr>
        <w:pStyle w:val="Reference"/>
      </w:pPr>
      <w:r>
        <w:t xml:space="preserve">Gardner, B. 2015, National trucking law is still unattractive to Western Australia, </w:t>
      </w:r>
      <w:r w:rsidRPr="00C70A2E">
        <w:rPr>
          <w:i/>
        </w:rPr>
        <w:t>Owner Driver</w:t>
      </w:r>
      <w:r>
        <w:t>, www.ownerdriver.com.au/industry-news/1505/national-trucking-law-still-unattractive-to-western-australia/ (accessed 2 November 2015).</w:t>
      </w:r>
    </w:p>
    <w:p w14:paraId="0019D0AB" w14:textId="77777777" w:rsidR="00EE7CFC" w:rsidRDefault="00EE7CFC" w:rsidP="00EE7CFC">
      <w:pPr>
        <w:pStyle w:val="Reference"/>
      </w:pPr>
      <w:r>
        <w:t xml:space="preserve">Gibbs, C., Harris-Adams, K. and Davidson, A. 2013, </w:t>
      </w:r>
      <w:r w:rsidRPr="00C70A2E">
        <w:rPr>
          <w:i/>
        </w:rPr>
        <w:t>Review of Selected Regulatory Burdens on Agriculture and Forestry Businesses</w:t>
      </w:r>
      <w:r>
        <w:t>, November, ABARES, Canberra.</w:t>
      </w:r>
    </w:p>
    <w:p w14:paraId="7966EC5C" w14:textId="77777777" w:rsidR="00EE7CFC" w:rsidRDefault="00EE7CFC" w:rsidP="00EE7CFC">
      <w:pPr>
        <w:pStyle w:val="Reference"/>
      </w:pPr>
      <w:r>
        <w:t xml:space="preserve">Gray, E.M., Oss-Emer, M. and Sheng, Y. 2014, </w:t>
      </w:r>
      <w:r w:rsidRPr="00C70A2E">
        <w:rPr>
          <w:i/>
        </w:rPr>
        <w:t>Australian agricultural productivity growth: past reforms and future opportunities</w:t>
      </w:r>
      <w:r>
        <w:t>, February, Report no. 14.2, ABARES, Canberra.</w:t>
      </w:r>
    </w:p>
    <w:p w14:paraId="7C86871F" w14:textId="77777777" w:rsidR="00EE7CFC" w:rsidRDefault="00EE7CFC" w:rsidP="00EE7CFC">
      <w:pPr>
        <w:pStyle w:val="Reference"/>
      </w:pPr>
      <w:r>
        <w:t xml:space="preserve">Griffith, G. 2015, </w:t>
      </w:r>
      <w:r w:rsidRPr="00C70A2E">
        <w:rPr>
          <w:i/>
        </w:rPr>
        <w:t>Right to Farm Laws</w:t>
      </w:r>
      <w:r>
        <w:t>, June, e-brief 5/2015, NSW Parliamentary Research Service.</w:t>
      </w:r>
    </w:p>
    <w:p w14:paraId="4FFAA7EC" w14:textId="77777777" w:rsidR="00EE7CFC" w:rsidRDefault="00EE7CFC" w:rsidP="00EE7CFC">
      <w:pPr>
        <w:pStyle w:val="Reference"/>
      </w:pPr>
      <w:r>
        <w:t xml:space="preserve">Harper, I., Anderson, P., McCluskey, S. and O’Bryan, M. 2015, </w:t>
      </w:r>
      <w:r w:rsidRPr="00C70A2E">
        <w:rPr>
          <w:i/>
        </w:rPr>
        <w:t>Competition Policy Review</w:t>
      </w:r>
      <w:r>
        <w:t>, Final Report, Australian Government, Canberra.</w:t>
      </w:r>
    </w:p>
    <w:p w14:paraId="5E08E5B8" w14:textId="77777777" w:rsidR="00EE7CFC" w:rsidRDefault="00EE7CFC" w:rsidP="00EE7CFC">
      <w:pPr>
        <w:pStyle w:val="Reference"/>
      </w:pPr>
      <w:r>
        <w:t xml:space="preserve">Hockey, J. 2015, </w:t>
      </w:r>
      <w:r w:rsidRPr="00C70A2E">
        <w:rPr>
          <w:i/>
        </w:rPr>
        <w:t>Government strengthens the foreign investment framework</w:t>
      </w:r>
      <w:r>
        <w:t>, Joint media release with the Hon Tony Abbott MP Prime Minister, 2 May.</w:t>
      </w:r>
    </w:p>
    <w:p w14:paraId="1661ADA5" w14:textId="77777777" w:rsidR="00EE7CFC" w:rsidRDefault="00EE7CFC" w:rsidP="00EE7CFC">
      <w:pPr>
        <w:pStyle w:val="Reference"/>
      </w:pPr>
      <w:r>
        <w:t xml:space="preserve">Kimberley Land Council 2014, </w:t>
      </w:r>
      <w:r w:rsidRPr="00C70A2E">
        <w:rPr>
          <w:i/>
        </w:rPr>
        <w:t>What is native title?</w:t>
      </w:r>
      <w:r>
        <w:t>, http://www.klc.org.au/native-title/what-is-native-title (accessed 16 November 2015).</w:t>
      </w:r>
    </w:p>
    <w:p w14:paraId="3C4F58B3" w14:textId="77777777" w:rsidR="00EE7CFC" w:rsidRDefault="00EE7CFC" w:rsidP="00EE7CFC">
      <w:pPr>
        <w:pStyle w:val="Reference"/>
      </w:pPr>
      <w:r>
        <w:t xml:space="preserve">Legislative Council of Western Australia 2014, </w:t>
      </w:r>
      <w:r w:rsidRPr="00C70A2E">
        <w:rPr>
          <w:i/>
        </w:rPr>
        <w:t>Standing Committee on Public Administration Inquiry into Pastoral Leases in Western Australia</w:t>
      </w:r>
      <w:r>
        <w:t>., April, Report 20, Perth.</w:t>
      </w:r>
    </w:p>
    <w:p w14:paraId="4B0AA8FD" w14:textId="77777777" w:rsidR="00EE7CFC" w:rsidRDefault="00EE7CFC" w:rsidP="00EE7CFC">
      <w:pPr>
        <w:pStyle w:val="Reference"/>
      </w:pPr>
      <w:r>
        <w:lastRenderedPageBreak/>
        <w:t xml:space="preserve">National Native Title Tribunal 2015, </w:t>
      </w:r>
      <w:r w:rsidRPr="007B0453">
        <w:rPr>
          <w:i/>
        </w:rPr>
        <w:t>Statistics</w:t>
      </w:r>
      <w:r>
        <w:t>, www.nntt.gov.au/Pages/Statistics.aspx (accessed 19 November 2015).</w:t>
      </w:r>
    </w:p>
    <w:p w14:paraId="7301C334" w14:textId="77777777" w:rsidR="00EE7CFC" w:rsidRDefault="00EE7CFC" w:rsidP="00EE7CFC">
      <w:pPr>
        <w:pStyle w:val="Reference"/>
      </w:pPr>
      <w:r>
        <w:t xml:space="preserve">NFF (National Farmers’ Federation) 2013, </w:t>
      </w:r>
      <w:r w:rsidRPr="007B0453">
        <w:rPr>
          <w:i/>
        </w:rPr>
        <w:t>NFF Issues Paper: Red Tape in Australian Agriculture</w:t>
      </w:r>
      <w:r>
        <w:t>, September.</w:t>
      </w:r>
    </w:p>
    <w:p w14:paraId="25AAA52B" w14:textId="77777777" w:rsidR="00EE7CFC" w:rsidRDefault="00EE7CFC" w:rsidP="00EE7CFC">
      <w:pPr>
        <w:pStyle w:val="Reference"/>
      </w:pPr>
      <w:r>
        <w:t xml:space="preserve">—— 2014a, </w:t>
      </w:r>
      <w:r w:rsidRPr="007B0453">
        <w:rPr>
          <w:i/>
        </w:rPr>
        <w:t>Submission in Response to the Agricultural Competitiveness Green Paper</w:t>
      </w:r>
      <w:r>
        <w:t>, 12 December.</w:t>
      </w:r>
    </w:p>
    <w:p w14:paraId="1E8F1F17" w14:textId="77777777" w:rsidR="00EE7CFC" w:rsidRDefault="00EE7CFC" w:rsidP="00EE7CFC">
      <w:pPr>
        <w:pStyle w:val="Reference"/>
      </w:pPr>
      <w:r>
        <w:t xml:space="preserve">—— 2014b, </w:t>
      </w:r>
      <w:r w:rsidRPr="007B0453">
        <w:rPr>
          <w:i/>
        </w:rPr>
        <w:t>Submission in Response to the Draft Report of the Competition Policy Review</w:t>
      </w:r>
      <w:r>
        <w:t>, November.</w:t>
      </w:r>
    </w:p>
    <w:p w14:paraId="73A87F3B" w14:textId="77777777" w:rsidR="00EE7CFC" w:rsidRDefault="00EE7CFC" w:rsidP="00EE7CFC">
      <w:pPr>
        <w:pStyle w:val="Reference"/>
      </w:pPr>
      <w:r>
        <w:t xml:space="preserve">—— 2014c, </w:t>
      </w:r>
      <w:r w:rsidRPr="007B0453">
        <w:rPr>
          <w:i/>
        </w:rPr>
        <w:t>Submission to the House Standing Committee on Agriculture and Industry Inquiry into Country of Origin Food Labelling</w:t>
      </w:r>
      <w:r>
        <w:t>, 2 May.</w:t>
      </w:r>
    </w:p>
    <w:p w14:paraId="2225FE62" w14:textId="77777777" w:rsidR="00EE7CFC" w:rsidRDefault="00EE7CFC" w:rsidP="00EE7CFC">
      <w:pPr>
        <w:pStyle w:val="Reference"/>
      </w:pPr>
      <w:r>
        <w:t xml:space="preserve">NHVR (National Heavy Vehicle Regulator) 2015, </w:t>
      </w:r>
      <w:r w:rsidRPr="007B0453">
        <w:rPr>
          <w:i/>
        </w:rPr>
        <w:t>Annual Report 2014-2015</w:t>
      </w:r>
      <w:r>
        <w:t>, Fortitude Valley.</w:t>
      </w:r>
    </w:p>
    <w:p w14:paraId="269CCA7F" w14:textId="77777777" w:rsidR="00EE7CFC" w:rsidRDefault="00EE7CFC" w:rsidP="00EE7CFC">
      <w:pPr>
        <w:pStyle w:val="Reference"/>
      </w:pPr>
      <w:r>
        <w:t xml:space="preserve">NT Department of Transport 2014, </w:t>
      </w:r>
      <w:r w:rsidRPr="007B0453">
        <w:rPr>
          <w:i/>
        </w:rPr>
        <w:t>National Heavy Vehicle Regulator Northern Territory Update</w:t>
      </w:r>
      <w:r>
        <w:t>, February, Darwin.</w:t>
      </w:r>
    </w:p>
    <w:p w14:paraId="68113C42" w14:textId="77777777" w:rsidR="00EE7CFC" w:rsidRDefault="00EE7CFC" w:rsidP="00EE7CFC">
      <w:pPr>
        <w:pStyle w:val="Reference"/>
      </w:pPr>
      <w:r>
        <w:t xml:space="preserve">NWC (National Water Commission) 2012, </w:t>
      </w:r>
      <w:r w:rsidRPr="007B0453">
        <w:rPr>
          <w:i/>
        </w:rPr>
        <w:t>Groundwater Essentials</w:t>
      </w:r>
      <w:r>
        <w:t>, March, Canberra.</w:t>
      </w:r>
    </w:p>
    <w:p w14:paraId="78418CCF" w14:textId="77777777" w:rsidR="00EE7CFC" w:rsidRDefault="00EE7CFC" w:rsidP="00EE7CFC">
      <w:pPr>
        <w:pStyle w:val="Reference"/>
      </w:pPr>
      <w:r>
        <w:t xml:space="preserve">—— 2013, </w:t>
      </w:r>
      <w:r w:rsidRPr="007B0453">
        <w:rPr>
          <w:i/>
        </w:rPr>
        <w:t>Current Issues Influencing Australian Water Markets</w:t>
      </w:r>
      <w:r>
        <w:t>, November, Canberra.</w:t>
      </w:r>
    </w:p>
    <w:p w14:paraId="05C3E36E" w14:textId="77777777" w:rsidR="00EE7CFC" w:rsidRDefault="00EE7CFC" w:rsidP="00EE7CFC">
      <w:pPr>
        <w:pStyle w:val="Reference"/>
      </w:pPr>
      <w:r>
        <w:t xml:space="preserve">OECD (Organisation for Economic Co-operation and Development) 2014, </w:t>
      </w:r>
      <w:r w:rsidRPr="007B0453">
        <w:rPr>
          <w:i/>
        </w:rPr>
        <w:t>FDI regulatory restrictiveness index</w:t>
      </w:r>
      <w:r>
        <w:t>, www.oecd.org/investment/fdiindex.htm (accessed 16 November 2015).</w:t>
      </w:r>
    </w:p>
    <w:p w14:paraId="46F89A99" w14:textId="77777777" w:rsidR="00EE7CFC" w:rsidRDefault="00EE7CFC" w:rsidP="00EE7CFC">
      <w:pPr>
        <w:pStyle w:val="Reference"/>
      </w:pPr>
      <w:r>
        <w:t xml:space="preserve">PC (Productivity Commission) 2007, </w:t>
      </w:r>
      <w:r w:rsidRPr="007B0453">
        <w:rPr>
          <w:i/>
        </w:rPr>
        <w:t>Annual Review of Regulatory Burdens on Business – Primary Sector</w:t>
      </w:r>
      <w:r>
        <w:t>, Research report, Canberra.</w:t>
      </w:r>
    </w:p>
    <w:p w14:paraId="4A4FBCCB" w14:textId="77777777" w:rsidR="00EE7CFC" w:rsidRDefault="00EE7CFC" w:rsidP="00EE7CFC">
      <w:pPr>
        <w:pStyle w:val="Reference"/>
      </w:pPr>
      <w:r>
        <w:t xml:space="preserve">—— 2011, </w:t>
      </w:r>
      <w:r w:rsidRPr="00895D3D">
        <w:rPr>
          <w:i/>
        </w:rPr>
        <w:t>Identifying and Evaluating Regulation Reforms</w:t>
      </w:r>
      <w:r>
        <w:t>, Research Report, Canberra.</w:t>
      </w:r>
    </w:p>
    <w:p w14:paraId="700A9015" w14:textId="77777777" w:rsidR="00EE7CFC" w:rsidRDefault="00EE7CFC" w:rsidP="00EE7CFC">
      <w:pPr>
        <w:pStyle w:val="Reference"/>
      </w:pPr>
      <w:r>
        <w:t xml:space="preserve">—— 2012, </w:t>
      </w:r>
      <w:r w:rsidRPr="00895D3D">
        <w:rPr>
          <w:i/>
        </w:rPr>
        <w:t>Business Regulation Benchmarking: Role of Local Government</w:t>
      </w:r>
      <w:r>
        <w:t>, Research report, Canberra.</w:t>
      </w:r>
    </w:p>
    <w:p w14:paraId="60467BC0" w14:textId="77777777" w:rsidR="00EE7CFC" w:rsidRDefault="00EE7CFC" w:rsidP="00EE7CFC">
      <w:pPr>
        <w:pStyle w:val="Reference"/>
      </w:pPr>
      <w:r>
        <w:t xml:space="preserve">—— 2014, </w:t>
      </w:r>
      <w:r w:rsidRPr="00895D3D">
        <w:rPr>
          <w:i/>
        </w:rPr>
        <w:t>Relative Costs of Doing Business in Australia: Dairy Product Manufacturing</w:t>
      </w:r>
      <w:r>
        <w:t>, Research Report, Canberra, www.pc.gov.au/inquiries/completed/dairy-manufacturing/report (accessed 23 February 2015).</w:t>
      </w:r>
    </w:p>
    <w:p w14:paraId="0B0653D6" w14:textId="77777777" w:rsidR="00EE7CFC" w:rsidRDefault="00EE7CFC" w:rsidP="00EE7CFC">
      <w:pPr>
        <w:pStyle w:val="Reference"/>
      </w:pPr>
      <w:r>
        <w:t xml:space="preserve">—— 2015a, </w:t>
      </w:r>
      <w:r w:rsidRPr="00895D3D">
        <w:rPr>
          <w:i/>
        </w:rPr>
        <w:t>Barriers to Growth in Service Exports</w:t>
      </w:r>
      <w:r>
        <w:t>, Research Report, Canberra.</w:t>
      </w:r>
    </w:p>
    <w:p w14:paraId="0CCAFF7A" w14:textId="77777777" w:rsidR="00EE7CFC" w:rsidRDefault="00EE7CFC" w:rsidP="00EE7CFC">
      <w:pPr>
        <w:pStyle w:val="Reference"/>
      </w:pPr>
      <w:r>
        <w:t xml:space="preserve">—— 2015b, </w:t>
      </w:r>
      <w:r w:rsidRPr="00895D3D">
        <w:rPr>
          <w:i/>
        </w:rPr>
        <w:t>Examining Barriers to More Efficient Gas Markets</w:t>
      </w:r>
      <w:r>
        <w:t>, Commission Research Paper, Canberra.</w:t>
      </w:r>
    </w:p>
    <w:p w14:paraId="62B7B0C7" w14:textId="77777777" w:rsidR="00EE7CFC" w:rsidRDefault="00EE7CFC" w:rsidP="00EE7CFC">
      <w:pPr>
        <w:pStyle w:val="Reference"/>
      </w:pPr>
      <w:r>
        <w:t xml:space="preserve">PIRSA (Primary Industries and Regions SA) 2013, </w:t>
      </w:r>
      <w:r w:rsidRPr="00895D3D">
        <w:rPr>
          <w:i/>
        </w:rPr>
        <w:t>Identifying Planning Issues on Rural/Primary Industry Land</w:t>
      </w:r>
      <w:r>
        <w:t>, December, Adelaide.</w:t>
      </w:r>
    </w:p>
    <w:p w14:paraId="49BFC5C0" w14:textId="77777777" w:rsidR="00417842" w:rsidRDefault="00417842" w:rsidP="00EE7CFC">
      <w:pPr>
        <w:pStyle w:val="Reference"/>
      </w:pPr>
      <w:r>
        <w:t xml:space="preserve">PM&amp;C (Department of the Prime Minister and Cabinet) 2014, </w:t>
      </w:r>
      <w:r w:rsidRPr="00895D3D">
        <w:rPr>
          <w:i/>
          <w:iCs/>
        </w:rPr>
        <w:t>The Australian Government Guide to Regulation</w:t>
      </w:r>
      <w:r>
        <w:t>, Canberra.</w:t>
      </w:r>
    </w:p>
    <w:p w14:paraId="3C05AABE" w14:textId="77777777" w:rsidR="00EE7CFC" w:rsidRDefault="00EE7CFC" w:rsidP="00EE7CFC">
      <w:pPr>
        <w:pStyle w:val="Reference"/>
      </w:pPr>
      <w:r>
        <w:t xml:space="preserve">Producers Forum 2014, </w:t>
      </w:r>
      <w:r w:rsidRPr="00895D3D">
        <w:rPr>
          <w:i/>
        </w:rPr>
        <w:t>Response to the Agricultural Competitiveness Issues Paper</w:t>
      </w:r>
      <w:r>
        <w:t>, April, Kimba SA.</w:t>
      </w:r>
    </w:p>
    <w:p w14:paraId="40741CCE" w14:textId="77777777" w:rsidR="00EE7CFC" w:rsidRDefault="00EE7CFC" w:rsidP="00EE7CFC">
      <w:pPr>
        <w:pStyle w:val="Reference"/>
      </w:pPr>
      <w:r>
        <w:lastRenderedPageBreak/>
        <w:t xml:space="preserve">Retailer and Supplier Roundtable Ltd 2014, </w:t>
      </w:r>
      <w:r w:rsidRPr="0029322E">
        <w:rPr>
          <w:i/>
        </w:rPr>
        <w:t>Paddock to Plate: Reform of Regulations to Enhance Competitiveness</w:t>
      </w:r>
      <w:r>
        <w:t>, Increase Productivity and Decrease the Cost of Doing Business, August.</w:t>
      </w:r>
    </w:p>
    <w:p w14:paraId="4181E640" w14:textId="77777777" w:rsidR="00EE7CFC" w:rsidRDefault="00EE7CFC" w:rsidP="00EE7CFC">
      <w:pPr>
        <w:pStyle w:val="Reference"/>
      </w:pPr>
      <w:r>
        <w:t xml:space="preserve">RRATRC (Senate Rural and Regional Affairs and Transport References Committee) 2013, </w:t>
      </w:r>
      <w:r w:rsidRPr="0029322E">
        <w:rPr>
          <w:i/>
        </w:rPr>
        <w:t>Foreign Investment and the National Interest</w:t>
      </w:r>
      <w:r>
        <w:t>, June, Canberra.</w:t>
      </w:r>
    </w:p>
    <w:p w14:paraId="2F6AEFCE" w14:textId="77777777" w:rsidR="00EE7CFC" w:rsidRDefault="00EE7CFC" w:rsidP="00EE7CFC">
      <w:pPr>
        <w:pStyle w:val="Reference"/>
      </w:pPr>
      <w:r>
        <w:t xml:space="preserve">RRC (Parliament of Victoria Rural and Regional Committee) 2013, </w:t>
      </w:r>
      <w:r w:rsidRPr="0029322E">
        <w:rPr>
          <w:i/>
        </w:rPr>
        <w:t>Final Report: Inquiry into the Impact of Food Safety Regulation on Farms and Other Businesses</w:t>
      </w:r>
      <w:r>
        <w:t>, Melbourne.</w:t>
      </w:r>
    </w:p>
    <w:p w14:paraId="347E8169" w14:textId="77777777" w:rsidR="00EE7CFC" w:rsidRDefault="00EE7CFC" w:rsidP="00EE7CFC">
      <w:pPr>
        <w:pStyle w:val="Reference"/>
      </w:pPr>
      <w:r>
        <w:t xml:space="preserve">Sanyal, K. 2014, </w:t>
      </w:r>
      <w:r w:rsidRPr="0029322E">
        <w:rPr>
          <w:i/>
        </w:rPr>
        <w:t>Foreign Investment in Australian Agriculture</w:t>
      </w:r>
      <w:r>
        <w:t>, 18 February, Research paper series, 2013-14, Parliamentary Library.</w:t>
      </w:r>
    </w:p>
    <w:p w14:paraId="74376F3C" w14:textId="77777777" w:rsidR="00EE7CFC" w:rsidRDefault="00EE7CFC" w:rsidP="00EE7CFC">
      <w:pPr>
        <w:pStyle w:val="Reference"/>
      </w:pPr>
      <w:r>
        <w:t xml:space="preserve">SCAFPS (Select Committee on Australia’s Food Processing Sector) 2012, </w:t>
      </w:r>
      <w:r w:rsidRPr="0029322E">
        <w:rPr>
          <w:i/>
        </w:rPr>
        <w:t>Inquiry into Australia’s Food Processing Sector</w:t>
      </w:r>
      <w:r>
        <w:t>, August, Canberra.</w:t>
      </w:r>
    </w:p>
    <w:p w14:paraId="0DB345B0" w14:textId="77777777" w:rsidR="00EE7CFC" w:rsidRDefault="00EE7CFC" w:rsidP="00EE7CFC">
      <w:pPr>
        <w:pStyle w:val="Reference"/>
      </w:pPr>
      <w:r>
        <w:t xml:space="preserve">The Treasury 2015, </w:t>
      </w:r>
      <w:r w:rsidRPr="0029322E">
        <w:rPr>
          <w:i/>
        </w:rPr>
        <w:t>Foreign Acquisitions and Takeovers Legislation Amendment Bill 2015 Regulation Impact Statement</w:t>
      </w:r>
      <w:r>
        <w:t>, Canberra.</w:t>
      </w:r>
    </w:p>
    <w:p w14:paraId="31853234" w14:textId="77777777" w:rsidR="00EE7CFC" w:rsidRDefault="00EE7CFC" w:rsidP="00EE7CFC">
      <w:pPr>
        <w:pStyle w:val="Reference"/>
      </w:pPr>
      <w:r>
        <w:t xml:space="preserve">Tulloh, C. and Pearce, D. 2011, </w:t>
      </w:r>
      <w:r w:rsidRPr="0029322E">
        <w:rPr>
          <w:i/>
        </w:rPr>
        <w:t>Transport Infrastructure for Australia’s Agricultural Needs</w:t>
      </w:r>
      <w:r>
        <w:t>, November, 11/096, Rural Industries Research and Development Corporation, Canberra.</w:t>
      </w:r>
    </w:p>
    <w:p w14:paraId="5DE3B062" w14:textId="77777777" w:rsidR="00EE7CFC" w:rsidRDefault="00EE7CFC" w:rsidP="00EE7CFC">
      <w:pPr>
        <w:pStyle w:val="Reference"/>
      </w:pPr>
      <w:r>
        <w:t xml:space="preserve">VFF (Victorian Farmers Federation) 2014, </w:t>
      </w:r>
      <w:r w:rsidRPr="0029322E">
        <w:rPr>
          <w:i/>
        </w:rPr>
        <w:t>Submission to the Agricultural Competitiveness Green Paper</w:t>
      </w:r>
      <w:r>
        <w:t>, December, Melbourne.</w:t>
      </w:r>
    </w:p>
    <w:p w14:paraId="2C7166FB" w14:textId="728E7369" w:rsidR="00EE7CFC" w:rsidRDefault="00EE7CFC" w:rsidP="00EE7CFC">
      <w:pPr>
        <w:pStyle w:val="Reference"/>
      </w:pPr>
      <w:r>
        <w:t xml:space="preserve">Victorian Chicken Meat Council 2012, </w:t>
      </w:r>
      <w:r w:rsidRPr="0029322E">
        <w:rPr>
          <w:i/>
        </w:rPr>
        <w:t>Submission to the Inquiry into the Impact of Food Safety Regulation on Farms and Other Businesses</w:t>
      </w:r>
      <w:r>
        <w:t>, September.</w:t>
      </w:r>
    </w:p>
    <w:p w14:paraId="2982B146" w14:textId="2D23CA2A" w:rsidR="007B74C6" w:rsidRPr="00587E70" w:rsidRDefault="00BA5ECD" w:rsidP="00FF2401">
      <w:pPr>
        <w:pStyle w:val="Reference"/>
      </w:pPr>
      <w:r>
        <w:t xml:space="preserve">WA Department of Lands 2013, </w:t>
      </w:r>
      <w:r w:rsidRPr="0029322E">
        <w:rPr>
          <w:i/>
        </w:rPr>
        <w:t>Department of Lands Submission to the Inquiry into Pastoral Leases in Western Australia</w:t>
      </w:r>
      <w:r w:rsidR="00FF2401">
        <w:t>, 27 September, Perth.</w:t>
      </w:r>
    </w:p>
    <w:sectPr w:rsidR="007B74C6" w:rsidRPr="00587E70" w:rsidSect="00DB341F">
      <w:headerReference w:type="default" r:id="rId34"/>
      <w:footerReference w:type="default" r:id="rId35"/>
      <w:headerReference w:type="first" r:id="rId36"/>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69ECA" w14:textId="77777777" w:rsidR="002A417B" w:rsidRDefault="002A417B">
      <w:r>
        <w:separator/>
      </w:r>
    </w:p>
  </w:endnote>
  <w:endnote w:type="continuationSeparator" w:id="0">
    <w:p w14:paraId="290D41AB" w14:textId="77777777" w:rsidR="002A417B" w:rsidRDefault="002A417B">
      <w:r>
        <w:continuationSeparator/>
      </w:r>
    </w:p>
  </w:endnote>
  <w:endnote w:type="continuationNotice" w:id="1">
    <w:p w14:paraId="2FAF4240" w14:textId="77777777" w:rsidR="002A417B" w:rsidRDefault="002A4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2B171" w14:textId="77777777" w:rsidR="002A417B" w:rsidRDefault="002A4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A417B" w14:paraId="2982B175" w14:textId="77777777" w:rsidTr="005F48ED">
      <w:trPr>
        <w:trHeight w:hRule="exact" w:val="567"/>
      </w:trPr>
      <w:tc>
        <w:tcPr>
          <w:tcW w:w="510" w:type="dxa"/>
        </w:tcPr>
        <w:p w14:paraId="2982B172" w14:textId="77777777" w:rsidR="002A417B" w:rsidRDefault="002A417B">
          <w:pPr>
            <w:pStyle w:val="Footer"/>
            <w:ind w:right="360" w:firstLine="360"/>
          </w:pPr>
        </w:p>
      </w:tc>
      <w:tc>
        <w:tcPr>
          <w:tcW w:w="7767" w:type="dxa"/>
        </w:tcPr>
        <w:p w14:paraId="2982B173" w14:textId="77777777" w:rsidR="002A417B" w:rsidRPr="00BA5B14" w:rsidRDefault="002A417B"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9E710C">
            <w:rPr>
              <w:rFonts w:cs="Arial"/>
            </w:rPr>
            <w:t>Issues Paper (Ag reg burdens)</w:t>
          </w:r>
          <w:r w:rsidRPr="00BA5B14">
            <w:rPr>
              <w:rFonts w:cs="Arial"/>
            </w:rPr>
            <w:fldChar w:fldCharType="end"/>
          </w:r>
        </w:p>
      </w:tc>
      <w:tc>
        <w:tcPr>
          <w:tcW w:w="510" w:type="dxa"/>
        </w:tcPr>
        <w:p w14:paraId="2982B174" w14:textId="77777777" w:rsidR="002A417B" w:rsidRPr="00A24443" w:rsidRDefault="002A417B">
          <w:pPr>
            <w:pStyle w:val="Footer"/>
            <w:jc w:val="right"/>
            <w:rPr>
              <w:caps w:val="0"/>
            </w:rPr>
          </w:pPr>
          <w:r w:rsidRPr="0045783B">
            <w:rPr>
              <w:rStyle w:val="PageNumber"/>
              <w:caps w:val="0"/>
            </w:rPr>
            <w:fldChar w:fldCharType="begin"/>
          </w:r>
          <w:r w:rsidRPr="0045783B">
            <w:rPr>
              <w:rStyle w:val="PageNumber"/>
              <w:caps w:val="0"/>
            </w:rPr>
            <w:instrText xml:space="preserve">PAGE  </w:instrText>
          </w:r>
          <w:r w:rsidRPr="0045783B">
            <w:rPr>
              <w:rStyle w:val="PageNumber"/>
              <w:caps w:val="0"/>
            </w:rPr>
            <w:fldChar w:fldCharType="separate"/>
          </w:r>
          <w:r>
            <w:rPr>
              <w:rStyle w:val="PageNumber"/>
              <w:caps w:val="0"/>
              <w:noProof/>
            </w:rPr>
            <w:t>v</w:t>
          </w:r>
          <w:r w:rsidRPr="0045783B">
            <w:rPr>
              <w:rStyle w:val="PageNumber"/>
              <w:caps w:val="0"/>
            </w:rPr>
            <w:fldChar w:fldCharType="end"/>
          </w:r>
        </w:p>
      </w:tc>
    </w:tr>
  </w:tbl>
  <w:p w14:paraId="2982B176" w14:textId="77777777" w:rsidR="002A417B" w:rsidRDefault="002A417B">
    <w:pPr>
      <w:pStyle w:val="FooterEnd"/>
    </w:pPr>
  </w:p>
  <w:p w14:paraId="4A462B78" w14:textId="77777777" w:rsidR="002A417B" w:rsidRDefault="002A417B"/>
  <w:p w14:paraId="575EA459" w14:textId="77777777" w:rsidR="002A417B" w:rsidRDefault="002A41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38DD1" w14:textId="77777777" w:rsidR="002A417B" w:rsidRDefault="002A417B" w:rsidP="00AC3060">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A417B" w14:paraId="2982B197" w14:textId="77777777" w:rsidTr="005F48ED">
      <w:trPr>
        <w:trHeight w:hRule="exact" w:val="567"/>
      </w:trPr>
      <w:tc>
        <w:tcPr>
          <w:tcW w:w="510" w:type="dxa"/>
        </w:tcPr>
        <w:p w14:paraId="2982B194" w14:textId="77777777" w:rsidR="002A417B" w:rsidRPr="00A24443" w:rsidRDefault="002A417B"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E27A0">
            <w:rPr>
              <w:rStyle w:val="PageNumber"/>
              <w:caps w:val="0"/>
              <w:noProof/>
            </w:rPr>
            <w:t>12</w:t>
          </w:r>
          <w:r w:rsidRPr="00A24443">
            <w:rPr>
              <w:rStyle w:val="PageNumber"/>
              <w:caps w:val="0"/>
            </w:rPr>
            <w:fldChar w:fldCharType="end"/>
          </w:r>
        </w:p>
      </w:tc>
      <w:tc>
        <w:tcPr>
          <w:tcW w:w="7767" w:type="dxa"/>
        </w:tcPr>
        <w:p w14:paraId="2982B195" w14:textId="184574C1" w:rsidR="002A417B" w:rsidRPr="0013739A" w:rsidRDefault="002A417B" w:rsidP="0013739A">
          <w:pPr>
            <w:pStyle w:val="Footer"/>
            <w:rPr>
              <w:rFonts w:cs="Arial"/>
            </w:rPr>
          </w:pPr>
          <w:r>
            <w:rPr>
              <w:rFonts w:cs="Arial"/>
            </w:rPr>
            <w:t>regulation of Australian agriculture</w:t>
          </w:r>
        </w:p>
      </w:tc>
      <w:tc>
        <w:tcPr>
          <w:tcW w:w="510" w:type="dxa"/>
        </w:tcPr>
        <w:p w14:paraId="2982B196" w14:textId="77777777" w:rsidR="002A417B" w:rsidRDefault="002A417B" w:rsidP="0019293B">
          <w:pPr>
            <w:pStyle w:val="Footer"/>
          </w:pPr>
        </w:p>
      </w:tc>
    </w:tr>
  </w:tbl>
  <w:p w14:paraId="2982B198" w14:textId="77777777" w:rsidR="002A417B" w:rsidRDefault="002A417B" w:rsidP="0019293B">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A417B" w14:paraId="2982B19C" w14:textId="77777777" w:rsidTr="005F48ED">
      <w:trPr>
        <w:trHeight w:hRule="exact" w:val="567"/>
      </w:trPr>
      <w:tc>
        <w:tcPr>
          <w:tcW w:w="510" w:type="dxa"/>
        </w:tcPr>
        <w:p w14:paraId="2982B199" w14:textId="77777777" w:rsidR="002A417B" w:rsidRDefault="002A417B">
          <w:pPr>
            <w:pStyle w:val="Footer"/>
            <w:ind w:right="360" w:firstLine="360"/>
          </w:pPr>
        </w:p>
      </w:tc>
      <w:tc>
        <w:tcPr>
          <w:tcW w:w="7767" w:type="dxa"/>
        </w:tcPr>
        <w:p w14:paraId="2982B19A" w14:textId="1AF461F0" w:rsidR="002A417B" w:rsidRPr="00BA5B14" w:rsidRDefault="002A417B" w:rsidP="007D2FCD">
          <w:pPr>
            <w:pStyle w:val="Footer"/>
            <w:jc w:val="right"/>
            <w:rPr>
              <w:rFonts w:cs="Arial"/>
            </w:rPr>
          </w:pPr>
          <w:r>
            <w:rPr>
              <w:rFonts w:cs="Arial"/>
            </w:rPr>
            <w:t>ISSUES PAPER</w:t>
          </w:r>
        </w:p>
      </w:tc>
      <w:tc>
        <w:tcPr>
          <w:tcW w:w="510" w:type="dxa"/>
        </w:tcPr>
        <w:p w14:paraId="2982B19B" w14:textId="4F85C765" w:rsidR="002A417B" w:rsidRPr="00A24443" w:rsidRDefault="002A417B">
          <w:pPr>
            <w:pStyle w:val="Footer"/>
            <w:jc w:val="right"/>
            <w:rPr>
              <w:caps w:val="0"/>
            </w:rPr>
          </w:pPr>
          <w:r>
            <w:rPr>
              <w:rStyle w:val="PageNumber"/>
              <w:caps w:val="0"/>
            </w:rPr>
            <w:t>iii</w:t>
          </w:r>
        </w:p>
      </w:tc>
    </w:tr>
  </w:tbl>
  <w:p w14:paraId="2982B19D" w14:textId="77777777" w:rsidR="002A417B" w:rsidRDefault="002A417B">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A417B" w14:paraId="2982B1A6" w14:textId="77777777" w:rsidTr="005F48ED">
      <w:trPr>
        <w:trHeight w:hRule="exact" w:val="567"/>
      </w:trPr>
      <w:tc>
        <w:tcPr>
          <w:tcW w:w="510" w:type="dxa"/>
        </w:tcPr>
        <w:p w14:paraId="2982B1A3" w14:textId="77777777" w:rsidR="002A417B" w:rsidRDefault="002A417B">
          <w:pPr>
            <w:pStyle w:val="Footer"/>
            <w:ind w:right="360" w:firstLine="360"/>
          </w:pPr>
        </w:p>
      </w:tc>
      <w:tc>
        <w:tcPr>
          <w:tcW w:w="7767" w:type="dxa"/>
        </w:tcPr>
        <w:p w14:paraId="2982B1A4" w14:textId="6060C34F" w:rsidR="002A417B" w:rsidRPr="00BA5B14" w:rsidRDefault="002A417B" w:rsidP="0013739A">
          <w:pPr>
            <w:pStyle w:val="Footer"/>
            <w:jc w:val="right"/>
            <w:rPr>
              <w:rFonts w:cs="Arial"/>
            </w:rPr>
          </w:pPr>
          <w:r>
            <w:rPr>
              <w:rFonts w:cs="Arial"/>
            </w:rPr>
            <w:t>Issues Paper</w:t>
          </w:r>
        </w:p>
      </w:tc>
      <w:tc>
        <w:tcPr>
          <w:tcW w:w="510" w:type="dxa"/>
        </w:tcPr>
        <w:p w14:paraId="2982B1A5" w14:textId="77777777" w:rsidR="002A417B" w:rsidRPr="00A24443" w:rsidRDefault="002A417B">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E27A0">
            <w:rPr>
              <w:rStyle w:val="PageNumber"/>
              <w:caps w:val="0"/>
              <w:noProof/>
            </w:rPr>
            <w:t>11</w:t>
          </w:r>
          <w:r w:rsidRPr="00A24443">
            <w:rPr>
              <w:rStyle w:val="PageNumber"/>
              <w:caps w:val="0"/>
            </w:rPr>
            <w:fldChar w:fldCharType="end"/>
          </w:r>
        </w:p>
      </w:tc>
    </w:tr>
  </w:tbl>
  <w:p w14:paraId="2982B1A7" w14:textId="77777777" w:rsidR="002A417B" w:rsidRDefault="002A417B">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5EEE9" w14:textId="77777777" w:rsidR="002A417B" w:rsidRDefault="002A417B">
      <w:r>
        <w:separator/>
      </w:r>
    </w:p>
  </w:footnote>
  <w:footnote w:type="continuationSeparator" w:id="0">
    <w:p w14:paraId="330F63EA" w14:textId="77777777" w:rsidR="002A417B" w:rsidRDefault="002A417B">
      <w:r>
        <w:continuationSeparator/>
      </w:r>
    </w:p>
  </w:footnote>
  <w:footnote w:type="continuationNotice" w:id="1">
    <w:p w14:paraId="67B99C4C" w14:textId="77777777" w:rsidR="002A417B" w:rsidRDefault="002A41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Layout w:type="fixed"/>
      <w:tblCellMar>
        <w:left w:w="0" w:type="dxa"/>
        <w:right w:w="0" w:type="dxa"/>
      </w:tblCellMar>
      <w:tblLook w:val="0000" w:firstRow="0" w:lastRow="0" w:firstColumn="0" w:lastColumn="0" w:noHBand="0" w:noVBand="0"/>
    </w:tblPr>
    <w:tblGrid>
      <w:gridCol w:w="2155"/>
      <w:gridCol w:w="6634"/>
    </w:tblGrid>
    <w:tr w:rsidR="002A417B" w14:paraId="51707A6F" w14:textId="77777777" w:rsidTr="001C7557">
      <w:tc>
        <w:tcPr>
          <w:tcW w:w="2155" w:type="dxa"/>
          <w:tcBorders>
            <w:top w:val="single" w:sz="24" w:space="0" w:color="auto"/>
          </w:tcBorders>
        </w:tcPr>
        <w:p w14:paraId="239B4634" w14:textId="77777777" w:rsidR="002A417B" w:rsidRDefault="006E27A0" w:rsidP="0019293B">
          <w:pPr>
            <w:pStyle w:val="HeaderEven"/>
          </w:pPr>
          <w:r>
            <w:rPr>
              <w:noProof/>
            </w:rPr>
            <w:pict w14:anchorId="529DE1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0" type="#_x0000_t136" style="position:absolute;margin-left:0;margin-top:0;width:442.55pt;height:177pt;rotation:315;z-index:-25165823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tc>
      <w:tc>
        <w:tcPr>
          <w:tcW w:w="6634" w:type="dxa"/>
          <w:tcBorders>
            <w:top w:val="single" w:sz="6" w:space="0" w:color="auto"/>
          </w:tcBorders>
        </w:tcPr>
        <w:p w14:paraId="16E10459" w14:textId="77777777" w:rsidR="002A417B" w:rsidRDefault="002A417B" w:rsidP="001C7557">
          <w:pPr>
            <w:pStyle w:val="HeaderEven"/>
            <w:jc w:val="center"/>
            <w:rPr>
              <w:szCs w:val="24"/>
            </w:rPr>
          </w:pPr>
        </w:p>
      </w:tc>
    </w:tr>
  </w:tbl>
  <w:p w14:paraId="6315E5B0" w14:textId="77777777" w:rsidR="002A417B" w:rsidRDefault="002A417B" w:rsidP="0019293B">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2B1A8" w14:textId="7D2CAC3C" w:rsidR="002A417B" w:rsidRDefault="002A41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CAEDA" w14:textId="77777777" w:rsidR="002A417B" w:rsidRDefault="006E27A0">
    <w:pPr>
      <w:pStyle w:val="Header"/>
    </w:pPr>
    <w:r>
      <w:rPr>
        <w:noProof/>
      </w:rPr>
      <w:pict w14:anchorId="21FDE0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9" type="#_x0000_t136" style="position:absolute;margin-left:0;margin-top:0;width:442.55pt;height:177pt;rotation:315;z-index:-251658239;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2B16C" w14:textId="61C9F98A" w:rsidR="002A417B" w:rsidRDefault="002A41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A417B" w14:paraId="2982B16F" w14:textId="77777777">
      <w:tc>
        <w:tcPr>
          <w:tcW w:w="6634" w:type="dxa"/>
          <w:tcBorders>
            <w:top w:val="single" w:sz="6" w:space="0" w:color="auto"/>
          </w:tcBorders>
        </w:tcPr>
        <w:p w14:paraId="2982B16D" w14:textId="1C77096A" w:rsidR="002A417B" w:rsidRDefault="002A417B" w:rsidP="00E669E2">
          <w:pPr>
            <w:pStyle w:val="HeaderOdd"/>
          </w:pPr>
        </w:p>
      </w:tc>
      <w:tc>
        <w:tcPr>
          <w:tcW w:w="2155" w:type="dxa"/>
          <w:tcBorders>
            <w:top w:val="single" w:sz="24" w:space="0" w:color="auto"/>
          </w:tcBorders>
        </w:tcPr>
        <w:p w14:paraId="2982B16E" w14:textId="77777777" w:rsidR="002A417B" w:rsidRDefault="002A417B" w:rsidP="00E669E2">
          <w:pPr>
            <w:pStyle w:val="HeaderOdd"/>
          </w:pPr>
        </w:p>
      </w:tc>
    </w:tr>
  </w:tbl>
  <w:p w14:paraId="2982B170" w14:textId="77777777" w:rsidR="002A417B" w:rsidRDefault="002A417B" w:rsidP="00E669E2">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A1DBE" w14:textId="77777777" w:rsidR="002A417B" w:rsidRDefault="002A417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2A417B" w14:paraId="2982B18E" w14:textId="77777777">
      <w:tc>
        <w:tcPr>
          <w:tcW w:w="2155" w:type="dxa"/>
          <w:tcBorders>
            <w:top w:val="single" w:sz="24" w:space="0" w:color="auto"/>
          </w:tcBorders>
        </w:tcPr>
        <w:p w14:paraId="2982B18C" w14:textId="2474AB3B" w:rsidR="002A417B" w:rsidRDefault="002A417B" w:rsidP="0019293B">
          <w:pPr>
            <w:pStyle w:val="HeaderEven"/>
          </w:pPr>
        </w:p>
      </w:tc>
      <w:tc>
        <w:tcPr>
          <w:tcW w:w="6634" w:type="dxa"/>
          <w:tcBorders>
            <w:top w:val="single" w:sz="6" w:space="0" w:color="auto"/>
          </w:tcBorders>
        </w:tcPr>
        <w:p w14:paraId="2982B18D" w14:textId="77777777" w:rsidR="002A417B" w:rsidRDefault="002A417B" w:rsidP="0019293B">
          <w:pPr>
            <w:pStyle w:val="HeaderEven"/>
          </w:pPr>
        </w:p>
      </w:tc>
    </w:tr>
  </w:tbl>
  <w:p w14:paraId="2982B18F" w14:textId="77777777" w:rsidR="002A417B" w:rsidRDefault="002A417B" w:rsidP="0019293B">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A417B" w14:paraId="2982B192" w14:textId="77777777">
      <w:tc>
        <w:tcPr>
          <w:tcW w:w="6634" w:type="dxa"/>
          <w:tcBorders>
            <w:top w:val="single" w:sz="6" w:space="0" w:color="auto"/>
          </w:tcBorders>
        </w:tcPr>
        <w:p w14:paraId="2982B190" w14:textId="2AD9B620" w:rsidR="002A417B" w:rsidRDefault="002A417B" w:rsidP="00E669E2">
          <w:pPr>
            <w:pStyle w:val="HeaderOdd"/>
          </w:pPr>
        </w:p>
      </w:tc>
      <w:tc>
        <w:tcPr>
          <w:tcW w:w="2155" w:type="dxa"/>
          <w:tcBorders>
            <w:top w:val="single" w:sz="24" w:space="0" w:color="auto"/>
          </w:tcBorders>
        </w:tcPr>
        <w:p w14:paraId="2982B191" w14:textId="77777777" w:rsidR="002A417B" w:rsidRDefault="002A417B" w:rsidP="00E669E2">
          <w:pPr>
            <w:pStyle w:val="HeaderOdd"/>
          </w:pPr>
        </w:p>
      </w:tc>
    </w:tr>
  </w:tbl>
  <w:p w14:paraId="2982B193" w14:textId="77777777" w:rsidR="002A417B" w:rsidRDefault="002A417B" w:rsidP="00E669E2">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2B19E" w14:textId="1DB0D8AA" w:rsidR="002A417B" w:rsidRDefault="002A417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A417B" w14:paraId="2982B1A1" w14:textId="77777777">
      <w:tc>
        <w:tcPr>
          <w:tcW w:w="6634" w:type="dxa"/>
          <w:tcBorders>
            <w:top w:val="single" w:sz="6" w:space="0" w:color="auto"/>
          </w:tcBorders>
        </w:tcPr>
        <w:p w14:paraId="2982B19F" w14:textId="69D7CDB6" w:rsidR="002A417B" w:rsidRDefault="002A417B" w:rsidP="00E669E2">
          <w:pPr>
            <w:pStyle w:val="HeaderOdd"/>
          </w:pPr>
        </w:p>
      </w:tc>
      <w:tc>
        <w:tcPr>
          <w:tcW w:w="2155" w:type="dxa"/>
          <w:tcBorders>
            <w:top w:val="single" w:sz="24" w:space="0" w:color="auto"/>
          </w:tcBorders>
        </w:tcPr>
        <w:p w14:paraId="2982B1A0" w14:textId="77777777" w:rsidR="002A417B" w:rsidRDefault="002A417B" w:rsidP="00E669E2">
          <w:pPr>
            <w:pStyle w:val="HeaderOdd"/>
          </w:pPr>
        </w:p>
      </w:tc>
    </w:tr>
  </w:tbl>
  <w:p w14:paraId="2982B1A2" w14:textId="77777777" w:rsidR="002A417B" w:rsidRDefault="002A417B"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8222F0"/>
    <w:lvl w:ilvl="0">
      <w:start w:val="1"/>
      <w:numFmt w:val="decimal"/>
      <w:lvlText w:val="%1."/>
      <w:lvlJc w:val="left"/>
      <w:pPr>
        <w:tabs>
          <w:tab w:val="num" w:pos="1492"/>
        </w:tabs>
        <w:ind w:left="1492" w:hanging="360"/>
      </w:pPr>
    </w:lvl>
  </w:abstractNum>
  <w:abstractNum w:abstractNumId="1">
    <w:nsid w:val="FFFFFF7D"/>
    <w:multiLevelType w:val="singleLevel"/>
    <w:tmpl w:val="D098E8EC"/>
    <w:lvl w:ilvl="0">
      <w:start w:val="1"/>
      <w:numFmt w:val="decimal"/>
      <w:lvlText w:val="%1."/>
      <w:lvlJc w:val="left"/>
      <w:pPr>
        <w:tabs>
          <w:tab w:val="num" w:pos="1209"/>
        </w:tabs>
        <w:ind w:left="1209" w:hanging="360"/>
      </w:pPr>
    </w:lvl>
  </w:abstractNum>
  <w:abstractNum w:abstractNumId="2">
    <w:nsid w:val="FFFFFF80"/>
    <w:multiLevelType w:val="singleLevel"/>
    <w:tmpl w:val="FF2E47D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17E037B8"/>
    <w:lvl w:ilvl="0">
      <w:start w:val="1"/>
      <w:numFmt w:val="bullet"/>
      <w:lvlText w:val=""/>
      <w:lvlJc w:val="left"/>
      <w:pPr>
        <w:tabs>
          <w:tab w:val="num" w:pos="1209"/>
        </w:tabs>
        <w:ind w:left="1209" w:hanging="360"/>
      </w:pPr>
      <w:rPr>
        <w:rFonts w:ascii="Symbol" w:hAnsi="Symbol" w:hint="default"/>
      </w:rPr>
    </w:lvl>
  </w:abstractNum>
  <w:abstractNum w:abstractNumId="4">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5">
    <w:nsid w:val="FFFFFFFE"/>
    <w:multiLevelType w:val="singleLevel"/>
    <w:tmpl w:val="FFFFFFFF"/>
    <w:lvl w:ilvl="0">
      <w:numFmt w:val="decimal"/>
      <w:lvlText w:val="*"/>
      <w:lvlJc w:val="left"/>
    </w:lvl>
  </w:abstractNum>
  <w:abstractNum w:abstractNumId="6">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36D1697"/>
    <w:multiLevelType w:val="hybridMultilevel"/>
    <w:tmpl w:val="C2E8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9">
    <w:nsid w:val="05890938"/>
    <w:multiLevelType w:val="hybridMultilevel"/>
    <w:tmpl w:val="CFEC2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5BC3D46"/>
    <w:multiLevelType w:val="hybridMultilevel"/>
    <w:tmpl w:val="B7629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2">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5">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7">
    <w:nsid w:val="24755837"/>
    <w:multiLevelType w:val="hybridMultilevel"/>
    <w:tmpl w:val="F398C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7AE719B"/>
    <w:multiLevelType w:val="hybridMultilevel"/>
    <w:tmpl w:val="208C0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2D5842C4"/>
    <w:multiLevelType w:val="hybridMultilevel"/>
    <w:tmpl w:val="B002C2B0"/>
    <w:lvl w:ilvl="0" w:tplc="FE5A5E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2">
    <w:nsid w:val="3E2C6992"/>
    <w:multiLevelType w:val="hybridMultilevel"/>
    <w:tmpl w:val="C9CC1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D403DE"/>
    <w:multiLevelType w:val="hybridMultilevel"/>
    <w:tmpl w:val="3BD6F744"/>
    <w:lvl w:ilvl="0" w:tplc="7F8C9068">
      <w:start w:val="1"/>
      <w:numFmt w:val="bullet"/>
      <w:pStyle w:val="Tablebullet2"/>
      <w:lvlText w:val=""/>
      <w:lvlJc w:val="left"/>
      <w:pPr>
        <w:ind w:left="890" w:hanging="360"/>
      </w:pPr>
      <w:rPr>
        <w:rFonts w:ascii="Symbol" w:hAnsi="Symbol" w:hint="default"/>
        <w:b w:val="0"/>
        <w:i w:val="0"/>
        <w:sz w:val="18"/>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4">
    <w:nsid w:val="4C2B5347"/>
    <w:multiLevelType w:val="hybridMultilevel"/>
    <w:tmpl w:val="8FF63A64"/>
    <w:lvl w:ilvl="0" w:tplc="720CA4D2">
      <w:start w:val="1"/>
      <w:numFmt w:val="bullet"/>
      <w:pStyle w:val="InformationRequestBullet"/>
      <w:lvlText w:val=""/>
      <w:lvlJc w:val="left"/>
      <w:pPr>
        <w:ind w:left="36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7">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8">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1">
    <w:nsid w:val="6C333307"/>
    <w:multiLevelType w:val="hybridMultilevel"/>
    <w:tmpl w:val="7DA0D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14955FD"/>
    <w:multiLevelType w:val="hybridMultilevel"/>
    <w:tmpl w:val="DD9AE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4">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5">
    <w:nsid w:val="7EFF439D"/>
    <w:multiLevelType w:val="hybridMultilevel"/>
    <w:tmpl w:val="30300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5"/>
  </w:num>
  <w:num w:numId="4">
    <w:abstractNumId w:val="8"/>
  </w:num>
  <w:num w:numId="5">
    <w:abstractNumId w:val="30"/>
  </w:num>
  <w:num w:numId="6">
    <w:abstractNumId w:val="27"/>
  </w:num>
  <w:num w:numId="7">
    <w:abstractNumId w:val="14"/>
  </w:num>
  <w:num w:numId="8">
    <w:abstractNumId w:val="26"/>
  </w:num>
  <w:num w:numId="9">
    <w:abstractNumId w:val="13"/>
  </w:num>
  <w:num w:numId="10">
    <w:abstractNumId w:val="12"/>
  </w:num>
  <w:num w:numId="11">
    <w:abstractNumId w:val="16"/>
  </w:num>
  <w:num w:numId="12">
    <w:abstractNumId w:val="19"/>
  </w:num>
  <w:num w:numId="13">
    <w:abstractNumId w:val="11"/>
  </w:num>
  <w:num w:numId="14">
    <w:abstractNumId w:val="28"/>
  </w:num>
  <w:num w:numId="15">
    <w:abstractNumId w:val="33"/>
  </w:num>
  <w:num w:numId="16">
    <w:abstractNumId w:val="24"/>
  </w:num>
  <w:num w:numId="17">
    <w:abstractNumId w:val="34"/>
  </w:num>
  <w:num w:numId="18">
    <w:abstractNumId w:val="4"/>
  </w:num>
  <w:num w:numId="19">
    <w:abstractNumId w:val="5"/>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9"/>
  </w:num>
  <w:num w:numId="21">
    <w:abstractNumId w:val="15"/>
  </w:num>
  <w:num w:numId="22">
    <w:abstractNumId w:val="3"/>
  </w:num>
  <w:num w:numId="23">
    <w:abstractNumId w:val="2"/>
  </w:num>
  <w:num w:numId="24">
    <w:abstractNumId w:val="1"/>
  </w:num>
  <w:num w:numId="25">
    <w:abstractNumId w:val="0"/>
  </w:num>
  <w:num w:numId="26">
    <w:abstractNumId w:val="11"/>
  </w:num>
  <w:num w:numId="27">
    <w:abstractNumId w:val="24"/>
  </w:num>
  <w:num w:numId="28">
    <w:abstractNumId w:val="8"/>
  </w:num>
  <w:num w:numId="29">
    <w:abstractNumId w:val="24"/>
  </w:num>
  <w:num w:numId="30">
    <w:abstractNumId w:val="24"/>
  </w:num>
  <w:num w:numId="31">
    <w:abstractNumId w:val="24"/>
  </w:num>
  <w:num w:numId="32">
    <w:abstractNumId w:val="25"/>
  </w:num>
  <w:num w:numId="33">
    <w:abstractNumId w:val="25"/>
  </w:num>
  <w:num w:numId="34">
    <w:abstractNumId w:val="24"/>
  </w:num>
  <w:num w:numId="35">
    <w:abstractNumId w:val="21"/>
  </w:num>
  <w:num w:numId="36">
    <w:abstractNumId w:val="24"/>
  </w:num>
  <w:num w:numId="37">
    <w:abstractNumId w:val="24"/>
  </w:num>
  <w:num w:numId="38">
    <w:abstractNumId w:val="24"/>
  </w:num>
  <w:num w:numId="39">
    <w:abstractNumId w:val="20"/>
  </w:num>
  <w:num w:numId="40">
    <w:abstractNumId w:val="24"/>
  </w:num>
  <w:num w:numId="41">
    <w:abstractNumId w:val="24"/>
  </w:num>
  <w:num w:numId="42">
    <w:abstractNumId w:val="35"/>
  </w:num>
  <w:num w:numId="43">
    <w:abstractNumId w:val="25"/>
  </w:num>
  <w:num w:numId="44">
    <w:abstractNumId w:val="17"/>
  </w:num>
  <w:num w:numId="45">
    <w:abstractNumId w:val="7"/>
  </w:num>
  <w:num w:numId="46">
    <w:abstractNumId w:val="18"/>
  </w:num>
  <w:num w:numId="47">
    <w:abstractNumId w:val="22"/>
  </w:num>
  <w:num w:numId="48">
    <w:abstractNumId w:val="9"/>
  </w:num>
  <w:num w:numId="49">
    <w:abstractNumId w:val="31"/>
  </w:num>
  <w:num w:numId="50">
    <w:abstractNumId w:val="32"/>
  </w:num>
  <w:num w:numId="51">
    <w:abstractNumId w:val="26"/>
  </w:num>
  <w:num w:numId="52">
    <w:abstractNumId w:val="26"/>
  </w:num>
  <w:num w:numId="53">
    <w:abstractNumId w:val="26"/>
  </w:num>
  <w:num w:numId="54">
    <w:abstractNumId w:val="26"/>
  </w:num>
  <w:num w:numId="55">
    <w:abstractNumId w:val="26"/>
  </w:num>
  <w:num w:numId="56">
    <w:abstractNumId w:val="26"/>
  </w:num>
  <w:num w:numId="57">
    <w:abstractNumId w:val="10"/>
  </w:num>
  <w:num w:numId="58">
    <w:abstractNumId w:val="24"/>
  </w:num>
  <w:num w:numId="59">
    <w:abstractNumId w:val="11"/>
  </w:num>
  <w:num w:numId="60">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lickAndTypeStyle w:val="BodyText"/>
  <w:evenAndOddHeaders/>
  <w:characterSpacingControl w:val="doNotCompress"/>
  <w:hdrShapeDefaults>
    <o:shapedefaults v:ext="edit" spidmax="209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D96BB8"/>
    <w:rsid w:val="0000087B"/>
    <w:rsid w:val="00000FFD"/>
    <w:rsid w:val="0000130F"/>
    <w:rsid w:val="000013B9"/>
    <w:rsid w:val="00001524"/>
    <w:rsid w:val="00001A39"/>
    <w:rsid w:val="000030F3"/>
    <w:rsid w:val="000041F6"/>
    <w:rsid w:val="00004A94"/>
    <w:rsid w:val="000058BB"/>
    <w:rsid w:val="00005A05"/>
    <w:rsid w:val="00005C7C"/>
    <w:rsid w:val="00005EC4"/>
    <w:rsid w:val="00006007"/>
    <w:rsid w:val="000066DA"/>
    <w:rsid w:val="000067CC"/>
    <w:rsid w:val="00006997"/>
    <w:rsid w:val="00006B12"/>
    <w:rsid w:val="00006C94"/>
    <w:rsid w:val="00006DF5"/>
    <w:rsid w:val="00007246"/>
    <w:rsid w:val="00007262"/>
    <w:rsid w:val="00007B91"/>
    <w:rsid w:val="00007CD2"/>
    <w:rsid w:val="000107D6"/>
    <w:rsid w:val="00010A7D"/>
    <w:rsid w:val="0001125E"/>
    <w:rsid w:val="00011EFE"/>
    <w:rsid w:val="00012287"/>
    <w:rsid w:val="0001241F"/>
    <w:rsid w:val="00012B55"/>
    <w:rsid w:val="000130DC"/>
    <w:rsid w:val="00013344"/>
    <w:rsid w:val="00013437"/>
    <w:rsid w:val="00013458"/>
    <w:rsid w:val="00013717"/>
    <w:rsid w:val="0001390B"/>
    <w:rsid w:val="00013BC8"/>
    <w:rsid w:val="00014B05"/>
    <w:rsid w:val="00014BA4"/>
    <w:rsid w:val="00014BE7"/>
    <w:rsid w:val="00014E5D"/>
    <w:rsid w:val="0001607C"/>
    <w:rsid w:val="00016902"/>
    <w:rsid w:val="00016C0E"/>
    <w:rsid w:val="00016D10"/>
    <w:rsid w:val="00016E03"/>
    <w:rsid w:val="000174FB"/>
    <w:rsid w:val="0001752A"/>
    <w:rsid w:val="000206B8"/>
    <w:rsid w:val="00020FC2"/>
    <w:rsid w:val="000227D5"/>
    <w:rsid w:val="00022974"/>
    <w:rsid w:val="00022AAA"/>
    <w:rsid w:val="00022D00"/>
    <w:rsid w:val="00022E8F"/>
    <w:rsid w:val="00023C19"/>
    <w:rsid w:val="00023E6B"/>
    <w:rsid w:val="00024095"/>
    <w:rsid w:val="000241F1"/>
    <w:rsid w:val="000245AA"/>
    <w:rsid w:val="000247BC"/>
    <w:rsid w:val="00024D3F"/>
    <w:rsid w:val="00024EC6"/>
    <w:rsid w:val="00024F78"/>
    <w:rsid w:val="00025612"/>
    <w:rsid w:val="00025A80"/>
    <w:rsid w:val="000260E5"/>
    <w:rsid w:val="00026999"/>
    <w:rsid w:val="00027450"/>
    <w:rsid w:val="000274D3"/>
    <w:rsid w:val="000277C9"/>
    <w:rsid w:val="000279F8"/>
    <w:rsid w:val="00030180"/>
    <w:rsid w:val="0003041A"/>
    <w:rsid w:val="00030A64"/>
    <w:rsid w:val="00030C8A"/>
    <w:rsid w:val="00030FB9"/>
    <w:rsid w:val="00031DDB"/>
    <w:rsid w:val="00031E5F"/>
    <w:rsid w:val="0003247A"/>
    <w:rsid w:val="000325C7"/>
    <w:rsid w:val="00032701"/>
    <w:rsid w:val="00032A3C"/>
    <w:rsid w:val="00033252"/>
    <w:rsid w:val="000333C1"/>
    <w:rsid w:val="00033708"/>
    <w:rsid w:val="0003377C"/>
    <w:rsid w:val="0003381D"/>
    <w:rsid w:val="00033C4B"/>
    <w:rsid w:val="00033D59"/>
    <w:rsid w:val="00034734"/>
    <w:rsid w:val="00034A8A"/>
    <w:rsid w:val="00034BB7"/>
    <w:rsid w:val="00035551"/>
    <w:rsid w:val="0003556D"/>
    <w:rsid w:val="00035A62"/>
    <w:rsid w:val="00035CA3"/>
    <w:rsid w:val="00035E4E"/>
    <w:rsid w:val="000362C8"/>
    <w:rsid w:val="0003664B"/>
    <w:rsid w:val="0003780E"/>
    <w:rsid w:val="00037980"/>
    <w:rsid w:val="00037D56"/>
    <w:rsid w:val="00037EBE"/>
    <w:rsid w:val="00037ECC"/>
    <w:rsid w:val="00037F3D"/>
    <w:rsid w:val="00037F8F"/>
    <w:rsid w:val="00040163"/>
    <w:rsid w:val="0004049B"/>
    <w:rsid w:val="000405E8"/>
    <w:rsid w:val="000408C9"/>
    <w:rsid w:val="00040A41"/>
    <w:rsid w:val="00040AAA"/>
    <w:rsid w:val="00040F62"/>
    <w:rsid w:val="00041103"/>
    <w:rsid w:val="0004111F"/>
    <w:rsid w:val="000411EE"/>
    <w:rsid w:val="00041E29"/>
    <w:rsid w:val="00042ADE"/>
    <w:rsid w:val="00042CDA"/>
    <w:rsid w:val="000433A7"/>
    <w:rsid w:val="00043644"/>
    <w:rsid w:val="00043B78"/>
    <w:rsid w:val="000440AD"/>
    <w:rsid w:val="00044302"/>
    <w:rsid w:val="000443F3"/>
    <w:rsid w:val="0004481D"/>
    <w:rsid w:val="00044D19"/>
    <w:rsid w:val="000453AA"/>
    <w:rsid w:val="0004572B"/>
    <w:rsid w:val="00045D63"/>
    <w:rsid w:val="000461DC"/>
    <w:rsid w:val="0004637A"/>
    <w:rsid w:val="000463AD"/>
    <w:rsid w:val="0004675E"/>
    <w:rsid w:val="00046948"/>
    <w:rsid w:val="0004749D"/>
    <w:rsid w:val="00047EFC"/>
    <w:rsid w:val="000503D0"/>
    <w:rsid w:val="00050981"/>
    <w:rsid w:val="000513EB"/>
    <w:rsid w:val="000516F2"/>
    <w:rsid w:val="000518DB"/>
    <w:rsid w:val="000518E3"/>
    <w:rsid w:val="00051D43"/>
    <w:rsid w:val="00051F3F"/>
    <w:rsid w:val="000525C3"/>
    <w:rsid w:val="000527F4"/>
    <w:rsid w:val="00052833"/>
    <w:rsid w:val="00052A76"/>
    <w:rsid w:val="00052B89"/>
    <w:rsid w:val="00052E48"/>
    <w:rsid w:val="000536F8"/>
    <w:rsid w:val="00053B66"/>
    <w:rsid w:val="00053E31"/>
    <w:rsid w:val="00053EAF"/>
    <w:rsid w:val="00054498"/>
    <w:rsid w:val="0005484D"/>
    <w:rsid w:val="00054DA5"/>
    <w:rsid w:val="00055077"/>
    <w:rsid w:val="00055326"/>
    <w:rsid w:val="00055627"/>
    <w:rsid w:val="00055B35"/>
    <w:rsid w:val="00055EB8"/>
    <w:rsid w:val="000565B3"/>
    <w:rsid w:val="000568D6"/>
    <w:rsid w:val="00056B43"/>
    <w:rsid w:val="00056FEE"/>
    <w:rsid w:val="0005719D"/>
    <w:rsid w:val="000573F8"/>
    <w:rsid w:val="0005773A"/>
    <w:rsid w:val="0006042D"/>
    <w:rsid w:val="00060447"/>
    <w:rsid w:val="0006051E"/>
    <w:rsid w:val="000608EC"/>
    <w:rsid w:val="00060B8F"/>
    <w:rsid w:val="00061347"/>
    <w:rsid w:val="00061BB4"/>
    <w:rsid w:val="00061BE7"/>
    <w:rsid w:val="00061EF9"/>
    <w:rsid w:val="00061F2E"/>
    <w:rsid w:val="00062465"/>
    <w:rsid w:val="00062DCF"/>
    <w:rsid w:val="00062DF3"/>
    <w:rsid w:val="000630C3"/>
    <w:rsid w:val="00063A65"/>
    <w:rsid w:val="00063F64"/>
    <w:rsid w:val="000641EF"/>
    <w:rsid w:val="0006476E"/>
    <w:rsid w:val="00064FF0"/>
    <w:rsid w:val="00065494"/>
    <w:rsid w:val="00065CF2"/>
    <w:rsid w:val="00065FF5"/>
    <w:rsid w:val="00066413"/>
    <w:rsid w:val="00067921"/>
    <w:rsid w:val="00067CCC"/>
    <w:rsid w:val="00067CEC"/>
    <w:rsid w:val="00067E80"/>
    <w:rsid w:val="00070341"/>
    <w:rsid w:val="000704D8"/>
    <w:rsid w:val="00070BD5"/>
    <w:rsid w:val="00070CE8"/>
    <w:rsid w:val="00070CFE"/>
    <w:rsid w:val="0007150B"/>
    <w:rsid w:val="00071D79"/>
    <w:rsid w:val="00071F6D"/>
    <w:rsid w:val="00071F8F"/>
    <w:rsid w:val="000722C4"/>
    <w:rsid w:val="000722C6"/>
    <w:rsid w:val="000722E6"/>
    <w:rsid w:val="00072708"/>
    <w:rsid w:val="000737BC"/>
    <w:rsid w:val="00074189"/>
    <w:rsid w:val="0007424B"/>
    <w:rsid w:val="0007493C"/>
    <w:rsid w:val="00074F22"/>
    <w:rsid w:val="00075944"/>
    <w:rsid w:val="00075A75"/>
    <w:rsid w:val="000765B4"/>
    <w:rsid w:val="00076703"/>
    <w:rsid w:val="00077171"/>
    <w:rsid w:val="000771FE"/>
    <w:rsid w:val="00077EDC"/>
    <w:rsid w:val="0008003A"/>
    <w:rsid w:val="000801E0"/>
    <w:rsid w:val="0008085D"/>
    <w:rsid w:val="00080E61"/>
    <w:rsid w:val="00081132"/>
    <w:rsid w:val="00081EE7"/>
    <w:rsid w:val="00081F14"/>
    <w:rsid w:val="00082328"/>
    <w:rsid w:val="0008264C"/>
    <w:rsid w:val="0008265C"/>
    <w:rsid w:val="00082758"/>
    <w:rsid w:val="00082794"/>
    <w:rsid w:val="0008293B"/>
    <w:rsid w:val="00082B2E"/>
    <w:rsid w:val="0008303B"/>
    <w:rsid w:val="00083558"/>
    <w:rsid w:val="00083910"/>
    <w:rsid w:val="00083A49"/>
    <w:rsid w:val="00083AA7"/>
    <w:rsid w:val="00084A8E"/>
    <w:rsid w:val="00084CF9"/>
    <w:rsid w:val="00085040"/>
    <w:rsid w:val="000850D0"/>
    <w:rsid w:val="0008514E"/>
    <w:rsid w:val="0008567B"/>
    <w:rsid w:val="00085807"/>
    <w:rsid w:val="00085F5D"/>
    <w:rsid w:val="000863C1"/>
    <w:rsid w:val="000866C0"/>
    <w:rsid w:val="000875A1"/>
    <w:rsid w:val="0008788E"/>
    <w:rsid w:val="00087CC8"/>
    <w:rsid w:val="00087E55"/>
    <w:rsid w:val="00087FAB"/>
    <w:rsid w:val="00090505"/>
    <w:rsid w:val="00090C18"/>
    <w:rsid w:val="00090F35"/>
    <w:rsid w:val="00090FB6"/>
    <w:rsid w:val="000915A5"/>
    <w:rsid w:val="00091B9B"/>
    <w:rsid w:val="00091EC3"/>
    <w:rsid w:val="00092861"/>
    <w:rsid w:val="00092B81"/>
    <w:rsid w:val="00092D5E"/>
    <w:rsid w:val="00092DDF"/>
    <w:rsid w:val="000938F5"/>
    <w:rsid w:val="0009425B"/>
    <w:rsid w:val="000949C4"/>
    <w:rsid w:val="00094A80"/>
    <w:rsid w:val="00095663"/>
    <w:rsid w:val="0009585B"/>
    <w:rsid w:val="00095EB6"/>
    <w:rsid w:val="00095F82"/>
    <w:rsid w:val="0009636E"/>
    <w:rsid w:val="000963AD"/>
    <w:rsid w:val="00096C99"/>
    <w:rsid w:val="00096D39"/>
    <w:rsid w:val="00096E55"/>
    <w:rsid w:val="00097285"/>
    <w:rsid w:val="0009783E"/>
    <w:rsid w:val="000A054C"/>
    <w:rsid w:val="000A083D"/>
    <w:rsid w:val="000A0A54"/>
    <w:rsid w:val="000A0CC0"/>
    <w:rsid w:val="000A175D"/>
    <w:rsid w:val="000A2A01"/>
    <w:rsid w:val="000A42D1"/>
    <w:rsid w:val="000A4AFE"/>
    <w:rsid w:val="000A5AF8"/>
    <w:rsid w:val="000A5CD0"/>
    <w:rsid w:val="000A5F3A"/>
    <w:rsid w:val="000A6B9E"/>
    <w:rsid w:val="000A6BC5"/>
    <w:rsid w:val="000A6C92"/>
    <w:rsid w:val="000A6FF7"/>
    <w:rsid w:val="000A723F"/>
    <w:rsid w:val="000A736B"/>
    <w:rsid w:val="000A74F2"/>
    <w:rsid w:val="000A770B"/>
    <w:rsid w:val="000A77E2"/>
    <w:rsid w:val="000A7DE8"/>
    <w:rsid w:val="000B002E"/>
    <w:rsid w:val="000B027A"/>
    <w:rsid w:val="000B05F1"/>
    <w:rsid w:val="000B06F9"/>
    <w:rsid w:val="000B0920"/>
    <w:rsid w:val="000B0A35"/>
    <w:rsid w:val="000B0D77"/>
    <w:rsid w:val="000B1022"/>
    <w:rsid w:val="000B1105"/>
    <w:rsid w:val="000B1BAE"/>
    <w:rsid w:val="000B1E3C"/>
    <w:rsid w:val="000B2064"/>
    <w:rsid w:val="000B219D"/>
    <w:rsid w:val="000B2399"/>
    <w:rsid w:val="000B23A0"/>
    <w:rsid w:val="000B3425"/>
    <w:rsid w:val="000B3903"/>
    <w:rsid w:val="000B3951"/>
    <w:rsid w:val="000B3997"/>
    <w:rsid w:val="000B3B57"/>
    <w:rsid w:val="000B5004"/>
    <w:rsid w:val="000B5105"/>
    <w:rsid w:val="000B601B"/>
    <w:rsid w:val="000B69C4"/>
    <w:rsid w:val="000B6A63"/>
    <w:rsid w:val="000B6A99"/>
    <w:rsid w:val="000B6E13"/>
    <w:rsid w:val="000B6E9F"/>
    <w:rsid w:val="000B6F09"/>
    <w:rsid w:val="000B78A0"/>
    <w:rsid w:val="000B7B88"/>
    <w:rsid w:val="000B7D15"/>
    <w:rsid w:val="000B7D7B"/>
    <w:rsid w:val="000B7F75"/>
    <w:rsid w:val="000C0386"/>
    <w:rsid w:val="000C0492"/>
    <w:rsid w:val="000C08BF"/>
    <w:rsid w:val="000C099B"/>
    <w:rsid w:val="000C0BB8"/>
    <w:rsid w:val="000C118C"/>
    <w:rsid w:val="000C155D"/>
    <w:rsid w:val="000C1680"/>
    <w:rsid w:val="000C1C15"/>
    <w:rsid w:val="000C1DEA"/>
    <w:rsid w:val="000C207E"/>
    <w:rsid w:val="000C2532"/>
    <w:rsid w:val="000C2BA7"/>
    <w:rsid w:val="000C2DED"/>
    <w:rsid w:val="000C2F06"/>
    <w:rsid w:val="000C3817"/>
    <w:rsid w:val="000C3BA8"/>
    <w:rsid w:val="000C3E6A"/>
    <w:rsid w:val="000C3F01"/>
    <w:rsid w:val="000C40DC"/>
    <w:rsid w:val="000C466E"/>
    <w:rsid w:val="000C469C"/>
    <w:rsid w:val="000C47B0"/>
    <w:rsid w:val="000C496A"/>
    <w:rsid w:val="000C4DC4"/>
    <w:rsid w:val="000C4E7D"/>
    <w:rsid w:val="000C516C"/>
    <w:rsid w:val="000C5202"/>
    <w:rsid w:val="000C5213"/>
    <w:rsid w:val="000C53C8"/>
    <w:rsid w:val="000C5765"/>
    <w:rsid w:val="000C5A2A"/>
    <w:rsid w:val="000C5AB6"/>
    <w:rsid w:val="000C60C4"/>
    <w:rsid w:val="000C6C7D"/>
    <w:rsid w:val="000C6EE7"/>
    <w:rsid w:val="000C6F2D"/>
    <w:rsid w:val="000C7622"/>
    <w:rsid w:val="000C7814"/>
    <w:rsid w:val="000C7CDB"/>
    <w:rsid w:val="000D0089"/>
    <w:rsid w:val="000D030B"/>
    <w:rsid w:val="000D0BE3"/>
    <w:rsid w:val="000D1085"/>
    <w:rsid w:val="000D117C"/>
    <w:rsid w:val="000D126E"/>
    <w:rsid w:val="000D14B3"/>
    <w:rsid w:val="000D1520"/>
    <w:rsid w:val="000D1988"/>
    <w:rsid w:val="000D1BCA"/>
    <w:rsid w:val="000D1EC1"/>
    <w:rsid w:val="000D34DE"/>
    <w:rsid w:val="000D3C73"/>
    <w:rsid w:val="000D41E9"/>
    <w:rsid w:val="000D441E"/>
    <w:rsid w:val="000D470D"/>
    <w:rsid w:val="000D4C42"/>
    <w:rsid w:val="000D4CBC"/>
    <w:rsid w:val="000D54C6"/>
    <w:rsid w:val="000D5CE7"/>
    <w:rsid w:val="000D5D4C"/>
    <w:rsid w:val="000D6198"/>
    <w:rsid w:val="000D63E6"/>
    <w:rsid w:val="000D65BE"/>
    <w:rsid w:val="000D66A4"/>
    <w:rsid w:val="000D66DA"/>
    <w:rsid w:val="000D709F"/>
    <w:rsid w:val="000D7114"/>
    <w:rsid w:val="000D782A"/>
    <w:rsid w:val="000D7A9B"/>
    <w:rsid w:val="000D7DEA"/>
    <w:rsid w:val="000E0275"/>
    <w:rsid w:val="000E0802"/>
    <w:rsid w:val="000E0D00"/>
    <w:rsid w:val="000E153F"/>
    <w:rsid w:val="000E1A29"/>
    <w:rsid w:val="000E1C6B"/>
    <w:rsid w:val="000E1E55"/>
    <w:rsid w:val="000E23C2"/>
    <w:rsid w:val="000E2651"/>
    <w:rsid w:val="000E2D97"/>
    <w:rsid w:val="000E2F62"/>
    <w:rsid w:val="000E315C"/>
    <w:rsid w:val="000E32BB"/>
    <w:rsid w:val="000E3B1E"/>
    <w:rsid w:val="000E3DA2"/>
    <w:rsid w:val="000E3DC1"/>
    <w:rsid w:val="000E4616"/>
    <w:rsid w:val="000E487D"/>
    <w:rsid w:val="000E48DF"/>
    <w:rsid w:val="000E4A2C"/>
    <w:rsid w:val="000E4BCD"/>
    <w:rsid w:val="000E5854"/>
    <w:rsid w:val="000E5CA9"/>
    <w:rsid w:val="000E5CD2"/>
    <w:rsid w:val="000E5D01"/>
    <w:rsid w:val="000E5EE4"/>
    <w:rsid w:val="000E6302"/>
    <w:rsid w:val="000E67BC"/>
    <w:rsid w:val="000E7046"/>
    <w:rsid w:val="000E7141"/>
    <w:rsid w:val="000E7570"/>
    <w:rsid w:val="000E7678"/>
    <w:rsid w:val="000E7981"/>
    <w:rsid w:val="000E7B60"/>
    <w:rsid w:val="000E7E3D"/>
    <w:rsid w:val="000F001B"/>
    <w:rsid w:val="000F0035"/>
    <w:rsid w:val="000F006C"/>
    <w:rsid w:val="000F111A"/>
    <w:rsid w:val="000F11E8"/>
    <w:rsid w:val="000F1443"/>
    <w:rsid w:val="000F15AB"/>
    <w:rsid w:val="000F176D"/>
    <w:rsid w:val="000F1F0D"/>
    <w:rsid w:val="000F2122"/>
    <w:rsid w:val="000F2335"/>
    <w:rsid w:val="000F24EE"/>
    <w:rsid w:val="000F258E"/>
    <w:rsid w:val="000F420B"/>
    <w:rsid w:val="000F42D6"/>
    <w:rsid w:val="000F4D5F"/>
    <w:rsid w:val="000F50F4"/>
    <w:rsid w:val="000F5775"/>
    <w:rsid w:val="000F5909"/>
    <w:rsid w:val="000F59CE"/>
    <w:rsid w:val="000F5A13"/>
    <w:rsid w:val="000F5A9C"/>
    <w:rsid w:val="000F63D7"/>
    <w:rsid w:val="000F67BC"/>
    <w:rsid w:val="000F6A49"/>
    <w:rsid w:val="000F6B29"/>
    <w:rsid w:val="000F6D29"/>
    <w:rsid w:val="000F6F34"/>
    <w:rsid w:val="000F778F"/>
    <w:rsid w:val="0010040D"/>
    <w:rsid w:val="0010055A"/>
    <w:rsid w:val="0010073B"/>
    <w:rsid w:val="00100B46"/>
    <w:rsid w:val="00100F59"/>
    <w:rsid w:val="001013FC"/>
    <w:rsid w:val="00101807"/>
    <w:rsid w:val="00101874"/>
    <w:rsid w:val="001018DB"/>
    <w:rsid w:val="00101BD3"/>
    <w:rsid w:val="00101E06"/>
    <w:rsid w:val="0010207B"/>
    <w:rsid w:val="001025B9"/>
    <w:rsid w:val="001026AB"/>
    <w:rsid w:val="001028F1"/>
    <w:rsid w:val="00102901"/>
    <w:rsid w:val="001029B1"/>
    <w:rsid w:val="00102BBB"/>
    <w:rsid w:val="00102C39"/>
    <w:rsid w:val="00103207"/>
    <w:rsid w:val="00103495"/>
    <w:rsid w:val="00103591"/>
    <w:rsid w:val="0010380B"/>
    <w:rsid w:val="00103FE5"/>
    <w:rsid w:val="001042D3"/>
    <w:rsid w:val="001047A7"/>
    <w:rsid w:val="00104B54"/>
    <w:rsid w:val="00104D09"/>
    <w:rsid w:val="00104D1B"/>
    <w:rsid w:val="001054A8"/>
    <w:rsid w:val="001054F3"/>
    <w:rsid w:val="00105B64"/>
    <w:rsid w:val="00105E98"/>
    <w:rsid w:val="00105EC8"/>
    <w:rsid w:val="00105FA1"/>
    <w:rsid w:val="00106CF9"/>
    <w:rsid w:val="00106E01"/>
    <w:rsid w:val="0010713A"/>
    <w:rsid w:val="00107379"/>
    <w:rsid w:val="00110116"/>
    <w:rsid w:val="0011041A"/>
    <w:rsid w:val="001105E3"/>
    <w:rsid w:val="001106BB"/>
    <w:rsid w:val="0011172F"/>
    <w:rsid w:val="00112013"/>
    <w:rsid w:val="001122E9"/>
    <w:rsid w:val="00112BD9"/>
    <w:rsid w:val="00113274"/>
    <w:rsid w:val="0011376D"/>
    <w:rsid w:val="001140E1"/>
    <w:rsid w:val="001144AA"/>
    <w:rsid w:val="001145DE"/>
    <w:rsid w:val="001166C4"/>
    <w:rsid w:val="00116757"/>
    <w:rsid w:val="00116FAE"/>
    <w:rsid w:val="00117561"/>
    <w:rsid w:val="001179B6"/>
    <w:rsid w:val="00117F1B"/>
    <w:rsid w:val="00120072"/>
    <w:rsid w:val="00120DC8"/>
    <w:rsid w:val="00121765"/>
    <w:rsid w:val="001217B3"/>
    <w:rsid w:val="00121E9D"/>
    <w:rsid w:val="0012214E"/>
    <w:rsid w:val="001226B9"/>
    <w:rsid w:val="00122B0C"/>
    <w:rsid w:val="00122CE6"/>
    <w:rsid w:val="00122DAF"/>
    <w:rsid w:val="00122FEF"/>
    <w:rsid w:val="001233BB"/>
    <w:rsid w:val="00123A52"/>
    <w:rsid w:val="00123CD4"/>
    <w:rsid w:val="00123D02"/>
    <w:rsid w:val="00123F64"/>
    <w:rsid w:val="001240D6"/>
    <w:rsid w:val="00124428"/>
    <w:rsid w:val="001249B4"/>
    <w:rsid w:val="00124A18"/>
    <w:rsid w:val="00124C51"/>
    <w:rsid w:val="00124C6F"/>
    <w:rsid w:val="00124C92"/>
    <w:rsid w:val="0012571D"/>
    <w:rsid w:val="00125954"/>
    <w:rsid w:val="00126504"/>
    <w:rsid w:val="00126569"/>
    <w:rsid w:val="00126ACC"/>
    <w:rsid w:val="00126D17"/>
    <w:rsid w:val="00126E07"/>
    <w:rsid w:val="00126EB8"/>
    <w:rsid w:val="00126F98"/>
    <w:rsid w:val="001274D4"/>
    <w:rsid w:val="00127516"/>
    <w:rsid w:val="00127562"/>
    <w:rsid w:val="001276D9"/>
    <w:rsid w:val="00127BA6"/>
    <w:rsid w:val="001302AE"/>
    <w:rsid w:val="00130CC3"/>
    <w:rsid w:val="00130F7A"/>
    <w:rsid w:val="00131D4C"/>
    <w:rsid w:val="001321A1"/>
    <w:rsid w:val="001322B9"/>
    <w:rsid w:val="00132528"/>
    <w:rsid w:val="00132F2B"/>
    <w:rsid w:val="00133034"/>
    <w:rsid w:val="001333C4"/>
    <w:rsid w:val="00134094"/>
    <w:rsid w:val="00135055"/>
    <w:rsid w:val="00135062"/>
    <w:rsid w:val="00135855"/>
    <w:rsid w:val="001358BB"/>
    <w:rsid w:val="00135F51"/>
    <w:rsid w:val="00136233"/>
    <w:rsid w:val="001362D2"/>
    <w:rsid w:val="001363AA"/>
    <w:rsid w:val="0013640A"/>
    <w:rsid w:val="00136430"/>
    <w:rsid w:val="00136506"/>
    <w:rsid w:val="00136670"/>
    <w:rsid w:val="001368D2"/>
    <w:rsid w:val="00136B03"/>
    <w:rsid w:val="00137075"/>
    <w:rsid w:val="00137345"/>
    <w:rsid w:val="0013739A"/>
    <w:rsid w:val="00137578"/>
    <w:rsid w:val="001376B9"/>
    <w:rsid w:val="00137ABA"/>
    <w:rsid w:val="00137C38"/>
    <w:rsid w:val="00137E11"/>
    <w:rsid w:val="00137F7B"/>
    <w:rsid w:val="00140135"/>
    <w:rsid w:val="0014126F"/>
    <w:rsid w:val="001413C0"/>
    <w:rsid w:val="00141477"/>
    <w:rsid w:val="00141595"/>
    <w:rsid w:val="001417B0"/>
    <w:rsid w:val="00141B18"/>
    <w:rsid w:val="001423A6"/>
    <w:rsid w:val="00143A00"/>
    <w:rsid w:val="00143CC5"/>
    <w:rsid w:val="001448E3"/>
    <w:rsid w:val="00144B42"/>
    <w:rsid w:val="00145628"/>
    <w:rsid w:val="0014608B"/>
    <w:rsid w:val="001465DB"/>
    <w:rsid w:val="001475AC"/>
    <w:rsid w:val="00147719"/>
    <w:rsid w:val="00147B3B"/>
    <w:rsid w:val="00147D61"/>
    <w:rsid w:val="00147F6F"/>
    <w:rsid w:val="00150100"/>
    <w:rsid w:val="00150150"/>
    <w:rsid w:val="001501F0"/>
    <w:rsid w:val="00150205"/>
    <w:rsid w:val="00150B44"/>
    <w:rsid w:val="00150F76"/>
    <w:rsid w:val="00150F84"/>
    <w:rsid w:val="001516C6"/>
    <w:rsid w:val="00151852"/>
    <w:rsid w:val="001519B5"/>
    <w:rsid w:val="00151BC9"/>
    <w:rsid w:val="00151F75"/>
    <w:rsid w:val="00152235"/>
    <w:rsid w:val="0015229E"/>
    <w:rsid w:val="00152385"/>
    <w:rsid w:val="001523E1"/>
    <w:rsid w:val="00152846"/>
    <w:rsid w:val="00152ABA"/>
    <w:rsid w:val="00152F17"/>
    <w:rsid w:val="0015315D"/>
    <w:rsid w:val="00153170"/>
    <w:rsid w:val="001535C7"/>
    <w:rsid w:val="001536CD"/>
    <w:rsid w:val="00153F9D"/>
    <w:rsid w:val="00154056"/>
    <w:rsid w:val="001541DA"/>
    <w:rsid w:val="001548AB"/>
    <w:rsid w:val="001550B8"/>
    <w:rsid w:val="00155426"/>
    <w:rsid w:val="0015552A"/>
    <w:rsid w:val="00155829"/>
    <w:rsid w:val="001559BD"/>
    <w:rsid w:val="001560BB"/>
    <w:rsid w:val="00156E8B"/>
    <w:rsid w:val="00156F75"/>
    <w:rsid w:val="0015722F"/>
    <w:rsid w:val="001600E4"/>
    <w:rsid w:val="00160816"/>
    <w:rsid w:val="00160839"/>
    <w:rsid w:val="00160BD0"/>
    <w:rsid w:val="00160C57"/>
    <w:rsid w:val="00161310"/>
    <w:rsid w:val="001613AC"/>
    <w:rsid w:val="00161D36"/>
    <w:rsid w:val="00162000"/>
    <w:rsid w:val="00162063"/>
    <w:rsid w:val="001623EF"/>
    <w:rsid w:val="001627E5"/>
    <w:rsid w:val="00162C1D"/>
    <w:rsid w:val="00163252"/>
    <w:rsid w:val="001633C6"/>
    <w:rsid w:val="001636A3"/>
    <w:rsid w:val="001636ED"/>
    <w:rsid w:val="00163C86"/>
    <w:rsid w:val="00163E4D"/>
    <w:rsid w:val="00163EE1"/>
    <w:rsid w:val="00164083"/>
    <w:rsid w:val="0016441A"/>
    <w:rsid w:val="00164809"/>
    <w:rsid w:val="00164A93"/>
    <w:rsid w:val="00164D80"/>
    <w:rsid w:val="001653B8"/>
    <w:rsid w:val="001653DB"/>
    <w:rsid w:val="00165B2B"/>
    <w:rsid w:val="00166238"/>
    <w:rsid w:val="001663C6"/>
    <w:rsid w:val="00166670"/>
    <w:rsid w:val="0016699F"/>
    <w:rsid w:val="00166ACB"/>
    <w:rsid w:val="00166E93"/>
    <w:rsid w:val="001674D5"/>
    <w:rsid w:val="00167CE1"/>
    <w:rsid w:val="00170001"/>
    <w:rsid w:val="00170078"/>
    <w:rsid w:val="0017023A"/>
    <w:rsid w:val="0017041A"/>
    <w:rsid w:val="00170BCB"/>
    <w:rsid w:val="00170F26"/>
    <w:rsid w:val="00170F83"/>
    <w:rsid w:val="00170FEF"/>
    <w:rsid w:val="00171020"/>
    <w:rsid w:val="001714B7"/>
    <w:rsid w:val="0017170C"/>
    <w:rsid w:val="00172519"/>
    <w:rsid w:val="00172603"/>
    <w:rsid w:val="00172F7F"/>
    <w:rsid w:val="00173A21"/>
    <w:rsid w:val="00173F0A"/>
    <w:rsid w:val="0017415F"/>
    <w:rsid w:val="00174365"/>
    <w:rsid w:val="00174566"/>
    <w:rsid w:val="00174E58"/>
    <w:rsid w:val="0017519C"/>
    <w:rsid w:val="001752C6"/>
    <w:rsid w:val="001755F9"/>
    <w:rsid w:val="00176890"/>
    <w:rsid w:val="001768A5"/>
    <w:rsid w:val="00177003"/>
    <w:rsid w:val="0017756D"/>
    <w:rsid w:val="00177D81"/>
    <w:rsid w:val="00180087"/>
    <w:rsid w:val="001807CA"/>
    <w:rsid w:val="001811A6"/>
    <w:rsid w:val="001811EA"/>
    <w:rsid w:val="00181303"/>
    <w:rsid w:val="001813AE"/>
    <w:rsid w:val="00181665"/>
    <w:rsid w:val="00181D08"/>
    <w:rsid w:val="001825F6"/>
    <w:rsid w:val="00182F4B"/>
    <w:rsid w:val="00182F99"/>
    <w:rsid w:val="001832B6"/>
    <w:rsid w:val="00183399"/>
    <w:rsid w:val="00183693"/>
    <w:rsid w:val="00183E82"/>
    <w:rsid w:val="00184418"/>
    <w:rsid w:val="00184CBF"/>
    <w:rsid w:val="00185241"/>
    <w:rsid w:val="0018570B"/>
    <w:rsid w:val="00185842"/>
    <w:rsid w:val="00185D38"/>
    <w:rsid w:val="001863C2"/>
    <w:rsid w:val="001864CF"/>
    <w:rsid w:val="001867B5"/>
    <w:rsid w:val="00186D45"/>
    <w:rsid w:val="00187433"/>
    <w:rsid w:val="001876CD"/>
    <w:rsid w:val="001877EC"/>
    <w:rsid w:val="001878BB"/>
    <w:rsid w:val="00187ABA"/>
    <w:rsid w:val="00187D05"/>
    <w:rsid w:val="00187F16"/>
    <w:rsid w:val="00187FFB"/>
    <w:rsid w:val="0019038B"/>
    <w:rsid w:val="0019043D"/>
    <w:rsid w:val="00190C74"/>
    <w:rsid w:val="00190F10"/>
    <w:rsid w:val="001915F0"/>
    <w:rsid w:val="0019167B"/>
    <w:rsid w:val="00191AE0"/>
    <w:rsid w:val="0019293B"/>
    <w:rsid w:val="00192BD5"/>
    <w:rsid w:val="00192BF7"/>
    <w:rsid w:val="00192C0D"/>
    <w:rsid w:val="00192D73"/>
    <w:rsid w:val="00192D84"/>
    <w:rsid w:val="00193089"/>
    <w:rsid w:val="00193CA8"/>
    <w:rsid w:val="00193DDC"/>
    <w:rsid w:val="00194104"/>
    <w:rsid w:val="0019426B"/>
    <w:rsid w:val="001946AF"/>
    <w:rsid w:val="00194974"/>
    <w:rsid w:val="001949E0"/>
    <w:rsid w:val="0019509D"/>
    <w:rsid w:val="001953B0"/>
    <w:rsid w:val="001954D5"/>
    <w:rsid w:val="00195811"/>
    <w:rsid w:val="00195B26"/>
    <w:rsid w:val="00195C8C"/>
    <w:rsid w:val="00196261"/>
    <w:rsid w:val="0019649D"/>
    <w:rsid w:val="00196747"/>
    <w:rsid w:val="001969C5"/>
    <w:rsid w:val="00196C4B"/>
    <w:rsid w:val="00196DE6"/>
    <w:rsid w:val="00196F0F"/>
    <w:rsid w:val="001975CA"/>
    <w:rsid w:val="00197682"/>
    <w:rsid w:val="001979A0"/>
    <w:rsid w:val="00197C99"/>
    <w:rsid w:val="00197F49"/>
    <w:rsid w:val="001A03F2"/>
    <w:rsid w:val="001A0BEE"/>
    <w:rsid w:val="001A1511"/>
    <w:rsid w:val="001A1943"/>
    <w:rsid w:val="001A1CAD"/>
    <w:rsid w:val="001A1E2F"/>
    <w:rsid w:val="001A231E"/>
    <w:rsid w:val="001A238C"/>
    <w:rsid w:val="001A3315"/>
    <w:rsid w:val="001A36A9"/>
    <w:rsid w:val="001A3A37"/>
    <w:rsid w:val="001A3B1B"/>
    <w:rsid w:val="001A42AF"/>
    <w:rsid w:val="001A5096"/>
    <w:rsid w:val="001A553A"/>
    <w:rsid w:val="001A5580"/>
    <w:rsid w:val="001A5700"/>
    <w:rsid w:val="001A57C8"/>
    <w:rsid w:val="001A5F4D"/>
    <w:rsid w:val="001A6AAC"/>
    <w:rsid w:val="001A6EF7"/>
    <w:rsid w:val="001A72A5"/>
    <w:rsid w:val="001A755E"/>
    <w:rsid w:val="001A797D"/>
    <w:rsid w:val="001A7E8F"/>
    <w:rsid w:val="001A7F3D"/>
    <w:rsid w:val="001A7FB1"/>
    <w:rsid w:val="001B0554"/>
    <w:rsid w:val="001B10A2"/>
    <w:rsid w:val="001B10D5"/>
    <w:rsid w:val="001B1197"/>
    <w:rsid w:val="001B1FD1"/>
    <w:rsid w:val="001B2BFA"/>
    <w:rsid w:val="001B2D19"/>
    <w:rsid w:val="001B2F4F"/>
    <w:rsid w:val="001B333C"/>
    <w:rsid w:val="001B3721"/>
    <w:rsid w:val="001B3EE8"/>
    <w:rsid w:val="001B44AD"/>
    <w:rsid w:val="001B49F6"/>
    <w:rsid w:val="001B4A98"/>
    <w:rsid w:val="001B4BB9"/>
    <w:rsid w:val="001B4F4B"/>
    <w:rsid w:val="001B4F4E"/>
    <w:rsid w:val="001B5279"/>
    <w:rsid w:val="001B5924"/>
    <w:rsid w:val="001B5A34"/>
    <w:rsid w:val="001B5BF9"/>
    <w:rsid w:val="001B5C63"/>
    <w:rsid w:val="001B5EE4"/>
    <w:rsid w:val="001B6145"/>
    <w:rsid w:val="001B61EC"/>
    <w:rsid w:val="001B6353"/>
    <w:rsid w:val="001B6807"/>
    <w:rsid w:val="001B6840"/>
    <w:rsid w:val="001B689D"/>
    <w:rsid w:val="001B73AA"/>
    <w:rsid w:val="001B76E9"/>
    <w:rsid w:val="001C0673"/>
    <w:rsid w:val="001C0865"/>
    <w:rsid w:val="001C097B"/>
    <w:rsid w:val="001C0FD2"/>
    <w:rsid w:val="001C1686"/>
    <w:rsid w:val="001C1807"/>
    <w:rsid w:val="001C1832"/>
    <w:rsid w:val="001C1C37"/>
    <w:rsid w:val="001C1D81"/>
    <w:rsid w:val="001C2132"/>
    <w:rsid w:val="001C21CD"/>
    <w:rsid w:val="001C22CF"/>
    <w:rsid w:val="001C236A"/>
    <w:rsid w:val="001C261E"/>
    <w:rsid w:val="001C27CC"/>
    <w:rsid w:val="001C2821"/>
    <w:rsid w:val="001C28B5"/>
    <w:rsid w:val="001C28C1"/>
    <w:rsid w:val="001C344F"/>
    <w:rsid w:val="001C3ABA"/>
    <w:rsid w:val="001C3C8E"/>
    <w:rsid w:val="001C415F"/>
    <w:rsid w:val="001C425C"/>
    <w:rsid w:val="001C4341"/>
    <w:rsid w:val="001C4CB3"/>
    <w:rsid w:val="001C5111"/>
    <w:rsid w:val="001C5ABB"/>
    <w:rsid w:val="001C5E70"/>
    <w:rsid w:val="001C63B4"/>
    <w:rsid w:val="001C67D2"/>
    <w:rsid w:val="001C7557"/>
    <w:rsid w:val="001C7905"/>
    <w:rsid w:val="001C7960"/>
    <w:rsid w:val="001D049B"/>
    <w:rsid w:val="001D0A35"/>
    <w:rsid w:val="001D0D65"/>
    <w:rsid w:val="001D1195"/>
    <w:rsid w:val="001D12D3"/>
    <w:rsid w:val="001D1839"/>
    <w:rsid w:val="001D1BF9"/>
    <w:rsid w:val="001D24C6"/>
    <w:rsid w:val="001D26CE"/>
    <w:rsid w:val="001D28DF"/>
    <w:rsid w:val="001D2A5A"/>
    <w:rsid w:val="001D3639"/>
    <w:rsid w:val="001D373A"/>
    <w:rsid w:val="001D3B95"/>
    <w:rsid w:val="001D3BD7"/>
    <w:rsid w:val="001D402F"/>
    <w:rsid w:val="001D420F"/>
    <w:rsid w:val="001D443E"/>
    <w:rsid w:val="001D5391"/>
    <w:rsid w:val="001D5ED9"/>
    <w:rsid w:val="001D5F40"/>
    <w:rsid w:val="001D6133"/>
    <w:rsid w:val="001D644B"/>
    <w:rsid w:val="001D646C"/>
    <w:rsid w:val="001D64B4"/>
    <w:rsid w:val="001D6664"/>
    <w:rsid w:val="001D66E6"/>
    <w:rsid w:val="001D6BAB"/>
    <w:rsid w:val="001D791C"/>
    <w:rsid w:val="001D7CA4"/>
    <w:rsid w:val="001D7D36"/>
    <w:rsid w:val="001E0035"/>
    <w:rsid w:val="001E0388"/>
    <w:rsid w:val="001E04D3"/>
    <w:rsid w:val="001E0C91"/>
    <w:rsid w:val="001E0D12"/>
    <w:rsid w:val="001E0D32"/>
    <w:rsid w:val="001E0F5C"/>
    <w:rsid w:val="001E13C0"/>
    <w:rsid w:val="001E185F"/>
    <w:rsid w:val="001E1A19"/>
    <w:rsid w:val="001E1C68"/>
    <w:rsid w:val="001E1F8C"/>
    <w:rsid w:val="001E2301"/>
    <w:rsid w:val="001E23D6"/>
    <w:rsid w:val="001E2B2F"/>
    <w:rsid w:val="001E2F4D"/>
    <w:rsid w:val="001E2FED"/>
    <w:rsid w:val="001E34EE"/>
    <w:rsid w:val="001E44D9"/>
    <w:rsid w:val="001E4543"/>
    <w:rsid w:val="001E4586"/>
    <w:rsid w:val="001E463A"/>
    <w:rsid w:val="001E4B9D"/>
    <w:rsid w:val="001E4DA0"/>
    <w:rsid w:val="001E4E1C"/>
    <w:rsid w:val="001E5610"/>
    <w:rsid w:val="001E5C97"/>
    <w:rsid w:val="001E5ED5"/>
    <w:rsid w:val="001E604B"/>
    <w:rsid w:val="001E6266"/>
    <w:rsid w:val="001E7807"/>
    <w:rsid w:val="001E7BE8"/>
    <w:rsid w:val="001E7F87"/>
    <w:rsid w:val="001F0248"/>
    <w:rsid w:val="001F02CD"/>
    <w:rsid w:val="001F03C8"/>
    <w:rsid w:val="001F07FB"/>
    <w:rsid w:val="001F0C5F"/>
    <w:rsid w:val="001F0C77"/>
    <w:rsid w:val="001F0CAE"/>
    <w:rsid w:val="001F0DB6"/>
    <w:rsid w:val="001F119B"/>
    <w:rsid w:val="001F13E4"/>
    <w:rsid w:val="001F1693"/>
    <w:rsid w:val="001F1764"/>
    <w:rsid w:val="001F1FF5"/>
    <w:rsid w:val="001F2222"/>
    <w:rsid w:val="001F25DB"/>
    <w:rsid w:val="001F2866"/>
    <w:rsid w:val="001F2CD6"/>
    <w:rsid w:val="001F3131"/>
    <w:rsid w:val="001F3445"/>
    <w:rsid w:val="001F3EB3"/>
    <w:rsid w:val="001F40C2"/>
    <w:rsid w:val="001F451F"/>
    <w:rsid w:val="001F49AE"/>
    <w:rsid w:val="001F4F86"/>
    <w:rsid w:val="001F5381"/>
    <w:rsid w:val="001F5DAC"/>
    <w:rsid w:val="001F6215"/>
    <w:rsid w:val="001F6B01"/>
    <w:rsid w:val="001F6C00"/>
    <w:rsid w:val="001F6F2C"/>
    <w:rsid w:val="001F727D"/>
    <w:rsid w:val="001F75D0"/>
    <w:rsid w:val="001F78E3"/>
    <w:rsid w:val="002003D9"/>
    <w:rsid w:val="00200861"/>
    <w:rsid w:val="002009F9"/>
    <w:rsid w:val="00200C59"/>
    <w:rsid w:val="00200E8D"/>
    <w:rsid w:val="00200F3F"/>
    <w:rsid w:val="00200F80"/>
    <w:rsid w:val="002015B0"/>
    <w:rsid w:val="00201E5F"/>
    <w:rsid w:val="002020DD"/>
    <w:rsid w:val="002020F7"/>
    <w:rsid w:val="00202556"/>
    <w:rsid w:val="00202C2C"/>
    <w:rsid w:val="00204082"/>
    <w:rsid w:val="002045E2"/>
    <w:rsid w:val="002046A3"/>
    <w:rsid w:val="00204AB9"/>
    <w:rsid w:val="00205100"/>
    <w:rsid w:val="00205403"/>
    <w:rsid w:val="002054C5"/>
    <w:rsid w:val="002058D4"/>
    <w:rsid w:val="00205914"/>
    <w:rsid w:val="00205FD1"/>
    <w:rsid w:val="00206049"/>
    <w:rsid w:val="0020718A"/>
    <w:rsid w:val="0020734B"/>
    <w:rsid w:val="00207535"/>
    <w:rsid w:val="002078E9"/>
    <w:rsid w:val="0020796F"/>
    <w:rsid w:val="00207D0F"/>
    <w:rsid w:val="00207E2A"/>
    <w:rsid w:val="0021032C"/>
    <w:rsid w:val="00210458"/>
    <w:rsid w:val="002104A6"/>
    <w:rsid w:val="00210513"/>
    <w:rsid w:val="00210584"/>
    <w:rsid w:val="0021076F"/>
    <w:rsid w:val="0021099C"/>
    <w:rsid w:val="00210A3E"/>
    <w:rsid w:val="00211440"/>
    <w:rsid w:val="0021187F"/>
    <w:rsid w:val="00211CE9"/>
    <w:rsid w:val="002128F0"/>
    <w:rsid w:val="002135AB"/>
    <w:rsid w:val="00213905"/>
    <w:rsid w:val="00213F63"/>
    <w:rsid w:val="002144BE"/>
    <w:rsid w:val="002146CB"/>
    <w:rsid w:val="00214B7D"/>
    <w:rsid w:val="00215019"/>
    <w:rsid w:val="0021554E"/>
    <w:rsid w:val="002159EE"/>
    <w:rsid w:val="00215BD2"/>
    <w:rsid w:val="00216154"/>
    <w:rsid w:val="002165F3"/>
    <w:rsid w:val="002166F4"/>
    <w:rsid w:val="0021676D"/>
    <w:rsid w:val="00216D9C"/>
    <w:rsid w:val="0021701B"/>
    <w:rsid w:val="002170B1"/>
    <w:rsid w:val="002170B4"/>
    <w:rsid w:val="00217125"/>
    <w:rsid w:val="002178A4"/>
    <w:rsid w:val="00217BCD"/>
    <w:rsid w:val="00217CE0"/>
    <w:rsid w:val="00217EF7"/>
    <w:rsid w:val="002200A2"/>
    <w:rsid w:val="00220943"/>
    <w:rsid w:val="00220FAD"/>
    <w:rsid w:val="00221776"/>
    <w:rsid w:val="00221CD5"/>
    <w:rsid w:val="0022264A"/>
    <w:rsid w:val="00222E36"/>
    <w:rsid w:val="00223010"/>
    <w:rsid w:val="002233AC"/>
    <w:rsid w:val="0022355E"/>
    <w:rsid w:val="00223D6E"/>
    <w:rsid w:val="00224199"/>
    <w:rsid w:val="002241E1"/>
    <w:rsid w:val="00224392"/>
    <w:rsid w:val="00224584"/>
    <w:rsid w:val="0022470B"/>
    <w:rsid w:val="0022484C"/>
    <w:rsid w:val="00224C5A"/>
    <w:rsid w:val="00225597"/>
    <w:rsid w:val="00225712"/>
    <w:rsid w:val="00225841"/>
    <w:rsid w:val="00225951"/>
    <w:rsid w:val="00225990"/>
    <w:rsid w:val="002259AC"/>
    <w:rsid w:val="00226933"/>
    <w:rsid w:val="00226D10"/>
    <w:rsid w:val="00227168"/>
    <w:rsid w:val="00227180"/>
    <w:rsid w:val="0022753D"/>
    <w:rsid w:val="002276BF"/>
    <w:rsid w:val="00227A80"/>
    <w:rsid w:val="00227E4C"/>
    <w:rsid w:val="00227ED6"/>
    <w:rsid w:val="00230AAE"/>
    <w:rsid w:val="00230BCF"/>
    <w:rsid w:val="00230DAA"/>
    <w:rsid w:val="00231339"/>
    <w:rsid w:val="00231A51"/>
    <w:rsid w:val="00231B0D"/>
    <w:rsid w:val="00231BC6"/>
    <w:rsid w:val="00231F88"/>
    <w:rsid w:val="00232286"/>
    <w:rsid w:val="00232AE9"/>
    <w:rsid w:val="00232D41"/>
    <w:rsid w:val="00232DF2"/>
    <w:rsid w:val="00232E7B"/>
    <w:rsid w:val="00232F38"/>
    <w:rsid w:val="00233508"/>
    <w:rsid w:val="002336D8"/>
    <w:rsid w:val="00233722"/>
    <w:rsid w:val="002338C7"/>
    <w:rsid w:val="002339BB"/>
    <w:rsid w:val="00233A16"/>
    <w:rsid w:val="00233C49"/>
    <w:rsid w:val="00233EEB"/>
    <w:rsid w:val="00233FA4"/>
    <w:rsid w:val="00234140"/>
    <w:rsid w:val="00234520"/>
    <w:rsid w:val="002345EB"/>
    <w:rsid w:val="0023486D"/>
    <w:rsid w:val="0023570B"/>
    <w:rsid w:val="0023579A"/>
    <w:rsid w:val="00235D11"/>
    <w:rsid w:val="0023611B"/>
    <w:rsid w:val="0023682B"/>
    <w:rsid w:val="00236913"/>
    <w:rsid w:val="00236A9E"/>
    <w:rsid w:val="00236F09"/>
    <w:rsid w:val="00237166"/>
    <w:rsid w:val="00237955"/>
    <w:rsid w:val="002379D6"/>
    <w:rsid w:val="00237AA2"/>
    <w:rsid w:val="00237CAB"/>
    <w:rsid w:val="00240121"/>
    <w:rsid w:val="002402B3"/>
    <w:rsid w:val="00240536"/>
    <w:rsid w:val="002406F1"/>
    <w:rsid w:val="00240E6F"/>
    <w:rsid w:val="0024156F"/>
    <w:rsid w:val="002416F5"/>
    <w:rsid w:val="00241862"/>
    <w:rsid w:val="00241998"/>
    <w:rsid w:val="00241A98"/>
    <w:rsid w:val="00241D2A"/>
    <w:rsid w:val="00242279"/>
    <w:rsid w:val="002426BE"/>
    <w:rsid w:val="00243406"/>
    <w:rsid w:val="00243521"/>
    <w:rsid w:val="00243997"/>
    <w:rsid w:val="00243E89"/>
    <w:rsid w:val="002440DA"/>
    <w:rsid w:val="002441DB"/>
    <w:rsid w:val="0024437F"/>
    <w:rsid w:val="00244483"/>
    <w:rsid w:val="00244954"/>
    <w:rsid w:val="0024499E"/>
    <w:rsid w:val="0024516C"/>
    <w:rsid w:val="00245399"/>
    <w:rsid w:val="002457CF"/>
    <w:rsid w:val="0024595F"/>
    <w:rsid w:val="00245ADA"/>
    <w:rsid w:val="00245C82"/>
    <w:rsid w:val="00245CA6"/>
    <w:rsid w:val="00245CFF"/>
    <w:rsid w:val="00245E80"/>
    <w:rsid w:val="00245EED"/>
    <w:rsid w:val="00245EF4"/>
    <w:rsid w:val="00246855"/>
    <w:rsid w:val="002468AF"/>
    <w:rsid w:val="0024729A"/>
    <w:rsid w:val="0024731E"/>
    <w:rsid w:val="00247951"/>
    <w:rsid w:val="00247E0C"/>
    <w:rsid w:val="00247FBC"/>
    <w:rsid w:val="00250557"/>
    <w:rsid w:val="002507CE"/>
    <w:rsid w:val="00250DEF"/>
    <w:rsid w:val="0025196C"/>
    <w:rsid w:val="002519B6"/>
    <w:rsid w:val="00251AB6"/>
    <w:rsid w:val="00251C2B"/>
    <w:rsid w:val="00251C3C"/>
    <w:rsid w:val="00251E35"/>
    <w:rsid w:val="00251F24"/>
    <w:rsid w:val="00252522"/>
    <w:rsid w:val="00252921"/>
    <w:rsid w:val="002536AA"/>
    <w:rsid w:val="00253A32"/>
    <w:rsid w:val="00253EFF"/>
    <w:rsid w:val="002545FD"/>
    <w:rsid w:val="00254722"/>
    <w:rsid w:val="0025487A"/>
    <w:rsid w:val="00254F10"/>
    <w:rsid w:val="002550E2"/>
    <w:rsid w:val="002550FA"/>
    <w:rsid w:val="002556FC"/>
    <w:rsid w:val="00255806"/>
    <w:rsid w:val="00255D8F"/>
    <w:rsid w:val="0025613E"/>
    <w:rsid w:val="0025692B"/>
    <w:rsid w:val="00256D1E"/>
    <w:rsid w:val="00256D6E"/>
    <w:rsid w:val="00257467"/>
    <w:rsid w:val="002578FC"/>
    <w:rsid w:val="00257924"/>
    <w:rsid w:val="00257A78"/>
    <w:rsid w:val="00257CD3"/>
    <w:rsid w:val="00257F8E"/>
    <w:rsid w:val="00260496"/>
    <w:rsid w:val="00261DD6"/>
    <w:rsid w:val="00262A98"/>
    <w:rsid w:val="00262F90"/>
    <w:rsid w:val="002638DB"/>
    <w:rsid w:val="00263C8E"/>
    <w:rsid w:val="00263EA9"/>
    <w:rsid w:val="00264385"/>
    <w:rsid w:val="0026478F"/>
    <w:rsid w:val="002647EB"/>
    <w:rsid w:val="0026496C"/>
    <w:rsid w:val="00264C21"/>
    <w:rsid w:val="00264FA7"/>
    <w:rsid w:val="0026544E"/>
    <w:rsid w:val="002654FA"/>
    <w:rsid w:val="0026550F"/>
    <w:rsid w:val="00265665"/>
    <w:rsid w:val="00265A34"/>
    <w:rsid w:val="00265BF8"/>
    <w:rsid w:val="00265CCD"/>
    <w:rsid w:val="00265D13"/>
    <w:rsid w:val="00265FA4"/>
    <w:rsid w:val="00266155"/>
    <w:rsid w:val="0026670D"/>
    <w:rsid w:val="00266AE3"/>
    <w:rsid w:val="00266B80"/>
    <w:rsid w:val="00266E13"/>
    <w:rsid w:val="002671A2"/>
    <w:rsid w:val="0026720C"/>
    <w:rsid w:val="00267523"/>
    <w:rsid w:val="00267732"/>
    <w:rsid w:val="00267CF4"/>
    <w:rsid w:val="002705D5"/>
    <w:rsid w:val="002707FA"/>
    <w:rsid w:val="00270C2E"/>
    <w:rsid w:val="00270CF8"/>
    <w:rsid w:val="00270EC3"/>
    <w:rsid w:val="002713B5"/>
    <w:rsid w:val="00271BC7"/>
    <w:rsid w:val="00271FDE"/>
    <w:rsid w:val="0027226B"/>
    <w:rsid w:val="002724BA"/>
    <w:rsid w:val="00272655"/>
    <w:rsid w:val="00272796"/>
    <w:rsid w:val="00272830"/>
    <w:rsid w:val="00272BE7"/>
    <w:rsid w:val="00272C45"/>
    <w:rsid w:val="00273252"/>
    <w:rsid w:val="002732DC"/>
    <w:rsid w:val="0027353C"/>
    <w:rsid w:val="0027382C"/>
    <w:rsid w:val="00273FA9"/>
    <w:rsid w:val="00274B63"/>
    <w:rsid w:val="00275269"/>
    <w:rsid w:val="002754B3"/>
    <w:rsid w:val="00275A51"/>
    <w:rsid w:val="00275F93"/>
    <w:rsid w:val="002762CA"/>
    <w:rsid w:val="00276652"/>
    <w:rsid w:val="002772DB"/>
    <w:rsid w:val="00277D53"/>
    <w:rsid w:val="002803E9"/>
    <w:rsid w:val="00280D71"/>
    <w:rsid w:val="00280D7B"/>
    <w:rsid w:val="00280DBA"/>
    <w:rsid w:val="00280E08"/>
    <w:rsid w:val="00280E18"/>
    <w:rsid w:val="00280F24"/>
    <w:rsid w:val="002810EF"/>
    <w:rsid w:val="00281531"/>
    <w:rsid w:val="00282031"/>
    <w:rsid w:val="00282674"/>
    <w:rsid w:val="00282A29"/>
    <w:rsid w:val="00282EC0"/>
    <w:rsid w:val="0028344B"/>
    <w:rsid w:val="002838E3"/>
    <w:rsid w:val="00284004"/>
    <w:rsid w:val="002842C5"/>
    <w:rsid w:val="00284689"/>
    <w:rsid w:val="00284723"/>
    <w:rsid w:val="00284B8E"/>
    <w:rsid w:val="00285486"/>
    <w:rsid w:val="002867D8"/>
    <w:rsid w:val="00286E8C"/>
    <w:rsid w:val="00287016"/>
    <w:rsid w:val="00287DCE"/>
    <w:rsid w:val="00287E44"/>
    <w:rsid w:val="002903DF"/>
    <w:rsid w:val="00290908"/>
    <w:rsid w:val="002909DA"/>
    <w:rsid w:val="00290F7E"/>
    <w:rsid w:val="00291100"/>
    <w:rsid w:val="002916E2"/>
    <w:rsid w:val="00291B40"/>
    <w:rsid w:val="00291E09"/>
    <w:rsid w:val="00292AEF"/>
    <w:rsid w:val="00292E83"/>
    <w:rsid w:val="002931B4"/>
    <w:rsid w:val="0029322E"/>
    <w:rsid w:val="002932C6"/>
    <w:rsid w:val="00293376"/>
    <w:rsid w:val="002935A4"/>
    <w:rsid w:val="00293643"/>
    <w:rsid w:val="00293FAC"/>
    <w:rsid w:val="00294458"/>
    <w:rsid w:val="00294628"/>
    <w:rsid w:val="00294F25"/>
    <w:rsid w:val="002953ED"/>
    <w:rsid w:val="002958A0"/>
    <w:rsid w:val="00295BA5"/>
    <w:rsid w:val="00295BC5"/>
    <w:rsid w:val="00295F6F"/>
    <w:rsid w:val="002967E6"/>
    <w:rsid w:val="00296BD2"/>
    <w:rsid w:val="00296DC3"/>
    <w:rsid w:val="00297A4B"/>
    <w:rsid w:val="002A0A4F"/>
    <w:rsid w:val="002A0B87"/>
    <w:rsid w:val="002A0D69"/>
    <w:rsid w:val="002A0E7C"/>
    <w:rsid w:val="002A115C"/>
    <w:rsid w:val="002A12CC"/>
    <w:rsid w:val="002A14B9"/>
    <w:rsid w:val="002A151E"/>
    <w:rsid w:val="002A1D40"/>
    <w:rsid w:val="002A2931"/>
    <w:rsid w:val="002A3344"/>
    <w:rsid w:val="002A33A0"/>
    <w:rsid w:val="002A36CF"/>
    <w:rsid w:val="002A3D11"/>
    <w:rsid w:val="002A417B"/>
    <w:rsid w:val="002A452A"/>
    <w:rsid w:val="002A4692"/>
    <w:rsid w:val="002A492F"/>
    <w:rsid w:val="002A54C5"/>
    <w:rsid w:val="002A5C6A"/>
    <w:rsid w:val="002A6719"/>
    <w:rsid w:val="002A68A0"/>
    <w:rsid w:val="002A6C9E"/>
    <w:rsid w:val="002A72D5"/>
    <w:rsid w:val="002A73E1"/>
    <w:rsid w:val="002A778D"/>
    <w:rsid w:val="002A7974"/>
    <w:rsid w:val="002A798C"/>
    <w:rsid w:val="002B02B0"/>
    <w:rsid w:val="002B0467"/>
    <w:rsid w:val="002B0C87"/>
    <w:rsid w:val="002B1032"/>
    <w:rsid w:val="002B13FA"/>
    <w:rsid w:val="002B1528"/>
    <w:rsid w:val="002B1B03"/>
    <w:rsid w:val="002B2011"/>
    <w:rsid w:val="002B258B"/>
    <w:rsid w:val="002B2CC9"/>
    <w:rsid w:val="002B2EDA"/>
    <w:rsid w:val="002B36A2"/>
    <w:rsid w:val="002B3C12"/>
    <w:rsid w:val="002B4008"/>
    <w:rsid w:val="002B42DC"/>
    <w:rsid w:val="002B435D"/>
    <w:rsid w:val="002B43A1"/>
    <w:rsid w:val="002B4477"/>
    <w:rsid w:val="002B4E3C"/>
    <w:rsid w:val="002B4E6F"/>
    <w:rsid w:val="002B52D6"/>
    <w:rsid w:val="002B5666"/>
    <w:rsid w:val="002B590C"/>
    <w:rsid w:val="002B5B87"/>
    <w:rsid w:val="002B5CF3"/>
    <w:rsid w:val="002B5E8A"/>
    <w:rsid w:val="002B5F56"/>
    <w:rsid w:val="002B60FF"/>
    <w:rsid w:val="002B6259"/>
    <w:rsid w:val="002B634F"/>
    <w:rsid w:val="002B63E7"/>
    <w:rsid w:val="002B68FB"/>
    <w:rsid w:val="002B6C01"/>
    <w:rsid w:val="002B6F52"/>
    <w:rsid w:val="002B70A1"/>
    <w:rsid w:val="002B7A4D"/>
    <w:rsid w:val="002C01EE"/>
    <w:rsid w:val="002C02FD"/>
    <w:rsid w:val="002C048C"/>
    <w:rsid w:val="002C0617"/>
    <w:rsid w:val="002C0782"/>
    <w:rsid w:val="002C0D69"/>
    <w:rsid w:val="002C1AEC"/>
    <w:rsid w:val="002C1F6E"/>
    <w:rsid w:val="002C2522"/>
    <w:rsid w:val="002C26EC"/>
    <w:rsid w:val="002C28E8"/>
    <w:rsid w:val="002C2B1A"/>
    <w:rsid w:val="002C2E2C"/>
    <w:rsid w:val="002C2E8F"/>
    <w:rsid w:val="002C33E3"/>
    <w:rsid w:val="002C346F"/>
    <w:rsid w:val="002C3CAA"/>
    <w:rsid w:val="002C42E2"/>
    <w:rsid w:val="002C439F"/>
    <w:rsid w:val="002C48F0"/>
    <w:rsid w:val="002C4A50"/>
    <w:rsid w:val="002C5AC0"/>
    <w:rsid w:val="002C6200"/>
    <w:rsid w:val="002C6495"/>
    <w:rsid w:val="002C673E"/>
    <w:rsid w:val="002C6AEE"/>
    <w:rsid w:val="002C70F7"/>
    <w:rsid w:val="002C7551"/>
    <w:rsid w:val="002C7667"/>
    <w:rsid w:val="002C773B"/>
    <w:rsid w:val="002C77CD"/>
    <w:rsid w:val="002C79A2"/>
    <w:rsid w:val="002C7E57"/>
    <w:rsid w:val="002D0103"/>
    <w:rsid w:val="002D01D8"/>
    <w:rsid w:val="002D0550"/>
    <w:rsid w:val="002D05B0"/>
    <w:rsid w:val="002D0936"/>
    <w:rsid w:val="002D0A2E"/>
    <w:rsid w:val="002D0BC2"/>
    <w:rsid w:val="002D0E8E"/>
    <w:rsid w:val="002D116B"/>
    <w:rsid w:val="002D117F"/>
    <w:rsid w:val="002D1347"/>
    <w:rsid w:val="002D18FE"/>
    <w:rsid w:val="002D1C10"/>
    <w:rsid w:val="002D278D"/>
    <w:rsid w:val="002D292F"/>
    <w:rsid w:val="002D2A84"/>
    <w:rsid w:val="002D2AA9"/>
    <w:rsid w:val="002D2C88"/>
    <w:rsid w:val="002D3254"/>
    <w:rsid w:val="002D3565"/>
    <w:rsid w:val="002D37AD"/>
    <w:rsid w:val="002D3816"/>
    <w:rsid w:val="002D3972"/>
    <w:rsid w:val="002D39D8"/>
    <w:rsid w:val="002D3FC9"/>
    <w:rsid w:val="002D3FD6"/>
    <w:rsid w:val="002D4ACB"/>
    <w:rsid w:val="002D4F78"/>
    <w:rsid w:val="002D5452"/>
    <w:rsid w:val="002D55AD"/>
    <w:rsid w:val="002D58D8"/>
    <w:rsid w:val="002D5C95"/>
    <w:rsid w:val="002D5FB9"/>
    <w:rsid w:val="002D670A"/>
    <w:rsid w:val="002D6BD5"/>
    <w:rsid w:val="002D755C"/>
    <w:rsid w:val="002D7754"/>
    <w:rsid w:val="002D77A5"/>
    <w:rsid w:val="002D7893"/>
    <w:rsid w:val="002D7A0A"/>
    <w:rsid w:val="002D7BBE"/>
    <w:rsid w:val="002D7C83"/>
    <w:rsid w:val="002D7FBB"/>
    <w:rsid w:val="002E02F4"/>
    <w:rsid w:val="002E03AF"/>
    <w:rsid w:val="002E0F76"/>
    <w:rsid w:val="002E23DC"/>
    <w:rsid w:val="002E2BDE"/>
    <w:rsid w:val="002E2F31"/>
    <w:rsid w:val="002E3236"/>
    <w:rsid w:val="002E324F"/>
    <w:rsid w:val="002E3277"/>
    <w:rsid w:val="002E40F0"/>
    <w:rsid w:val="002E41DB"/>
    <w:rsid w:val="002E42DB"/>
    <w:rsid w:val="002E444E"/>
    <w:rsid w:val="002E4A7D"/>
    <w:rsid w:val="002E4AC3"/>
    <w:rsid w:val="002E50EE"/>
    <w:rsid w:val="002E51A8"/>
    <w:rsid w:val="002E5769"/>
    <w:rsid w:val="002E5DDF"/>
    <w:rsid w:val="002E5EB1"/>
    <w:rsid w:val="002E600F"/>
    <w:rsid w:val="002E61A8"/>
    <w:rsid w:val="002E6452"/>
    <w:rsid w:val="002E6C03"/>
    <w:rsid w:val="002E7095"/>
    <w:rsid w:val="002E7663"/>
    <w:rsid w:val="002E76A8"/>
    <w:rsid w:val="002E78D4"/>
    <w:rsid w:val="002F0162"/>
    <w:rsid w:val="002F01A3"/>
    <w:rsid w:val="002F0241"/>
    <w:rsid w:val="002F061F"/>
    <w:rsid w:val="002F0C77"/>
    <w:rsid w:val="002F0CC5"/>
    <w:rsid w:val="002F0ED2"/>
    <w:rsid w:val="002F1D99"/>
    <w:rsid w:val="002F1DE3"/>
    <w:rsid w:val="002F1E3F"/>
    <w:rsid w:val="002F1E48"/>
    <w:rsid w:val="002F1E99"/>
    <w:rsid w:val="002F231B"/>
    <w:rsid w:val="002F2962"/>
    <w:rsid w:val="002F3155"/>
    <w:rsid w:val="002F337D"/>
    <w:rsid w:val="002F3458"/>
    <w:rsid w:val="002F3673"/>
    <w:rsid w:val="002F36DB"/>
    <w:rsid w:val="002F3B25"/>
    <w:rsid w:val="002F3D67"/>
    <w:rsid w:val="002F3D90"/>
    <w:rsid w:val="002F3E2A"/>
    <w:rsid w:val="002F4334"/>
    <w:rsid w:val="002F435C"/>
    <w:rsid w:val="002F473B"/>
    <w:rsid w:val="002F4751"/>
    <w:rsid w:val="002F4CCD"/>
    <w:rsid w:val="002F5107"/>
    <w:rsid w:val="002F52A4"/>
    <w:rsid w:val="002F546D"/>
    <w:rsid w:val="002F56A3"/>
    <w:rsid w:val="002F59F4"/>
    <w:rsid w:val="002F5B55"/>
    <w:rsid w:val="002F61FE"/>
    <w:rsid w:val="002F63EF"/>
    <w:rsid w:val="002F68FD"/>
    <w:rsid w:val="002F6C9C"/>
    <w:rsid w:val="002F6F09"/>
    <w:rsid w:val="002F7B0A"/>
    <w:rsid w:val="002F7C26"/>
    <w:rsid w:val="002F7C80"/>
    <w:rsid w:val="002F7ED9"/>
    <w:rsid w:val="00300121"/>
    <w:rsid w:val="003005DD"/>
    <w:rsid w:val="003007EA"/>
    <w:rsid w:val="00300803"/>
    <w:rsid w:val="00300954"/>
    <w:rsid w:val="00300E06"/>
    <w:rsid w:val="00300F64"/>
    <w:rsid w:val="00301189"/>
    <w:rsid w:val="00301770"/>
    <w:rsid w:val="0030189D"/>
    <w:rsid w:val="00301E4A"/>
    <w:rsid w:val="0030265B"/>
    <w:rsid w:val="0030270D"/>
    <w:rsid w:val="00302971"/>
    <w:rsid w:val="00302A8C"/>
    <w:rsid w:val="003031F3"/>
    <w:rsid w:val="003032F3"/>
    <w:rsid w:val="00303367"/>
    <w:rsid w:val="00303943"/>
    <w:rsid w:val="00303A85"/>
    <w:rsid w:val="00304431"/>
    <w:rsid w:val="00304E33"/>
    <w:rsid w:val="00304E38"/>
    <w:rsid w:val="003050E1"/>
    <w:rsid w:val="0030515B"/>
    <w:rsid w:val="00305407"/>
    <w:rsid w:val="00305A62"/>
    <w:rsid w:val="00305ACC"/>
    <w:rsid w:val="00305DB6"/>
    <w:rsid w:val="003069AF"/>
    <w:rsid w:val="00306D3B"/>
    <w:rsid w:val="003071E3"/>
    <w:rsid w:val="00307DA9"/>
    <w:rsid w:val="003101F9"/>
    <w:rsid w:val="00310216"/>
    <w:rsid w:val="00310CE1"/>
    <w:rsid w:val="003111A9"/>
    <w:rsid w:val="00311296"/>
    <w:rsid w:val="00311967"/>
    <w:rsid w:val="00312240"/>
    <w:rsid w:val="00312281"/>
    <w:rsid w:val="003131B6"/>
    <w:rsid w:val="003133B0"/>
    <w:rsid w:val="00313A5E"/>
    <w:rsid w:val="00313EF4"/>
    <w:rsid w:val="00313F66"/>
    <w:rsid w:val="0031476A"/>
    <w:rsid w:val="0031493E"/>
    <w:rsid w:val="00314E2D"/>
    <w:rsid w:val="00315DCC"/>
    <w:rsid w:val="003168B8"/>
    <w:rsid w:val="00316ACA"/>
    <w:rsid w:val="00317C65"/>
    <w:rsid w:val="00320653"/>
    <w:rsid w:val="00320A49"/>
    <w:rsid w:val="00320CD1"/>
    <w:rsid w:val="003215AC"/>
    <w:rsid w:val="003217D1"/>
    <w:rsid w:val="00321B45"/>
    <w:rsid w:val="00321E08"/>
    <w:rsid w:val="00322598"/>
    <w:rsid w:val="003226A1"/>
    <w:rsid w:val="00322BE6"/>
    <w:rsid w:val="00322C0C"/>
    <w:rsid w:val="00323572"/>
    <w:rsid w:val="00323E09"/>
    <w:rsid w:val="00323E61"/>
    <w:rsid w:val="003240F3"/>
    <w:rsid w:val="00324D69"/>
    <w:rsid w:val="00325141"/>
    <w:rsid w:val="00325921"/>
    <w:rsid w:val="003259BD"/>
    <w:rsid w:val="00326A7E"/>
    <w:rsid w:val="00326B73"/>
    <w:rsid w:val="00326D22"/>
    <w:rsid w:val="00326E87"/>
    <w:rsid w:val="0032702A"/>
    <w:rsid w:val="0032733D"/>
    <w:rsid w:val="003274AE"/>
    <w:rsid w:val="00327685"/>
    <w:rsid w:val="00327964"/>
    <w:rsid w:val="00327C1A"/>
    <w:rsid w:val="0033008D"/>
    <w:rsid w:val="003304DD"/>
    <w:rsid w:val="003305D0"/>
    <w:rsid w:val="00330E83"/>
    <w:rsid w:val="0033132A"/>
    <w:rsid w:val="00331501"/>
    <w:rsid w:val="00331B20"/>
    <w:rsid w:val="00331D83"/>
    <w:rsid w:val="00332283"/>
    <w:rsid w:val="00332620"/>
    <w:rsid w:val="00332D86"/>
    <w:rsid w:val="003332BD"/>
    <w:rsid w:val="00333932"/>
    <w:rsid w:val="00333A1F"/>
    <w:rsid w:val="00333A9C"/>
    <w:rsid w:val="003344CA"/>
    <w:rsid w:val="00334728"/>
    <w:rsid w:val="003353C3"/>
    <w:rsid w:val="00335753"/>
    <w:rsid w:val="00335CB3"/>
    <w:rsid w:val="003360B0"/>
    <w:rsid w:val="0033666C"/>
    <w:rsid w:val="0033680D"/>
    <w:rsid w:val="003368C1"/>
    <w:rsid w:val="003402C6"/>
    <w:rsid w:val="00340321"/>
    <w:rsid w:val="003408AB"/>
    <w:rsid w:val="00340993"/>
    <w:rsid w:val="00340A7B"/>
    <w:rsid w:val="00340DA0"/>
    <w:rsid w:val="00340DAF"/>
    <w:rsid w:val="003419D0"/>
    <w:rsid w:val="003420EE"/>
    <w:rsid w:val="00342258"/>
    <w:rsid w:val="00342FA4"/>
    <w:rsid w:val="00343032"/>
    <w:rsid w:val="003430C5"/>
    <w:rsid w:val="00343988"/>
    <w:rsid w:val="00343A83"/>
    <w:rsid w:val="00343AF4"/>
    <w:rsid w:val="00343B0B"/>
    <w:rsid w:val="0034445E"/>
    <w:rsid w:val="00344534"/>
    <w:rsid w:val="003449A4"/>
    <w:rsid w:val="00344C8C"/>
    <w:rsid w:val="00344FB0"/>
    <w:rsid w:val="003450B3"/>
    <w:rsid w:val="003455A3"/>
    <w:rsid w:val="003456EC"/>
    <w:rsid w:val="00345B72"/>
    <w:rsid w:val="00346002"/>
    <w:rsid w:val="0034618C"/>
    <w:rsid w:val="003461A5"/>
    <w:rsid w:val="00346231"/>
    <w:rsid w:val="003469BB"/>
    <w:rsid w:val="00346B0E"/>
    <w:rsid w:val="00347495"/>
    <w:rsid w:val="00347A0F"/>
    <w:rsid w:val="00347E8B"/>
    <w:rsid w:val="003501C7"/>
    <w:rsid w:val="003502B1"/>
    <w:rsid w:val="003502BB"/>
    <w:rsid w:val="00350440"/>
    <w:rsid w:val="003505F0"/>
    <w:rsid w:val="00350B10"/>
    <w:rsid w:val="00350EFB"/>
    <w:rsid w:val="0035121E"/>
    <w:rsid w:val="00351547"/>
    <w:rsid w:val="00351596"/>
    <w:rsid w:val="0035159E"/>
    <w:rsid w:val="00351631"/>
    <w:rsid w:val="003518AA"/>
    <w:rsid w:val="00352075"/>
    <w:rsid w:val="00352165"/>
    <w:rsid w:val="00352BDE"/>
    <w:rsid w:val="00352FB5"/>
    <w:rsid w:val="0035305E"/>
    <w:rsid w:val="00353182"/>
    <w:rsid w:val="0035324B"/>
    <w:rsid w:val="00353411"/>
    <w:rsid w:val="00353620"/>
    <w:rsid w:val="00353660"/>
    <w:rsid w:val="003536E3"/>
    <w:rsid w:val="00353800"/>
    <w:rsid w:val="00353CB4"/>
    <w:rsid w:val="00353DC4"/>
    <w:rsid w:val="00353F32"/>
    <w:rsid w:val="00354115"/>
    <w:rsid w:val="003545B5"/>
    <w:rsid w:val="00354901"/>
    <w:rsid w:val="00354BEF"/>
    <w:rsid w:val="003553AA"/>
    <w:rsid w:val="003554C1"/>
    <w:rsid w:val="003563B8"/>
    <w:rsid w:val="003565D9"/>
    <w:rsid w:val="003567F2"/>
    <w:rsid w:val="00356904"/>
    <w:rsid w:val="00356B12"/>
    <w:rsid w:val="00357254"/>
    <w:rsid w:val="003574E0"/>
    <w:rsid w:val="00357A85"/>
    <w:rsid w:val="00357B90"/>
    <w:rsid w:val="00357E4E"/>
    <w:rsid w:val="00360003"/>
    <w:rsid w:val="0036010B"/>
    <w:rsid w:val="003602E1"/>
    <w:rsid w:val="003612DC"/>
    <w:rsid w:val="0036145C"/>
    <w:rsid w:val="00361591"/>
    <w:rsid w:val="00361952"/>
    <w:rsid w:val="00361C5C"/>
    <w:rsid w:val="00361E14"/>
    <w:rsid w:val="0036201B"/>
    <w:rsid w:val="003622A0"/>
    <w:rsid w:val="00362392"/>
    <w:rsid w:val="0036300E"/>
    <w:rsid w:val="003631D9"/>
    <w:rsid w:val="003632EF"/>
    <w:rsid w:val="003634CA"/>
    <w:rsid w:val="00364194"/>
    <w:rsid w:val="003648B5"/>
    <w:rsid w:val="00364D8A"/>
    <w:rsid w:val="00364F40"/>
    <w:rsid w:val="0036503C"/>
    <w:rsid w:val="0036569A"/>
    <w:rsid w:val="00365812"/>
    <w:rsid w:val="00365E4E"/>
    <w:rsid w:val="0036605A"/>
    <w:rsid w:val="00366128"/>
    <w:rsid w:val="00367036"/>
    <w:rsid w:val="003670DF"/>
    <w:rsid w:val="003670E5"/>
    <w:rsid w:val="003679E9"/>
    <w:rsid w:val="00367CD4"/>
    <w:rsid w:val="0037026F"/>
    <w:rsid w:val="00370657"/>
    <w:rsid w:val="003708DD"/>
    <w:rsid w:val="00370B76"/>
    <w:rsid w:val="00371240"/>
    <w:rsid w:val="003713F0"/>
    <w:rsid w:val="0037158C"/>
    <w:rsid w:val="003718C5"/>
    <w:rsid w:val="00371A2B"/>
    <w:rsid w:val="00371CD7"/>
    <w:rsid w:val="003726AE"/>
    <w:rsid w:val="00372807"/>
    <w:rsid w:val="00372916"/>
    <w:rsid w:val="00372ACA"/>
    <w:rsid w:val="00372C09"/>
    <w:rsid w:val="00373072"/>
    <w:rsid w:val="00373849"/>
    <w:rsid w:val="00373C4D"/>
    <w:rsid w:val="00373FAC"/>
    <w:rsid w:val="00373FEC"/>
    <w:rsid w:val="00374731"/>
    <w:rsid w:val="00374799"/>
    <w:rsid w:val="0037495B"/>
    <w:rsid w:val="003749F2"/>
    <w:rsid w:val="00374BA8"/>
    <w:rsid w:val="00374F6A"/>
    <w:rsid w:val="00375043"/>
    <w:rsid w:val="003750A1"/>
    <w:rsid w:val="00375C5C"/>
    <w:rsid w:val="00375E20"/>
    <w:rsid w:val="0037644F"/>
    <w:rsid w:val="00376BBE"/>
    <w:rsid w:val="00376CCC"/>
    <w:rsid w:val="00376E59"/>
    <w:rsid w:val="00376FFA"/>
    <w:rsid w:val="0037763E"/>
    <w:rsid w:val="00377965"/>
    <w:rsid w:val="00380180"/>
    <w:rsid w:val="003801AC"/>
    <w:rsid w:val="00380340"/>
    <w:rsid w:val="0038094C"/>
    <w:rsid w:val="003812ED"/>
    <w:rsid w:val="00381D99"/>
    <w:rsid w:val="00382309"/>
    <w:rsid w:val="00382B21"/>
    <w:rsid w:val="0038308E"/>
    <w:rsid w:val="003833EB"/>
    <w:rsid w:val="00383409"/>
    <w:rsid w:val="0038373F"/>
    <w:rsid w:val="00383A6A"/>
    <w:rsid w:val="00383ABF"/>
    <w:rsid w:val="00383E53"/>
    <w:rsid w:val="00383F73"/>
    <w:rsid w:val="00384A97"/>
    <w:rsid w:val="00384C08"/>
    <w:rsid w:val="00385539"/>
    <w:rsid w:val="00385A1A"/>
    <w:rsid w:val="003860D1"/>
    <w:rsid w:val="003861F6"/>
    <w:rsid w:val="00386B91"/>
    <w:rsid w:val="00387BBD"/>
    <w:rsid w:val="00387FCA"/>
    <w:rsid w:val="0039019D"/>
    <w:rsid w:val="00390372"/>
    <w:rsid w:val="003903D8"/>
    <w:rsid w:val="00390AFA"/>
    <w:rsid w:val="00390D07"/>
    <w:rsid w:val="00391500"/>
    <w:rsid w:val="003915D5"/>
    <w:rsid w:val="003919F9"/>
    <w:rsid w:val="00391D8B"/>
    <w:rsid w:val="00392154"/>
    <w:rsid w:val="00392308"/>
    <w:rsid w:val="00392519"/>
    <w:rsid w:val="00392C39"/>
    <w:rsid w:val="00392CB1"/>
    <w:rsid w:val="0039311F"/>
    <w:rsid w:val="003939F8"/>
    <w:rsid w:val="00393B63"/>
    <w:rsid w:val="003941A4"/>
    <w:rsid w:val="003942D1"/>
    <w:rsid w:val="00394319"/>
    <w:rsid w:val="003957BD"/>
    <w:rsid w:val="0039584C"/>
    <w:rsid w:val="003958B6"/>
    <w:rsid w:val="00395F4C"/>
    <w:rsid w:val="003960DE"/>
    <w:rsid w:val="0039628C"/>
    <w:rsid w:val="003965F5"/>
    <w:rsid w:val="003966D5"/>
    <w:rsid w:val="0039684C"/>
    <w:rsid w:val="0039685A"/>
    <w:rsid w:val="0039732A"/>
    <w:rsid w:val="003974B3"/>
    <w:rsid w:val="0039753C"/>
    <w:rsid w:val="0039799D"/>
    <w:rsid w:val="003A008C"/>
    <w:rsid w:val="003A06BA"/>
    <w:rsid w:val="003A0859"/>
    <w:rsid w:val="003A1023"/>
    <w:rsid w:val="003A144D"/>
    <w:rsid w:val="003A148A"/>
    <w:rsid w:val="003A1E56"/>
    <w:rsid w:val="003A1FD7"/>
    <w:rsid w:val="003A206F"/>
    <w:rsid w:val="003A2411"/>
    <w:rsid w:val="003A2417"/>
    <w:rsid w:val="003A259B"/>
    <w:rsid w:val="003A287F"/>
    <w:rsid w:val="003A2A6E"/>
    <w:rsid w:val="003A2B1A"/>
    <w:rsid w:val="003A2FFB"/>
    <w:rsid w:val="003A359E"/>
    <w:rsid w:val="003A3877"/>
    <w:rsid w:val="003A3A5B"/>
    <w:rsid w:val="003A46D2"/>
    <w:rsid w:val="003A5009"/>
    <w:rsid w:val="003A5151"/>
    <w:rsid w:val="003A529C"/>
    <w:rsid w:val="003A542E"/>
    <w:rsid w:val="003A57B0"/>
    <w:rsid w:val="003A595D"/>
    <w:rsid w:val="003A59CD"/>
    <w:rsid w:val="003A5BF9"/>
    <w:rsid w:val="003A5D18"/>
    <w:rsid w:val="003A6F46"/>
    <w:rsid w:val="003A72B3"/>
    <w:rsid w:val="003A745D"/>
    <w:rsid w:val="003A77AE"/>
    <w:rsid w:val="003A7ED9"/>
    <w:rsid w:val="003B002F"/>
    <w:rsid w:val="003B0514"/>
    <w:rsid w:val="003B06C3"/>
    <w:rsid w:val="003B0B70"/>
    <w:rsid w:val="003B0BC0"/>
    <w:rsid w:val="003B0D0F"/>
    <w:rsid w:val="003B1759"/>
    <w:rsid w:val="003B1C08"/>
    <w:rsid w:val="003B1D31"/>
    <w:rsid w:val="003B1E14"/>
    <w:rsid w:val="003B2167"/>
    <w:rsid w:val="003B23C2"/>
    <w:rsid w:val="003B26D4"/>
    <w:rsid w:val="003B296F"/>
    <w:rsid w:val="003B3B67"/>
    <w:rsid w:val="003B3CA9"/>
    <w:rsid w:val="003B3E68"/>
    <w:rsid w:val="003B4315"/>
    <w:rsid w:val="003B4382"/>
    <w:rsid w:val="003B44D6"/>
    <w:rsid w:val="003B4B5B"/>
    <w:rsid w:val="003B5B3F"/>
    <w:rsid w:val="003B640B"/>
    <w:rsid w:val="003B64AB"/>
    <w:rsid w:val="003B6CA6"/>
    <w:rsid w:val="003B6E23"/>
    <w:rsid w:val="003B6E69"/>
    <w:rsid w:val="003B731C"/>
    <w:rsid w:val="003C0208"/>
    <w:rsid w:val="003C0324"/>
    <w:rsid w:val="003C04E8"/>
    <w:rsid w:val="003C089D"/>
    <w:rsid w:val="003C0991"/>
    <w:rsid w:val="003C1351"/>
    <w:rsid w:val="003C17AC"/>
    <w:rsid w:val="003C2A9B"/>
    <w:rsid w:val="003C2B11"/>
    <w:rsid w:val="003C2DFB"/>
    <w:rsid w:val="003C2E05"/>
    <w:rsid w:val="003C321B"/>
    <w:rsid w:val="003C3323"/>
    <w:rsid w:val="003C35C4"/>
    <w:rsid w:val="003C3657"/>
    <w:rsid w:val="003C38B5"/>
    <w:rsid w:val="003C3B5A"/>
    <w:rsid w:val="003C4521"/>
    <w:rsid w:val="003C4694"/>
    <w:rsid w:val="003C5793"/>
    <w:rsid w:val="003C58CF"/>
    <w:rsid w:val="003C5BCD"/>
    <w:rsid w:val="003C5D99"/>
    <w:rsid w:val="003C5DD6"/>
    <w:rsid w:val="003C6403"/>
    <w:rsid w:val="003C6620"/>
    <w:rsid w:val="003C664C"/>
    <w:rsid w:val="003C7640"/>
    <w:rsid w:val="003C76EA"/>
    <w:rsid w:val="003C774E"/>
    <w:rsid w:val="003C7796"/>
    <w:rsid w:val="003C7E23"/>
    <w:rsid w:val="003C7E27"/>
    <w:rsid w:val="003D05A6"/>
    <w:rsid w:val="003D0A86"/>
    <w:rsid w:val="003D0BE1"/>
    <w:rsid w:val="003D0BE8"/>
    <w:rsid w:val="003D1087"/>
    <w:rsid w:val="003D1243"/>
    <w:rsid w:val="003D14A1"/>
    <w:rsid w:val="003D19DE"/>
    <w:rsid w:val="003D20C5"/>
    <w:rsid w:val="003D2626"/>
    <w:rsid w:val="003D2921"/>
    <w:rsid w:val="003D2F6A"/>
    <w:rsid w:val="003D3048"/>
    <w:rsid w:val="003D381C"/>
    <w:rsid w:val="003D3B06"/>
    <w:rsid w:val="003D3EBA"/>
    <w:rsid w:val="003D4032"/>
    <w:rsid w:val="003D42A7"/>
    <w:rsid w:val="003D4CA8"/>
    <w:rsid w:val="003D4DDC"/>
    <w:rsid w:val="003D541E"/>
    <w:rsid w:val="003D582B"/>
    <w:rsid w:val="003D5B70"/>
    <w:rsid w:val="003D5C1E"/>
    <w:rsid w:val="003D5E25"/>
    <w:rsid w:val="003D6169"/>
    <w:rsid w:val="003D6270"/>
    <w:rsid w:val="003D779E"/>
    <w:rsid w:val="003D7DF4"/>
    <w:rsid w:val="003E0204"/>
    <w:rsid w:val="003E0BEB"/>
    <w:rsid w:val="003E1413"/>
    <w:rsid w:val="003E1674"/>
    <w:rsid w:val="003E1711"/>
    <w:rsid w:val="003E19B8"/>
    <w:rsid w:val="003E22AB"/>
    <w:rsid w:val="003E2555"/>
    <w:rsid w:val="003E298F"/>
    <w:rsid w:val="003E2A86"/>
    <w:rsid w:val="003E2CCE"/>
    <w:rsid w:val="003E2D77"/>
    <w:rsid w:val="003E2F44"/>
    <w:rsid w:val="003E2F59"/>
    <w:rsid w:val="003E32F8"/>
    <w:rsid w:val="003E3424"/>
    <w:rsid w:val="003E3C59"/>
    <w:rsid w:val="003E3CAA"/>
    <w:rsid w:val="003E3CC8"/>
    <w:rsid w:val="003E47E0"/>
    <w:rsid w:val="003E4B4B"/>
    <w:rsid w:val="003E4F6B"/>
    <w:rsid w:val="003E56CF"/>
    <w:rsid w:val="003E579C"/>
    <w:rsid w:val="003E5881"/>
    <w:rsid w:val="003E5A27"/>
    <w:rsid w:val="003E5D4C"/>
    <w:rsid w:val="003E687F"/>
    <w:rsid w:val="003E68CC"/>
    <w:rsid w:val="003E69EC"/>
    <w:rsid w:val="003E6A7C"/>
    <w:rsid w:val="003E6B57"/>
    <w:rsid w:val="003E6E56"/>
    <w:rsid w:val="003E6EEE"/>
    <w:rsid w:val="003E6FFD"/>
    <w:rsid w:val="003E746B"/>
    <w:rsid w:val="003E7650"/>
    <w:rsid w:val="003E7674"/>
    <w:rsid w:val="003E7780"/>
    <w:rsid w:val="003F0118"/>
    <w:rsid w:val="003F0524"/>
    <w:rsid w:val="003F0789"/>
    <w:rsid w:val="003F0D07"/>
    <w:rsid w:val="003F172C"/>
    <w:rsid w:val="003F174C"/>
    <w:rsid w:val="003F186E"/>
    <w:rsid w:val="003F18B7"/>
    <w:rsid w:val="003F1C83"/>
    <w:rsid w:val="003F247E"/>
    <w:rsid w:val="003F297B"/>
    <w:rsid w:val="003F2A3A"/>
    <w:rsid w:val="003F2A95"/>
    <w:rsid w:val="003F37E4"/>
    <w:rsid w:val="003F3A69"/>
    <w:rsid w:val="003F3AA7"/>
    <w:rsid w:val="003F3B22"/>
    <w:rsid w:val="003F3B3A"/>
    <w:rsid w:val="003F3C74"/>
    <w:rsid w:val="003F3F7E"/>
    <w:rsid w:val="003F420F"/>
    <w:rsid w:val="003F49C2"/>
    <w:rsid w:val="003F4A05"/>
    <w:rsid w:val="003F50A0"/>
    <w:rsid w:val="003F5419"/>
    <w:rsid w:val="003F57FE"/>
    <w:rsid w:val="003F5A74"/>
    <w:rsid w:val="003F5ABD"/>
    <w:rsid w:val="003F6159"/>
    <w:rsid w:val="003F650D"/>
    <w:rsid w:val="003F6832"/>
    <w:rsid w:val="003F6AAA"/>
    <w:rsid w:val="003F6B29"/>
    <w:rsid w:val="003F6BDE"/>
    <w:rsid w:val="003F71AA"/>
    <w:rsid w:val="003F74A5"/>
    <w:rsid w:val="003F76F3"/>
    <w:rsid w:val="003F77C2"/>
    <w:rsid w:val="003F7843"/>
    <w:rsid w:val="0040005F"/>
    <w:rsid w:val="00400729"/>
    <w:rsid w:val="004008A7"/>
    <w:rsid w:val="00400D5E"/>
    <w:rsid w:val="00401614"/>
    <w:rsid w:val="00401703"/>
    <w:rsid w:val="00401882"/>
    <w:rsid w:val="00401EAE"/>
    <w:rsid w:val="00402629"/>
    <w:rsid w:val="00402E31"/>
    <w:rsid w:val="00402FF6"/>
    <w:rsid w:val="00403267"/>
    <w:rsid w:val="0040387B"/>
    <w:rsid w:val="00403EA0"/>
    <w:rsid w:val="00404742"/>
    <w:rsid w:val="004048F7"/>
    <w:rsid w:val="00404D57"/>
    <w:rsid w:val="00404F87"/>
    <w:rsid w:val="00405E5D"/>
    <w:rsid w:val="00406A40"/>
    <w:rsid w:val="00406D1C"/>
    <w:rsid w:val="00406F80"/>
    <w:rsid w:val="00407094"/>
    <w:rsid w:val="004073EB"/>
    <w:rsid w:val="00407506"/>
    <w:rsid w:val="00407D09"/>
    <w:rsid w:val="00407FBF"/>
    <w:rsid w:val="00410008"/>
    <w:rsid w:val="004100C8"/>
    <w:rsid w:val="004103AC"/>
    <w:rsid w:val="004107F2"/>
    <w:rsid w:val="00411601"/>
    <w:rsid w:val="0041185A"/>
    <w:rsid w:val="00411A82"/>
    <w:rsid w:val="00411DBD"/>
    <w:rsid w:val="0041213F"/>
    <w:rsid w:val="00412286"/>
    <w:rsid w:val="00412323"/>
    <w:rsid w:val="00412339"/>
    <w:rsid w:val="00412848"/>
    <w:rsid w:val="00412ACE"/>
    <w:rsid w:val="00412F8B"/>
    <w:rsid w:val="0041308F"/>
    <w:rsid w:val="0041364A"/>
    <w:rsid w:val="00413774"/>
    <w:rsid w:val="0041393B"/>
    <w:rsid w:val="00413EC0"/>
    <w:rsid w:val="004141BD"/>
    <w:rsid w:val="004145D2"/>
    <w:rsid w:val="004145D9"/>
    <w:rsid w:val="00414743"/>
    <w:rsid w:val="00414DAE"/>
    <w:rsid w:val="00414E1A"/>
    <w:rsid w:val="00414EE6"/>
    <w:rsid w:val="0041554D"/>
    <w:rsid w:val="00415691"/>
    <w:rsid w:val="00415695"/>
    <w:rsid w:val="0041570E"/>
    <w:rsid w:val="00415838"/>
    <w:rsid w:val="00415F39"/>
    <w:rsid w:val="0041652B"/>
    <w:rsid w:val="00416830"/>
    <w:rsid w:val="00416A16"/>
    <w:rsid w:val="00416CDA"/>
    <w:rsid w:val="0041757A"/>
    <w:rsid w:val="004176DD"/>
    <w:rsid w:val="00417842"/>
    <w:rsid w:val="00417ABC"/>
    <w:rsid w:val="00420602"/>
    <w:rsid w:val="00420CBF"/>
    <w:rsid w:val="00420EAB"/>
    <w:rsid w:val="00420FB2"/>
    <w:rsid w:val="0042155F"/>
    <w:rsid w:val="0042244C"/>
    <w:rsid w:val="00422541"/>
    <w:rsid w:val="004225EB"/>
    <w:rsid w:val="0042295A"/>
    <w:rsid w:val="00423C86"/>
    <w:rsid w:val="004245B0"/>
    <w:rsid w:val="004247E7"/>
    <w:rsid w:val="00424866"/>
    <w:rsid w:val="00424A8B"/>
    <w:rsid w:val="00424D12"/>
    <w:rsid w:val="0042515F"/>
    <w:rsid w:val="004254E9"/>
    <w:rsid w:val="00425592"/>
    <w:rsid w:val="00425E3A"/>
    <w:rsid w:val="00425EA5"/>
    <w:rsid w:val="0042608E"/>
    <w:rsid w:val="00426201"/>
    <w:rsid w:val="00426747"/>
    <w:rsid w:val="004268CC"/>
    <w:rsid w:val="00426CB4"/>
    <w:rsid w:val="00426F73"/>
    <w:rsid w:val="00427221"/>
    <w:rsid w:val="00427554"/>
    <w:rsid w:val="004276D9"/>
    <w:rsid w:val="0042784C"/>
    <w:rsid w:val="00427BA5"/>
    <w:rsid w:val="00427F64"/>
    <w:rsid w:val="00430D42"/>
    <w:rsid w:val="004311C1"/>
    <w:rsid w:val="00431249"/>
    <w:rsid w:val="004318EC"/>
    <w:rsid w:val="00431E26"/>
    <w:rsid w:val="004320D4"/>
    <w:rsid w:val="004325DC"/>
    <w:rsid w:val="004328EB"/>
    <w:rsid w:val="00432D17"/>
    <w:rsid w:val="00432E82"/>
    <w:rsid w:val="0043372F"/>
    <w:rsid w:val="00433C40"/>
    <w:rsid w:val="00433D0F"/>
    <w:rsid w:val="00433F7A"/>
    <w:rsid w:val="00434813"/>
    <w:rsid w:val="0043489F"/>
    <w:rsid w:val="00434C19"/>
    <w:rsid w:val="0043542B"/>
    <w:rsid w:val="0043558F"/>
    <w:rsid w:val="0043574A"/>
    <w:rsid w:val="00435B4D"/>
    <w:rsid w:val="00435C7C"/>
    <w:rsid w:val="00435E2E"/>
    <w:rsid w:val="0043655D"/>
    <w:rsid w:val="00437017"/>
    <w:rsid w:val="0043716B"/>
    <w:rsid w:val="00437C59"/>
    <w:rsid w:val="00440152"/>
    <w:rsid w:val="004403C4"/>
    <w:rsid w:val="004405BD"/>
    <w:rsid w:val="00440649"/>
    <w:rsid w:val="0044096E"/>
    <w:rsid w:val="00440A31"/>
    <w:rsid w:val="004416EB"/>
    <w:rsid w:val="00441944"/>
    <w:rsid w:val="00441B0B"/>
    <w:rsid w:val="00441EF0"/>
    <w:rsid w:val="004427CE"/>
    <w:rsid w:val="00442ADA"/>
    <w:rsid w:val="00442ADB"/>
    <w:rsid w:val="00442DEC"/>
    <w:rsid w:val="00443669"/>
    <w:rsid w:val="00443960"/>
    <w:rsid w:val="00443C49"/>
    <w:rsid w:val="00443CCE"/>
    <w:rsid w:val="00444744"/>
    <w:rsid w:val="004447C7"/>
    <w:rsid w:val="00444C05"/>
    <w:rsid w:val="00444DD0"/>
    <w:rsid w:val="00445161"/>
    <w:rsid w:val="004455D6"/>
    <w:rsid w:val="00445B9F"/>
    <w:rsid w:val="00445BF2"/>
    <w:rsid w:val="00445EFB"/>
    <w:rsid w:val="004462E3"/>
    <w:rsid w:val="00446655"/>
    <w:rsid w:val="00446EBF"/>
    <w:rsid w:val="00447332"/>
    <w:rsid w:val="00447A7D"/>
    <w:rsid w:val="00447F53"/>
    <w:rsid w:val="004503B5"/>
    <w:rsid w:val="00450606"/>
    <w:rsid w:val="00450692"/>
    <w:rsid w:val="0045069B"/>
    <w:rsid w:val="00450810"/>
    <w:rsid w:val="00450867"/>
    <w:rsid w:val="004510CA"/>
    <w:rsid w:val="00451211"/>
    <w:rsid w:val="004513C4"/>
    <w:rsid w:val="00451535"/>
    <w:rsid w:val="004518A9"/>
    <w:rsid w:val="00451AC0"/>
    <w:rsid w:val="00451CC3"/>
    <w:rsid w:val="00452220"/>
    <w:rsid w:val="0045244F"/>
    <w:rsid w:val="00452DC8"/>
    <w:rsid w:val="00453325"/>
    <w:rsid w:val="00453737"/>
    <w:rsid w:val="00453BBE"/>
    <w:rsid w:val="00454106"/>
    <w:rsid w:val="004541B3"/>
    <w:rsid w:val="004542BF"/>
    <w:rsid w:val="004544C9"/>
    <w:rsid w:val="00454653"/>
    <w:rsid w:val="00454B1A"/>
    <w:rsid w:val="00454D52"/>
    <w:rsid w:val="00454DF9"/>
    <w:rsid w:val="00455347"/>
    <w:rsid w:val="00456315"/>
    <w:rsid w:val="004565CD"/>
    <w:rsid w:val="004569CB"/>
    <w:rsid w:val="00456FFC"/>
    <w:rsid w:val="00457600"/>
    <w:rsid w:val="00457864"/>
    <w:rsid w:val="00457B76"/>
    <w:rsid w:val="00460013"/>
    <w:rsid w:val="00460517"/>
    <w:rsid w:val="00460B9F"/>
    <w:rsid w:val="00461239"/>
    <w:rsid w:val="0046134C"/>
    <w:rsid w:val="004614C1"/>
    <w:rsid w:val="00461F98"/>
    <w:rsid w:val="00461FE0"/>
    <w:rsid w:val="00462267"/>
    <w:rsid w:val="004622FC"/>
    <w:rsid w:val="0046262E"/>
    <w:rsid w:val="0046271D"/>
    <w:rsid w:val="004628A7"/>
    <w:rsid w:val="00462CDF"/>
    <w:rsid w:val="00462E47"/>
    <w:rsid w:val="004634C7"/>
    <w:rsid w:val="00463781"/>
    <w:rsid w:val="0046387F"/>
    <w:rsid w:val="00463D5C"/>
    <w:rsid w:val="00463E32"/>
    <w:rsid w:val="0046407E"/>
    <w:rsid w:val="00464185"/>
    <w:rsid w:val="004641FB"/>
    <w:rsid w:val="004643EB"/>
    <w:rsid w:val="0046493F"/>
    <w:rsid w:val="00464E00"/>
    <w:rsid w:val="00465775"/>
    <w:rsid w:val="00465BB0"/>
    <w:rsid w:val="004666BC"/>
    <w:rsid w:val="0046670F"/>
    <w:rsid w:val="0046679A"/>
    <w:rsid w:val="004667ED"/>
    <w:rsid w:val="00466D01"/>
    <w:rsid w:val="00466DE8"/>
    <w:rsid w:val="00466E96"/>
    <w:rsid w:val="0046744D"/>
    <w:rsid w:val="0046747D"/>
    <w:rsid w:val="00467640"/>
    <w:rsid w:val="00467917"/>
    <w:rsid w:val="00467D1C"/>
    <w:rsid w:val="00467FEE"/>
    <w:rsid w:val="00470299"/>
    <w:rsid w:val="00470737"/>
    <w:rsid w:val="0047076C"/>
    <w:rsid w:val="004707C0"/>
    <w:rsid w:val="00470E58"/>
    <w:rsid w:val="0047135B"/>
    <w:rsid w:val="00471481"/>
    <w:rsid w:val="00471F92"/>
    <w:rsid w:val="004723B8"/>
    <w:rsid w:val="0047251B"/>
    <w:rsid w:val="00472B14"/>
    <w:rsid w:val="00473D93"/>
    <w:rsid w:val="00474045"/>
    <w:rsid w:val="004743A1"/>
    <w:rsid w:val="00474925"/>
    <w:rsid w:val="00474CD4"/>
    <w:rsid w:val="004750CF"/>
    <w:rsid w:val="004750EA"/>
    <w:rsid w:val="004758E8"/>
    <w:rsid w:val="0047610D"/>
    <w:rsid w:val="00476135"/>
    <w:rsid w:val="0047658C"/>
    <w:rsid w:val="00477057"/>
    <w:rsid w:val="00477144"/>
    <w:rsid w:val="004777C9"/>
    <w:rsid w:val="00477927"/>
    <w:rsid w:val="004804CC"/>
    <w:rsid w:val="0048051B"/>
    <w:rsid w:val="00480AB9"/>
    <w:rsid w:val="00480CAE"/>
    <w:rsid w:val="00480D84"/>
    <w:rsid w:val="00481125"/>
    <w:rsid w:val="004812DA"/>
    <w:rsid w:val="004813CE"/>
    <w:rsid w:val="00481454"/>
    <w:rsid w:val="00481668"/>
    <w:rsid w:val="00482740"/>
    <w:rsid w:val="00483006"/>
    <w:rsid w:val="0048314D"/>
    <w:rsid w:val="00483362"/>
    <w:rsid w:val="004838C2"/>
    <w:rsid w:val="004841AC"/>
    <w:rsid w:val="00484403"/>
    <w:rsid w:val="00484C19"/>
    <w:rsid w:val="00485203"/>
    <w:rsid w:val="00485F78"/>
    <w:rsid w:val="00486326"/>
    <w:rsid w:val="0048666C"/>
    <w:rsid w:val="004866DD"/>
    <w:rsid w:val="004867FF"/>
    <w:rsid w:val="004869B3"/>
    <w:rsid w:val="00487872"/>
    <w:rsid w:val="00487BAD"/>
    <w:rsid w:val="00487D7C"/>
    <w:rsid w:val="00490815"/>
    <w:rsid w:val="00490A4F"/>
    <w:rsid w:val="00490C83"/>
    <w:rsid w:val="00490DE3"/>
    <w:rsid w:val="00491148"/>
    <w:rsid w:val="00491380"/>
    <w:rsid w:val="0049184D"/>
    <w:rsid w:val="00491E86"/>
    <w:rsid w:val="004922AB"/>
    <w:rsid w:val="004923B4"/>
    <w:rsid w:val="004924C6"/>
    <w:rsid w:val="0049256B"/>
    <w:rsid w:val="0049263D"/>
    <w:rsid w:val="00492C5C"/>
    <w:rsid w:val="00492ECF"/>
    <w:rsid w:val="00492F04"/>
    <w:rsid w:val="00493AF7"/>
    <w:rsid w:val="00493F22"/>
    <w:rsid w:val="0049459F"/>
    <w:rsid w:val="004948DC"/>
    <w:rsid w:val="00494AC8"/>
    <w:rsid w:val="004954BD"/>
    <w:rsid w:val="0049563F"/>
    <w:rsid w:val="0049610D"/>
    <w:rsid w:val="004963DB"/>
    <w:rsid w:val="004964D8"/>
    <w:rsid w:val="004969CF"/>
    <w:rsid w:val="00496C0B"/>
    <w:rsid w:val="0049754B"/>
    <w:rsid w:val="00497A9B"/>
    <w:rsid w:val="00497F77"/>
    <w:rsid w:val="004A0122"/>
    <w:rsid w:val="004A0195"/>
    <w:rsid w:val="004A04B8"/>
    <w:rsid w:val="004A04E0"/>
    <w:rsid w:val="004A0501"/>
    <w:rsid w:val="004A0520"/>
    <w:rsid w:val="004A080F"/>
    <w:rsid w:val="004A0D20"/>
    <w:rsid w:val="004A15FB"/>
    <w:rsid w:val="004A183A"/>
    <w:rsid w:val="004A1D9F"/>
    <w:rsid w:val="004A1E68"/>
    <w:rsid w:val="004A237D"/>
    <w:rsid w:val="004A283B"/>
    <w:rsid w:val="004A2BED"/>
    <w:rsid w:val="004A2C3F"/>
    <w:rsid w:val="004A2CBF"/>
    <w:rsid w:val="004A2E11"/>
    <w:rsid w:val="004A335C"/>
    <w:rsid w:val="004A35DB"/>
    <w:rsid w:val="004A38DD"/>
    <w:rsid w:val="004A3961"/>
    <w:rsid w:val="004A3B7D"/>
    <w:rsid w:val="004A3C18"/>
    <w:rsid w:val="004A3CDD"/>
    <w:rsid w:val="004A4098"/>
    <w:rsid w:val="004A459C"/>
    <w:rsid w:val="004A4F91"/>
    <w:rsid w:val="004A4FD2"/>
    <w:rsid w:val="004A4FFA"/>
    <w:rsid w:val="004A5572"/>
    <w:rsid w:val="004A5EB2"/>
    <w:rsid w:val="004A5FC5"/>
    <w:rsid w:val="004A66C2"/>
    <w:rsid w:val="004A6D9C"/>
    <w:rsid w:val="004A77FB"/>
    <w:rsid w:val="004B0692"/>
    <w:rsid w:val="004B06B8"/>
    <w:rsid w:val="004B07F5"/>
    <w:rsid w:val="004B0909"/>
    <w:rsid w:val="004B0FCC"/>
    <w:rsid w:val="004B1F91"/>
    <w:rsid w:val="004B258C"/>
    <w:rsid w:val="004B31CE"/>
    <w:rsid w:val="004B3A97"/>
    <w:rsid w:val="004B3C93"/>
    <w:rsid w:val="004B43AE"/>
    <w:rsid w:val="004B46C0"/>
    <w:rsid w:val="004B4D02"/>
    <w:rsid w:val="004B5129"/>
    <w:rsid w:val="004B5991"/>
    <w:rsid w:val="004B5BA9"/>
    <w:rsid w:val="004B5CC9"/>
    <w:rsid w:val="004B60C7"/>
    <w:rsid w:val="004B68CF"/>
    <w:rsid w:val="004B6F5A"/>
    <w:rsid w:val="004B72DF"/>
    <w:rsid w:val="004B79E5"/>
    <w:rsid w:val="004B7A74"/>
    <w:rsid w:val="004B7D82"/>
    <w:rsid w:val="004C0493"/>
    <w:rsid w:val="004C04F9"/>
    <w:rsid w:val="004C0657"/>
    <w:rsid w:val="004C0793"/>
    <w:rsid w:val="004C0CD0"/>
    <w:rsid w:val="004C0DD9"/>
    <w:rsid w:val="004C191F"/>
    <w:rsid w:val="004C2505"/>
    <w:rsid w:val="004C2552"/>
    <w:rsid w:val="004C25C9"/>
    <w:rsid w:val="004C281C"/>
    <w:rsid w:val="004C2865"/>
    <w:rsid w:val="004C2C7F"/>
    <w:rsid w:val="004C2D0C"/>
    <w:rsid w:val="004C2DAD"/>
    <w:rsid w:val="004C2F1A"/>
    <w:rsid w:val="004C2F1E"/>
    <w:rsid w:val="004C2F4A"/>
    <w:rsid w:val="004C30ED"/>
    <w:rsid w:val="004C347A"/>
    <w:rsid w:val="004C3655"/>
    <w:rsid w:val="004C3995"/>
    <w:rsid w:val="004C3CAC"/>
    <w:rsid w:val="004C44F1"/>
    <w:rsid w:val="004C48F2"/>
    <w:rsid w:val="004C4913"/>
    <w:rsid w:val="004C494C"/>
    <w:rsid w:val="004C4E8D"/>
    <w:rsid w:val="004C4FD5"/>
    <w:rsid w:val="004C540A"/>
    <w:rsid w:val="004C58B3"/>
    <w:rsid w:val="004C6099"/>
    <w:rsid w:val="004C63FC"/>
    <w:rsid w:val="004C6676"/>
    <w:rsid w:val="004C6B49"/>
    <w:rsid w:val="004C6D61"/>
    <w:rsid w:val="004C6E72"/>
    <w:rsid w:val="004C735E"/>
    <w:rsid w:val="004C76E1"/>
    <w:rsid w:val="004C7F87"/>
    <w:rsid w:val="004D046A"/>
    <w:rsid w:val="004D065D"/>
    <w:rsid w:val="004D07B5"/>
    <w:rsid w:val="004D0DD4"/>
    <w:rsid w:val="004D1B49"/>
    <w:rsid w:val="004D2667"/>
    <w:rsid w:val="004D267A"/>
    <w:rsid w:val="004D2A75"/>
    <w:rsid w:val="004D3222"/>
    <w:rsid w:val="004D32DD"/>
    <w:rsid w:val="004D3C85"/>
    <w:rsid w:val="004D449D"/>
    <w:rsid w:val="004D46B4"/>
    <w:rsid w:val="004D51BE"/>
    <w:rsid w:val="004D5675"/>
    <w:rsid w:val="004D572B"/>
    <w:rsid w:val="004D59EC"/>
    <w:rsid w:val="004D5C2B"/>
    <w:rsid w:val="004D60B4"/>
    <w:rsid w:val="004D6217"/>
    <w:rsid w:val="004D7032"/>
    <w:rsid w:val="004D786A"/>
    <w:rsid w:val="004D7936"/>
    <w:rsid w:val="004D7F96"/>
    <w:rsid w:val="004E03A4"/>
    <w:rsid w:val="004E04E4"/>
    <w:rsid w:val="004E0C3E"/>
    <w:rsid w:val="004E0C55"/>
    <w:rsid w:val="004E106A"/>
    <w:rsid w:val="004E14D4"/>
    <w:rsid w:val="004E1730"/>
    <w:rsid w:val="004E1751"/>
    <w:rsid w:val="004E1B88"/>
    <w:rsid w:val="004E1D3E"/>
    <w:rsid w:val="004E1E9E"/>
    <w:rsid w:val="004E2A70"/>
    <w:rsid w:val="004E2C25"/>
    <w:rsid w:val="004E2DB4"/>
    <w:rsid w:val="004E2E3E"/>
    <w:rsid w:val="004E3B35"/>
    <w:rsid w:val="004E4336"/>
    <w:rsid w:val="004E4A39"/>
    <w:rsid w:val="004E57E7"/>
    <w:rsid w:val="004E585C"/>
    <w:rsid w:val="004E5CE1"/>
    <w:rsid w:val="004E5EC5"/>
    <w:rsid w:val="004E6268"/>
    <w:rsid w:val="004E63C8"/>
    <w:rsid w:val="004E70D3"/>
    <w:rsid w:val="004E7445"/>
    <w:rsid w:val="004E7526"/>
    <w:rsid w:val="004E75C7"/>
    <w:rsid w:val="004E7798"/>
    <w:rsid w:val="004E7B06"/>
    <w:rsid w:val="004E7BB7"/>
    <w:rsid w:val="004E7FEC"/>
    <w:rsid w:val="004F0355"/>
    <w:rsid w:val="004F06BA"/>
    <w:rsid w:val="004F0FFE"/>
    <w:rsid w:val="004F123F"/>
    <w:rsid w:val="004F1754"/>
    <w:rsid w:val="004F1ECE"/>
    <w:rsid w:val="004F1FBB"/>
    <w:rsid w:val="004F2094"/>
    <w:rsid w:val="004F28F7"/>
    <w:rsid w:val="004F2C1D"/>
    <w:rsid w:val="004F2EA8"/>
    <w:rsid w:val="004F3085"/>
    <w:rsid w:val="004F362D"/>
    <w:rsid w:val="004F410C"/>
    <w:rsid w:val="004F4240"/>
    <w:rsid w:val="004F4530"/>
    <w:rsid w:val="004F505F"/>
    <w:rsid w:val="004F5091"/>
    <w:rsid w:val="004F51FD"/>
    <w:rsid w:val="004F542C"/>
    <w:rsid w:val="004F5583"/>
    <w:rsid w:val="004F5AB8"/>
    <w:rsid w:val="004F5BB4"/>
    <w:rsid w:val="004F62B8"/>
    <w:rsid w:val="004F64E0"/>
    <w:rsid w:val="004F6AA1"/>
    <w:rsid w:val="004F6BF7"/>
    <w:rsid w:val="004F6D6A"/>
    <w:rsid w:val="004F6DCC"/>
    <w:rsid w:val="004F71B3"/>
    <w:rsid w:val="005003AC"/>
    <w:rsid w:val="005004D2"/>
    <w:rsid w:val="005006E5"/>
    <w:rsid w:val="00500A28"/>
    <w:rsid w:val="00500BAE"/>
    <w:rsid w:val="00500BEB"/>
    <w:rsid w:val="00500F90"/>
    <w:rsid w:val="00501025"/>
    <w:rsid w:val="005013D1"/>
    <w:rsid w:val="0050165C"/>
    <w:rsid w:val="005017AA"/>
    <w:rsid w:val="00501922"/>
    <w:rsid w:val="005019FE"/>
    <w:rsid w:val="00501BF3"/>
    <w:rsid w:val="00501D7E"/>
    <w:rsid w:val="00501D85"/>
    <w:rsid w:val="00501D9B"/>
    <w:rsid w:val="0050337B"/>
    <w:rsid w:val="0050375B"/>
    <w:rsid w:val="0050451D"/>
    <w:rsid w:val="00504BDD"/>
    <w:rsid w:val="00504BDE"/>
    <w:rsid w:val="00504D50"/>
    <w:rsid w:val="00505125"/>
    <w:rsid w:val="005051E7"/>
    <w:rsid w:val="00505C78"/>
    <w:rsid w:val="00506196"/>
    <w:rsid w:val="00506224"/>
    <w:rsid w:val="0050660E"/>
    <w:rsid w:val="0050670E"/>
    <w:rsid w:val="00506867"/>
    <w:rsid w:val="0050697F"/>
    <w:rsid w:val="005072C7"/>
    <w:rsid w:val="00507926"/>
    <w:rsid w:val="00507EC3"/>
    <w:rsid w:val="00510363"/>
    <w:rsid w:val="0051055B"/>
    <w:rsid w:val="0051110E"/>
    <w:rsid w:val="005113CE"/>
    <w:rsid w:val="00511DB0"/>
    <w:rsid w:val="00512254"/>
    <w:rsid w:val="0051237A"/>
    <w:rsid w:val="00512852"/>
    <w:rsid w:val="00512C99"/>
    <w:rsid w:val="00512DEB"/>
    <w:rsid w:val="005132BA"/>
    <w:rsid w:val="00513EC2"/>
    <w:rsid w:val="0051422D"/>
    <w:rsid w:val="005144F5"/>
    <w:rsid w:val="0051538B"/>
    <w:rsid w:val="0051580B"/>
    <w:rsid w:val="00515935"/>
    <w:rsid w:val="005159FB"/>
    <w:rsid w:val="0051602B"/>
    <w:rsid w:val="00516065"/>
    <w:rsid w:val="0051645A"/>
    <w:rsid w:val="00516FDB"/>
    <w:rsid w:val="0051732A"/>
    <w:rsid w:val="005174A4"/>
    <w:rsid w:val="005176D2"/>
    <w:rsid w:val="00517795"/>
    <w:rsid w:val="00517A0B"/>
    <w:rsid w:val="00517BCD"/>
    <w:rsid w:val="00517D3A"/>
    <w:rsid w:val="0052003D"/>
    <w:rsid w:val="005201ED"/>
    <w:rsid w:val="00520318"/>
    <w:rsid w:val="00520470"/>
    <w:rsid w:val="005204DF"/>
    <w:rsid w:val="00520EB8"/>
    <w:rsid w:val="005212BB"/>
    <w:rsid w:val="00521501"/>
    <w:rsid w:val="0052153D"/>
    <w:rsid w:val="00521731"/>
    <w:rsid w:val="005218BF"/>
    <w:rsid w:val="00521B40"/>
    <w:rsid w:val="00521CAA"/>
    <w:rsid w:val="00521FD4"/>
    <w:rsid w:val="0052210B"/>
    <w:rsid w:val="0052214E"/>
    <w:rsid w:val="005221DF"/>
    <w:rsid w:val="00522B56"/>
    <w:rsid w:val="005230D8"/>
    <w:rsid w:val="00523384"/>
    <w:rsid w:val="005235B8"/>
    <w:rsid w:val="005235F1"/>
    <w:rsid w:val="00523639"/>
    <w:rsid w:val="00523797"/>
    <w:rsid w:val="00523871"/>
    <w:rsid w:val="00523A37"/>
    <w:rsid w:val="00523C7E"/>
    <w:rsid w:val="00523DE4"/>
    <w:rsid w:val="00523FE2"/>
    <w:rsid w:val="00524321"/>
    <w:rsid w:val="005243CF"/>
    <w:rsid w:val="00524EFB"/>
    <w:rsid w:val="00525154"/>
    <w:rsid w:val="005251BE"/>
    <w:rsid w:val="0052546E"/>
    <w:rsid w:val="005257F7"/>
    <w:rsid w:val="00525C8A"/>
    <w:rsid w:val="00525CAA"/>
    <w:rsid w:val="00525F48"/>
    <w:rsid w:val="005260CC"/>
    <w:rsid w:val="00526793"/>
    <w:rsid w:val="00526807"/>
    <w:rsid w:val="00526A06"/>
    <w:rsid w:val="00526DE2"/>
    <w:rsid w:val="00527DEF"/>
    <w:rsid w:val="00527F67"/>
    <w:rsid w:val="0053000B"/>
    <w:rsid w:val="0053039B"/>
    <w:rsid w:val="00530A20"/>
    <w:rsid w:val="00530DFD"/>
    <w:rsid w:val="00530FAA"/>
    <w:rsid w:val="00531500"/>
    <w:rsid w:val="00531A16"/>
    <w:rsid w:val="00531F6A"/>
    <w:rsid w:val="00531FA3"/>
    <w:rsid w:val="00531FE5"/>
    <w:rsid w:val="005322CF"/>
    <w:rsid w:val="00532389"/>
    <w:rsid w:val="005326F1"/>
    <w:rsid w:val="005328B4"/>
    <w:rsid w:val="005329CB"/>
    <w:rsid w:val="00532BFC"/>
    <w:rsid w:val="00532C47"/>
    <w:rsid w:val="00532ECF"/>
    <w:rsid w:val="00532FFD"/>
    <w:rsid w:val="0053312A"/>
    <w:rsid w:val="005338D9"/>
    <w:rsid w:val="00533B3A"/>
    <w:rsid w:val="00533EF9"/>
    <w:rsid w:val="00534701"/>
    <w:rsid w:val="00534E60"/>
    <w:rsid w:val="005357A7"/>
    <w:rsid w:val="005362BC"/>
    <w:rsid w:val="005366A9"/>
    <w:rsid w:val="005367FF"/>
    <w:rsid w:val="00536D26"/>
    <w:rsid w:val="00536D98"/>
    <w:rsid w:val="0053735E"/>
    <w:rsid w:val="005374EF"/>
    <w:rsid w:val="00537DA0"/>
    <w:rsid w:val="00540053"/>
    <w:rsid w:val="005400AB"/>
    <w:rsid w:val="005402FA"/>
    <w:rsid w:val="005403FC"/>
    <w:rsid w:val="005407FE"/>
    <w:rsid w:val="0054083E"/>
    <w:rsid w:val="00540906"/>
    <w:rsid w:val="00540A8C"/>
    <w:rsid w:val="00540B57"/>
    <w:rsid w:val="00540B58"/>
    <w:rsid w:val="00540B7B"/>
    <w:rsid w:val="00540DD2"/>
    <w:rsid w:val="00540F1E"/>
    <w:rsid w:val="00541436"/>
    <w:rsid w:val="00541FE0"/>
    <w:rsid w:val="005423C4"/>
    <w:rsid w:val="00542DB1"/>
    <w:rsid w:val="00543021"/>
    <w:rsid w:val="0054399C"/>
    <w:rsid w:val="00543DBB"/>
    <w:rsid w:val="00543DFD"/>
    <w:rsid w:val="00544617"/>
    <w:rsid w:val="005449BE"/>
    <w:rsid w:val="00545140"/>
    <w:rsid w:val="00545686"/>
    <w:rsid w:val="00545693"/>
    <w:rsid w:val="005459B5"/>
    <w:rsid w:val="00546848"/>
    <w:rsid w:val="00546892"/>
    <w:rsid w:val="00546D44"/>
    <w:rsid w:val="00546E42"/>
    <w:rsid w:val="00547306"/>
    <w:rsid w:val="00547845"/>
    <w:rsid w:val="00547885"/>
    <w:rsid w:val="00547B1D"/>
    <w:rsid w:val="00547E59"/>
    <w:rsid w:val="005500D8"/>
    <w:rsid w:val="005501B6"/>
    <w:rsid w:val="005504FF"/>
    <w:rsid w:val="0055119D"/>
    <w:rsid w:val="005512AC"/>
    <w:rsid w:val="00551586"/>
    <w:rsid w:val="00551935"/>
    <w:rsid w:val="00551C43"/>
    <w:rsid w:val="005522FA"/>
    <w:rsid w:val="005527CE"/>
    <w:rsid w:val="00552C64"/>
    <w:rsid w:val="00553058"/>
    <w:rsid w:val="00553874"/>
    <w:rsid w:val="00553935"/>
    <w:rsid w:val="00553C61"/>
    <w:rsid w:val="00553D1C"/>
    <w:rsid w:val="00553FB4"/>
    <w:rsid w:val="00554018"/>
    <w:rsid w:val="005540E5"/>
    <w:rsid w:val="00554476"/>
    <w:rsid w:val="0055458C"/>
    <w:rsid w:val="005547D3"/>
    <w:rsid w:val="0055482A"/>
    <w:rsid w:val="00554E92"/>
    <w:rsid w:val="00554F8E"/>
    <w:rsid w:val="00554FCC"/>
    <w:rsid w:val="00555331"/>
    <w:rsid w:val="00555499"/>
    <w:rsid w:val="00555797"/>
    <w:rsid w:val="00555BF6"/>
    <w:rsid w:val="00555D81"/>
    <w:rsid w:val="00556375"/>
    <w:rsid w:val="0055707E"/>
    <w:rsid w:val="00557A86"/>
    <w:rsid w:val="00557CA5"/>
    <w:rsid w:val="00557D8D"/>
    <w:rsid w:val="0056039C"/>
    <w:rsid w:val="0056075C"/>
    <w:rsid w:val="005612AA"/>
    <w:rsid w:val="005616DB"/>
    <w:rsid w:val="00561732"/>
    <w:rsid w:val="00561868"/>
    <w:rsid w:val="00561B63"/>
    <w:rsid w:val="0056208A"/>
    <w:rsid w:val="00562136"/>
    <w:rsid w:val="005624A6"/>
    <w:rsid w:val="00562948"/>
    <w:rsid w:val="00563CF7"/>
    <w:rsid w:val="00563F02"/>
    <w:rsid w:val="005645D2"/>
    <w:rsid w:val="005647EE"/>
    <w:rsid w:val="005649F8"/>
    <w:rsid w:val="00564AFF"/>
    <w:rsid w:val="00564D76"/>
    <w:rsid w:val="005657DE"/>
    <w:rsid w:val="005658B9"/>
    <w:rsid w:val="005658ED"/>
    <w:rsid w:val="005658EE"/>
    <w:rsid w:val="00565E30"/>
    <w:rsid w:val="00565F8D"/>
    <w:rsid w:val="005661AD"/>
    <w:rsid w:val="00566836"/>
    <w:rsid w:val="00566CF5"/>
    <w:rsid w:val="0056738C"/>
    <w:rsid w:val="005675AE"/>
    <w:rsid w:val="00567DE4"/>
    <w:rsid w:val="00570366"/>
    <w:rsid w:val="00570CED"/>
    <w:rsid w:val="0057154F"/>
    <w:rsid w:val="00571877"/>
    <w:rsid w:val="005719E2"/>
    <w:rsid w:val="00571E54"/>
    <w:rsid w:val="005729BD"/>
    <w:rsid w:val="00572CAB"/>
    <w:rsid w:val="00572D7F"/>
    <w:rsid w:val="00572F68"/>
    <w:rsid w:val="00573546"/>
    <w:rsid w:val="0057389E"/>
    <w:rsid w:val="0057397F"/>
    <w:rsid w:val="00573D44"/>
    <w:rsid w:val="00573F5D"/>
    <w:rsid w:val="00574257"/>
    <w:rsid w:val="005746FB"/>
    <w:rsid w:val="005747B4"/>
    <w:rsid w:val="005748A0"/>
    <w:rsid w:val="00574B11"/>
    <w:rsid w:val="005752B8"/>
    <w:rsid w:val="005756B9"/>
    <w:rsid w:val="00575936"/>
    <w:rsid w:val="00575AD9"/>
    <w:rsid w:val="00575D74"/>
    <w:rsid w:val="00576029"/>
    <w:rsid w:val="0057604B"/>
    <w:rsid w:val="00576A5B"/>
    <w:rsid w:val="00577044"/>
    <w:rsid w:val="005771E6"/>
    <w:rsid w:val="0057729B"/>
    <w:rsid w:val="005775F6"/>
    <w:rsid w:val="00577895"/>
    <w:rsid w:val="005778F2"/>
    <w:rsid w:val="00577BEB"/>
    <w:rsid w:val="00577DBC"/>
    <w:rsid w:val="005804B5"/>
    <w:rsid w:val="005805A3"/>
    <w:rsid w:val="005808C5"/>
    <w:rsid w:val="00580F2B"/>
    <w:rsid w:val="00581016"/>
    <w:rsid w:val="00581137"/>
    <w:rsid w:val="0058173C"/>
    <w:rsid w:val="0058191F"/>
    <w:rsid w:val="00581B55"/>
    <w:rsid w:val="00581E1C"/>
    <w:rsid w:val="0058220A"/>
    <w:rsid w:val="0058290A"/>
    <w:rsid w:val="00582E64"/>
    <w:rsid w:val="00582F19"/>
    <w:rsid w:val="005835F8"/>
    <w:rsid w:val="0058362D"/>
    <w:rsid w:val="005837EF"/>
    <w:rsid w:val="00583A91"/>
    <w:rsid w:val="00583A99"/>
    <w:rsid w:val="00583B4F"/>
    <w:rsid w:val="00583C37"/>
    <w:rsid w:val="00583C39"/>
    <w:rsid w:val="00584B97"/>
    <w:rsid w:val="00584D26"/>
    <w:rsid w:val="00584D32"/>
    <w:rsid w:val="00584F1A"/>
    <w:rsid w:val="00585658"/>
    <w:rsid w:val="005859E2"/>
    <w:rsid w:val="00585B57"/>
    <w:rsid w:val="00585DFB"/>
    <w:rsid w:val="00586250"/>
    <w:rsid w:val="0058657E"/>
    <w:rsid w:val="005865C8"/>
    <w:rsid w:val="00586B39"/>
    <w:rsid w:val="00586C09"/>
    <w:rsid w:val="005870A4"/>
    <w:rsid w:val="00587371"/>
    <w:rsid w:val="00587512"/>
    <w:rsid w:val="005877E8"/>
    <w:rsid w:val="00587A5D"/>
    <w:rsid w:val="00587CD7"/>
    <w:rsid w:val="00587E52"/>
    <w:rsid w:val="00587E70"/>
    <w:rsid w:val="00587F28"/>
    <w:rsid w:val="0059069C"/>
    <w:rsid w:val="005909CF"/>
    <w:rsid w:val="00591218"/>
    <w:rsid w:val="0059188D"/>
    <w:rsid w:val="00591E71"/>
    <w:rsid w:val="005922DD"/>
    <w:rsid w:val="005924D2"/>
    <w:rsid w:val="0059251F"/>
    <w:rsid w:val="0059284F"/>
    <w:rsid w:val="005928B6"/>
    <w:rsid w:val="00592C72"/>
    <w:rsid w:val="005931A5"/>
    <w:rsid w:val="005931E9"/>
    <w:rsid w:val="005932F3"/>
    <w:rsid w:val="00593667"/>
    <w:rsid w:val="00593692"/>
    <w:rsid w:val="005937D0"/>
    <w:rsid w:val="005939C6"/>
    <w:rsid w:val="005939E4"/>
    <w:rsid w:val="00593EAF"/>
    <w:rsid w:val="005940D6"/>
    <w:rsid w:val="00594239"/>
    <w:rsid w:val="0059450B"/>
    <w:rsid w:val="00594A4D"/>
    <w:rsid w:val="00594E1D"/>
    <w:rsid w:val="00594F20"/>
    <w:rsid w:val="005952DE"/>
    <w:rsid w:val="005955FC"/>
    <w:rsid w:val="00595925"/>
    <w:rsid w:val="00595F85"/>
    <w:rsid w:val="00596274"/>
    <w:rsid w:val="005965A5"/>
    <w:rsid w:val="0059674B"/>
    <w:rsid w:val="00596AE1"/>
    <w:rsid w:val="005974EE"/>
    <w:rsid w:val="005974F1"/>
    <w:rsid w:val="00597891"/>
    <w:rsid w:val="005A03C7"/>
    <w:rsid w:val="005A099F"/>
    <w:rsid w:val="005A0C65"/>
    <w:rsid w:val="005A0D41"/>
    <w:rsid w:val="005A1442"/>
    <w:rsid w:val="005A14E5"/>
    <w:rsid w:val="005A1DEF"/>
    <w:rsid w:val="005A1E97"/>
    <w:rsid w:val="005A2AD2"/>
    <w:rsid w:val="005A2D05"/>
    <w:rsid w:val="005A2F40"/>
    <w:rsid w:val="005A2FA3"/>
    <w:rsid w:val="005A32A9"/>
    <w:rsid w:val="005A4912"/>
    <w:rsid w:val="005A4973"/>
    <w:rsid w:val="005A51F4"/>
    <w:rsid w:val="005A59F4"/>
    <w:rsid w:val="005A5F36"/>
    <w:rsid w:val="005A600E"/>
    <w:rsid w:val="005A6616"/>
    <w:rsid w:val="005A69A5"/>
    <w:rsid w:val="005A6AC6"/>
    <w:rsid w:val="005A6C04"/>
    <w:rsid w:val="005A7160"/>
    <w:rsid w:val="005A7739"/>
    <w:rsid w:val="005A7AB9"/>
    <w:rsid w:val="005B040E"/>
    <w:rsid w:val="005B0425"/>
    <w:rsid w:val="005B0482"/>
    <w:rsid w:val="005B064B"/>
    <w:rsid w:val="005B09B0"/>
    <w:rsid w:val="005B0ED0"/>
    <w:rsid w:val="005B0F22"/>
    <w:rsid w:val="005B10EE"/>
    <w:rsid w:val="005B14A2"/>
    <w:rsid w:val="005B1C7B"/>
    <w:rsid w:val="005B1FE0"/>
    <w:rsid w:val="005B2009"/>
    <w:rsid w:val="005B29F8"/>
    <w:rsid w:val="005B2EC0"/>
    <w:rsid w:val="005B2F8E"/>
    <w:rsid w:val="005B3579"/>
    <w:rsid w:val="005B35A1"/>
    <w:rsid w:val="005B38B2"/>
    <w:rsid w:val="005B3CC0"/>
    <w:rsid w:val="005B4200"/>
    <w:rsid w:val="005B5234"/>
    <w:rsid w:val="005B533B"/>
    <w:rsid w:val="005B544A"/>
    <w:rsid w:val="005B5836"/>
    <w:rsid w:val="005B5D7B"/>
    <w:rsid w:val="005B602C"/>
    <w:rsid w:val="005B60D3"/>
    <w:rsid w:val="005B68E7"/>
    <w:rsid w:val="005B69DC"/>
    <w:rsid w:val="005B6E27"/>
    <w:rsid w:val="005B7083"/>
    <w:rsid w:val="005B73E4"/>
    <w:rsid w:val="005B777D"/>
    <w:rsid w:val="005B7AE2"/>
    <w:rsid w:val="005B7C53"/>
    <w:rsid w:val="005B7FA3"/>
    <w:rsid w:val="005C0176"/>
    <w:rsid w:val="005C0524"/>
    <w:rsid w:val="005C055C"/>
    <w:rsid w:val="005C0BA2"/>
    <w:rsid w:val="005C17B8"/>
    <w:rsid w:val="005C2437"/>
    <w:rsid w:val="005C24A4"/>
    <w:rsid w:val="005C2C38"/>
    <w:rsid w:val="005C2D2A"/>
    <w:rsid w:val="005C2FC1"/>
    <w:rsid w:val="005C334C"/>
    <w:rsid w:val="005C41A4"/>
    <w:rsid w:val="005C48B1"/>
    <w:rsid w:val="005C5863"/>
    <w:rsid w:val="005C5B39"/>
    <w:rsid w:val="005C5BF6"/>
    <w:rsid w:val="005C5E19"/>
    <w:rsid w:val="005C5FC2"/>
    <w:rsid w:val="005C6126"/>
    <w:rsid w:val="005C65E2"/>
    <w:rsid w:val="005C737F"/>
    <w:rsid w:val="005C7483"/>
    <w:rsid w:val="005C791F"/>
    <w:rsid w:val="005C7995"/>
    <w:rsid w:val="005C7CE1"/>
    <w:rsid w:val="005D06B7"/>
    <w:rsid w:val="005D0C04"/>
    <w:rsid w:val="005D0CBC"/>
    <w:rsid w:val="005D0F74"/>
    <w:rsid w:val="005D1AAC"/>
    <w:rsid w:val="005D1D88"/>
    <w:rsid w:val="005D226B"/>
    <w:rsid w:val="005D2934"/>
    <w:rsid w:val="005D298F"/>
    <w:rsid w:val="005D2AAA"/>
    <w:rsid w:val="005D2B11"/>
    <w:rsid w:val="005D2B99"/>
    <w:rsid w:val="005D3145"/>
    <w:rsid w:val="005D35D1"/>
    <w:rsid w:val="005D3AF6"/>
    <w:rsid w:val="005D3CB7"/>
    <w:rsid w:val="005D4985"/>
    <w:rsid w:val="005D5143"/>
    <w:rsid w:val="005D543F"/>
    <w:rsid w:val="005D553B"/>
    <w:rsid w:val="005D56D6"/>
    <w:rsid w:val="005D6364"/>
    <w:rsid w:val="005D65E1"/>
    <w:rsid w:val="005D6786"/>
    <w:rsid w:val="005D67DD"/>
    <w:rsid w:val="005D68A8"/>
    <w:rsid w:val="005D6A79"/>
    <w:rsid w:val="005D6DD5"/>
    <w:rsid w:val="005D7040"/>
    <w:rsid w:val="005D7240"/>
    <w:rsid w:val="005D755F"/>
    <w:rsid w:val="005D7A1B"/>
    <w:rsid w:val="005D7CA7"/>
    <w:rsid w:val="005E018B"/>
    <w:rsid w:val="005E03BC"/>
    <w:rsid w:val="005E04E3"/>
    <w:rsid w:val="005E070A"/>
    <w:rsid w:val="005E0D92"/>
    <w:rsid w:val="005E12F6"/>
    <w:rsid w:val="005E1650"/>
    <w:rsid w:val="005E1853"/>
    <w:rsid w:val="005E21D3"/>
    <w:rsid w:val="005E32BF"/>
    <w:rsid w:val="005E38B7"/>
    <w:rsid w:val="005E4203"/>
    <w:rsid w:val="005E4AFA"/>
    <w:rsid w:val="005E4FA6"/>
    <w:rsid w:val="005E5A48"/>
    <w:rsid w:val="005E68D6"/>
    <w:rsid w:val="005E6C3E"/>
    <w:rsid w:val="005E6D21"/>
    <w:rsid w:val="005E6E87"/>
    <w:rsid w:val="005E72D2"/>
    <w:rsid w:val="005E7A38"/>
    <w:rsid w:val="005E7C74"/>
    <w:rsid w:val="005F01EC"/>
    <w:rsid w:val="005F035E"/>
    <w:rsid w:val="005F0826"/>
    <w:rsid w:val="005F101A"/>
    <w:rsid w:val="005F1080"/>
    <w:rsid w:val="005F1481"/>
    <w:rsid w:val="005F1759"/>
    <w:rsid w:val="005F1785"/>
    <w:rsid w:val="005F19A0"/>
    <w:rsid w:val="005F1AB0"/>
    <w:rsid w:val="005F208D"/>
    <w:rsid w:val="005F218F"/>
    <w:rsid w:val="005F24D5"/>
    <w:rsid w:val="005F28A6"/>
    <w:rsid w:val="005F2F7D"/>
    <w:rsid w:val="005F318A"/>
    <w:rsid w:val="005F31FA"/>
    <w:rsid w:val="005F3278"/>
    <w:rsid w:val="005F35F3"/>
    <w:rsid w:val="005F3920"/>
    <w:rsid w:val="005F3EDE"/>
    <w:rsid w:val="005F4049"/>
    <w:rsid w:val="005F434E"/>
    <w:rsid w:val="005F467B"/>
    <w:rsid w:val="005F48ED"/>
    <w:rsid w:val="005F53F7"/>
    <w:rsid w:val="005F568F"/>
    <w:rsid w:val="005F58FE"/>
    <w:rsid w:val="005F5DE2"/>
    <w:rsid w:val="005F5FFD"/>
    <w:rsid w:val="005F6047"/>
    <w:rsid w:val="005F6103"/>
    <w:rsid w:val="005F6622"/>
    <w:rsid w:val="005F70CC"/>
    <w:rsid w:val="005F71BF"/>
    <w:rsid w:val="005F7556"/>
    <w:rsid w:val="006000A7"/>
    <w:rsid w:val="00600878"/>
    <w:rsid w:val="00601068"/>
    <w:rsid w:val="006010E0"/>
    <w:rsid w:val="006011E0"/>
    <w:rsid w:val="006012C6"/>
    <w:rsid w:val="00601D14"/>
    <w:rsid w:val="00601F6D"/>
    <w:rsid w:val="0060204C"/>
    <w:rsid w:val="00602462"/>
    <w:rsid w:val="0060260C"/>
    <w:rsid w:val="00602D2C"/>
    <w:rsid w:val="00602F04"/>
    <w:rsid w:val="00603117"/>
    <w:rsid w:val="006038D8"/>
    <w:rsid w:val="00604035"/>
    <w:rsid w:val="006040C6"/>
    <w:rsid w:val="006045F9"/>
    <w:rsid w:val="00604836"/>
    <w:rsid w:val="00604F13"/>
    <w:rsid w:val="00605345"/>
    <w:rsid w:val="00605466"/>
    <w:rsid w:val="006056D7"/>
    <w:rsid w:val="0060617B"/>
    <w:rsid w:val="006068C4"/>
    <w:rsid w:val="00606B79"/>
    <w:rsid w:val="00606E78"/>
    <w:rsid w:val="00607181"/>
    <w:rsid w:val="0060787F"/>
    <w:rsid w:val="006079B8"/>
    <w:rsid w:val="00607AC8"/>
    <w:rsid w:val="00607B8F"/>
    <w:rsid w:val="00607BF1"/>
    <w:rsid w:val="00607CB3"/>
    <w:rsid w:val="00607D01"/>
    <w:rsid w:val="00610318"/>
    <w:rsid w:val="00610388"/>
    <w:rsid w:val="00610508"/>
    <w:rsid w:val="00610599"/>
    <w:rsid w:val="006109C2"/>
    <w:rsid w:val="00610C01"/>
    <w:rsid w:val="0061139F"/>
    <w:rsid w:val="006116B0"/>
    <w:rsid w:val="00611FE2"/>
    <w:rsid w:val="00612EF9"/>
    <w:rsid w:val="00612F06"/>
    <w:rsid w:val="0061338F"/>
    <w:rsid w:val="00613698"/>
    <w:rsid w:val="00613F1E"/>
    <w:rsid w:val="00613F24"/>
    <w:rsid w:val="0061426E"/>
    <w:rsid w:val="00614391"/>
    <w:rsid w:val="00614571"/>
    <w:rsid w:val="006145E6"/>
    <w:rsid w:val="00614D52"/>
    <w:rsid w:val="00615347"/>
    <w:rsid w:val="00615598"/>
    <w:rsid w:val="00615C60"/>
    <w:rsid w:val="00615E15"/>
    <w:rsid w:val="00616116"/>
    <w:rsid w:val="006162C3"/>
    <w:rsid w:val="006163B5"/>
    <w:rsid w:val="006166DB"/>
    <w:rsid w:val="006167B3"/>
    <w:rsid w:val="00616BCC"/>
    <w:rsid w:val="00617C97"/>
    <w:rsid w:val="00617E08"/>
    <w:rsid w:val="006205D6"/>
    <w:rsid w:val="00620D55"/>
    <w:rsid w:val="00620FF6"/>
    <w:rsid w:val="00621A7A"/>
    <w:rsid w:val="00622D38"/>
    <w:rsid w:val="00622E80"/>
    <w:rsid w:val="00622F6B"/>
    <w:rsid w:val="0062387B"/>
    <w:rsid w:val="00623AE3"/>
    <w:rsid w:val="006243AF"/>
    <w:rsid w:val="00624447"/>
    <w:rsid w:val="00624486"/>
    <w:rsid w:val="006244E0"/>
    <w:rsid w:val="00624BF2"/>
    <w:rsid w:val="006256EE"/>
    <w:rsid w:val="006258FE"/>
    <w:rsid w:val="0062597E"/>
    <w:rsid w:val="00625E99"/>
    <w:rsid w:val="00625F91"/>
    <w:rsid w:val="00626125"/>
    <w:rsid w:val="0062635E"/>
    <w:rsid w:val="0062641D"/>
    <w:rsid w:val="0062651F"/>
    <w:rsid w:val="0062674A"/>
    <w:rsid w:val="006267E8"/>
    <w:rsid w:val="00626AAB"/>
    <w:rsid w:val="00626BF6"/>
    <w:rsid w:val="00626C3C"/>
    <w:rsid w:val="00626E3B"/>
    <w:rsid w:val="00626EA6"/>
    <w:rsid w:val="00627802"/>
    <w:rsid w:val="00627849"/>
    <w:rsid w:val="00627D9F"/>
    <w:rsid w:val="0063008D"/>
    <w:rsid w:val="006300C1"/>
    <w:rsid w:val="006300D5"/>
    <w:rsid w:val="00630205"/>
    <w:rsid w:val="00630A23"/>
    <w:rsid w:val="00630A7F"/>
    <w:rsid w:val="00630C18"/>
    <w:rsid w:val="00630D4D"/>
    <w:rsid w:val="00631A1E"/>
    <w:rsid w:val="00631D5B"/>
    <w:rsid w:val="00632A74"/>
    <w:rsid w:val="00633086"/>
    <w:rsid w:val="00633189"/>
    <w:rsid w:val="00633410"/>
    <w:rsid w:val="00633DE9"/>
    <w:rsid w:val="00634CDC"/>
    <w:rsid w:val="00634F5F"/>
    <w:rsid w:val="0063500F"/>
    <w:rsid w:val="006350C2"/>
    <w:rsid w:val="00635122"/>
    <w:rsid w:val="0063513D"/>
    <w:rsid w:val="0063559B"/>
    <w:rsid w:val="00635A5B"/>
    <w:rsid w:val="00635B7A"/>
    <w:rsid w:val="00635BF7"/>
    <w:rsid w:val="00635DAD"/>
    <w:rsid w:val="00636011"/>
    <w:rsid w:val="00636651"/>
    <w:rsid w:val="00636D4F"/>
    <w:rsid w:val="0063725F"/>
    <w:rsid w:val="00637D14"/>
    <w:rsid w:val="00640B19"/>
    <w:rsid w:val="00641335"/>
    <w:rsid w:val="00641A44"/>
    <w:rsid w:val="00641B25"/>
    <w:rsid w:val="00641CDF"/>
    <w:rsid w:val="00641E90"/>
    <w:rsid w:val="0064219C"/>
    <w:rsid w:val="00642540"/>
    <w:rsid w:val="006429DB"/>
    <w:rsid w:val="00642AB5"/>
    <w:rsid w:val="00642DD9"/>
    <w:rsid w:val="00642F05"/>
    <w:rsid w:val="00643E02"/>
    <w:rsid w:val="006443A1"/>
    <w:rsid w:val="00644465"/>
    <w:rsid w:val="006444AC"/>
    <w:rsid w:val="00644EB2"/>
    <w:rsid w:val="00644FAF"/>
    <w:rsid w:val="00645995"/>
    <w:rsid w:val="00645AEB"/>
    <w:rsid w:val="00645C63"/>
    <w:rsid w:val="00645F4F"/>
    <w:rsid w:val="00646CBE"/>
    <w:rsid w:val="006470DC"/>
    <w:rsid w:val="0064710C"/>
    <w:rsid w:val="006475CC"/>
    <w:rsid w:val="00647945"/>
    <w:rsid w:val="006479D5"/>
    <w:rsid w:val="00650005"/>
    <w:rsid w:val="0065089E"/>
    <w:rsid w:val="00650A97"/>
    <w:rsid w:val="00650D9B"/>
    <w:rsid w:val="00651048"/>
    <w:rsid w:val="00651242"/>
    <w:rsid w:val="00651A24"/>
    <w:rsid w:val="00651DE8"/>
    <w:rsid w:val="00652340"/>
    <w:rsid w:val="00652704"/>
    <w:rsid w:val="006529C8"/>
    <w:rsid w:val="00652A84"/>
    <w:rsid w:val="00652AA5"/>
    <w:rsid w:val="00652AAC"/>
    <w:rsid w:val="00652ABD"/>
    <w:rsid w:val="006532B3"/>
    <w:rsid w:val="006532D4"/>
    <w:rsid w:val="0065353F"/>
    <w:rsid w:val="00653720"/>
    <w:rsid w:val="00653BC4"/>
    <w:rsid w:val="00653BE4"/>
    <w:rsid w:val="00653C52"/>
    <w:rsid w:val="0065413A"/>
    <w:rsid w:val="0065413E"/>
    <w:rsid w:val="00654997"/>
    <w:rsid w:val="00654C74"/>
    <w:rsid w:val="00654D42"/>
    <w:rsid w:val="0065556D"/>
    <w:rsid w:val="00655BEB"/>
    <w:rsid w:val="00655E7E"/>
    <w:rsid w:val="00655FA9"/>
    <w:rsid w:val="00655FF1"/>
    <w:rsid w:val="00657336"/>
    <w:rsid w:val="00657456"/>
    <w:rsid w:val="0065757C"/>
    <w:rsid w:val="00657940"/>
    <w:rsid w:val="00657A84"/>
    <w:rsid w:val="00657D2F"/>
    <w:rsid w:val="00660CEF"/>
    <w:rsid w:val="00660F20"/>
    <w:rsid w:val="006610DA"/>
    <w:rsid w:val="00661281"/>
    <w:rsid w:val="006612A6"/>
    <w:rsid w:val="00661BEA"/>
    <w:rsid w:val="00661E72"/>
    <w:rsid w:val="006621E2"/>
    <w:rsid w:val="00662DA0"/>
    <w:rsid w:val="006633D4"/>
    <w:rsid w:val="00663C3A"/>
    <w:rsid w:val="00663CAE"/>
    <w:rsid w:val="006640FD"/>
    <w:rsid w:val="0066486E"/>
    <w:rsid w:val="006652D7"/>
    <w:rsid w:val="00665541"/>
    <w:rsid w:val="006656AE"/>
    <w:rsid w:val="0066583D"/>
    <w:rsid w:val="0066588B"/>
    <w:rsid w:val="00665C6E"/>
    <w:rsid w:val="00666361"/>
    <w:rsid w:val="00666466"/>
    <w:rsid w:val="006664C0"/>
    <w:rsid w:val="006664FA"/>
    <w:rsid w:val="006666C6"/>
    <w:rsid w:val="00666AB8"/>
    <w:rsid w:val="00666BB5"/>
    <w:rsid w:val="00666C56"/>
    <w:rsid w:val="00666FA8"/>
    <w:rsid w:val="006670B7"/>
    <w:rsid w:val="0066729B"/>
    <w:rsid w:val="0066787A"/>
    <w:rsid w:val="006709C7"/>
    <w:rsid w:val="00670F9F"/>
    <w:rsid w:val="006712F3"/>
    <w:rsid w:val="0067130E"/>
    <w:rsid w:val="00671452"/>
    <w:rsid w:val="006714DB"/>
    <w:rsid w:val="00672905"/>
    <w:rsid w:val="00672AE1"/>
    <w:rsid w:val="00672B44"/>
    <w:rsid w:val="00672CCF"/>
    <w:rsid w:val="006739AD"/>
    <w:rsid w:val="00673A05"/>
    <w:rsid w:val="00673D07"/>
    <w:rsid w:val="00673D42"/>
    <w:rsid w:val="00674184"/>
    <w:rsid w:val="00674560"/>
    <w:rsid w:val="006745A5"/>
    <w:rsid w:val="0067560A"/>
    <w:rsid w:val="00675B44"/>
    <w:rsid w:val="006768EC"/>
    <w:rsid w:val="00676909"/>
    <w:rsid w:val="006773AB"/>
    <w:rsid w:val="00677C55"/>
    <w:rsid w:val="00677F9A"/>
    <w:rsid w:val="006808F9"/>
    <w:rsid w:val="00680A76"/>
    <w:rsid w:val="00680A9F"/>
    <w:rsid w:val="0068125E"/>
    <w:rsid w:val="006815DB"/>
    <w:rsid w:val="006819C9"/>
    <w:rsid w:val="00682631"/>
    <w:rsid w:val="00682946"/>
    <w:rsid w:val="00683724"/>
    <w:rsid w:val="00685543"/>
    <w:rsid w:val="00685B79"/>
    <w:rsid w:val="00685EC8"/>
    <w:rsid w:val="00685F47"/>
    <w:rsid w:val="00686042"/>
    <w:rsid w:val="00686563"/>
    <w:rsid w:val="00686714"/>
    <w:rsid w:val="00686958"/>
    <w:rsid w:val="00686A81"/>
    <w:rsid w:val="0068722A"/>
    <w:rsid w:val="00687887"/>
    <w:rsid w:val="0068792D"/>
    <w:rsid w:val="00690A17"/>
    <w:rsid w:val="00691156"/>
    <w:rsid w:val="00691342"/>
    <w:rsid w:val="00691634"/>
    <w:rsid w:val="0069165F"/>
    <w:rsid w:val="00692583"/>
    <w:rsid w:val="006926C4"/>
    <w:rsid w:val="0069270D"/>
    <w:rsid w:val="006930AE"/>
    <w:rsid w:val="00693425"/>
    <w:rsid w:val="006938DA"/>
    <w:rsid w:val="00693BCD"/>
    <w:rsid w:val="00693D2D"/>
    <w:rsid w:val="006946D8"/>
    <w:rsid w:val="006947B7"/>
    <w:rsid w:val="00694A45"/>
    <w:rsid w:val="0069593F"/>
    <w:rsid w:val="00695BA9"/>
    <w:rsid w:val="00695DE0"/>
    <w:rsid w:val="00695E0E"/>
    <w:rsid w:val="006960BB"/>
    <w:rsid w:val="006962E6"/>
    <w:rsid w:val="00696438"/>
    <w:rsid w:val="006966EB"/>
    <w:rsid w:val="00696C98"/>
    <w:rsid w:val="006973ED"/>
    <w:rsid w:val="006974D8"/>
    <w:rsid w:val="00697556"/>
    <w:rsid w:val="006976E4"/>
    <w:rsid w:val="00697710"/>
    <w:rsid w:val="00697C75"/>
    <w:rsid w:val="006A0ABB"/>
    <w:rsid w:val="006A1191"/>
    <w:rsid w:val="006A12EB"/>
    <w:rsid w:val="006A1FF3"/>
    <w:rsid w:val="006A22AB"/>
    <w:rsid w:val="006A24E7"/>
    <w:rsid w:val="006A25AC"/>
    <w:rsid w:val="006A2BC8"/>
    <w:rsid w:val="006A2C4D"/>
    <w:rsid w:val="006A2D3D"/>
    <w:rsid w:val="006A2E78"/>
    <w:rsid w:val="006A365F"/>
    <w:rsid w:val="006A3738"/>
    <w:rsid w:val="006A38C3"/>
    <w:rsid w:val="006A3F64"/>
    <w:rsid w:val="006A41FC"/>
    <w:rsid w:val="006A4333"/>
    <w:rsid w:val="006A458C"/>
    <w:rsid w:val="006A4655"/>
    <w:rsid w:val="006A4AE9"/>
    <w:rsid w:val="006A5093"/>
    <w:rsid w:val="006A5375"/>
    <w:rsid w:val="006A5BC0"/>
    <w:rsid w:val="006A5DB2"/>
    <w:rsid w:val="006A5DCA"/>
    <w:rsid w:val="006A6C5B"/>
    <w:rsid w:val="006A6D8F"/>
    <w:rsid w:val="006A736E"/>
    <w:rsid w:val="006A741D"/>
    <w:rsid w:val="006A7538"/>
    <w:rsid w:val="006A76A0"/>
    <w:rsid w:val="006B0049"/>
    <w:rsid w:val="006B0817"/>
    <w:rsid w:val="006B101B"/>
    <w:rsid w:val="006B1778"/>
    <w:rsid w:val="006B20E4"/>
    <w:rsid w:val="006B2494"/>
    <w:rsid w:val="006B2B3C"/>
    <w:rsid w:val="006B30CF"/>
    <w:rsid w:val="006B37A9"/>
    <w:rsid w:val="006B3D43"/>
    <w:rsid w:val="006B3FEE"/>
    <w:rsid w:val="006B4101"/>
    <w:rsid w:val="006B4674"/>
    <w:rsid w:val="006B493F"/>
    <w:rsid w:val="006B4C24"/>
    <w:rsid w:val="006B4C78"/>
    <w:rsid w:val="006B4D6A"/>
    <w:rsid w:val="006B4FEB"/>
    <w:rsid w:val="006B54E6"/>
    <w:rsid w:val="006B5FBD"/>
    <w:rsid w:val="006B6368"/>
    <w:rsid w:val="006B6602"/>
    <w:rsid w:val="006B69F3"/>
    <w:rsid w:val="006B6EBF"/>
    <w:rsid w:val="006B7116"/>
    <w:rsid w:val="006B7A5B"/>
    <w:rsid w:val="006B7C3A"/>
    <w:rsid w:val="006C0144"/>
    <w:rsid w:val="006C01E2"/>
    <w:rsid w:val="006C04A0"/>
    <w:rsid w:val="006C07C5"/>
    <w:rsid w:val="006C0B51"/>
    <w:rsid w:val="006C0FA3"/>
    <w:rsid w:val="006C1D81"/>
    <w:rsid w:val="006C1E97"/>
    <w:rsid w:val="006C1EA5"/>
    <w:rsid w:val="006C21C5"/>
    <w:rsid w:val="006C2AC1"/>
    <w:rsid w:val="006C2F82"/>
    <w:rsid w:val="006C32AE"/>
    <w:rsid w:val="006C357B"/>
    <w:rsid w:val="006C44A3"/>
    <w:rsid w:val="006C4C42"/>
    <w:rsid w:val="006C50B1"/>
    <w:rsid w:val="006C51E9"/>
    <w:rsid w:val="006C55E7"/>
    <w:rsid w:val="006C58A2"/>
    <w:rsid w:val="006C58F8"/>
    <w:rsid w:val="006C5A4B"/>
    <w:rsid w:val="006C5CD3"/>
    <w:rsid w:val="006C6E9F"/>
    <w:rsid w:val="006C6EFC"/>
    <w:rsid w:val="006C7038"/>
    <w:rsid w:val="006C7499"/>
    <w:rsid w:val="006C751B"/>
    <w:rsid w:val="006C79D6"/>
    <w:rsid w:val="006D0232"/>
    <w:rsid w:val="006D0A0E"/>
    <w:rsid w:val="006D0AC3"/>
    <w:rsid w:val="006D13F1"/>
    <w:rsid w:val="006D1BBF"/>
    <w:rsid w:val="006D1EFB"/>
    <w:rsid w:val="006D202B"/>
    <w:rsid w:val="006D262E"/>
    <w:rsid w:val="006D2695"/>
    <w:rsid w:val="006D2922"/>
    <w:rsid w:val="006D2AE0"/>
    <w:rsid w:val="006D2CDD"/>
    <w:rsid w:val="006D3450"/>
    <w:rsid w:val="006D35B6"/>
    <w:rsid w:val="006D38C9"/>
    <w:rsid w:val="006D43F1"/>
    <w:rsid w:val="006D4450"/>
    <w:rsid w:val="006D4A83"/>
    <w:rsid w:val="006D5AE3"/>
    <w:rsid w:val="006D5CC5"/>
    <w:rsid w:val="006D6448"/>
    <w:rsid w:val="006D6565"/>
    <w:rsid w:val="006D6C63"/>
    <w:rsid w:val="006D6CB5"/>
    <w:rsid w:val="006D70C4"/>
    <w:rsid w:val="006D7356"/>
    <w:rsid w:val="006D7A60"/>
    <w:rsid w:val="006D7CD3"/>
    <w:rsid w:val="006D7FBB"/>
    <w:rsid w:val="006E0581"/>
    <w:rsid w:val="006E05CA"/>
    <w:rsid w:val="006E0A96"/>
    <w:rsid w:val="006E1641"/>
    <w:rsid w:val="006E197D"/>
    <w:rsid w:val="006E19F4"/>
    <w:rsid w:val="006E1AC4"/>
    <w:rsid w:val="006E27A0"/>
    <w:rsid w:val="006E2F52"/>
    <w:rsid w:val="006E3078"/>
    <w:rsid w:val="006E35F7"/>
    <w:rsid w:val="006E39B8"/>
    <w:rsid w:val="006E3E72"/>
    <w:rsid w:val="006E3F0D"/>
    <w:rsid w:val="006E40A7"/>
    <w:rsid w:val="006E4447"/>
    <w:rsid w:val="006E47D2"/>
    <w:rsid w:val="006E5D2D"/>
    <w:rsid w:val="006E64F0"/>
    <w:rsid w:val="006E6525"/>
    <w:rsid w:val="006E67CF"/>
    <w:rsid w:val="006E70CB"/>
    <w:rsid w:val="006E73EF"/>
    <w:rsid w:val="006E7412"/>
    <w:rsid w:val="006E75DD"/>
    <w:rsid w:val="006E7AF3"/>
    <w:rsid w:val="006E7D34"/>
    <w:rsid w:val="006F030A"/>
    <w:rsid w:val="006F0332"/>
    <w:rsid w:val="006F04FD"/>
    <w:rsid w:val="006F0508"/>
    <w:rsid w:val="006F0765"/>
    <w:rsid w:val="006F0BBE"/>
    <w:rsid w:val="006F0D77"/>
    <w:rsid w:val="006F0F36"/>
    <w:rsid w:val="006F17F5"/>
    <w:rsid w:val="006F23BB"/>
    <w:rsid w:val="006F252C"/>
    <w:rsid w:val="006F27AC"/>
    <w:rsid w:val="006F288D"/>
    <w:rsid w:val="006F2908"/>
    <w:rsid w:val="006F2C73"/>
    <w:rsid w:val="006F3081"/>
    <w:rsid w:val="006F30BB"/>
    <w:rsid w:val="006F3DE1"/>
    <w:rsid w:val="006F440A"/>
    <w:rsid w:val="006F4C57"/>
    <w:rsid w:val="006F4D70"/>
    <w:rsid w:val="006F5B02"/>
    <w:rsid w:val="006F5DE7"/>
    <w:rsid w:val="006F5F41"/>
    <w:rsid w:val="006F67E9"/>
    <w:rsid w:val="006F78F8"/>
    <w:rsid w:val="006F7BC0"/>
    <w:rsid w:val="0070059F"/>
    <w:rsid w:val="00700BB0"/>
    <w:rsid w:val="00700C4D"/>
    <w:rsid w:val="00700CA0"/>
    <w:rsid w:val="0070108F"/>
    <w:rsid w:val="00701892"/>
    <w:rsid w:val="007019FD"/>
    <w:rsid w:val="00701A93"/>
    <w:rsid w:val="00701BC9"/>
    <w:rsid w:val="0070218B"/>
    <w:rsid w:val="00702AB3"/>
    <w:rsid w:val="007035A7"/>
    <w:rsid w:val="0070364A"/>
    <w:rsid w:val="0070395A"/>
    <w:rsid w:val="007039BB"/>
    <w:rsid w:val="00703C9E"/>
    <w:rsid w:val="00704125"/>
    <w:rsid w:val="00704181"/>
    <w:rsid w:val="00704C4E"/>
    <w:rsid w:val="007052CA"/>
    <w:rsid w:val="0070537A"/>
    <w:rsid w:val="00705668"/>
    <w:rsid w:val="0070589E"/>
    <w:rsid w:val="007058BD"/>
    <w:rsid w:val="00706225"/>
    <w:rsid w:val="007063A6"/>
    <w:rsid w:val="007066C5"/>
    <w:rsid w:val="007075D1"/>
    <w:rsid w:val="007079C9"/>
    <w:rsid w:val="00707A45"/>
    <w:rsid w:val="0071018D"/>
    <w:rsid w:val="00710438"/>
    <w:rsid w:val="00710875"/>
    <w:rsid w:val="00710960"/>
    <w:rsid w:val="00710D2A"/>
    <w:rsid w:val="00710E86"/>
    <w:rsid w:val="00711237"/>
    <w:rsid w:val="00712551"/>
    <w:rsid w:val="00712AA2"/>
    <w:rsid w:val="00712C49"/>
    <w:rsid w:val="00713367"/>
    <w:rsid w:val="00713BD5"/>
    <w:rsid w:val="00713F39"/>
    <w:rsid w:val="007140C9"/>
    <w:rsid w:val="0071446B"/>
    <w:rsid w:val="00714AC3"/>
    <w:rsid w:val="00714D4D"/>
    <w:rsid w:val="00714FD6"/>
    <w:rsid w:val="00715193"/>
    <w:rsid w:val="0071548D"/>
    <w:rsid w:val="00715656"/>
    <w:rsid w:val="00715689"/>
    <w:rsid w:val="00715852"/>
    <w:rsid w:val="00715923"/>
    <w:rsid w:val="00715B06"/>
    <w:rsid w:val="00715CE0"/>
    <w:rsid w:val="00716388"/>
    <w:rsid w:val="00716EC0"/>
    <w:rsid w:val="00716F96"/>
    <w:rsid w:val="00717624"/>
    <w:rsid w:val="0071772B"/>
    <w:rsid w:val="0071775F"/>
    <w:rsid w:val="00717844"/>
    <w:rsid w:val="00717860"/>
    <w:rsid w:val="00717D1A"/>
    <w:rsid w:val="00717EEE"/>
    <w:rsid w:val="007200EF"/>
    <w:rsid w:val="00720238"/>
    <w:rsid w:val="0072023E"/>
    <w:rsid w:val="00720B64"/>
    <w:rsid w:val="007212CF"/>
    <w:rsid w:val="007217D0"/>
    <w:rsid w:val="007221E5"/>
    <w:rsid w:val="007222ED"/>
    <w:rsid w:val="00722328"/>
    <w:rsid w:val="007226D3"/>
    <w:rsid w:val="00722B14"/>
    <w:rsid w:val="00722E3E"/>
    <w:rsid w:val="00722F9B"/>
    <w:rsid w:val="00723175"/>
    <w:rsid w:val="00723484"/>
    <w:rsid w:val="00723A21"/>
    <w:rsid w:val="00723C56"/>
    <w:rsid w:val="00723C8F"/>
    <w:rsid w:val="00723D50"/>
    <w:rsid w:val="0072412D"/>
    <w:rsid w:val="00724397"/>
    <w:rsid w:val="0072460A"/>
    <w:rsid w:val="007249EB"/>
    <w:rsid w:val="00724A11"/>
    <w:rsid w:val="0072571F"/>
    <w:rsid w:val="007261BC"/>
    <w:rsid w:val="007266D3"/>
    <w:rsid w:val="00726A49"/>
    <w:rsid w:val="00726CDC"/>
    <w:rsid w:val="00726E1B"/>
    <w:rsid w:val="007278EE"/>
    <w:rsid w:val="00727A7D"/>
    <w:rsid w:val="00730788"/>
    <w:rsid w:val="00730DA0"/>
    <w:rsid w:val="00731A20"/>
    <w:rsid w:val="00731F5E"/>
    <w:rsid w:val="00731FBC"/>
    <w:rsid w:val="00732029"/>
    <w:rsid w:val="007323A5"/>
    <w:rsid w:val="00732557"/>
    <w:rsid w:val="00733159"/>
    <w:rsid w:val="007334DA"/>
    <w:rsid w:val="00733B2D"/>
    <w:rsid w:val="00733D94"/>
    <w:rsid w:val="0073452C"/>
    <w:rsid w:val="0073494E"/>
    <w:rsid w:val="0073534A"/>
    <w:rsid w:val="00735836"/>
    <w:rsid w:val="0073589D"/>
    <w:rsid w:val="00735D02"/>
    <w:rsid w:val="007361CE"/>
    <w:rsid w:val="007362F5"/>
    <w:rsid w:val="007370EA"/>
    <w:rsid w:val="007372E6"/>
    <w:rsid w:val="00737309"/>
    <w:rsid w:val="0073754F"/>
    <w:rsid w:val="007378A7"/>
    <w:rsid w:val="00737AA7"/>
    <w:rsid w:val="00737C70"/>
    <w:rsid w:val="007401E8"/>
    <w:rsid w:val="007401E9"/>
    <w:rsid w:val="007405E6"/>
    <w:rsid w:val="00740A67"/>
    <w:rsid w:val="00740FA8"/>
    <w:rsid w:val="00740FAD"/>
    <w:rsid w:val="007410A7"/>
    <w:rsid w:val="00741AD1"/>
    <w:rsid w:val="00741DA4"/>
    <w:rsid w:val="00741E0D"/>
    <w:rsid w:val="00741F7D"/>
    <w:rsid w:val="007420BC"/>
    <w:rsid w:val="00742420"/>
    <w:rsid w:val="007431A6"/>
    <w:rsid w:val="007433F8"/>
    <w:rsid w:val="0074404F"/>
    <w:rsid w:val="007440B0"/>
    <w:rsid w:val="00744133"/>
    <w:rsid w:val="0074479E"/>
    <w:rsid w:val="00744B5E"/>
    <w:rsid w:val="00744C21"/>
    <w:rsid w:val="00744E7D"/>
    <w:rsid w:val="00744EBE"/>
    <w:rsid w:val="00745138"/>
    <w:rsid w:val="00745388"/>
    <w:rsid w:val="00745643"/>
    <w:rsid w:val="007458B1"/>
    <w:rsid w:val="00745A14"/>
    <w:rsid w:val="00745A91"/>
    <w:rsid w:val="00745B56"/>
    <w:rsid w:val="00745C9F"/>
    <w:rsid w:val="00746CA4"/>
    <w:rsid w:val="00747018"/>
    <w:rsid w:val="00747ED1"/>
    <w:rsid w:val="0075015E"/>
    <w:rsid w:val="00750403"/>
    <w:rsid w:val="007504A9"/>
    <w:rsid w:val="0075155C"/>
    <w:rsid w:val="00751C4C"/>
    <w:rsid w:val="00751CAE"/>
    <w:rsid w:val="00751D91"/>
    <w:rsid w:val="007521E1"/>
    <w:rsid w:val="007525C0"/>
    <w:rsid w:val="007526DC"/>
    <w:rsid w:val="0075281E"/>
    <w:rsid w:val="00752957"/>
    <w:rsid w:val="00752C59"/>
    <w:rsid w:val="00752EF9"/>
    <w:rsid w:val="00753CAD"/>
    <w:rsid w:val="00754676"/>
    <w:rsid w:val="007553D3"/>
    <w:rsid w:val="007554DC"/>
    <w:rsid w:val="00755A66"/>
    <w:rsid w:val="00755F03"/>
    <w:rsid w:val="007563A8"/>
    <w:rsid w:val="007563E7"/>
    <w:rsid w:val="00756776"/>
    <w:rsid w:val="007569E7"/>
    <w:rsid w:val="00756AA0"/>
    <w:rsid w:val="00756C5C"/>
    <w:rsid w:val="00757160"/>
    <w:rsid w:val="007577E2"/>
    <w:rsid w:val="00757910"/>
    <w:rsid w:val="00757E2E"/>
    <w:rsid w:val="00757F5F"/>
    <w:rsid w:val="00760019"/>
    <w:rsid w:val="0076021B"/>
    <w:rsid w:val="007604BB"/>
    <w:rsid w:val="0076104C"/>
    <w:rsid w:val="00761541"/>
    <w:rsid w:val="00761E91"/>
    <w:rsid w:val="0076201F"/>
    <w:rsid w:val="00762509"/>
    <w:rsid w:val="007626F6"/>
    <w:rsid w:val="007628DA"/>
    <w:rsid w:val="00762EF6"/>
    <w:rsid w:val="0076312B"/>
    <w:rsid w:val="00763562"/>
    <w:rsid w:val="00763DB3"/>
    <w:rsid w:val="00763F85"/>
    <w:rsid w:val="007643B1"/>
    <w:rsid w:val="0076471B"/>
    <w:rsid w:val="00764C9C"/>
    <w:rsid w:val="00764CD5"/>
    <w:rsid w:val="00764CD9"/>
    <w:rsid w:val="00764D7A"/>
    <w:rsid w:val="007652B5"/>
    <w:rsid w:val="00765520"/>
    <w:rsid w:val="0076576A"/>
    <w:rsid w:val="007664B6"/>
    <w:rsid w:val="007669A4"/>
    <w:rsid w:val="007669C9"/>
    <w:rsid w:val="00766AC5"/>
    <w:rsid w:val="00767689"/>
    <w:rsid w:val="007677AF"/>
    <w:rsid w:val="00770E05"/>
    <w:rsid w:val="00770FAE"/>
    <w:rsid w:val="00771074"/>
    <w:rsid w:val="0077130A"/>
    <w:rsid w:val="00771314"/>
    <w:rsid w:val="0077148D"/>
    <w:rsid w:val="007714FC"/>
    <w:rsid w:val="007715D2"/>
    <w:rsid w:val="00771653"/>
    <w:rsid w:val="00771669"/>
    <w:rsid w:val="007717C7"/>
    <w:rsid w:val="0077182A"/>
    <w:rsid w:val="00771899"/>
    <w:rsid w:val="0077198C"/>
    <w:rsid w:val="00771D20"/>
    <w:rsid w:val="00771D41"/>
    <w:rsid w:val="00772060"/>
    <w:rsid w:val="00773B16"/>
    <w:rsid w:val="007740F8"/>
    <w:rsid w:val="0077437F"/>
    <w:rsid w:val="00774BCF"/>
    <w:rsid w:val="00774DDE"/>
    <w:rsid w:val="00774EBF"/>
    <w:rsid w:val="00774F3D"/>
    <w:rsid w:val="00775446"/>
    <w:rsid w:val="00775464"/>
    <w:rsid w:val="00775501"/>
    <w:rsid w:val="0077559D"/>
    <w:rsid w:val="007758E7"/>
    <w:rsid w:val="007762C1"/>
    <w:rsid w:val="007762ED"/>
    <w:rsid w:val="00776696"/>
    <w:rsid w:val="007766C9"/>
    <w:rsid w:val="00776706"/>
    <w:rsid w:val="00776C0C"/>
    <w:rsid w:val="00776DC2"/>
    <w:rsid w:val="00776F27"/>
    <w:rsid w:val="0077720E"/>
    <w:rsid w:val="00777460"/>
    <w:rsid w:val="007774A9"/>
    <w:rsid w:val="007776B2"/>
    <w:rsid w:val="00777975"/>
    <w:rsid w:val="00777C49"/>
    <w:rsid w:val="00777D4E"/>
    <w:rsid w:val="00777EB0"/>
    <w:rsid w:val="00780661"/>
    <w:rsid w:val="00780D38"/>
    <w:rsid w:val="00780EB6"/>
    <w:rsid w:val="00780F7A"/>
    <w:rsid w:val="007811E7"/>
    <w:rsid w:val="007814F0"/>
    <w:rsid w:val="00781AEA"/>
    <w:rsid w:val="00782195"/>
    <w:rsid w:val="007821D4"/>
    <w:rsid w:val="0078228F"/>
    <w:rsid w:val="00782847"/>
    <w:rsid w:val="00782DF4"/>
    <w:rsid w:val="00783BAB"/>
    <w:rsid w:val="00783CEF"/>
    <w:rsid w:val="00783EAC"/>
    <w:rsid w:val="00784622"/>
    <w:rsid w:val="007849A8"/>
    <w:rsid w:val="00785203"/>
    <w:rsid w:val="00785232"/>
    <w:rsid w:val="0078534D"/>
    <w:rsid w:val="0078552C"/>
    <w:rsid w:val="00785AE5"/>
    <w:rsid w:val="00785EF8"/>
    <w:rsid w:val="00786472"/>
    <w:rsid w:val="0078666D"/>
    <w:rsid w:val="00786870"/>
    <w:rsid w:val="007868D5"/>
    <w:rsid w:val="00786B78"/>
    <w:rsid w:val="00787004"/>
    <w:rsid w:val="00787AD5"/>
    <w:rsid w:val="00787D88"/>
    <w:rsid w:val="00787DD9"/>
    <w:rsid w:val="007903C5"/>
    <w:rsid w:val="007909A3"/>
    <w:rsid w:val="00790B61"/>
    <w:rsid w:val="00790EB4"/>
    <w:rsid w:val="00790FA0"/>
    <w:rsid w:val="00790FDC"/>
    <w:rsid w:val="0079137C"/>
    <w:rsid w:val="00791D5F"/>
    <w:rsid w:val="0079228A"/>
    <w:rsid w:val="00792C93"/>
    <w:rsid w:val="00793112"/>
    <w:rsid w:val="00793228"/>
    <w:rsid w:val="00793580"/>
    <w:rsid w:val="00793815"/>
    <w:rsid w:val="00793B2C"/>
    <w:rsid w:val="007940CA"/>
    <w:rsid w:val="007946C6"/>
    <w:rsid w:val="0079478B"/>
    <w:rsid w:val="00794950"/>
    <w:rsid w:val="00794AC7"/>
    <w:rsid w:val="00794BB3"/>
    <w:rsid w:val="00794BE2"/>
    <w:rsid w:val="00794FDC"/>
    <w:rsid w:val="0079535C"/>
    <w:rsid w:val="00795E80"/>
    <w:rsid w:val="007960E5"/>
    <w:rsid w:val="00796645"/>
    <w:rsid w:val="00796AEE"/>
    <w:rsid w:val="00796BB9"/>
    <w:rsid w:val="00796F17"/>
    <w:rsid w:val="0079701E"/>
    <w:rsid w:val="00797587"/>
    <w:rsid w:val="0079787D"/>
    <w:rsid w:val="007978CF"/>
    <w:rsid w:val="00797A1A"/>
    <w:rsid w:val="00797BE3"/>
    <w:rsid w:val="00797F1E"/>
    <w:rsid w:val="007A0995"/>
    <w:rsid w:val="007A09FF"/>
    <w:rsid w:val="007A0D16"/>
    <w:rsid w:val="007A121E"/>
    <w:rsid w:val="007A1396"/>
    <w:rsid w:val="007A2181"/>
    <w:rsid w:val="007A21EB"/>
    <w:rsid w:val="007A2B18"/>
    <w:rsid w:val="007A2B9A"/>
    <w:rsid w:val="007A2C92"/>
    <w:rsid w:val="007A2E55"/>
    <w:rsid w:val="007A322F"/>
    <w:rsid w:val="007A33D3"/>
    <w:rsid w:val="007A3512"/>
    <w:rsid w:val="007A3B44"/>
    <w:rsid w:val="007A3E2E"/>
    <w:rsid w:val="007A3E51"/>
    <w:rsid w:val="007A3EE2"/>
    <w:rsid w:val="007A3F6E"/>
    <w:rsid w:val="007A42EE"/>
    <w:rsid w:val="007A4AF5"/>
    <w:rsid w:val="007A4B96"/>
    <w:rsid w:val="007A4F74"/>
    <w:rsid w:val="007A5152"/>
    <w:rsid w:val="007A5358"/>
    <w:rsid w:val="007A5BA2"/>
    <w:rsid w:val="007A60A7"/>
    <w:rsid w:val="007A643C"/>
    <w:rsid w:val="007A645B"/>
    <w:rsid w:val="007A6521"/>
    <w:rsid w:val="007A67E2"/>
    <w:rsid w:val="007A6CAD"/>
    <w:rsid w:val="007A7113"/>
    <w:rsid w:val="007A76FE"/>
    <w:rsid w:val="007A7AC1"/>
    <w:rsid w:val="007B0453"/>
    <w:rsid w:val="007B0880"/>
    <w:rsid w:val="007B0D67"/>
    <w:rsid w:val="007B0D92"/>
    <w:rsid w:val="007B0F41"/>
    <w:rsid w:val="007B1180"/>
    <w:rsid w:val="007B1676"/>
    <w:rsid w:val="007B17AB"/>
    <w:rsid w:val="007B1A93"/>
    <w:rsid w:val="007B297D"/>
    <w:rsid w:val="007B2A29"/>
    <w:rsid w:val="007B3485"/>
    <w:rsid w:val="007B368F"/>
    <w:rsid w:val="007B3F4B"/>
    <w:rsid w:val="007B48E7"/>
    <w:rsid w:val="007B4C15"/>
    <w:rsid w:val="007B533B"/>
    <w:rsid w:val="007B5470"/>
    <w:rsid w:val="007B56CE"/>
    <w:rsid w:val="007B5F24"/>
    <w:rsid w:val="007B5FFC"/>
    <w:rsid w:val="007B615A"/>
    <w:rsid w:val="007B6957"/>
    <w:rsid w:val="007B6EC8"/>
    <w:rsid w:val="007B6EFE"/>
    <w:rsid w:val="007B72F3"/>
    <w:rsid w:val="007B74C6"/>
    <w:rsid w:val="007B74D4"/>
    <w:rsid w:val="007B75CE"/>
    <w:rsid w:val="007B7D42"/>
    <w:rsid w:val="007B7E5B"/>
    <w:rsid w:val="007C010E"/>
    <w:rsid w:val="007C0421"/>
    <w:rsid w:val="007C0AAB"/>
    <w:rsid w:val="007C0BDA"/>
    <w:rsid w:val="007C1186"/>
    <w:rsid w:val="007C128C"/>
    <w:rsid w:val="007C1DDA"/>
    <w:rsid w:val="007C1F0D"/>
    <w:rsid w:val="007C1F80"/>
    <w:rsid w:val="007C2621"/>
    <w:rsid w:val="007C2DB6"/>
    <w:rsid w:val="007C3251"/>
    <w:rsid w:val="007C36C9"/>
    <w:rsid w:val="007C3880"/>
    <w:rsid w:val="007C4924"/>
    <w:rsid w:val="007C4C20"/>
    <w:rsid w:val="007C5300"/>
    <w:rsid w:val="007C55E4"/>
    <w:rsid w:val="007C68E2"/>
    <w:rsid w:val="007C68E5"/>
    <w:rsid w:val="007C69C0"/>
    <w:rsid w:val="007C760A"/>
    <w:rsid w:val="007C7D26"/>
    <w:rsid w:val="007D1672"/>
    <w:rsid w:val="007D1EA2"/>
    <w:rsid w:val="007D1EAD"/>
    <w:rsid w:val="007D2BB9"/>
    <w:rsid w:val="007D2C43"/>
    <w:rsid w:val="007D2EBA"/>
    <w:rsid w:val="007D2F42"/>
    <w:rsid w:val="007D2FB0"/>
    <w:rsid w:val="007D2FCD"/>
    <w:rsid w:val="007D40FB"/>
    <w:rsid w:val="007D4A33"/>
    <w:rsid w:val="007D5524"/>
    <w:rsid w:val="007D5584"/>
    <w:rsid w:val="007D5871"/>
    <w:rsid w:val="007D5A7C"/>
    <w:rsid w:val="007D6401"/>
    <w:rsid w:val="007D6C2F"/>
    <w:rsid w:val="007D6FDA"/>
    <w:rsid w:val="007D72DD"/>
    <w:rsid w:val="007D77D5"/>
    <w:rsid w:val="007D790D"/>
    <w:rsid w:val="007D7E57"/>
    <w:rsid w:val="007D7F39"/>
    <w:rsid w:val="007E01E4"/>
    <w:rsid w:val="007E07CA"/>
    <w:rsid w:val="007E09A1"/>
    <w:rsid w:val="007E09B0"/>
    <w:rsid w:val="007E0A3A"/>
    <w:rsid w:val="007E12F7"/>
    <w:rsid w:val="007E187B"/>
    <w:rsid w:val="007E1D8E"/>
    <w:rsid w:val="007E20A2"/>
    <w:rsid w:val="007E27B4"/>
    <w:rsid w:val="007E2C72"/>
    <w:rsid w:val="007E2CE3"/>
    <w:rsid w:val="007E2EBB"/>
    <w:rsid w:val="007E2F00"/>
    <w:rsid w:val="007E3410"/>
    <w:rsid w:val="007E3C9B"/>
    <w:rsid w:val="007E3DB8"/>
    <w:rsid w:val="007E4289"/>
    <w:rsid w:val="007E42A4"/>
    <w:rsid w:val="007E45A5"/>
    <w:rsid w:val="007E48B4"/>
    <w:rsid w:val="007E5942"/>
    <w:rsid w:val="007E6E03"/>
    <w:rsid w:val="007E7054"/>
    <w:rsid w:val="007E7491"/>
    <w:rsid w:val="007E77BA"/>
    <w:rsid w:val="007E7A12"/>
    <w:rsid w:val="007E7DBD"/>
    <w:rsid w:val="007E7EE0"/>
    <w:rsid w:val="007F014D"/>
    <w:rsid w:val="007F0788"/>
    <w:rsid w:val="007F17B8"/>
    <w:rsid w:val="007F19D7"/>
    <w:rsid w:val="007F1E36"/>
    <w:rsid w:val="007F2185"/>
    <w:rsid w:val="007F2921"/>
    <w:rsid w:val="007F35D2"/>
    <w:rsid w:val="007F3BAF"/>
    <w:rsid w:val="007F3DA0"/>
    <w:rsid w:val="007F4022"/>
    <w:rsid w:val="007F40E3"/>
    <w:rsid w:val="007F4509"/>
    <w:rsid w:val="007F45B1"/>
    <w:rsid w:val="007F4878"/>
    <w:rsid w:val="007F4E40"/>
    <w:rsid w:val="007F59A0"/>
    <w:rsid w:val="007F59C4"/>
    <w:rsid w:val="007F5BA6"/>
    <w:rsid w:val="007F5DBB"/>
    <w:rsid w:val="007F61F6"/>
    <w:rsid w:val="007F6689"/>
    <w:rsid w:val="007F68E4"/>
    <w:rsid w:val="007F6C76"/>
    <w:rsid w:val="007F6DBA"/>
    <w:rsid w:val="007F6E78"/>
    <w:rsid w:val="007F7052"/>
    <w:rsid w:val="007F70B3"/>
    <w:rsid w:val="007F70BC"/>
    <w:rsid w:val="007F7107"/>
    <w:rsid w:val="007F711C"/>
    <w:rsid w:val="007F72EF"/>
    <w:rsid w:val="007F730D"/>
    <w:rsid w:val="007F7C97"/>
    <w:rsid w:val="007F7DCD"/>
    <w:rsid w:val="007F7F7C"/>
    <w:rsid w:val="007F7F89"/>
    <w:rsid w:val="00800450"/>
    <w:rsid w:val="00800526"/>
    <w:rsid w:val="00800577"/>
    <w:rsid w:val="008005C5"/>
    <w:rsid w:val="008008D6"/>
    <w:rsid w:val="00800BDE"/>
    <w:rsid w:val="00800D4C"/>
    <w:rsid w:val="00801045"/>
    <w:rsid w:val="0080158D"/>
    <w:rsid w:val="0080167A"/>
    <w:rsid w:val="008018D7"/>
    <w:rsid w:val="0080255E"/>
    <w:rsid w:val="00802722"/>
    <w:rsid w:val="00802C4F"/>
    <w:rsid w:val="0080302A"/>
    <w:rsid w:val="008032F1"/>
    <w:rsid w:val="00803381"/>
    <w:rsid w:val="00803409"/>
    <w:rsid w:val="00803976"/>
    <w:rsid w:val="00803C80"/>
    <w:rsid w:val="00803D27"/>
    <w:rsid w:val="00804137"/>
    <w:rsid w:val="00804989"/>
    <w:rsid w:val="00804B3B"/>
    <w:rsid w:val="00804C28"/>
    <w:rsid w:val="00804FF1"/>
    <w:rsid w:val="0080556E"/>
    <w:rsid w:val="00805CFD"/>
    <w:rsid w:val="00805E94"/>
    <w:rsid w:val="0080624D"/>
    <w:rsid w:val="00806622"/>
    <w:rsid w:val="0080685F"/>
    <w:rsid w:val="00806C85"/>
    <w:rsid w:val="008076E2"/>
    <w:rsid w:val="00807C22"/>
    <w:rsid w:val="00807EA2"/>
    <w:rsid w:val="00810146"/>
    <w:rsid w:val="008101D0"/>
    <w:rsid w:val="0081022F"/>
    <w:rsid w:val="0081030F"/>
    <w:rsid w:val="00810356"/>
    <w:rsid w:val="00810999"/>
    <w:rsid w:val="00810A0D"/>
    <w:rsid w:val="00810A28"/>
    <w:rsid w:val="00810B33"/>
    <w:rsid w:val="008115AD"/>
    <w:rsid w:val="00811704"/>
    <w:rsid w:val="008117E8"/>
    <w:rsid w:val="00811EC5"/>
    <w:rsid w:val="00812BF6"/>
    <w:rsid w:val="00812E2B"/>
    <w:rsid w:val="00812F4A"/>
    <w:rsid w:val="00813433"/>
    <w:rsid w:val="008139DC"/>
    <w:rsid w:val="00813A8E"/>
    <w:rsid w:val="00813A97"/>
    <w:rsid w:val="00814734"/>
    <w:rsid w:val="0081493A"/>
    <w:rsid w:val="00814BB3"/>
    <w:rsid w:val="0081524D"/>
    <w:rsid w:val="00815462"/>
    <w:rsid w:val="00815C1D"/>
    <w:rsid w:val="00816018"/>
    <w:rsid w:val="0081606F"/>
    <w:rsid w:val="008165E4"/>
    <w:rsid w:val="00816813"/>
    <w:rsid w:val="0081681B"/>
    <w:rsid w:val="00816E2E"/>
    <w:rsid w:val="00817078"/>
    <w:rsid w:val="008174B7"/>
    <w:rsid w:val="008175CD"/>
    <w:rsid w:val="008177C3"/>
    <w:rsid w:val="0082087D"/>
    <w:rsid w:val="00820888"/>
    <w:rsid w:val="0082155A"/>
    <w:rsid w:val="00821DBE"/>
    <w:rsid w:val="008220A6"/>
    <w:rsid w:val="00822338"/>
    <w:rsid w:val="00822644"/>
    <w:rsid w:val="008229FE"/>
    <w:rsid w:val="0082317F"/>
    <w:rsid w:val="00823484"/>
    <w:rsid w:val="00823C66"/>
    <w:rsid w:val="00824A3F"/>
    <w:rsid w:val="00824B20"/>
    <w:rsid w:val="00824C27"/>
    <w:rsid w:val="00825149"/>
    <w:rsid w:val="008251F7"/>
    <w:rsid w:val="0082569F"/>
    <w:rsid w:val="008258CB"/>
    <w:rsid w:val="00825A07"/>
    <w:rsid w:val="00825D8F"/>
    <w:rsid w:val="0082621D"/>
    <w:rsid w:val="00826549"/>
    <w:rsid w:val="00826EB8"/>
    <w:rsid w:val="00826F09"/>
    <w:rsid w:val="008272DE"/>
    <w:rsid w:val="00830671"/>
    <w:rsid w:val="00830C22"/>
    <w:rsid w:val="00831B44"/>
    <w:rsid w:val="00831EA9"/>
    <w:rsid w:val="00831EC0"/>
    <w:rsid w:val="00832034"/>
    <w:rsid w:val="00832895"/>
    <w:rsid w:val="00832DDC"/>
    <w:rsid w:val="008334AD"/>
    <w:rsid w:val="0083385E"/>
    <w:rsid w:val="00833FFB"/>
    <w:rsid w:val="0083441C"/>
    <w:rsid w:val="00834E49"/>
    <w:rsid w:val="00835072"/>
    <w:rsid w:val="00835590"/>
    <w:rsid w:val="00835771"/>
    <w:rsid w:val="00835943"/>
    <w:rsid w:val="00835B90"/>
    <w:rsid w:val="00835E73"/>
    <w:rsid w:val="0083637D"/>
    <w:rsid w:val="008366A6"/>
    <w:rsid w:val="00836B09"/>
    <w:rsid w:val="00836B6C"/>
    <w:rsid w:val="00836DDA"/>
    <w:rsid w:val="008403D4"/>
    <w:rsid w:val="00841012"/>
    <w:rsid w:val="00841693"/>
    <w:rsid w:val="00841DDA"/>
    <w:rsid w:val="00842467"/>
    <w:rsid w:val="00842740"/>
    <w:rsid w:val="00842933"/>
    <w:rsid w:val="008429CC"/>
    <w:rsid w:val="00842FC2"/>
    <w:rsid w:val="00843113"/>
    <w:rsid w:val="00843478"/>
    <w:rsid w:val="00843DEF"/>
    <w:rsid w:val="0084442C"/>
    <w:rsid w:val="008444B3"/>
    <w:rsid w:val="008445B5"/>
    <w:rsid w:val="0084482F"/>
    <w:rsid w:val="00845818"/>
    <w:rsid w:val="00845E39"/>
    <w:rsid w:val="00846353"/>
    <w:rsid w:val="0084638E"/>
    <w:rsid w:val="00846846"/>
    <w:rsid w:val="00846A54"/>
    <w:rsid w:val="00846D89"/>
    <w:rsid w:val="008471C7"/>
    <w:rsid w:val="00847226"/>
    <w:rsid w:val="008474C7"/>
    <w:rsid w:val="008479E3"/>
    <w:rsid w:val="00847D64"/>
    <w:rsid w:val="0085005C"/>
    <w:rsid w:val="00850334"/>
    <w:rsid w:val="008510D5"/>
    <w:rsid w:val="00851561"/>
    <w:rsid w:val="008515E5"/>
    <w:rsid w:val="00851B04"/>
    <w:rsid w:val="00851D76"/>
    <w:rsid w:val="008520D0"/>
    <w:rsid w:val="00852124"/>
    <w:rsid w:val="00852654"/>
    <w:rsid w:val="008526E4"/>
    <w:rsid w:val="00853423"/>
    <w:rsid w:val="00853F4B"/>
    <w:rsid w:val="00853F58"/>
    <w:rsid w:val="00854061"/>
    <w:rsid w:val="008544C4"/>
    <w:rsid w:val="00854574"/>
    <w:rsid w:val="0085476C"/>
    <w:rsid w:val="00854A00"/>
    <w:rsid w:val="00855875"/>
    <w:rsid w:val="00856033"/>
    <w:rsid w:val="00856208"/>
    <w:rsid w:val="008562C8"/>
    <w:rsid w:val="008563F8"/>
    <w:rsid w:val="0085641C"/>
    <w:rsid w:val="008564FE"/>
    <w:rsid w:val="00856553"/>
    <w:rsid w:val="00856773"/>
    <w:rsid w:val="0085694C"/>
    <w:rsid w:val="00856FCD"/>
    <w:rsid w:val="00857015"/>
    <w:rsid w:val="00857470"/>
    <w:rsid w:val="00857CB6"/>
    <w:rsid w:val="00857F5F"/>
    <w:rsid w:val="00857F6C"/>
    <w:rsid w:val="008602C6"/>
    <w:rsid w:val="00860329"/>
    <w:rsid w:val="00860772"/>
    <w:rsid w:val="0086082C"/>
    <w:rsid w:val="00860B2E"/>
    <w:rsid w:val="00861337"/>
    <w:rsid w:val="0086172C"/>
    <w:rsid w:val="00861776"/>
    <w:rsid w:val="00861823"/>
    <w:rsid w:val="00861CB7"/>
    <w:rsid w:val="00861CCE"/>
    <w:rsid w:val="0086210A"/>
    <w:rsid w:val="008622CD"/>
    <w:rsid w:val="00862B60"/>
    <w:rsid w:val="00862BA0"/>
    <w:rsid w:val="00862CF2"/>
    <w:rsid w:val="00862EA4"/>
    <w:rsid w:val="00863122"/>
    <w:rsid w:val="00863D65"/>
    <w:rsid w:val="00863F27"/>
    <w:rsid w:val="00864533"/>
    <w:rsid w:val="00864648"/>
    <w:rsid w:val="00864ADC"/>
    <w:rsid w:val="00864E4B"/>
    <w:rsid w:val="008653E5"/>
    <w:rsid w:val="008655DC"/>
    <w:rsid w:val="00866010"/>
    <w:rsid w:val="0086604D"/>
    <w:rsid w:val="00866232"/>
    <w:rsid w:val="008665B0"/>
    <w:rsid w:val="0086676F"/>
    <w:rsid w:val="00866F30"/>
    <w:rsid w:val="008671CF"/>
    <w:rsid w:val="00867808"/>
    <w:rsid w:val="008701DA"/>
    <w:rsid w:val="00870867"/>
    <w:rsid w:val="0087090A"/>
    <w:rsid w:val="00870B2B"/>
    <w:rsid w:val="00870C66"/>
    <w:rsid w:val="00870F45"/>
    <w:rsid w:val="00871063"/>
    <w:rsid w:val="0087113D"/>
    <w:rsid w:val="008715C4"/>
    <w:rsid w:val="008717EB"/>
    <w:rsid w:val="0087211D"/>
    <w:rsid w:val="00872896"/>
    <w:rsid w:val="00872FFA"/>
    <w:rsid w:val="00873BE8"/>
    <w:rsid w:val="00874380"/>
    <w:rsid w:val="008744FF"/>
    <w:rsid w:val="0087454D"/>
    <w:rsid w:val="008758CB"/>
    <w:rsid w:val="00875BAD"/>
    <w:rsid w:val="00875D86"/>
    <w:rsid w:val="008760FF"/>
    <w:rsid w:val="00876178"/>
    <w:rsid w:val="008766D4"/>
    <w:rsid w:val="008767AB"/>
    <w:rsid w:val="008768E7"/>
    <w:rsid w:val="00876DBF"/>
    <w:rsid w:val="00877148"/>
    <w:rsid w:val="00880153"/>
    <w:rsid w:val="008804BA"/>
    <w:rsid w:val="00880B09"/>
    <w:rsid w:val="00880F97"/>
    <w:rsid w:val="0088133A"/>
    <w:rsid w:val="00882306"/>
    <w:rsid w:val="00882310"/>
    <w:rsid w:val="00882D8F"/>
    <w:rsid w:val="00883956"/>
    <w:rsid w:val="00883A2C"/>
    <w:rsid w:val="00883CE4"/>
    <w:rsid w:val="00884A56"/>
    <w:rsid w:val="00884C67"/>
    <w:rsid w:val="008853C3"/>
    <w:rsid w:val="00885885"/>
    <w:rsid w:val="00885C31"/>
    <w:rsid w:val="008861F0"/>
    <w:rsid w:val="0088644A"/>
    <w:rsid w:val="008867C8"/>
    <w:rsid w:val="008867D8"/>
    <w:rsid w:val="008869B1"/>
    <w:rsid w:val="008869E6"/>
    <w:rsid w:val="00886DFC"/>
    <w:rsid w:val="0088717C"/>
    <w:rsid w:val="008872C6"/>
    <w:rsid w:val="00887358"/>
    <w:rsid w:val="0088743E"/>
    <w:rsid w:val="00887452"/>
    <w:rsid w:val="00887546"/>
    <w:rsid w:val="00887603"/>
    <w:rsid w:val="00887944"/>
    <w:rsid w:val="00887B45"/>
    <w:rsid w:val="0089022B"/>
    <w:rsid w:val="00890C44"/>
    <w:rsid w:val="0089160F"/>
    <w:rsid w:val="00891794"/>
    <w:rsid w:val="00892652"/>
    <w:rsid w:val="008927A4"/>
    <w:rsid w:val="0089285E"/>
    <w:rsid w:val="0089294D"/>
    <w:rsid w:val="008929AD"/>
    <w:rsid w:val="00892BFA"/>
    <w:rsid w:val="00892CB4"/>
    <w:rsid w:val="00892CD9"/>
    <w:rsid w:val="00893999"/>
    <w:rsid w:val="00893B3B"/>
    <w:rsid w:val="00893CCA"/>
    <w:rsid w:val="00894118"/>
    <w:rsid w:val="0089436C"/>
    <w:rsid w:val="008943C3"/>
    <w:rsid w:val="00894512"/>
    <w:rsid w:val="008949ED"/>
    <w:rsid w:val="00894A7B"/>
    <w:rsid w:val="008950C3"/>
    <w:rsid w:val="00895266"/>
    <w:rsid w:val="0089553A"/>
    <w:rsid w:val="00895845"/>
    <w:rsid w:val="0089586C"/>
    <w:rsid w:val="00895D3D"/>
    <w:rsid w:val="0089635D"/>
    <w:rsid w:val="0089685C"/>
    <w:rsid w:val="00897470"/>
    <w:rsid w:val="008976E8"/>
    <w:rsid w:val="0089772D"/>
    <w:rsid w:val="00897779"/>
    <w:rsid w:val="00897903"/>
    <w:rsid w:val="00897ACF"/>
    <w:rsid w:val="00897ADF"/>
    <w:rsid w:val="00897C07"/>
    <w:rsid w:val="008A031C"/>
    <w:rsid w:val="008A0356"/>
    <w:rsid w:val="008A044C"/>
    <w:rsid w:val="008A07C1"/>
    <w:rsid w:val="008A0BAE"/>
    <w:rsid w:val="008A0EB3"/>
    <w:rsid w:val="008A105D"/>
    <w:rsid w:val="008A1DAF"/>
    <w:rsid w:val="008A2026"/>
    <w:rsid w:val="008A2134"/>
    <w:rsid w:val="008A2569"/>
    <w:rsid w:val="008A2608"/>
    <w:rsid w:val="008A2ED0"/>
    <w:rsid w:val="008A32DE"/>
    <w:rsid w:val="008A39C1"/>
    <w:rsid w:val="008A429A"/>
    <w:rsid w:val="008A5247"/>
    <w:rsid w:val="008A5E96"/>
    <w:rsid w:val="008A6ADF"/>
    <w:rsid w:val="008A6D39"/>
    <w:rsid w:val="008A6E4D"/>
    <w:rsid w:val="008A7040"/>
    <w:rsid w:val="008A72A4"/>
    <w:rsid w:val="008A73B5"/>
    <w:rsid w:val="008A7571"/>
    <w:rsid w:val="008A7962"/>
    <w:rsid w:val="008A7A72"/>
    <w:rsid w:val="008A7B7C"/>
    <w:rsid w:val="008A7F0D"/>
    <w:rsid w:val="008A7F10"/>
    <w:rsid w:val="008B0219"/>
    <w:rsid w:val="008B0377"/>
    <w:rsid w:val="008B05F8"/>
    <w:rsid w:val="008B0A2E"/>
    <w:rsid w:val="008B0C88"/>
    <w:rsid w:val="008B0DA1"/>
    <w:rsid w:val="008B22DA"/>
    <w:rsid w:val="008B254B"/>
    <w:rsid w:val="008B2968"/>
    <w:rsid w:val="008B2E33"/>
    <w:rsid w:val="008B30E7"/>
    <w:rsid w:val="008B31C4"/>
    <w:rsid w:val="008B32A6"/>
    <w:rsid w:val="008B3677"/>
    <w:rsid w:val="008B3AB9"/>
    <w:rsid w:val="008B3B0E"/>
    <w:rsid w:val="008B465C"/>
    <w:rsid w:val="008B4760"/>
    <w:rsid w:val="008B4819"/>
    <w:rsid w:val="008B4C49"/>
    <w:rsid w:val="008B4D64"/>
    <w:rsid w:val="008B4EF7"/>
    <w:rsid w:val="008B5B22"/>
    <w:rsid w:val="008B5DDA"/>
    <w:rsid w:val="008B5DF3"/>
    <w:rsid w:val="008B5F49"/>
    <w:rsid w:val="008B65D8"/>
    <w:rsid w:val="008B6E6A"/>
    <w:rsid w:val="008B7A83"/>
    <w:rsid w:val="008C00AA"/>
    <w:rsid w:val="008C14A9"/>
    <w:rsid w:val="008C1AD8"/>
    <w:rsid w:val="008C1DAA"/>
    <w:rsid w:val="008C2D06"/>
    <w:rsid w:val="008C2D56"/>
    <w:rsid w:val="008C2F8D"/>
    <w:rsid w:val="008C2FBC"/>
    <w:rsid w:val="008C3001"/>
    <w:rsid w:val="008C3AF6"/>
    <w:rsid w:val="008C3B4E"/>
    <w:rsid w:val="008C3D83"/>
    <w:rsid w:val="008C4062"/>
    <w:rsid w:val="008C411F"/>
    <w:rsid w:val="008C4135"/>
    <w:rsid w:val="008C4D19"/>
    <w:rsid w:val="008C4E6E"/>
    <w:rsid w:val="008C5205"/>
    <w:rsid w:val="008C52D6"/>
    <w:rsid w:val="008C5712"/>
    <w:rsid w:val="008C57B5"/>
    <w:rsid w:val="008C586B"/>
    <w:rsid w:val="008C5E30"/>
    <w:rsid w:val="008C5E54"/>
    <w:rsid w:val="008C60F9"/>
    <w:rsid w:val="008C62E3"/>
    <w:rsid w:val="008C6A4A"/>
    <w:rsid w:val="008C6AB7"/>
    <w:rsid w:val="008C6B93"/>
    <w:rsid w:val="008C6E30"/>
    <w:rsid w:val="008C7161"/>
    <w:rsid w:val="008C7237"/>
    <w:rsid w:val="008C72D9"/>
    <w:rsid w:val="008C7B64"/>
    <w:rsid w:val="008C7CD4"/>
    <w:rsid w:val="008C7E09"/>
    <w:rsid w:val="008D005C"/>
    <w:rsid w:val="008D00F7"/>
    <w:rsid w:val="008D010E"/>
    <w:rsid w:val="008D016F"/>
    <w:rsid w:val="008D0265"/>
    <w:rsid w:val="008D0477"/>
    <w:rsid w:val="008D0BD6"/>
    <w:rsid w:val="008D0C1F"/>
    <w:rsid w:val="008D0D3B"/>
    <w:rsid w:val="008D15D0"/>
    <w:rsid w:val="008D16CA"/>
    <w:rsid w:val="008D1C84"/>
    <w:rsid w:val="008D1E5D"/>
    <w:rsid w:val="008D1EB1"/>
    <w:rsid w:val="008D2163"/>
    <w:rsid w:val="008D2191"/>
    <w:rsid w:val="008D25FD"/>
    <w:rsid w:val="008D3540"/>
    <w:rsid w:val="008D365C"/>
    <w:rsid w:val="008D3711"/>
    <w:rsid w:val="008D3B7A"/>
    <w:rsid w:val="008D3CC9"/>
    <w:rsid w:val="008D3EB4"/>
    <w:rsid w:val="008D3F25"/>
    <w:rsid w:val="008D4183"/>
    <w:rsid w:val="008D41BE"/>
    <w:rsid w:val="008D49FD"/>
    <w:rsid w:val="008D4CAC"/>
    <w:rsid w:val="008D4F6E"/>
    <w:rsid w:val="008D5130"/>
    <w:rsid w:val="008D51AE"/>
    <w:rsid w:val="008D5646"/>
    <w:rsid w:val="008D5D34"/>
    <w:rsid w:val="008D5FF1"/>
    <w:rsid w:val="008D63B3"/>
    <w:rsid w:val="008D6E52"/>
    <w:rsid w:val="008D717E"/>
    <w:rsid w:val="008D71EF"/>
    <w:rsid w:val="008D72AF"/>
    <w:rsid w:val="008D79F5"/>
    <w:rsid w:val="008E0474"/>
    <w:rsid w:val="008E0B44"/>
    <w:rsid w:val="008E15C2"/>
    <w:rsid w:val="008E17B1"/>
    <w:rsid w:val="008E203E"/>
    <w:rsid w:val="008E22B8"/>
    <w:rsid w:val="008E2A57"/>
    <w:rsid w:val="008E2EA6"/>
    <w:rsid w:val="008E3642"/>
    <w:rsid w:val="008E39AF"/>
    <w:rsid w:val="008E3B59"/>
    <w:rsid w:val="008E3D16"/>
    <w:rsid w:val="008E3DAC"/>
    <w:rsid w:val="008E3FBF"/>
    <w:rsid w:val="008E4F7A"/>
    <w:rsid w:val="008E5006"/>
    <w:rsid w:val="008E5195"/>
    <w:rsid w:val="008E5844"/>
    <w:rsid w:val="008E58FB"/>
    <w:rsid w:val="008E5967"/>
    <w:rsid w:val="008E5CEB"/>
    <w:rsid w:val="008E5F7C"/>
    <w:rsid w:val="008E688B"/>
    <w:rsid w:val="008E6B9E"/>
    <w:rsid w:val="008E6EF4"/>
    <w:rsid w:val="008E7017"/>
    <w:rsid w:val="008E704B"/>
    <w:rsid w:val="008E70D0"/>
    <w:rsid w:val="008E73F6"/>
    <w:rsid w:val="008E7578"/>
    <w:rsid w:val="008E7834"/>
    <w:rsid w:val="008E78D3"/>
    <w:rsid w:val="008F0459"/>
    <w:rsid w:val="008F05E0"/>
    <w:rsid w:val="008F0DA6"/>
    <w:rsid w:val="008F0FDA"/>
    <w:rsid w:val="008F115A"/>
    <w:rsid w:val="008F2606"/>
    <w:rsid w:val="008F2921"/>
    <w:rsid w:val="008F3106"/>
    <w:rsid w:val="008F332C"/>
    <w:rsid w:val="008F3774"/>
    <w:rsid w:val="008F38B2"/>
    <w:rsid w:val="008F3966"/>
    <w:rsid w:val="008F3A7F"/>
    <w:rsid w:val="008F3E91"/>
    <w:rsid w:val="008F4515"/>
    <w:rsid w:val="008F46D0"/>
    <w:rsid w:val="008F4A16"/>
    <w:rsid w:val="008F4F4C"/>
    <w:rsid w:val="008F4FF2"/>
    <w:rsid w:val="008F5E56"/>
    <w:rsid w:val="008F6505"/>
    <w:rsid w:val="008F6DAC"/>
    <w:rsid w:val="008F6FBA"/>
    <w:rsid w:val="008F73C7"/>
    <w:rsid w:val="008F786F"/>
    <w:rsid w:val="008F7898"/>
    <w:rsid w:val="008F7997"/>
    <w:rsid w:val="008F7B4F"/>
    <w:rsid w:val="008F7CBB"/>
    <w:rsid w:val="008F7EBB"/>
    <w:rsid w:val="009002A6"/>
    <w:rsid w:val="0090057B"/>
    <w:rsid w:val="009009E6"/>
    <w:rsid w:val="00900B66"/>
    <w:rsid w:val="00900B77"/>
    <w:rsid w:val="00900D7F"/>
    <w:rsid w:val="00901068"/>
    <w:rsid w:val="00901545"/>
    <w:rsid w:val="009017E1"/>
    <w:rsid w:val="00902494"/>
    <w:rsid w:val="009024FC"/>
    <w:rsid w:val="00903049"/>
    <w:rsid w:val="009030BF"/>
    <w:rsid w:val="009039B5"/>
    <w:rsid w:val="00903A13"/>
    <w:rsid w:val="00903A47"/>
    <w:rsid w:val="00903A5B"/>
    <w:rsid w:val="00903B52"/>
    <w:rsid w:val="0090435B"/>
    <w:rsid w:val="0090510A"/>
    <w:rsid w:val="00905C7B"/>
    <w:rsid w:val="00906031"/>
    <w:rsid w:val="00906998"/>
    <w:rsid w:val="009069B6"/>
    <w:rsid w:val="00906B7A"/>
    <w:rsid w:val="00907268"/>
    <w:rsid w:val="009072AE"/>
    <w:rsid w:val="00907BE9"/>
    <w:rsid w:val="0091032F"/>
    <w:rsid w:val="009103BA"/>
    <w:rsid w:val="009104F6"/>
    <w:rsid w:val="00910873"/>
    <w:rsid w:val="0091109F"/>
    <w:rsid w:val="009115D5"/>
    <w:rsid w:val="0091199C"/>
    <w:rsid w:val="00911DF0"/>
    <w:rsid w:val="00912084"/>
    <w:rsid w:val="009125D2"/>
    <w:rsid w:val="009125E1"/>
    <w:rsid w:val="00912780"/>
    <w:rsid w:val="00912A09"/>
    <w:rsid w:val="009132C0"/>
    <w:rsid w:val="0091374C"/>
    <w:rsid w:val="009137A2"/>
    <w:rsid w:val="00913F28"/>
    <w:rsid w:val="00914368"/>
    <w:rsid w:val="0091467F"/>
    <w:rsid w:val="00914754"/>
    <w:rsid w:val="00914BCB"/>
    <w:rsid w:val="009152D6"/>
    <w:rsid w:val="00915919"/>
    <w:rsid w:val="00915929"/>
    <w:rsid w:val="00915C71"/>
    <w:rsid w:val="00916155"/>
    <w:rsid w:val="00916199"/>
    <w:rsid w:val="009166A1"/>
    <w:rsid w:val="009168D1"/>
    <w:rsid w:val="009169F5"/>
    <w:rsid w:val="00917745"/>
    <w:rsid w:val="00917AC2"/>
    <w:rsid w:val="00917D5E"/>
    <w:rsid w:val="009206C6"/>
    <w:rsid w:val="0092078D"/>
    <w:rsid w:val="00920830"/>
    <w:rsid w:val="00920B4C"/>
    <w:rsid w:val="00921046"/>
    <w:rsid w:val="00921185"/>
    <w:rsid w:val="009212C8"/>
    <w:rsid w:val="00921A8D"/>
    <w:rsid w:val="00921F5F"/>
    <w:rsid w:val="00923104"/>
    <w:rsid w:val="0092326C"/>
    <w:rsid w:val="0092384A"/>
    <w:rsid w:val="00923A68"/>
    <w:rsid w:val="00924773"/>
    <w:rsid w:val="009248DF"/>
    <w:rsid w:val="009248FD"/>
    <w:rsid w:val="00924A75"/>
    <w:rsid w:val="00925561"/>
    <w:rsid w:val="009255D2"/>
    <w:rsid w:val="0092594E"/>
    <w:rsid w:val="00925B98"/>
    <w:rsid w:val="00925C51"/>
    <w:rsid w:val="00925C62"/>
    <w:rsid w:val="00926721"/>
    <w:rsid w:val="00926A79"/>
    <w:rsid w:val="0092703A"/>
    <w:rsid w:val="00927077"/>
    <w:rsid w:val="009273C5"/>
    <w:rsid w:val="00927D86"/>
    <w:rsid w:val="0093047A"/>
    <w:rsid w:val="009307DF"/>
    <w:rsid w:val="009308BD"/>
    <w:rsid w:val="00930961"/>
    <w:rsid w:val="00930E0E"/>
    <w:rsid w:val="00930F42"/>
    <w:rsid w:val="00931076"/>
    <w:rsid w:val="009310D9"/>
    <w:rsid w:val="00931109"/>
    <w:rsid w:val="009318BB"/>
    <w:rsid w:val="00931B5B"/>
    <w:rsid w:val="0093209F"/>
    <w:rsid w:val="0093265C"/>
    <w:rsid w:val="009328DE"/>
    <w:rsid w:val="00932944"/>
    <w:rsid w:val="00933122"/>
    <w:rsid w:val="0093320A"/>
    <w:rsid w:val="009335EA"/>
    <w:rsid w:val="00933E7F"/>
    <w:rsid w:val="00934340"/>
    <w:rsid w:val="009345D9"/>
    <w:rsid w:val="00934B15"/>
    <w:rsid w:val="00934FD8"/>
    <w:rsid w:val="0093512D"/>
    <w:rsid w:val="0093559F"/>
    <w:rsid w:val="0093604D"/>
    <w:rsid w:val="00936A0D"/>
    <w:rsid w:val="00936D6B"/>
    <w:rsid w:val="00936DD1"/>
    <w:rsid w:val="00937D5A"/>
    <w:rsid w:val="009406CC"/>
    <w:rsid w:val="00940AB5"/>
    <w:rsid w:val="00940C87"/>
    <w:rsid w:val="00940E51"/>
    <w:rsid w:val="009411F0"/>
    <w:rsid w:val="0094136B"/>
    <w:rsid w:val="00941375"/>
    <w:rsid w:val="009416D3"/>
    <w:rsid w:val="009422D4"/>
    <w:rsid w:val="00942B62"/>
    <w:rsid w:val="00942C9A"/>
    <w:rsid w:val="0094325C"/>
    <w:rsid w:val="0094343A"/>
    <w:rsid w:val="0094377D"/>
    <w:rsid w:val="00943850"/>
    <w:rsid w:val="00943959"/>
    <w:rsid w:val="009442E2"/>
    <w:rsid w:val="00944A5A"/>
    <w:rsid w:val="00944BF4"/>
    <w:rsid w:val="00945325"/>
    <w:rsid w:val="009462A0"/>
    <w:rsid w:val="00946B36"/>
    <w:rsid w:val="00946E4A"/>
    <w:rsid w:val="00950815"/>
    <w:rsid w:val="00950884"/>
    <w:rsid w:val="009509A9"/>
    <w:rsid w:val="00950B52"/>
    <w:rsid w:val="00950CAB"/>
    <w:rsid w:val="00950FA4"/>
    <w:rsid w:val="00950FB5"/>
    <w:rsid w:val="009511C5"/>
    <w:rsid w:val="00951207"/>
    <w:rsid w:val="009520FE"/>
    <w:rsid w:val="00952B35"/>
    <w:rsid w:val="00952DA7"/>
    <w:rsid w:val="00952E2A"/>
    <w:rsid w:val="00953211"/>
    <w:rsid w:val="0095323B"/>
    <w:rsid w:val="00953B2F"/>
    <w:rsid w:val="00953C86"/>
    <w:rsid w:val="00953CE0"/>
    <w:rsid w:val="00953D17"/>
    <w:rsid w:val="00954268"/>
    <w:rsid w:val="0095434E"/>
    <w:rsid w:val="009544EF"/>
    <w:rsid w:val="009547A6"/>
    <w:rsid w:val="00954C07"/>
    <w:rsid w:val="00954C0E"/>
    <w:rsid w:val="009550C3"/>
    <w:rsid w:val="009554CA"/>
    <w:rsid w:val="00955F2E"/>
    <w:rsid w:val="00955F38"/>
    <w:rsid w:val="009560EF"/>
    <w:rsid w:val="00956196"/>
    <w:rsid w:val="009563D1"/>
    <w:rsid w:val="009567D3"/>
    <w:rsid w:val="00956A0C"/>
    <w:rsid w:val="00956AF2"/>
    <w:rsid w:val="00956BD9"/>
    <w:rsid w:val="00957019"/>
    <w:rsid w:val="009576D7"/>
    <w:rsid w:val="00957F76"/>
    <w:rsid w:val="00960092"/>
    <w:rsid w:val="00960F96"/>
    <w:rsid w:val="00961060"/>
    <w:rsid w:val="0096123B"/>
    <w:rsid w:val="009616F3"/>
    <w:rsid w:val="00961B44"/>
    <w:rsid w:val="00961C6A"/>
    <w:rsid w:val="00961E95"/>
    <w:rsid w:val="00961EB9"/>
    <w:rsid w:val="009622FD"/>
    <w:rsid w:val="00962318"/>
    <w:rsid w:val="00962471"/>
    <w:rsid w:val="0096247A"/>
    <w:rsid w:val="00962489"/>
    <w:rsid w:val="009626C4"/>
    <w:rsid w:val="009635A8"/>
    <w:rsid w:val="009636AC"/>
    <w:rsid w:val="00963905"/>
    <w:rsid w:val="00964B84"/>
    <w:rsid w:val="00964E9C"/>
    <w:rsid w:val="0096518A"/>
    <w:rsid w:val="00965440"/>
    <w:rsid w:val="009662AE"/>
    <w:rsid w:val="00966581"/>
    <w:rsid w:val="00966817"/>
    <w:rsid w:val="00967801"/>
    <w:rsid w:val="009678CD"/>
    <w:rsid w:val="00967CD3"/>
    <w:rsid w:val="00967D76"/>
    <w:rsid w:val="009700B2"/>
    <w:rsid w:val="00970254"/>
    <w:rsid w:val="00970630"/>
    <w:rsid w:val="009710A9"/>
    <w:rsid w:val="009712CD"/>
    <w:rsid w:val="009717FC"/>
    <w:rsid w:val="00971BEE"/>
    <w:rsid w:val="00971EA4"/>
    <w:rsid w:val="00972114"/>
    <w:rsid w:val="009727D0"/>
    <w:rsid w:val="00972803"/>
    <w:rsid w:val="0097299D"/>
    <w:rsid w:val="00972C9D"/>
    <w:rsid w:val="00972CC6"/>
    <w:rsid w:val="00972E0C"/>
    <w:rsid w:val="009734C0"/>
    <w:rsid w:val="00973865"/>
    <w:rsid w:val="00974D7E"/>
    <w:rsid w:val="00975078"/>
    <w:rsid w:val="009754BC"/>
    <w:rsid w:val="00975AA2"/>
    <w:rsid w:val="009767CB"/>
    <w:rsid w:val="00976AF3"/>
    <w:rsid w:val="00976DD8"/>
    <w:rsid w:val="00976E57"/>
    <w:rsid w:val="009770EC"/>
    <w:rsid w:val="00977142"/>
    <w:rsid w:val="00977715"/>
    <w:rsid w:val="009778FF"/>
    <w:rsid w:val="00977C16"/>
    <w:rsid w:val="00980466"/>
    <w:rsid w:val="009807FF"/>
    <w:rsid w:val="009808BF"/>
    <w:rsid w:val="00980DE1"/>
    <w:rsid w:val="00980E6F"/>
    <w:rsid w:val="009811F9"/>
    <w:rsid w:val="00981C79"/>
    <w:rsid w:val="00981D4B"/>
    <w:rsid w:val="009828F2"/>
    <w:rsid w:val="009836D3"/>
    <w:rsid w:val="009838AA"/>
    <w:rsid w:val="009843D8"/>
    <w:rsid w:val="00984CDE"/>
    <w:rsid w:val="00985007"/>
    <w:rsid w:val="009850E4"/>
    <w:rsid w:val="009852AC"/>
    <w:rsid w:val="00985395"/>
    <w:rsid w:val="0098539F"/>
    <w:rsid w:val="00985A86"/>
    <w:rsid w:val="00985C4C"/>
    <w:rsid w:val="00985D9C"/>
    <w:rsid w:val="00985F6A"/>
    <w:rsid w:val="009864E9"/>
    <w:rsid w:val="00986CA4"/>
    <w:rsid w:val="00986F7B"/>
    <w:rsid w:val="00987253"/>
    <w:rsid w:val="00987A7E"/>
    <w:rsid w:val="00987DF5"/>
    <w:rsid w:val="009901FD"/>
    <w:rsid w:val="009903F8"/>
    <w:rsid w:val="009905F8"/>
    <w:rsid w:val="0099067C"/>
    <w:rsid w:val="009909B5"/>
    <w:rsid w:val="00990A4A"/>
    <w:rsid w:val="00990C2C"/>
    <w:rsid w:val="009910A0"/>
    <w:rsid w:val="009911EF"/>
    <w:rsid w:val="00991669"/>
    <w:rsid w:val="00991779"/>
    <w:rsid w:val="00991BCB"/>
    <w:rsid w:val="00991CF9"/>
    <w:rsid w:val="009933C1"/>
    <w:rsid w:val="00993A9C"/>
    <w:rsid w:val="00993B90"/>
    <w:rsid w:val="00994162"/>
    <w:rsid w:val="00994490"/>
    <w:rsid w:val="009949FA"/>
    <w:rsid w:val="00994BBC"/>
    <w:rsid w:val="00994D9A"/>
    <w:rsid w:val="0099519D"/>
    <w:rsid w:val="0099526B"/>
    <w:rsid w:val="0099534B"/>
    <w:rsid w:val="009953BB"/>
    <w:rsid w:val="00995691"/>
    <w:rsid w:val="009957FC"/>
    <w:rsid w:val="009959DC"/>
    <w:rsid w:val="00995A17"/>
    <w:rsid w:val="009960D3"/>
    <w:rsid w:val="00996100"/>
    <w:rsid w:val="009961B5"/>
    <w:rsid w:val="00996620"/>
    <w:rsid w:val="009967AF"/>
    <w:rsid w:val="00996CA4"/>
    <w:rsid w:val="0099723E"/>
    <w:rsid w:val="0099725F"/>
    <w:rsid w:val="0099747E"/>
    <w:rsid w:val="00997BFD"/>
    <w:rsid w:val="009A018A"/>
    <w:rsid w:val="009A064D"/>
    <w:rsid w:val="009A0A08"/>
    <w:rsid w:val="009A0EBE"/>
    <w:rsid w:val="009A0F8C"/>
    <w:rsid w:val="009A1046"/>
    <w:rsid w:val="009A10FD"/>
    <w:rsid w:val="009A161F"/>
    <w:rsid w:val="009A16A5"/>
    <w:rsid w:val="009A187E"/>
    <w:rsid w:val="009A1D08"/>
    <w:rsid w:val="009A224F"/>
    <w:rsid w:val="009A268C"/>
    <w:rsid w:val="009A2875"/>
    <w:rsid w:val="009A2C77"/>
    <w:rsid w:val="009A32CC"/>
    <w:rsid w:val="009A3678"/>
    <w:rsid w:val="009A3E01"/>
    <w:rsid w:val="009A3EA6"/>
    <w:rsid w:val="009A3EF2"/>
    <w:rsid w:val="009A3EF4"/>
    <w:rsid w:val="009A4185"/>
    <w:rsid w:val="009A4459"/>
    <w:rsid w:val="009A4567"/>
    <w:rsid w:val="009A493E"/>
    <w:rsid w:val="009A4E11"/>
    <w:rsid w:val="009A4F89"/>
    <w:rsid w:val="009A50EA"/>
    <w:rsid w:val="009A5B2A"/>
    <w:rsid w:val="009A659E"/>
    <w:rsid w:val="009A6AE6"/>
    <w:rsid w:val="009A7278"/>
    <w:rsid w:val="009A75BF"/>
    <w:rsid w:val="009A78FA"/>
    <w:rsid w:val="009A79AD"/>
    <w:rsid w:val="009A7ECB"/>
    <w:rsid w:val="009A7F0E"/>
    <w:rsid w:val="009B01BD"/>
    <w:rsid w:val="009B0B00"/>
    <w:rsid w:val="009B0E75"/>
    <w:rsid w:val="009B131F"/>
    <w:rsid w:val="009B15D2"/>
    <w:rsid w:val="009B186F"/>
    <w:rsid w:val="009B1943"/>
    <w:rsid w:val="009B1B89"/>
    <w:rsid w:val="009B1F37"/>
    <w:rsid w:val="009B225F"/>
    <w:rsid w:val="009B22A1"/>
    <w:rsid w:val="009B2D86"/>
    <w:rsid w:val="009B2EE3"/>
    <w:rsid w:val="009B3495"/>
    <w:rsid w:val="009B378E"/>
    <w:rsid w:val="009B3F02"/>
    <w:rsid w:val="009B431D"/>
    <w:rsid w:val="009B4BEF"/>
    <w:rsid w:val="009B4FA8"/>
    <w:rsid w:val="009B5373"/>
    <w:rsid w:val="009B55C4"/>
    <w:rsid w:val="009B57A6"/>
    <w:rsid w:val="009B5BD6"/>
    <w:rsid w:val="009B5C6B"/>
    <w:rsid w:val="009B5C72"/>
    <w:rsid w:val="009B5C81"/>
    <w:rsid w:val="009B5F2F"/>
    <w:rsid w:val="009B6472"/>
    <w:rsid w:val="009B670D"/>
    <w:rsid w:val="009B67C0"/>
    <w:rsid w:val="009B6802"/>
    <w:rsid w:val="009B6983"/>
    <w:rsid w:val="009B6F2D"/>
    <w:rsid w:val="009B78C7"/>
    <w:rsid w:val="009B79DC"/>
    <w:rsid w:val="009B7D3F"/>
    <w:rsid w:val="009B7DBA"/>
    <w:rsid w:val="009C00AD"/>
    <w:rsid w:val="009C0FB8"/>
    <w:rsid w:val="009C1982"/>
    <w:rsid w:val="009C1DC2"/>
    <w:rsid w:val="009C1E6E"/>
    <w:rsid w:val="009C221E"/>
    <w:rsid w:val="009C24AD"/>
    <w:rsid w:val="009C28A8"/>
    <w:rsid w:val="009C28B0"/>
    <w:rsid w:val="009C2F79"/>
    <w:rsid w:val="009C336E"/>
    <w:rsid w:val="009C33B2"/>
    <w:rsid w:val="009C3607"/>
    <w:rsid w:val="009C36ED"/>
    <w:rsid w:val="009C3EB5"/>
    <w:rsid w:val="009C3F19"/>
    <w:rsid w:val="009C4000"/>
    <w:rsid w:val="009C405C"/>
    <w:rsid w:val="009C4161"/>
    <w:rsid w:val="009C455B"/>
    <w:rsid w:val="009C4778"/>
    <w:rsid w:val="009C4A8D"/>
    <w:rsid w:val="009C59B8"/>
    <w:rsid w:val="009C5D2E"/>
    <w:rsid w:val="009C6357"/>
    <w:rsid w:val="009C6431"/>
    <w:rsid w:val="009C6C99"/>
    <w:rsid w:val="009C6F6F"/>
    <w:rsid w:val="009D0457"/>
    <w:rsid w:val="009D0576"/>
    <w:rsid w:val="009D08DF"/>
    <w:rsid w:val="009D0D33"/>
    <w:rsid w:val="009D1825"/>
    <w:rsid w:val="009D1839"/>
    <w:rsid w:val="009D19C4"/>
    <w:rsid w:val="009D253E"/>
    <w:rsid w:val="009D2941"/>
    <w:rsid w:val="009D2A7B"/>
    <w:rsid w:val="009D2DAC"/>
    <w:rsid w:val="009D3420"/>
    <w:rsid w:val="009D3C0B"/>
    <w:rsid w:val="009D3C7D"/>
    <w:rsid w:val="009D4415"/>
    <w:rsid w:val="009D44A0"/>
    <w:rsid w:val="009D45E8"/>
    <w:rsid w:val="009D47CC"/>
    <w:rsid w:val="009D48FB"/>
    <w:rsid w:val="009D4B70"/>
    <w:rsid w:val="009D4E52"/>
    <w:rsid w:val="009D51D4"/>
    <w:rsid w:val="009D5826"/>
    <w:rsid w:val="009D5858"/>
    <w:rsid w:val="009D5879"/>
    <w:rsid w:val="009D5CAB"/>
    <w:rsid w:val="009D621C"/>
    <w:rsid w:val="009D6791"/>
    <w:rsid w:val="009D68DE"/>
    <w:rsid w:val="009D7235"/>
    <w:rsid w:val="009D7E37"/>
    <w:rsid w:val="009E00A1"/>
    <w:rsid w:val="009E012C"/>
    <w:rsid w:val="009E0301"/>
    <w:rsid w:val="009E072E"/>
    <w:rsid w:val="009E0C68"/>
    <w:rsid w:val="009E0E4D"/>
    <w:rsid w:val="009E0FD5"/>
    <w:rsid w:val="009E10DD"/>
    <w:rsid w:val="009E1114"/>
    <w:rsid w:val="009E144D"/>
    <w:rsid w:val="009E16E9"/>
    <w:rsid w:val="009E1815"/>
    <w:rsid w:val="009E1844"/>
    <w:rsid w:val="009E25A7"/>
    <w:rsid w:val="009E27C1"/>
    <w:rsid w:val="009E2ADD"/>
    <w:rsid w:val="009E3C10"/>
    <w:rsid w:val="009E40E2"/>
    <w:rsid w:val="009E410B"/>
    <w:rsid w:val="009E4426"/>
    <w:rsid w:val="009E45A0"/>
    <w:rsid w:val="009E49B7"/>
    <w:rsid w:val="009E4D5B"/>
    <w:rsid w:val="009E4F11"/>
    <w:rsid w:val="009E575E"/>
    <w:rsid w:val="009E5D18"/>
    <w:rsid w:val="009E64DF"/>
    <w:rsid w:val="009E710C"/>
    <w:rsid w:val="009E7130"/>
    <w:rsid w:val="009E7969"/>
    <w:rsid w:val="009E79C8"/>
    <w:rsid w:val="009E7BCE"/>
    <w:rsid w:val="009E7E77"/>
    <w:rsid w:val="009F011B"/>
    <w:rsid w:val="009F05CB"/>
    <w:rsid w:val="009F06C1"/>
    <w:rsid w:val="009F08D1"/>
    <w:rsid w:val="009F0D1B"/>
    <w:rsid w:val="009F0D88"/>
    <w:rsid w:val="009F17F4"/>
    <w:rsid w:val="009F183A"/>
    <w:rsid w:val="009F1BFC"/>
    <w:rsid w:val="009F210E"/>
    <w:rsid w:val="009F2281"/>
    <w:rsid w:val="009F229A"/>
    <w:rsid w:val="009F29F1"/>
    <w:rsid w:val="009F2EA1"/>
    <w:rsid w:val="009F2F49"/>
    <w:rsid w:val="009F3101"/>
    <w:rsid w:val="009F3129"/>
    <w:rsid w:val="009F379D"/>
    <w:rsid w:val="009F3E26"/>
    <w:rsid w:val="009F3EDD"/>
    <w:rsid w:val="009F4E6D"/>
    <w:rsid w:val="009F5A74"/>
    <w:rsid w:val="009F5BBD"/>
    <w:rsid w:val="009F5CF5"/>
    <w:rsid w:val="009F64E8"/>
    <w:rsid w:val="009F696D"/>
    <w:rsid w:val="009F6BC6"/>
    <w:rsid w:val="009F6CC4"/>
    <w:rsid w:val="009F6CE5"/>
    <w:rsid w:val="009F6DED"/>
    <w:rsid w:val="009F6F72"/>
    <w:rsid w:val="009F6F89"/>
    <w:rsid w:val="009F6FCD"/>
    <w:rsid w:val="009F73E3"/>
    <w:rsid w:val="009F74EF"/>
    <w:rsid w:val="009F7725"/>
    <w:rsid w:val="009F77CD"/>
    <w:rsid w:val="009F7D99"/>
    <w:rsid w:val="009F7EDB"/>
    <w:rsid w:val="00A00205"/>
    <w:rsid w:val="00A00581"/>
    <w:rsid w:val="00A0104E"/>
    <w:rsid w:val="00A0120F"/>
    <w:rsid w:val="00A01795"/>
    <w:rsid w:val="00A01BD5"/>
    <w:rsid w:val="00A01BF9"/>
    <w:rsid w:val="00A01D2E"/>
    <w:rsid w:val="00A01E68"/>
    <w:rsid w:val="00A02604"/>
    <w:rsid w:val="00A02622"/>
    <w:rsid w:val="00A02AF5"/>
    <w:rsid w:val="00A02C87"/>
    <w:rsid w:val="00A02E93"/>
    <w:rsid w:val="00A030AF"/>
    <w:rsid w:val="00A031E1"/>
    <w:rsid w:val="00A03379"/>
    <w:rsid w:val="00A033FA"/>
    <w:rsid w:val="00A0409C"/>
    <w:rsid w:val="00A04520"/>
    <w:rsid w:val="00A04A7B"/>
    <w:rsid w:val="00A0508B"/>
    <w:rsid w:val="00A051A3"/>
    <w:rsid w:val="00A052C0"/>
    <w:rsid w:val="00A05754"/>
    <w:rsid w:val="00A05BA8"/>
    <w:rsid w:val="00A063A7"/>
    <w:rsid w:val="00A06459"/>
    <w:rsid w:val="00A06800"/>
    <w:rsid w:val="00A06E39"/>
    <w:rsid w:val="00A07506"/>
    <w:rsid w:val="00A07664"/>
    <w:rsid w:val="00A07683"/>
    <w:rsid w:val="00A0793C"/>
    <w:rsid w:val="00A07A20"/>
    <w:rsid w:val="00A10590"/>
    <w:rsid w:val="00A10E0B"/>
    <w:rsid w:val="00A10EAC"/>
    <w:rsid w:val="00A10EB9"/>
    <w:rsid w:val="00A112B5"/>
    <w:rsid w:val="00A11390"/>
    <w:rsid w:val="00A113E7"/>
    <w:rsid w:val="00A1161D"/>
    <w:rsid w:val="00A11712"/>
    <w:rsid w:val="00A119EC"/>
    <w:rsid w:val="00A1204C"/>
    <w:rsid w:val="00A12565"/>
    <w:rsid w:val="00A129F5"/>
    <w:rsid w:val="00A12C50"/>
    <w:rsid w:val="00A13642"/>
    <w:rsid w:val="00A13EF9"/>
    <w:rsid w:val="00A14C08"/>
    <w:rsid w:val="00A1523B"/>
    <w:rsid w:val="00A15686"/>
    <w:rsid w:val="00A1578D"/>
    <w:rsid w:val="00A159F0"/>
    <w:rsid w:val="00A15D5A"/>
    <w:rsid w:val="00A15D9B"/>
    <w:rsid w:val="00A16844"/>
    <w:rsid w:val="00A16E24"/>
    <w:rsid w:val="00A17328"/>
    <w:rsid w:val="00A17741"/>
    <w:rsid w:val="00A17A3A"/>
    <w:rsid w:val="00A17ACA"/>
    <w:rsid w:val="00A17B13"/>
    <w:rsid w:val="00A208D5"/>
    <w:rsid w:val="00A20B6F"/>
    <w:rsid w:val="00A20B83"/>
    <w:rsid w:val="00A21028"/>
    <w:rsid w:val="00A21C98"/>
    <w:rsid w:val="00A21E02"/>
    <w:rsid w:val="00A22036"/>
    <w:rsid w:val="00A22247"/>
    <w:rsid w:val="00A2257A"/>
    <w:rsid w:val="00A22D11"/>
    <w:rsid w:val="00A22D23"/>
    <w:rsid w:val="00A23341"/>
    <w:rsid w:val="00A2363D"/>
    <w:rsid w:val="00A23733"/>
    <w:rsid w:val="00A23A20"/>
    <w:rsid w:val="00A23C93"/>
    <w:rsid w:val="00A23D2C"/>
    <w:rsid w:val="00A23F5E"/>
    <w:rsid w:val="00A2438E"/>
    <w:rsid w:val="00A24443"/>
    <w:rsid w:val="00A249EA"/>
    <w:rsid w:val="00A24C17"/>
    <w:rsid w:val="00A24DD9"/>
    <w:rsid w:val="00A25040"/>
    <w:rsid w:val="00A25438"/>
    <w:rsid w:val="00A25A68"/>
    <w:rsid w:val="00A25A98"/>
    <w:rsid w:val="00A26811"/>
    <w:rsid w:val="00A268B9"/>
    <w:rsid w:val="00A26AAD"/>
    <w:rsid w:val="00A26B6F"/>
    <w:rsid w:val="00A2703A"/>
    <w:rsid w:val="00A274F4"/>
    <w:rsid w:val="00A2775B"/>
    <w:rsid w:val="00A27942"/>
    <w:rsid w:val="00A27B62"/>
    <w:rsid w:val="00A27B6F"/>
    <w:rsid w:val="00A27CCE"/>
    <w:rsid w:val="00A27D76"/>
    <w:rsid w:val="00A27F52"/>
    <w:rsid w:val="00A27F89"/>
    <w:rsid w:val="00A30037"/>
    <w:rsid w:val="00A30A09"/>
    <w:rsid w:val="00A30AE9"/>
    <w:rsid w:val="00A30B6B"/>
    <w:rsid w:val="00A31319"/>
    <w:rsid w:val="00A314BD"/>
    <w:rsid w:val="00A31637"/>
    <w:rsid w:val="00A317AF"/>
    <w:rsid w:val="00A3198D"/>
    <w:rsid w:val="00A319CF"/>
    <w:rsid w:val="00A31A34"/>
    <w:rsid w:val="00A31BF8"/>
    <w:rsid w:val="00A31D17"/>
    <w:rsid w:val="00A31EFF"/>
    <w:rsid w:val="00A32792"/>
    <w:rsid w:val="00A32981"/>
    <w:rsid w:val="00A32E2C"/>
    <w:rsid w:val="00A331F5"/>
    <w:rsid w:val="00A3375D"/>
    <w:rsid w:val="00A33DFF"/>
    <w:rsid w:val="00A33E6E"/>
    <w:rsid w:val="00A344FE"/>
    <w:rsid w:val="00A349B6"/>
    <w:rsid w:val="00A34D43"/>
    <w:rsid w:val="00A35115"/>
    <w:rsid w:val="00A35287"/>
    <w:rsid w:val="00A35295"/>
    <w:rsid w:val="00A355EA"/>
    <w:rsid w:val="00A3575D"/>
    <w:rsid w:val="00A35B3E"/>
    <w:rsid w:val="00A35C1E"/>
    <w:rsid w:val="00A35DB4"/>
    <w:rsid w:val="00A35EF0"/>
    <w:rsid w:val="00A3655D"/>
    <w:rsid w:val="00A36881"/>
    <w:rsid w:val="00A36D9A"/>
    <w:rsid w:val="00A36E29"/>
    <w:rsid w:val="00A36F65"/>
    <w:rsid w:val="00A372D7"/>
    <w:rsid w:val="00A374AA"/>
    <w:rsid w:val="00A37928"/>
    <w:rsid w:val="00A37A9B"/>
    <w:rsid w:val="00A37DC7"/>
    <w:rsid w:val="00A37F18"/>
    <w:rsid w:val="00A37FA9"/>
    <w:rsid w:val="00A402D4"/>
    <w:rsid w:val="00A404F5"/>
    <w:rsid w:val="00A40697"/>
    <w:rsid w:val="00A40CF0"/>
    <w:rsid w:val="00A41631"/>
    <w:rsid w:val="00A41AED"/>
    <w:rsid w:val="00A41CF4"/>
    <w:rsid w:val="00A422C5"/>
    <w:rsid w:val="00A42434"/>
    <w:rsid w:val="00A425EC"/>
    <w:rsid w:val="00A42737"/>
    <w:rsid w:val="00A42C29"/>
    <w:rsid w:val="00A42DDC"/>
    <w:rsid w:val="00A42E87"/>
    <w:rsid w:val="00A4316E"/>
    <w:rsid w:val="00A43FDA"/>
    <w:rsid w:val="00A444AC"/>
    <w:rsid w:val="00A44A4E"/>
    <w:rsid w:val="00A45FD5"/>
    <w:rsid w:val="00A461E7"/>
    <w:rsid w:val="00A46234"/>
    <w:rsid w:val="00A462ED"/>
    <w:rsid w:val="00A463A1"/>
    <w:rsid w:val="00A46679"/>
    <w:rsid w:val="00A46BA3"/>
    <w:rsid w:val="00A46CFF"/>
    <w:rsid w:val="00A473E6"/>
    <w:rsid w:val="00A474ED"/>
    <w:rsid w:val="00A47856"/>
    <w:rsid w:val="00A47ED8"/>
    <w:rsid w:val="00A5002C"/>
    <w:rsid w:val="00A504FE"/>
    <w:rsid w:val="00A50BA7"/>
    <w:rsid w:val="00A52241"/>
    <w:rsid w:val="00A52361"/>
    <w:rsid w:val="00A52476"/>
    <w:rsid w:val="00A528BD"/>
    <w:rsid w:val="00A528E8"/>
    <w:rsid w:val="00A5291C"/>
    <w:rsid w:val="00A53F02"/>
    <w:rsid w:val="00A548FB"/>
    <w:rsid w:val="00A549A3"/>
    <w:rsid w:val="00A554AB"/>
    <w:rsid w:val="00A55847"/>
    <w:rsid w:val="00A559D0"/>
    <w:rsid w:val="00A56662"/>
    <w:rsid w:val="00A569B1"/>
    <w:rsid w:val="00A56D52"/>
    <w:rsid w:val="00A57062"/>
    <w:rsid w:val="00A5711F"/>
    <w:rsid w:val="00A573FC"/>
    <w:rsid w:val="00A574CB"/>
    <w:rsid w:val="00A57970"/>
    <w:rsid w:val="00A57D58"/>
    <w:rsid w:val="00A600A0"/>
    <w:rsid w:val="00A605DE"/>
    <w:rsid w:val="00A607DB"/>
    <w:rsid w:val="00A60A06"/>
    <w:rsid w:val="00A60B3D"/>
    <w:rsid w:val="00A60B9F"/>
    <w:rsid w:val="00A6112D"/>
    <w:rsid w:val="00A61148"/>
    <w:rsid w:val="00A61284"/>
    <w:rsid w:val="00A615A5"/>
    <w:rsid w:val="00A61B98"/>
    <w:rsid w:val="00A61EF3"/>
    <w:rsid w:val="00A61F3B"/>
    <w:rsid w:val="00A620F5"/>
    <w:rsid w:val="00A6273E"/>
    <w:rsid w:val="00A62A8A"/>
    <w:rsid w:val="00A62CEA"/>
    <w:rsid w:val="00A630CC"/>
    <w:rsid w:val="00A63C18"/>
    <w:rsid w:val="00A63DDF"/>
    <w:rsid w:val="00A6455A"/>
    <w:rsid w:val="00A64AFA"/>
    <w:rsid w:val="00A651BD"/>
    <w:rsid w:val="00A65570"/>
    <w:rsid w:val="00A656A4"/>
    <w:rsid w:val="00A65F18"/>
    <w:rsid w:val="00A66082"/>
    <w:rsid w:val="00A6655C"/>
    <w:rsid w:val="00A66DC1"/>
    <w:rsid w:val="00A67181"/>
    <w:rsid w:val="00A673C5"/>
    <w:rsid w:val="00A675C7"/>
    <w:rsid w:val="00A67781"/>
    <w:rsid w:val="00A67899"/>
    <w:rsid w:val="00A67ABD"/>
    <w:rsid w:val="00A67AD3"/>
    <w:rsid w:val="00A67B4C"/>
    <w:rsid w:val="00A67FAD"/>
    <w:rsid w:val="00A702B4"/>
    <w:rsid w:val="00A70506"/>
    <w:rsid w:val="00A7058D"/>
    <w:rsid w:val="00A7071E"/>
    <w:rsid w:val="00A70796"/>
    <w:rsid w:val="00A70BF4"/>
    <w:rsid w:val="00A70E41"/>
    <w:rsid w:val="00A70E7D"/>
    <w:rsid w:val="00A70F67"/>
    <w:rsid w:val="00A714AC"/>
    <w:rsid w:val="00A71600"/>
    <w:rsid w:val="00A71642"/>
    <w:rsid w:val="00A71684"/>
    <w:rsid w:val="00A71DD9"/>
    <w:rsid w:val="00A71E43"/>
    <w:rsid w:val="00A72174"/>
    <w:rsid w:val="00A72A50"/>
    <w:rsid w:val="00A72C05"/>
    <w:rsid w:val="00A72C8A"/>
    <w:rsid w:val="00A73226"/>
    <w:rsid w:val="00A73499"/>
    <w:rsid w:val="00A7372A"/>
    <w:rsid w:val="00A73E76"/>
    <w:rsid w:val="00A740CA"/>
    <w:rsid w:val="00A745E3"/>
    <w:rsid w:val="00A749C2"/>
    <w:rsid w:val="00A749E1"/>
    <w:rsid w:val="00A74CAA"/>
    <w:rsid w:val="00A74DFA"/>
    <w:rsid w:val="00A752B8"/>
    <w:rsid w:val="00A752E2"/>
    <w:rsid w:val="00A753E1"/>
    <w:rsid w:val="00A75677"/>
    <w:rsid w:val="00A7567C"/>
    <w:rsid w:val="00A758E7"/>
    <w:rsid w:val="00A75C58"/>
    <w:rsid w:val="00A75EA1"/>
    <w:rsid w:val="00A76037"/>
    <w:rsid w:val="00A761F9"/>
    <w:rsid w:val="00A76303"/>
    <w:rsid w:val="00A76490"/>
    <w:rsid w:val="00A7703C"/>
    <w:rsid w:val="00A770CA"/>
    <w:rsid w:val="00A77A2C"/>
    <w:rsid w:val="00A77AF0"/>
    <w:rsid w:val="00A805A1"/>
    <w:rsid w:val="00A80808"/>
    <w:rsid w:val="00A80E2E"/>
    <w:rsid w:val="00A81178"/>
    <w:rsid w:val="00A8200A"/>
    <w:rsid w:val="00A82563"/>
    <w:rsid w:val="00A826E7"/>
    <w:rsid w:val="00A82B52"/>
    <w:rsid w:val="00A82DD3"/>
    <w:rsid w:val="00A837C4"/>
    <w:rsid w:val="00A83B84"/>
    <w:rsid w:val="00A842B0"/>
    <w:rsid w:val="00A844A1"/>
    <w:rsid w:val="00A84B28"/>
    <w:rsid w:val="00A84BA8"/>
    <w:rsid w:val="00A85392"/>
    <w:rsid w:val="00A85964"/>
    <w:rsid w:val="00A85B86"/>
    <w:rsid w:val="00A85E0F"/>
    <w:rsid w:val="00A864FD"/>
    <w:rsid w:val="00A86E50"/>
    <w:rsid w:val="00A86F87"/>
    <w:rsid w:val="00A875DE"/>
    <w:rsid w:val="00A87993"/>
    <w:rsid w:val="00A87BF4"/>
    <w:rsid w:val="00A9032F"/>
    <w:rsid w:val="00A905D9"/>
    <w:rsid w:val="00A9072E"/>
    <w:rsid w:val="00A90783"/>
    <w:rsid w:val="00A9132D"/>
    <w:rsid w:val="00A9168B"/>
    <w:rsid w:val="00A91C04"/>
    <w:rsid w:val="00A91C90"/>
    <w:rsid w:val="00A92270"/>
    <w:rsid w:val="00A92B53"/>
    <w:rsid w:val="00A92C0C"/>
    <w:rsid w:val="00A92C9F"/>
    <w:rsid w:val="00A9316E"/>
    <w:rsid w:val="00A937B6"/>
    <w:rsid w:val="00A937CA"/>
    <w:rsid w:val="00A938AC"/>
    <w:rsid w:val="00A9420B"/>
    <w:rsid w:val="00A94767"/>
    <w:rsid w:val="00A94FA6"/>
    <w:rsid w:val="00A9530A"/>
    <w:rsid w:val="00A955F4"/>
    <w:rsid w:val="00A95659"/>
    <w:rsid w:val="00A95835"/>
    <w:rsid w:val="00A95B43"/>
    <w:rsid w:val="00A95EBC"/>
    <w:rsid w:val="00A960A1"/>
    <w:rsid w:val="00A962C8"/>
    <w:rsid w:val="00A9635E"/>
    <w:rsid w:val="00A964F2"/>
    <w:rsid w:val="00A969B2"/>
    <w:rsid w:val="00A969C1"/>
    <w:rsid w:val="00A96C7D"/>
    <w:rsid w:val="00A96EB2"/>
    <w:rsid w:val="00A975B5"/>
    <w:rsid w:val="00A975F6"/>
    <w:rsid w:val="00A975FC"/>
    <w:rsid w:val="00A97904"/>
    <w:rsid w:val="00AA0545"/>
    <w:rsid w:val="00AA063D"/>
    <w:rsid w:val="00AA0780"/>
    <w:rsid w:val="00AA0795"/>
    <w:rsid w:val="00AA133B"/>
    <w:rsid w:val="00AA2591"/>
    <w:rsid w:val="00AA2AE6"/>
    <w:rsid w:val="00AA2B67"/>
    <w:rsid w:val="00AA3A64"/>
    <w:rsid w:val="00AA3E3E"/>
    <w:rsid w:val="00AA401B"/>
    <w:rsid w:val="00AA4178"/>
    <w:rsid w:val="00AA430B"/>
    <w:rsid w:val="00AA4409"/>
    <w:rsid w:val="00AA4466"/>
    <w:rsid w:val="00AA47BB"/>
    <w:rsid w:val="00AA48AD"/>
    <w:rsid w:val="00AA49A0"/>
    <w:rsid w:val="00AA4F69"/>
    <w:rsid w:val="00AA5345"/>
    <w:rsid w:val="00AA5378"/>
    <w:rsid w:val="00AA550E"/>
    <w:rsid w:val="00AA59A1"/>
    <w:rsid w:val="00AA5C96"/>
    <w:rsid w:val="00AA5CF8"/>
    <w:rsid w:val="00AA6147"/>
    <w:rsid w:val="00AA6710"/>
    <w:rsid w:val="00AA695B"/>
    <w:rsid w:val="00AA7122"/>
    <w:rsid w:val="00AA7288"/>
    <w:rsid w:val="00AA73E7"/>
    <w:rsid w:val="00AA75C7"/>
    <w:rsid w:val="00AA7859"/>
    <w:rsid w:val="00AA7C35"/>
    <w:rsid w:val="00AB01D1"/>
    <w:rsid w:val="00AB01D3"/>
    <w:rsid w:val="00AB0681"/>
    <w:rsid w:val="00AB06A2"/>
    <w:rsid w:val="00AB0953"/>
    <w:rsid w:val="00AB0AA4"/>
    <w:rsid w:val="00AB10D5"/>
    <w:rsid w:val="00AB1296"/>
    <w:rsid w:val="00AB13B7"/>
    <w:rsid w:val="00AB1666"/>
    <w:rsid w:val="00AB1EAB"/>
    <w:rsid w:val="00AB210F"/>
    <w:rsid w:val="00AB224B"/>
    <w:rsid w:val="00AB22F7"/>
    <w:rsid w:val="00AB24E5"/>
    <w:rsid w:val="00AB25CB"/>
    <w:rsid w:val="00AB2750"/>
    <w:rsid w:val="00AB31AC"/>
    <w:rsid w:val="00AB3660"/>
    <w:rsid w:val="00AB3DF8"/>
    <w:rsid w:val="00AB4656"/>
    <w:rsid w:val="00AB46B5"/>
    <w:rsid w:val="00AB4FB5"/>
    <w:rsid w:val="00AB65B2"/>
    <w:rsid w:val="00AB6922"/>
    <w:rsid w:val="00AB6B81"/>
    <w:rsid w:val="00AB70A4"/>
    <w:rsid w:val="00AB78C5"/>
    <w:rsid w:val="00AB7988"/>
    <w:rsid w:val="00AC0016"/>
    <w:rsid w:val="00AC02F4"/>
    <w:rsid w:val="00AC036F"/>
    <w:rsid w:val="00AC0552"/>
    <w:rsid w:val="00AC0757"/>
    <w:rsid w:val="00AC0BB7"/>
    <w:rsid w:val="00AC0BD2"/>
    <w:rsid w:val="00AC1307"/>
    <w:rsid w:val="00AC1395"/>
    <w:rsid w:val="00AC1502"/>
    <w:rsid w:val="00AC21B6"/>
    <w:rsid w:val="00AC2325"/>
    <w:rsid w:val="00AC2450"/>
    <w:rsid w:val="00AC24B4"/>
    <w:rsid w:val="00AC263D"/>
    <w:rsid w:val="00AC27CE"/>
    <w:rsid w:val="00AC2C87"/>
    <w:rsid w:val="00AC2D66"/>
    <w:rsid w:val="00AC2DBC"/>
    <w:rsid w:val="00AC3060"/>
    <w:rsid w:val="00AC422A"/>
    <w:rsid w:val="00AC4768"/>
    <w:rsid w:val="00AC47D8"/>
    <w:rsid w:val="00AC4B93"/>
    <w:rsid w:val="00AC523C"/>
    <w:rsid w:val="00AC57A4"/>
    <w:rsid w:val="00AC5817"/>
    <w:rsid w:val="00AC5A4C"/>
    <w:rsid w:val="00AC5B54"/>
    <w:rsid w:val="00AC5B5D"/>
    <w:rsid w:val="00AC6419"/>
    <w:rsid w:val="00AC68E6"/>
    <w:rsid w:val="00AC6A8C"/>
    <w:rsid w:val="00AC6B87"/>
    <w:rsid w:val="00AC70FD"/>
    <w:rsid w:val="00AD04D1"/>
    <w:rsid w:val="00AD0520"/>
    <w:rsid w:val="00AD0BE4"/>
    <w:rsid w:val="00AD0C4F"/>
    <w:rsid w:val="00AD120D"/>
    <w:rsid w:val="00AD1A95"/>
    <w:rsid w:val="00AD22BA"/>
    <w:rsid w:val="00AD2619"/>
    <w:rsid w:val="00AD2DAC"/>
    <w:rsid w:val="00AD311F"/>
    <w:rsid w:val="00AD3347"/>
    <w:rsid w:val="00AD39D4"/>
    <w:rsid w:val="00AD41D9"/>
    <w:rsid w:val="00AD4239"/>
    <w:rsid w:val="00AD4835"/>
    <w:rsid w:val="00AD491B"/>
    <w:rsid w:val="00AD51D1"/>
    <w:rsid w:val="00AD520B"/>
    <w:rsid w:val="00AD5B45"/>
    <w:rsid w:val="00AD5C33"/>
    <w:rsid w:val="00AD62AC"/>
    <w:rsid w:val="00AD64FF"/>
    <w:rsid w:val="00AD6E0F"/>
    <w:rsid w:val="00AD7633"/>
    <w:rsid w:val="00AD7A0C"/>
    <w:rsid w:val="00AE0228"/>
    <w:rsid w:val="00AE02A1"/>
    <w:rsid w:val="00AE0301"/>
    <w:rsid w:val="00AE083E"/>
    <w:rsid w:val="00AE0A27"/>
    <w:rsid w:val="00AE0AC7"/>
    <w:rsid w:val="00AE0EA9"/>
    <w:rsid w:val="00AE139D"/>
    <w:rsid w:val="00AE2393"/>
    <w:rsid w:val="00AE2D6F"/>
    <w:rsid w:val="00AE2DDC"/>
    <w:rsid w:val="00AE322D"/>
    <w:rsid w:val="00AE3252"/>
    <w:rsid w:val="00AE37CC"/>
    <w:rsid w:val="00AE3BCC"/>
    <w:rsid w:val="00AE3C17"/>
    <w:rsid w:val="00AE3EC8"/>
    <w:rsid w:val="00AE4003"/>
    <w:rsid w:val="00AE412C"/>
    <w:rsid w:val="00AE4352"/>
    <w:rsid w:val="00AE4478"/>
    <w:rsid w:val="00AE4BC7"/>
    <w:rsid w:val="00AE4E70"/>
    <w:rsid w:val="00AE513B"/>
    <w:rsid w:val="00AE5176"/>
    <w:rsid w:val="00AE5706"/>
    <w:rsid w:val="00AE5DFC"/>
    <w:rsid w:val="00AE5F88"/>
    <w:rsid w:val="00AE6466"/>
    <w:rsid w:val="00AE6600"/>
    <w:rsid w:val="00AE69D7"/>
    <w:rsid w:val="00AE6F17"/>
    <w:rsid w:val="00AE73D9"/>
    <w:rsid w:val="00AE7714"/>
    <w:rsid w:val="00AE7A4A"/>
    <w:rsid w:val="00AF010A"/>
    <w:rsid w:val="00AF0127"/>
    <w:rsid w:val="00AF08BB"/>
    <w:rsid w:val="00AF0A49"/>
    <w:rsid w:val="00AF11DA"/>
    <w:rsid w:val="00AF18EA"/>
    <w:rsid w:val="00AF1908"/>
    <w:rsid w:val="00AF19D9"/>
    <w:rsid w:val="00AF21D0"/>
    <w:rsid w:val="00AF2E18"/>
    <w:rsid w:val="00AF34F9"/>
    <w:rsid w:val="00AF396B"/>
    <w:rsid w:val="00AF3E19"/>
    <w:rsid w:val="00AF3E35"/>
    <w:rsid w:val="00AF4624"/>
    <w:rsid w:val="00AF4A1F"/>
    <w:rsid w:val="00AF4C84"/>
    <w:rsid w:val="00AF5507"/>
    <w:rsid w:val="00AF59DE"/>
    <w:rsid w:val="00AF5A58"/>
    <w:rsid w:val="00AF6344"/>
    <w:rsid w:val="00AF6676"/>
    <w:rsid w:val="00AF6D48"/>
    <w:rsid w:val="00AF7159"/>
    <w:rsid w:val="00AF7932"/>
    <w:rsid w:val="00AF7DF1"/>
    <w:rsid w:val="00AF7E50"/>
    <w:rsid w:val="00AF7EFA"/>
    <w:rsid w:val="00AF7FC7"/>
    <w:rsid w:val="00B003DA"/>
    <w:rsid w:val="00B003E3"/>
    <w:rsid w:val="00B004E2"/>
    <w:rsid w:val="00B005C2"/>
    <w:rsid w:val="00B0075D"/>
    <w:rsid w:val="00B007F1"/>
    <w:rsid w:val="00B00E61"/>
    <w:rsid w:val="00B01660"/>
    <w:rsid w:val="00B01765"/>
    <w:rsid w:val="00B01944"/>
    <w:rsid w:val="00B01A7C"/>
    <w:rsid w:val="00B0204B"/>
    <w:rsid w:val="00B0247A"/>
    <w:rsid w:val="00B026EF"/>
    <w:rsid w:val="00B0306C"/>
    <w:rsid w:val="00B03095"/>
    <w:rsid w:val="00B03200"/>
    <w:rsid w:val="00B034C6"/>
    <w:rsid w:val="00B03583"/>
    <w:rsid w:val="00B0372A"/>
    <w:rsid w:val="00B04040"/>
    <w:rsid w:val="00B041A5"/>
    <w:rsid w:val="00B04614"/>
    <w:rsid w:val="00B0565E"/>
    <w:rsid w:val="00B057A0"/>
    <w:rsid w:val="00B0597C"/>
    <w:rsid w:val="00B0641F"/>
    <w:rsid w:val="00B06874"/>
    <w:rsid w:val="00B0724C"/>
    <w:rsid w:val="00B07C5D"/>
    <w:rsid w:val="00B07C68"/>
    <w:rsid w:val="00B07D01"/>
    <w:rsid w:val="00B102BC"/>
    <w:rsid w:val="00B106E3"/>
    <w:rsid w:val="00B10945"/>
    <w:rsid w:val="00B10BC0"/>
    <w:rsid w:val="00B11354"/>
    <w:rsid w:val="00B11362"/>
    <w:rsid w:val="00B113D1"/>
    <w:rsid w:val="00B11633"/>
    <w:rsid w:val="00B11758"/>
    <w:rsid w:val="00B118A3"/>
    <w:rsid w:val="00B1193A"/>
    <w:rsid w:val="00B132D3"/>
    <w:rsid w:val="00B1333F"/>
    <w:rsid w:val="00B1370B"/>
    <w:rsid w:val="00B13715"/>
    <w:rsid w:val="00B139CD"/>
    <w:rsid w:val="00B14043"/>
    <w:rsid w:val="00B14944"/>
    <w:rsid w:val="00B150F4"/>
    <w:rsid w:val="00B15AC2"/>
    <w:rsid w:val="00B15E36"/>
    <w:rsid w:val="00B15EE5"/>
    <w:rsid w:val="00B162F1"/>
    <w:rsid w:val="00B16506"/>
    <w:rsid w:val="00B16B4F"/>
    <w:rsid w:val="00B16DDE"/>
    <w:rsid w:val="00B1700C"/>
    <w:rsid w:val="00B171A8"/>
    <w:rsid w:val="00B17575"/>
    <w:rsid w:val="00B1766D"/>
    <w:rsid w:val="00B177CF"/>
    <w:rsid w:val="00B1799A"/>
    <w:rsid w:val="00B17A48"/>
    <w:rsid w:val="00B17AB7"/>
    <w:rsid w:val="00B17B29"/>
    <w:rsid w:val="00B17D56"/>
    <w:rsid w:val="00B17E59"/>
    <w:rsid w:val="00B17F40"/>
    <w:rsid w:val="00B202CC"/>
    <w:rsid w:val="00B20358"/>
    <w:rsid w:val="00B20CCF"/>
    <w:rsid w:val="00B20CE2"/>
    <w:rsid w:val="00B20F87"/>
    <w:rsid w:val="00B211CF"/>
    <w:rsid w:val="00B213BD"/>
    <w:rsid w:val="00B222FC"/>
    <w:rsid w:val="00B22682"/>
    <w:rsid w:val="00B2290E"/>
    <w:rsid w:val="00B22D4E"/>
    <w:rsid w:val="00B231CF"/>
    <w:rsid w:val="00B232B5"/>
    <w:rsid w:val="00B234D7"/>
    <w:rsid w:val="00B2358D"/>
    <w:rsid w:val="00B23FD3"/>
    <w:rsid w:val="00B248AE"/>
    <w:rsid w:val="00B2537C"/>
    <w:rsid w:val="00B255D1"/>
    <w:rsid w:val="00B25950"/>
    <w:rsid w:val="00B25DEC"/>
    <w:rsid w:val="00B261C9"/>
    <w:rsid w:val="00B2622E"/>
    <w:rsid w:val="00B26D35"/>
    <w:rsid w:val="00B26E17"/>
    <w:rsid w:val="00B270FD"/>
    <w:rsid w:val="00B271CA"/>
    <w:rsid w:val="00B27A69"/>
    <w:rsid w:val="00B303AB"/>
    <w:rsid w:val="00B30556"/>
    <w:rsid w:val="00B30902"/>
    <w:rsid w:val="00B30A83"/>
    <w:rsid w:val="00B3131B"/>
    <w:rsid w:val="00B315B8"/>
    <w:rsid w:val="00B315D8"/>
    <w:rsid w:val="00B31967"/>
    <w:rsid w:val="00B31E87"/>
    <w:rsid w:val="00B32570"/>
    <w:rsid w:val="00B32843"/>
    <w:rsid w:val="00B330FA"/>
    <w:rsid w:val="00B332A8"/>
    <w:rsid w:val="00B33313"/>
    <w:rsid w:val="00B3375F"/>
    <w:rsid w:val="00B338E1"/>
    <w:rsid w:val="00B33ADD"/>
    <w:rsid w:val="00B33DF2"/>
    <w:rsid w:val="00B345A8"/>
    <w:rsid w:val="00B34C7C"/>
    <w:rsid w:val="00B35597"/>
    <w:rsid w:val="00B3564B"/>
    <w:rsid w:val="00B35A46"/>
    <w:rsid w:val="00B35A68"/>
    <w:rsid w:val="00B361B1"/>
    <w:rsid w:val="00B36420"/>
    <w:rsid w:val="00B3710A"/>
    <w:rsid w:val="00B371C9"/>
    <w:rsid w:val="00B37234"/>
    <w:rsid w:val="00B37C80"/>
    <w:rsid w:val="00B37D08"/>
    <w:rsid w:val="00B37D87"/>
    <w:rsid w:val="00B37FEF"/>
    <w:rsid w:val="00B4001D"/>
    <w:rsid w:val="00B40CFC"/>
    <w:rsid w:val="00B40FB6"/>
    <w:rsid w:val="00B41138"/>
    <w:rsid w:val="00B412C4"/>
    <w:rsid w:val="00B4149A"/>
    <w:rsid w:val="00B414D6"/>
    <w:rsid w:val="00B41526"/>
    <w:rsid w:val="00B41850"/>
    <w:rsid w:val="00B41C7F"/>
    <w:rsid w:val="00B425C3"/>
    <w:rsid w:val="00B4279E"/>
    <w:rsid w:val="00B42908"/>
    <w:rsid w:val="00B42AD5"/>
    <w:rsid w:val="00B42E95"/>
    <w:rsid w:val="00B4332D"/>
    <w:rsid w:val="00B43918"/>
    <w:rsid w:val="00B43AFF"/>
    <w:rsid w:val="00B440AD"/>
    <w:rsid w:val="00B444D5"/>
    <w:rsid w:val="00B44A3A"/>
    <w:rsid w:val="00B44CB8"/>
    <w:rsid w:val="00B44D94"/>
    <w:rsid w:val="00B44F96"/>
    <w:rsid w:val="00B45536"/>
    <w:rsid w:val="00B45847"/>
    <w:rsid w:val="00B45C1F"/>
    <w:rsid w:val="00B46ADD"/>
    <w:rsid w:val="00B4732B"/>
    <w:rsid w:val="00B47768"/>
    <w:rsid w:val="00B479BB"/>
    <w:rsid w:val="00B5019E"/>
    <w:rsid w:val="00B509E2"/>
    <w:rsid w:val="00B50D65"/>
    <w:rsid w:val="00B50E5E"/>
    <w:rsid w:val="00B50F31"/>
    <w:rsid w:val="00B510CC"/>
    <w:rsid w:val="00B51307"/>
    <w:rsid w:val="00B514CD"/>
    <w:rsid w:val="00B516BF"/>
    <w:rsid w:val="00B51EB0"/>
    <w:rsid w:val="00B51FA5"/>
    <w:rsid w:val="00B52491"/>
    <w:rsid w:val="00B52859"/>
    <w:rsid w:val="00B52AEF"/>
    <w:rsid w:val="00B53123"/>
    <w:rsid w:val="00B53419"/>
    <w:rsid w:val="00B5361F"/>
    <w:rsid w:val="00B53740"/>
    <w:rsid w:val="00B538EB"/>
    <w:rsid w:val="00B53E7E"/>
    <w:rsid w:val="00B54B5F"/>
    <w:rsid w:val="00B54F89"/>
    <w:rsid w:val="00B550BE"/>
    <w:rsid w:val="00B5518B"/>
    <w:rsid w:val="00B55223"/>
    <w:rsid w:val="00B55250"/>
    <w:rsid w:val="00B556C3"/>
    <w:rsid w:val="00B5580D"/>
    <w:rsid w:val="00B559FD"/>
    <w:rsid w:val="00B55B43"/>
    <w:rsid w:val="00B55E9E"/>
    <w:rsid w:val="00B55FBC"/>
    <w:rsid w:val="00B56B66"/>
    <w:rsid w:val="00B57018"/>
    <w:rsid w:val="00B576FC"/>
    <w:rsid w:val="00B5790D"/>
    <w:rsid w:val="00B579FB"/>
    <w:rsid w:val="00B60064"/>
    <w:rsid w:val="00B606B4"/>
    <w:rsid w:val="00B60A1B"/>
    <w:rsid w:val="00B60A88"/>
    <w:rsid w:val="00B60BC9"/>
    <w:rsid w:val="00B6123C"/>
    <w:rsid w:val="00B6138A"/>
    <w:rsid w:val="00B61414"/>
    <w:rsid w:val="00B6157C"/>
    <w:rsid w:val="00B621F0"/>
    <w:rsid w:val="00B6223F"/>
    <w:rsid w:val="00B62829"/>
    <w:rsid w:val="00B62876"/>
    <w:rsid w:val="00B62E81"/>
    <w:rsid w:val="00B6342E"/>
    <w:rsid w:val="00B63768"/>
    <w:rsid w:val="00B6397C"/>
    <w:rsid w:val="00B63AB2"/>
    <w:rsid w:val="00B63E8F"/>
    <w:rsid w:val="00B6475C"/>
    <w:rsid w:val="00B6479D"/>
    <w:rsid w:val="00B64C95"/>
    <w:rsid w:val="00B64EC9"/>
    <w:rsid w:val="00B65E4E"/>
    <w:rsid w:val="00B6638E"/>
    <w:rsid w:val="00B66459"/>
    <w:rsid w:val="00B664C5"/>
    <w:rsid w:val="00B66D74"/>
    <w:rsid w:val="00B6736F"/>
    <w:rsid w:val="00B6792F"/>
    <w:rsid w:val="00B67AED"/>
    <w:rsid w:val="00B67C74"/>
    <w:rsid w:val="00B67EE0"/>
    <w:rsid w:val="00B70537"/>
    <w:rsid w:val="00B70826"/>
    <w:rsid w:val="00B7113F"/>
    <w:rsid w:val="00B7191B"/>
    <w:rsid w:val="00B71A69"/>
    <w:rsid w:val="00B71FF1"/>
    <w:rsid w:val="00B723F9"/>
    <w:rsid w:val="00B72566"/>
    <w:rsid w:val="00B7274D"/>
    <w:rsid w:val="00B7282F"/>
    <w:rsid w:val="00B72B48"/>
    <w:rsid w:val="00B734FD"/>
    <w:rsid w:val="00B73D4B"/>
    <w:rsid w:val="00B75305"/>
    <w:rsid w:val="00B7580B"/>
    <w:rsid w:val="00B758FC"/>
    <w:rsid w:val="00B75BBE"/>
    <w:rsid w:val="00B75D04"/>
    <w:rsid w:val="00B7619F"/>
    <w:rsid w:val="00B76F92"/>
    <w:rsid w:val="00B77BAE"/>
    <w:rsid w:val="00B804AB"/>
    <w:rsid w:val="00B804DD"/>
    <w:rsid w:val="00B80B96"/>
    <w:rsid w:val="00B81106"/>
    <w:rsid w:val="00B814BB"/>
    <w:rsid w:val="00B8171F"/>
    <w:rsid w:val="00B81B7B"/>
    <w:rsid w:val="00B81CAA"/>
    <w:rsid w:val="00B8212B"/>
    <w:rsid w:val="00B8256C"/>
    <w:rsid w:val="00B82F66"/>
    <w:rsid w:val="00B835C9"/>
    <w:rsid w:val="00B83B07"/>
    <w:rsid w:val="00B841A1"/>
    <w:rsid w:val="00B8421E"/>
    <w:rsid w:val="00B84B40"/>
    <w:rsid w:val="00B84C0D"/>
    <w:rsid w:val="00B84D4E"/>
    <w:rsid w:val="00B84DC9"/>
    <w:rsid w:val="00B853D5"/>
    <w:rsid w:val="00B85A4C"/>
    <w:rsid w:val="00B85DC6"/>
    <w:rsid w:val="00B85F10"/>
    <w:rsid w:val="00B861D3"/>
    <w:rsid w:val="00B86209"/>
    <w:rsid w:val="00B862E9"/>
    <w:rsid w:val="00B863BF"/>
    <w:rsid w:val="00B86890"/>
    <w:rsid w:val="00B86A31"/>
    <w:rsid w:val="00B86E3B"/>
    <w:rsid w:val="00B86FAC"/>
    <w:rsid w:val="00B8722F"/>
    <w:rsid w:val="00B87B77"/>
    <w:rsid w:val="00B87F9A"/>
    <w:rsid w:val="00B90289"/>
    <w:rsid w:val="00B9048C"/>
    <w:rsid w:val="00B90816"/>
    <w:rsid w:val="00B90B07"/>
    <w:rsid w:val="00B90BA7"/>
    <w:rsid w:val="00B90FF4"/>
    <w:rsid w:val="00B91870"/>
    <w:rsid w:val="00B91B5F"/>
    <w:rsid w:val="00B91C73"/>
    <w:rsid w:val="00B91D1C"/>
    <w:rsid w:val="00B926DD"/>
    <w:rsid w:val="00B9290B"/>
    <w:rsid w:val="00B92DA2"/>
    <w:rsid w:val="00B92EE8"/>
    <w:rsid w:val="00B9346A"/>
    <w:rsid w:val="00B937C3"/>
    <w:rsid w:val="00B93B84"/>
    <w:rsid w:val="00B93FC3"/>
    <w:rsid w:val="00B93FE2"/>
    <w:rsid w:val="00B94129"/>
    <w:rsid w:val="00B944EC"/>
    <w:rsid w:val="00B94527"/>
    <w:rsid w:val="00B946F2"/>
    <w:rsid w:val="00B94FF6"/>
    <w:rsid w:val="00B954C2"/>
    <w:rsid w:val="00B95709"/>
    <w:rsid w:val="00B959A4"/>
    <w:rsid w:val="00B95A5C"/>
    <w:rsid w:val="00B95E7E"/>
    <w:rsid w:val="00B96049"/>
    <w:rsid w:val="00B9695B"/>
    <w:rsid w:val="00B96D7C"/>
    <w:rsid w:val="00B96EC1"/>
    <w:rsid w:val="00B9756E"/>
    <w:rsid w:val="00B97828"/>
    <w:rsid w:val="00B97DAF"/>
    <w:rsid w:val="00BA01AF"/>
    <w:rsid w:val="00BA02FC"/>
    <w:rsid w:val="00BA044D"/>
    <w:rsid w:val="00BA0469"/>
    <w:rsid w:val="00BA089A"/>
    <w:rsid w:val="00BA0CA5"/>
    <w:rsid w:val="00BA2388"/>
    <w:rsid w:val="00BA2722"/>
    <w:rsid w:val="00BA2BCF"/>
    <w:rsid w:val="00BA2BF8"/>
    <w:rsid w:val="00BA328E"/>
    <w:rsid w:val="00BA38CA"/>
    <w:rsid w:val="00BA4138"/>
    <w:rsid w:val="00BA4397"/>
    <w:rsid w:val="00BA44F6"/>
    <w:rsid w:val="00BA4964"/>
    <w:rsid w:val="00BA4B24"/>
    <w:rsid w:val="00BA4BD3"/>
    <w:rsid w:val="00BA4C66"/>
    <w:rsid w:val="00BA55DB"/>
    <w:rsid w:val="00BA56A5"/>
    <w:rsid w:val="00BA581E"/>
    <w:rsid w:val="00BA5B14"/>
    <w:rsid w:val="00BA5ECD"/>
    <w:rsid w:val="00BA606F"/>
    <w:rsid w:val="00BA618C"/>
    <w:rsid w:val="00BA64B0"/>
    <w:rsid w:val="00BA6651"/>
    <w:rsid w:val="00BA6A6A"/>
    <w:rsid w:val="00BA6BDB"/>
    <w:rsid w:val="00BA721C"/>
    <w:rsid w:val="00BA73B6"/>
    <w:rsid w:val="00BA7937"/>
    <w:rsid w:val="00BA7ACE"/>
    <w:rsid w:val="00BA7B4D"/>
    <w:rsid w:val="00BA7E27"/>
    <w:rsid w:val="00BB0041"/>
    <w:rsid w:val="00BB05D2"/>
    <w:rsid w:val="00BB06BB"/>
    <w:rsid w:val="00BB0904"/>
    <w:rsid w:val="00BB10BD"/>
    <w:rsid w:val="00BB112C"/>
    <w:rsid w:val="00BB1346"/>
    <w:rsid w:val="00BB1704"/>
    <w:rsid w:val="00BB1757"/>
    <w:rsid w:val="00BB1A01"/>
    <w:rsid w:val="00BB1D2A"/>
    <w:rsid w:val="00BB1E31"/>
    <w:rsid w:val="00BB2101"/>
    <w:rsid w:val="00BB25F2"/>
    <w:rsid w:val="00BB2603"/>
    <w:rsid w:val="00BB2836"/>
    <w:rsid w:val="00BB28CA"/>
    <w:rsid w:val="00BB36CB"/>
    <w:rsid w:val="00BB3FAA"/>
    <w:rsid w:val="00BB45B9"/>
    <w:rsid w:val="00BB4872"/>
    <w:rsid w:val="00BB4EE7"/>
    <w:rsid w:val="00BB4FCD"/>
    <w:rsid w:val="00BB5347"/>
    <w:rsid w:val="00BB534B"/>
    <w:rsid w:val="00BB5784"/>
    <w:rsid w:val="00BB6016"/>
    <w:rsid w:val="00BB683E"/>
    <w:rsid w:val="00BB6DFB"/>
    <w:rsid w:val="00BB6F6F"/>
    <w:rsid w:val="00BB7AAB"/>
    <w:rsid w:val="00BB7E75"/>
    <w:rsid w:val="00BC04E9"/>
    <w:rsid w:val="00BC1255"/>
    <w:rsid w:val="00BC1752"/>
    <w:rsid w:val="00BC22F6"/>
    <w:rsid w:val="00BC25EA"/>
    <w:rsid w:val="00BC2CA6"/>
    <w:rsid w:val="00BC34BB"/>
    <w:rsid w:val="00BC3547"/>
    <w:rsid w:val="00BC38C1"/>
    <w:rsid w:val="00BC3901"/>
    <w:rsid w:val="00BC3C75"/>
    <w:rsid w:val="00BC41CD"/>
    <w:rsid w:val="00BC4886"/>
    <w:rsid w:val="00BC495C"/>
    <w:rsid w:val="00BC4AAA"/>
    <w:rsid w:val="00BC5080"/>
    <w:rsid w:val="00BC566B"/>
    <w:rsid w:val="00BC591E"/>
    <w:rsid w:val="00BC59E2"/>
    <w:rsid w:val="00BC5A29"/>
    <w:rsid w:val="00BC5AF9"/>
    <w:rsid w:val="00BC5CFD"/>
    <w:rsid w:val="00BC65CD"/>
    <w:rsid w:val="00BC7781"/>
    <w:rsid w:val="00BC79CF"/>
    <w:rsid w:val="00BD0197"/>
    <w:rsid w:val="00BD07DA"/>
    <w:rsid w:val="00BD0FA9"/>
    <w:rsid w:val="00BD136C"/>
    <w:rsid w:val="00BD13EA"/>
    <w:rsid w:val="00BD1749"/>
    <w:rsid w:val="00BD1DB4"/>
    <w:rsid w:val="00BD22CA"/>
    <w:rsid w:val="00BD2386"/>
    <w:rsid w:val="00BD245F"/>
    <w:rsid w:val="00BD2518"/>
    <w:rsid w:val="00BD29FF"/>
    <w:rsid w:val="00BD2D42"/>
    <w:rsid w:val="00BD39B9"/>
    <w:rsid w:val="00BD4002"/>
    <w:rsid w:val="00BD4428"/>
    <w:rsid w:val="00BD4ACD"/>
    <w:rsid w:val="00BD4E6F"/>
    <w:rsid w:val="00BD5785"/>
    <w:rsid w:val="00BD5A3E"/>
    <w:rsid w:val="00BD5AE9"/>
    <w:rsid w:val="00BD66BF"/>
    <w:rsid w:val="00BD72DA"/>
    <w:rsid w:val="00BD7490"/>
    <w:rsid w:val="00BD7A11"/>
    <w:rsid w:val="00BD7D32"/>
    <w:rsid w:val="00BE023A"/>
    <w:rsid w:val="00BE0726"/>
    <w:rsid w:val="00BE08F7"/>
    <w:rsid w:val="00BE0AD1"/>
    <w:rsid w:val="00BE0D31"/>
    <w:rsid w:val="00BE11FE"/>
    <w:rsid w:val="00BE12BC"/>
    <w:rsid w:val="00BE152B"/>
    <w:rsid w:val="00BE1784"/>
    <w:rsid w:val="00BE1A9B"/>
    <w:rsid w:val="00BE2802"/>
    <w:rsid w:val="00BE36A8"/>
    <w:rsid w:val="00BE3808"/>
    <w:rsid w:val="00BE3AA3"/>
    <w:rsid w:val="00BE3D92"/>
    <w:rsid w:val="00BE4858"/>
    <w:rsid w:val="00BE4D68"/>
    <w:rsid w:val="00BE52BC"/>
    <w:rsid w:val="00BE586B"/>
    <w:rsid w:val="00BE5F99"/>
    <w:rsid w:val="00BE6304"/>
    <w:rsid w:val="00BE6A37"/>
    <w:rsid w:val="00BE71E2"/>
    <w:rsid w:val="00BE773D"/>
    <w:rsid w:val="00BE776D"/>
    <w:rsid w:val="00BE7843"/>
    <w:rsid w:val="00BF008E"/>
    <w:rsid w:val="00BF0F02"/>
    <w:rsid w:val="00BF1483"/>
    <w:rsid w:val="00BF182A"/>
    <w:rsid w:val="00BF18E5"/>
    <w:rsid w:val="00BF1B03"/>
    <w:rsid w:val="00BF1DBF"/>
    <w:rsid w:val="00BF21A2"/>
    <w:rsid w:val="00BF223C"/>
    <w:rsid w:val="00BF2280"/>
    <w:rsid w:val="00BF28AA"/>
    <w:rsid w:val="00BF2A53"/>
    <w:rsid w:val="00BF2C7F"/>
    <w:rsid w:val="00BF2E48"/>
    <w:rsid w:val="00BF2F60"/>
    <w:rsid w:val="00BF2FE1"/>
    <w:rsid w:val="00BF3027"/>
    <w:rsid w:val="00BF32AD"/>
    <w:rsid w:val="00BF34F1"/>
    <w:rsid w:val="00BF3816"/>
    <w:rsid w:val="00BF4141"/>
    <w:rsid w:val="00BF481B"/>
    <w:rsid w:val="00BF4C95"/>
    <w:rsid w:val="00BF508A"/>
    <w:rsid w:val="00BF5570"/>
    <w:rsid w:val="00BF6165"/>
    <w:rsid w:val="00BF61C3"/>
    <w:rsid w:val="00BF6345"/>
    <w:rsid w:val="00BF75F5"/>
    <w:rsid w:val="00BF765D"/>
    <w:rsid w:val="00BF7BD7"/>
    <w:rsid w:val="00BF7D8E"/>
    <w:rsid w:val="00BF7FB3"/>
    <w:rsid w:val="00C00029"/>
    <w:rsid w:val="00C00271"/>
    <w:rsid w:val="00C00273"/>
    <w:rsid w:val="00C00441"/>
    <w:rsid w:val="00C009F3"/>
    <w:rsid w:val="00C00BF8"/>
    <w:rsid w:val="00C01086"/>
    <w:rsid w:val="00C010FC"/>
    <w:rsid w:val="00C013FF"/>
    <w:rsid w:val="00C0143B"/>
    <w:rsid w:val="00C014C8"/>
    <w:rsid w:val="00C01813"/>
    <w:rsid w:val="00C01DF2"/>
    <w:rsid w:val="00C01E29"/>
    <w:rsid w:val="00C01E9E"/>
    <w:rsid w:val="00C01F6C"/>
    <w:rsid w:val="00C0289C"/>
    <w:rsid w:val="00C03539"/>
    <w:rsid w:val="00C03732"/>
    <w:rsid w:val="00C0382B"/>
    <w:rsid w:val="00C03EEE"/>
    <w:rsid w:val="00C0402A"/>
    <w:rsid w:val="00C04486"/>
    <w:rsid w:val="00C04725"/>
    <w:rsid w:val="00C04A73"/>
    <w:rsid w:val="00C04ABB"/>
    <w:rsid w:val="00C04ACC"/>
    <w:rsid w:val="00C04EC0"/>
    <w:rsid w:val="00C04FE7"/>
    <w:rsid w:val="00C050F0"/>
    <w:rsid w:val="00C05154"/>
    <w:rsid w:val="00C05293"/>
    <w:rsid w:val="00C0534A"/>
    <w:rsid w:val="00C056ED"/>
    <w:rsid w:val="00C05F17"/>
    <w:rsid w:val="00C062E9"/>
    <w:rsid w:val="00C06474"/>
    <w:rsid w:val="00C06AE3"/>
    <w:rsid w:val="00C06E5C"/>
    <w:rsid w:val="00C076CD"/>
    <w:rsid w:val="00C07B64"/>
    <w:rsid w:val="00C07D79"/>
    <w:rsid w:val="00C07FA7"/>
    <w:rsid w:val="00C1079E"/>
    <w:rsid w:val="00C108DD"/>
    <w:rsid w:val="00C10D41"/>
    <w:rsid w:val="00C10DFF"/>
    <w:rsid w:val="00C112DF"/>
    <w:rsid w:val="00C1141F"/>
    <w:rsid w:val="00C11761"/>
    <w:rsid w:val="00C11787"/>
    <w:rsid w:val="00C11A52"/>
    <w:rsid w:val="00C11D79"/>
    <w:rsid w:val="00C11FA3"/>
    <w:rsid w:val="00C12101"/>
    <w:rsid w:val="00C128E5"/>
    <w:rsid w:val="00C12EAB"/>
    <w:rsid w:val="00C1323F"/>
    <w:rsid w:val="00C133EF"/>
    <w:rsid w:val="00C13705"/>
    <w:rsid w:val="00C13721"/>
    <w:rsid w:val="00C13D90"/>
    <w:rsid w:val="00C13E99"/>
    <w:rsid w:val="00C1442B"/>
    <w:rsid w:val="00C14ACA"/>
    <w:rsid w:val="00C14FE4"/>
    <w:rsid w:val="00C1583E"/>
    <w:rsid w:val="00C15AB0"/>
    <w:rsid w:val="00C15B14"/>
    <w:rsid w:val="00C15B99"/>
    <w:rsid w:val="00C15CBE"/>
    <w:rsid w:val="00C15DD6"/>
    <w:rsid w:val="00C16757"/>
    <w:rsid w:val="00C16A94"/>
    <w:rsid w:val="00C170EA"/>
    <w:rsid w:val="00C17611"/>
    <w:rsid w:val="00C176D2"/>
    <w:rsid w:val="00C20367"/>
    <w:rsid w:val="00C20EAB"/>
    <w:rsid w:val="00C20EE0"/>
    <w:rsid w:val="00C21850"/>
    <w:rsid w:val="00C218BE"/>
    <w:rsid w:val="00C21D4C"/>
    <w:rsid w:val="00C22167"/>
    <w:rsid w:val="00C22BE5"/>
    <w:rsid w:val="00C236E5"/>
    <w:rsid w:val="00C2399E"/>
    <w:rsid w:val="00C242DE"/>
    <w:rsid w:val="00C24591"/>
    <w:rsid w:val="00C24715"/>
    <w:rsid w:val="00C24AC9"/>
    <w:rsid w:val="00C24E22"/>
    <w:rsid w:val="00C25376"/>
    <w:rsid w:val="00C253D7"/>
    <w:rsid w:val="00C2576A"/>
    <w:rsid w:val="00C25C77"/>
    <w:rsid w:val="00C25C99"/>
    <w:rsid w:val="00C263E7"/>
    <w:rsid w:val="00C26422"/>
    <w:rsid w:val="00C2669C"/>
    <w:rsid w:val="00C26AF0"/>
    <w:rsid w:val="00C270D1"/>
    <w:rsid w:val="00C27B5D"/>
    <w:rsid w:val="00C27DAA"/>
    <w:rsid w:val="00C27F79"/>
    <w:rsid w:val="00C30212"/>
    <w:rsid w:val="00C3030E"/>
    <w:rsid w:val="00C304DF"/>
    <w:rsid w:val="00C3066D"/>
    <w:rsid w:val="00C309A7"/>
    <w:rsid w:val="00C30CAC"/>
    <w:rsid w:val="00C31206"/>
    <w:rsid w:val="00C312E1"/>
    <w:rsid w:val="00C3152F"/>
    <w:rsid w:val="00C315DE"/>
    <w:rsid w:val="00C31BB8"/>
    <w:rsid w:val="00C31C0D"/>
    <w:rsid w:val="00C322E4"/>
    <w:rsid w:val="00C32DBA"/>
    <w:rsid w:val="00C3300B"/>
    <w:rsid w:val="00C33226"/>
    <w:rsid w:val="00C33703"/>
    <w:rsid w:val="00C33CB7"/>
    <w:rsid w:val="00C33D49"/>
    <w:rsid w:val="00C34FC5"/>
    <w:rsid w:val="00C34FF7"/>
    <w:rsid w:val="00C352BD"/>
    <w:rsid w:val="00C35DB3"/>
    <w:rsid w:val="00C36522"/>
    <w:rsid w:val="00C36BA2"/>
    <w:rsid w:val="00C36BC0"/>
    <w:rsid w:val="00C36BF5"/>
    <w:rsid w:val="00C36CB4"/>
    <w:rsid w:val="00C36EDA"/>
    <w:rsid w:val="00C37961"/>
    <w:rsid w:val="00C37CD7"/>
    <w:rsid w:val="00C40828"/>
    <w:rsid w:val="00C40EBB"/>
    <w:rsid w:val="00C416CD"/>
    <w:rsid w:val="00C41D9B"/>
    <w:rsid w:val="00C41EDF"/>
    <w:rsid w:val="00C42057"/>
    <w:rsid w:val="00C423B1"/>
    <w:rsid w:val="00C42439"/>
    <w:rsid w:val="00C427F4"/>
    <w:rsid w:val="00C4285B"/>
    <w:rsid w:val="00C43025"/>
    <w:rsid w:val="00C43148"/>
    <w:rsid w:val="00C435B9"/>
    <w:rsid w:val="00C43A35"/>
    <w:rsid w:val="00C43B5B"/>
    <w:rsid w:val="00C43E78"/>
    <w:rsid w:val="00C443E6"/>
    <w:rsid w:val="00C44D59"/>
    <w:rsid w:val="00C44D9F"/>
    <w:rsid w:val="00C45887"/>
    <w:rsid w:val="00C45DA1"/>
    <w:rsid w:val="00C472FA"/>
    <w:rsid w:val="00C47B78"/>
    <w:rsid w:val="00C47FDA"/>
    <w:rsid w:val="00C501DD"/>
    <w:rsid w:val="00C502CD"/>
    <w:rsid w:val="00C5033B"/>
    <w:rsid w:val="00C509B7"/>
    <w:rsid w:val="00C50EAC"/>
    <w:rsid w:val="00C51396"/>
    <w:rsid w:val="00C513D0"/>
    <w:rsid w:val="00C5142A"/>
    <w:rsid w:val="00C515D3"/>
    <w:rsid w:val="00C51B75"/>
    <w:rsid w:val="00C51D54"/>
    <w:rsid w:val="00C52085"/>
    <w:rsid w:val="00C52151"/>
    <w:rsid w:val="00C5229B"/>
    <w:rsid w:val="00C52416"/>
    <w:rsid w:val="00C524B4"/>
    <w:rsid w:val="00C52576"/>
    <w:rsid w:val="00C52BF1"/>
    <w:rsid w:val="00C5323C"/>
    <w:rsid w:val="00C541E9"/>
    <w:rsid w:val="00C543F4"/>
    <w:rsid w:val="00C543F9"/>
    <w:rsid w:val="00C5456D"/>
    <w:rsid w:val="00C546F1"/>
    <w:rsid w:val="00C54A81"/>
    <w:rsid w:val="00C551BD"/>
    <w:rsid w:val="00C55280"/>
    <w:rsid w:val="00C55320"/>
    <w:rsid w:val="00C56AC8"/>
    <w:rsid w:val="00C56EA0"/>
    <w:rsid w:val="00C5722C"/>
    <w:rsid w:val="00C572E4"/>
    <w:rsid w:val="00C577CD"/>
    <w:rsid w:val="00C578C5"/>
    <w:rsid w:val="00C57FD6"/>
    <w:rsid w:val="00C606E9"/>
    <w:rsid w:val="00C607E7"/>
    <w:rsid w:val="00C60BFE"/>
    <w:rsid w:val="00C610DB"/>
    <w:rsid w:val="00C61277"/>
    <w:rsid w:val="00C616BA"/>
    <w:rsid w:val="00C61774"/>
    <w:rsid w:val="00C61854"/>
    <w:rsid w:val="00C620EC"/>
    <w:rsid w:val="00C620F6"/>
    <w:rsid w:val="00C622D8"/>
    <w:rsid w:val="00C62761"/>
    <w:rsid w:val="00C6291C"/>
    <w:rsid w:val="00C62EEB"/>
    <w:rsid w:val="00C631A6"/>
    <w:rsid w:val="00C6339E"/>
    <w:rsid w:val="00C633C4"/>
    <w:rsid w:val="00C633CB"/>
    <w:rsid w:val="00C63AEB"/>
    <w:rsid w:val="00C63C77"/>
    <w:rsid w:val="00C64AD1"/>
    <w:rsid w:val="00C65077"/>
    <w:rsid w:val="00C65651"/>
    <w:rsid w:val="00C6596A"/>
    <w:rsid w:val="00C659D0"/>
    <w:rsid w:val="00C65C8C"/>
    <w:rsid w:val="00C664CD"/>
    <w:rsid w:val="00C666A6"/>
    <w:rsid w:val="00C6686B"/>
    <w:rsid w:val="00C66E8E"/>
    <w:rsid w:val="00C66FB4"/>
    <w:rsid w:val="00C676C3"/>
    <w:rsid w:val="00C67907"/>
    <w:rsid w:val="00C67BD1"/>
    <w:rsid w:val="00C67CE7"/>
    <w:rsid w:val="00C67DD9"/>
    <w:rsid w:val="00C70054"/>
    <w:rsid w:val="00C70227"/>
    <w:rsid w:val="00C7025B"/>
    <w:rsid w:val="00C703CF"/>
    <w:rsid w:val="00C706D0"/>
    <w:rsid w:val="00C70709"/>
    <w:rsid w:val="00C70933"/>
    <w:rsid w:val="00C70A2E"/>
    <w:rsid w:val="00C70F24"/>
    <w:rsid w:val="00C71660"/>
    <w:rsid w:val="00C7184C"/>
    <w:rsid w:val="00C71889"/>
    <w:rsid w:val="00C722AE"/>
    <w:rsid w:val="00C729B6"/>
    <w:rsid w:val="00C72CD3"/>
    <w:rsid w:val="00C72D91"/>
    <w:rsid w:val="00C72D98"/>
    <w:rsid w:val="00C7311E"/>
    <w:rsid w:val="00C731F2"/>
    <w:rsid w:val="00C7334C"/>
    <w:rsid w:val="00C736B7"/>
    <w:rsid w:val="00C738AF"/>
    <w:rsid w:val="00C738C7"/>
    <w:rsid w:val="00C73AEF"/>
    <w:rsid w:val="00C73DB0"/>
    <w:rsid w:val="00C73E2F"/>
    <w:rsid w:val="00C73FEA"/>
    <w:rsid w:val="00C7405D"/>
    <w:rsid w:val="00C740A2"/>
    <w:rsid w:val="00C74420"/>
    <w:rsid w:val="00C746E2"/>
    <w:rsid w:val="00C74C69"/>
    <w:rsid w:val="00C75056"/>
    <w:rsid w:val="00C75509"/>
    <w:rsid w:val="00C75AD1"/>
    <w:rsid w:val="00C75BFA"/>
    <w:rsid w:val="00C76379"/>
    <w:rsid w:val="00C76404"/>
    <w:rsid w:val="00C80196"/>
    <w:rsid w:val="00C8080D"/>
    <w:rsid w:val="00C8173F"/>
    <w:rsid w:val="00C817DE"/>
    <w:rsid w:val="00C81D4A"/>
    <w:rsid w:val="00C81F6A"/>
    <w:rsid w:val="00C8217D"/>
    <w:rsid w:val="00C821EE"/>
    <w:rsid w:val="00C8285D"/>
    <w:rsid w:val="00C82E7F"/>
    <w:rsid w:val="00C83369"/>
    <w:rsid w:val="00C83920"/>
    <w:rsid w:val="00C83B96"/>
    <w:rsid w:val="00C84910"/>
    <w:rsid w:val="00C849C7"/>
    <w:rsid w:val="00C84B2A"/>
    <w:rsid w:val="00C84E27"/>
    <w:rsid w:val="00C85041"/>
    <w:rsid w:val="00C85139"/>
    <w:rsid w:val="00C85342"/>
    <w:rsid w:val="00C853E5"/>
    <w:rsid w:val="00C854D0"/>
    <w:rsid w:val="00C85587"/>
    <w:rsid w:val="00C85618"/>
    <w:rsid w:val="00C8577A"/>
    <w:rsid w:val="00C858EC"/>
    <w:rsid w:val="00C85B9F"/>
    <w:rsid w:val="00C85EF4"/>
    <w:rsid w:val="00C86331"/>
    <w:rsid w:val="00C86347"/>
    <w:rsid w:val="00C864B2"/>
    <w:rsid w:val="00C86EE1"/>
    <w:rsid w:val="00C870D3"/>
    <w:rsid w:val="00C87169"/>
    <w:rsid w:val="00C87389"/>
    <w:rsid w:val="00C8762C"/>
    <w:rsid w:val="00C87BEB"/>
    <w:rsid w:val="00C90BD6"/>
    <w:rsid w:val="00C90C10"/>
    <w:rsid w:val="00C90C2B"/>
    <w:rsid w:val="00C90E28"/>
    <w:rsid w:val="00C90E71"/>
    <w:rsid w:val="00C90E84"/>
    <w:rsid w:val="00C91A93"/>
    <w:rsid w:val="00C92149"/>
    <w:rsid w:val="00C92830"/>
    <w:rsid w:val="00C92AF8"/>
    <w:rsid w:val="00C92B08"/>
    <w:rsid w:val="00C92E80"/>
    <w:rsid w:val="00C9346D"/>
    <w:rsid w:val="00C936E0"/>
    <w:rsid w:val="00C93D41"/>
    <w:rsid w:val="00C93FFD"/>
    <w:rsid w:val="00C94169"/>
    <w:rsid w:val="00C943BD"/>
    <w:rsid w:val="00C947AB"/>
    <w:rsid w:val="00C94D73"/>
    <w:rsid w:val="00C95647"/>
    <w:rsid w:val="00C95962"/>
    <w:rsid w:val="00C961B8"/>
    <w:rsid w:val="00C962B3"/>
    <w:rsid w:val="00C963C4"/>
    <w:rsid w:val="00C964AB"/>
    <w:rsid w:val="00C96BBE"/>
    <w:rsid w:val="00C96BD2"/>
    <w:rsid w:val="00C96CB3"/>
    <w:rsid w:val="00C972AD"/>
    <w:rsid w:val="00C9756F"/>
    <w:rsid w:val="00CA00F9"/>
    <w:rsid w:val="00CA050E"/>
    <w:rsid w:val="00CA0863"/>
    <w:rsid w:val="00CA0A04"/>
    <w:rsid w:val="00CA0ACC"/>
    <w:rsid w:val="00CA1120"/>
    <w:rsid w:val="00CA132F"/>
    <w:rsid w:val="00CA15D0"/>
    <w:rsid w:val="00CA16E2"/>
    <w:rsid w:val="00CA176C"/>
    <w:rsid w:val="00CA1848"/>
    <w:rsid w:val="00CA18D1"/>
    <w:rsid w:val="00CA19D6"/>
    <w:rsid w:val="00CA23C6"/>
    <w:rsid w:val="00CA2454"/>
    <w:rsid w:val="00CA2961"/>
    <w:rsid w:val="00CA2D26"/>
    <w:rsid w:val="00CA329E"/>
    <w:rsid w:val="00CA3429"/>
    <w:rsid w:val="00CA3BB5"/>
    <w:rsid w:val="00CA3BE0"/>
    <w:rsid w:val="00CA4053"/>
    <w:rsid w:val="00CA4647"/>
    <w:rsid w:val="00CA4A37"/>
    <w:rsid w:val="00CA50A6"/>
    <w:rsid w:val="00CA5429"/>
    <w:rsid w:val="00CA55C7"/>
    <w:rsid w:val="00CA5CA5"/>
    <w:rsid w:val="00CA661B"/>
    <w:rsid w:val="00CA6659"/>
    <w:rsid w:val="00CA6840"/>
    <w:rsid w:val="00CA6908"/>
    <w:rsid w:val="00CA6A60"/>
    <w:rsid w:val="00CA728B"/>
    <w:rsid w:val="00CA731C"/>
    <w:rsid w:val="00CA73C8"/>
    <w:rsid w:val="00CA7F1F"/>
    <w:rsid w:val="00CB03C3"/>
    <w:rsid w:val="00CB0530"/>
    <w:rsid w:val="00CB0985"/>
    <w:rsid w:val="00CB0B3B"/>
    <w:rsid w:val="00CB0DD7"/>
    <w:rsid w:val="00CB1141"/>
    <w:rsid w:val="00CB156B"/>
    <w:rsid w:val="00CB175C"/>
    <w:rsid w:val="00CB1DD8"/>
    <w:rsid w:val="00CB1ED7"/>
    <w:rsid w:val="00CB2B35"/>
    <w:rsid w:val="00CB2BA8"/>
    <w:rsid w:val="00CB3210"/>
    <w:rsid w:val="00CB37C9"/>
    <w:rsid w:val="00CB3959"/>
    <w:rsid w:val="00CB3999"/>
    <w:rsid w:val="00CB3AFD"/>
    <w:rsid w:val="00CB3BF2"/>
    <w:rsid w:val="00CB3C0D"/>
    <w:rsid w:val="00CB4017"/>
    <w:rsid w:val="00CB4554"/>
    <w:rsid w:val="00CB4917"/>
    <w:rsid w:val="00CB4AF4"/>
    <w:rsid w:val="00CB50D7"/>
    <w:rsid w:val="00CB5336"/>
    <w:rsid w:val="00CB543A"/>
    <w:rsid w:val="00CB54CB"/>
    <w:rsid w:val="00CB5736"/>
    <w:rsid w:val="00CB5AA3"/>
    <w:rsid w:val="00CB6027"/>
    <w:rsid w:val="00CB6246"/>
    <w:rsid w:val="00CB664D"/>
    <w:rsid w:val="00CB6680"/>
    <w:rsid w:val="00CB6A5B"/>
    <w:rsid w:val="00CB6AA7"/>
    <w:rsid w:val="00CB7177"/>
    <w:rsid w:val="00CB7206"/>
    <w:rsid w:val="00CB74F8"/>
    <w:rsid w:val="00CB755F"/>
    <w:rsid w:val="00CB784B"/>
    <w:rsid w:val="00CB7A1B"/>
    <w:rsid w:val="00CB7CED"/>
    <w:rsid w:val="00CB7E64"/>
    <w:rsid w:val="00CC0115"/>
    <w:rsid w:val="00CC0161"/>
    <w:rsid w:val="00CC033A"/>
    <w:rsid w:val="00CC0340"/>
    <w:rsid w:val="00CC039F"/>
    <w:rsid w:val="00CC0552"/>
    <w:rsid w:val="00CC057B"/>
    <w:rsid w:val="00CC070F"/>
    <w:rsid w:val="00CC146F"/>
    <w:rsid w:val="00CC1529"/>
    <w:rsid w:val="00CC1998"/>
    <w:rsid w:val="00CC2289"/>
    <w:rsid w:val="00CC2352"/>
    <w:rsid w:val="00CC270A"/>
    <w:rsid w:val="00CC29E4"/>
    <w:rsid w:val="00CC2C6F"/>
    <w:rsid w:val="00CC2DE6"/>
    <w:rsid w:val="00CC384A"/>
    <w:rsid w:val="00CC3862"/>
    <w:rsid w:val="00CC3961"/>
    <w:rsid w:val="00CC3BAF"/>
    <w:rsid w:val="00CC3D52"/>
    <w:rsid w:val="00CC41AC"/>
    <w:rsid w:val="00CC46F6"/>
    <w:rsid w:val="00CC47E1"/>
    <w:rsid w:val="00CC4946"/>
    <w:rsid w:val="00CC4AB7"/>
    <w:rsid w:val="00CC4B8E"/>
    <w:rsid w:val="00CC4C33"/>
    <w:rsid w:val="00CC4D6F"/>
    <w:rsid w:val="00CC51A7"/>
    <w:rsid w:val="00CC55A9"/>
    <w:rsid w:val="00CC55DB"/>
    <w:rsid w:val="00CC5670"/>
    <w:rsid w:val="00CC5876"/>
    <w:rsid w:val="00CC5DD8"/>
    <w:rsid w:val="00CC62DF"/>
    <w:rsid w:val="00CC64A1"/>
    <w:rsid w:val="00CC6CEC"/>
    <w:rsid w:val="00CC6DD3"/>
    <w:rsid w:val="00CC7319"/>
    <w:rsid w:val="00CC7C40"/>
    <w:rsid w:val="00CD0265"/>
    <w:rsid w:val="00CD02DF"/>
    <w:rsid w:val="00CD0B56"/>
    <w:rsid w:val="00CD13A8"/>
    <w:rsid w:val="00CD16DE"/>
    <w:rsid w:val="00CD1F64"/>
    <w:rsid w:val="00CD2114"/>
    <w:rsid w:val="00CD21AA"/>
    <w:rsid w:val="00CD29B7"/>
    <w:rsid w:val="00CD2AA1"/>
    <w:rsid w:val="00CD2E8C"/>
    <w:rsid w:val="00CD303F"/>
    <w:rsid w:val="00CD3118"/>
    <w:rsid w:val="00CD401C"/>
    <w:rsid w:val="00CD4100"/>
    <w:rsid w:val="00CD43FE"/>
    <w:rsid w:val="00CD4729"/>
    <w:rsid w:val="00CD4823"/>
    <w:rsid w:val="00CD48B3"/>
    <w:rsid w:val="00CD49C1"/>
    <w:rsid w:val="00CD49E3"/>
    <w:rsid w:val="00CD4A0E"/>
    <w:rsid w:val="00CD4C34"/>
    <w:rsid w:val="00CD4CDB"/>
    <w:rsid w:val="00CD5027"/>
    <w:rsid w:val="00CD5237"/>
    <w:rsid w:val="00CD5485"/>
    <w:rsid w:val="00CD566D"/>
    <w:rsid w:val="00CD5C6B"/>
    <w:rsid w:val="00CD621A"/>
    <w:rsid w:val="00CD6868"/>
    <w:rsid w:val="00CD7344"/>
    <w:rsid w:val="00CE0112"/>
    <w:rsid w:val="00CE04C6"/>
    <w:rsid w:val="00CE05D6"/>
    <w:rsid w:val="00CE0BA5"/>
    <w:rsid w:val="00CE0DF0"/>
    <w:rsid w:val="00CE1260"/>
    <w:rsid w:val="00CE130E"/>
    <w:rsid w:val="00CE14EF"/>
    <w:rsid w:val="00CE17A8"/>
    <w:rsid w:val="00CE1EAB"/>
    <w:rsid w:val="00CE2442"/>
    <w:rsid w:val="00CE2606"/>
    <w:rsid w:val="00CE2665"/>
    <w:rsid w:val="00CE274D"/>
    <w:rsid w:val="00CE2D29"/>
    <w:rsid w:val="00CE2DD4"/>
    <w:rsid w:val="00CE2E37"/>
    <w:rsid w:val="00CE2F28"/>
    <w:rsid w:val="00CE34A5"/>
    <w:rsid w:val="00CE3F3B"/>
    <w:rsid w:val="00CE4523"/>
    <w:rsid w:val="00CE4698"/>
    <w:rsid w:val="00CE4984"/>
    <w:rsid w:val="00CE4D67"/>
    <w:rsid w:val="00CE53CD"/>
    <w:rsid w:val="00CE5517"/>
    <w:rsid w:val="00CE580D"/>
    <w:rsid w:val="00CE5EA8"/>
    <w:rsid w:val="00CE61CC"/>
    <w:rsid w:val="00CE62E7"/>
    <w:rsid w:val="00CE63D7"/>
    <w:rsid w:val="00CE67C2"/>
    <w:rsid w:val="00CE68EC"/>
    <w:rsid w:val="00CE69B4"/>
    <w:rsid w:val="00CE6A4D"/>
    <w:rsid w:val="00CE6C5D"/>
    <w:rsid w:val="00CE6E0B"/>
    <w:rsid w:val="00CE700C"/>
    <w:rsid w:val="00CE746C"/>
    <w:rsid w:val="00CF08CD"/>
    <w:rsid w:val="00CF09BA"/>
    <w:rsid w:val="00CF0B60"/>
    <w:rsid w:val="00CF0CD6"/>
    <w:rsid w:val="00CF1332"/>
    <w:rsid w:val="00CF150E"/>
    <w:rsid w:val="00CF176E"/>
    <w:rsid w:val="00CF20BC"/>
    <w:rsid w:val="00CF24BB"/>
    <w:rsid w:val="00CF250C"/>
    <w:rsid w:val="00CF288A"/>
    <w:rsid w:val="00CF30EC"/>
    <w:rsid w:val="00CF3292"/>
    <w:rsid w:val="00CF3B11"/>
    <w:rsid w:val="00CF3C95"/>
    <w:rsid w:val="00CF3E13"/>
    <w:rsid w:val="00CF3E53"/>
    <w:rsid w:val="00CF408E"/>
    <w:rsid w:val="00CF4203"/>
    <w:rsid w:val="00CF429B"/>
    <w:rsid w:val="00CF4964"/>
    <w:rsid w:val="00CF49B3"/>
    <w:rsid w:val="00CF52C6"/>
    <w:rsid w:val="00CF5A69"/>
    <w:rsid w:val="00CF5C1F"/>
    <w:rsid w:val="00CF5E18"/>
    <w:rsid w:val="00CF60E0"/>
    <w:rsid w:val="00CF692D"/>
    <w:rsid w:val="00CF6C6F"/>
    <w:rsid w:val="00CF6CB0"/>
    <w:rsid w:val="00CF6D6A"/>
    <w:rsid w:val="00CF6E35"/>
    <w:rsid w:val="00CF7539"/>
    <w:rsid w:val="00CF757F"/>
    <w:rsid w:val="00CF7623"/>
    <w:rsid w:val="00CF7816"/>
    <w:rsid w:val="00CF7D72"/>
    <w:rsid w:val="00D0088A"/>
    <w:rsid w:val="00D00B20"/>
    <w:rsid w:val="00D00DEC"/>
    <w:rsid w:val="00D01000"/>
    <w:rsid w:val="00D011C4"/>
    <w:rsid w:val="00D01390"/>
    <w:rsid w:val="00D013B5"/>
    <w:rsid w:val="00D01553"/>
    <w:rsid w:val="00D016DF"/>
    <w:rsid w:val="00D01B48"/>
    <w:rsid w:val="00D02B76"/>
    <w:rsid w:val="00D02CAF"/>
    <w:rsid w:val="00D02CEE"/>
    <w:rsid w:val="00D02D14"/>
    <w:rsid w:val="00D031AA"/>
    <w:rsid w:val="00D03C48"/>
    <w:rsid w:val="00D03DFA"/>
    <w:rsid w:val="00D041ED"/>
    <w:rsid w:val="00D0421D"/>
    <w:rsid w:val="00D04791"/>
    <w:rsid w:val="00D04B63"/>
    <w:rsid w:val="00D04F8F"/>
    <w:rsid w:val="00D055A5"/>
    <w:rsid w:val="00D05711"/>
    <w:rsid w:val="00D05810"/>
    <w:rsid w:val="00D05910"/>
    <w:rsid w:val="00D05C1C"/>
    <w:rsid w:val="00D05E33"/>
    <w:rsid w:val="00D060A5"/>
    <w:rsid w:val="00D06218"/>
    <w:rsid w:val="00D0652E"/>
    <w:rsid w:val="00D06868"/>
    <w:rsid w:val="00D06E6D"/>
    <w:rsid w:val="00D07085"/>
    <w:rsid w:val="00D0737E"/>
    <w:rsid w:val="00D077CA"/>
    <w:rsid w:val="00D079EC"/>
    <w:rsid w:val="00D07C98"/>
    <w:rsid w:val="00D07FC2"/>
    <w:rsid w:val="00D10100"/>
    <w:rsid w:val="00D10347"/>
    <w:rsid w:val="00D106FC"/>
    <w:rsid w:val="00D10768"/>
    <w:rsid w:val="00D10B97"/>
    <w:rsid w:val="00D11114"/>
    <w:rsid w:val="00D111EA"/>
    <w:rsid w:val="00D11432"/>
    <w:rsid w:val="00D1147B"/>
    <w:rsid w:val="00D1182C"/>
    <w:rsid w:val="00D1184A"/>
    <w:rsid w:val="00D11985"/>
    <w:rsid w:val="00D11F60"/>
    <w:rsid w:val="00D12ED0"/>
    <w:rsid w:val="00D12F3C"/>
    <w:rsid w:val="00D13116"/>
    <w:rsid w:val="00D13672"/>
    <w:rsid w:val="00D13C9E"/>
    <w:rsid w:val="00D13E60"/>
    <w:rsid w:val="00D14237"/>
    <w:rsid w:val="00D142EB"/>
    <w:rsid w:val="00D144FC"/>
    <w:rsid w:val="00D14677"/>
    <w:rsid w:val="00D1492A"/>
    <w:rsid w:val="00D14C1F"/>
    <w:rsid w:val="00D1506F"/>
    <w:rsid w:val="00D150BB"/>
    <w:rsid w:val="00D15188"/>
    <w:rsid w:val="00D15247"/>
    <w:rsid w:val="00D15907"/>
    <w:rsid w:val="00D15B19"/>
    <w:rsid w:val="00D15B5F"/>
    <w:rsid w:val="00D1631F"/>
    <w:rsid w:val="00D164CF"/>
    <w:rsid w:val="00D1693A"/>
    <w:rsid w:val="00D16D27"/>
    <w:rsid w:val="00D17011"/>
    <w:rsid w:val="00D170B5"/>
    <w:rsid w:val="00D17392"/>
    <w:rsid w:val="00D17569"/>
    <w:rsid w:val="00D1772C"/>
    <w:rsid w:val="00D17837"/>
    <w:rsid w:val="00D1799A"/>
    <w:rsid w:val="00D17C00"/>
    <w:rsid w:val="00D200E6"/>
    <w:rsid w:val="00D201B0"/>
    <w:rsid w:val="00D20515"/>
    <w:rsid w:val="00D2071D"/>
    <w:rsid w:val="00D20C34"/>
    <w:rsid w:val="00D20CB3"/>
    <w:rsid w:val="00D20F26"/>
    <w:rsid w:val="00D21046"/>
    <w:rsid w:val="00D21695"/>
    <w:rsid w:val="00D227E9"/>
    <w:rsid w:val="00D22D7C"/>
    <w:rsid w:val="00D22F66"/>
    <w:rsid w:val="00D23563"/>
    <w:rsid w:val="00D236DA"/>
    <w:rsid w:val="00D23FB7"/>
    <w:rsid w:val="00D24501"/>
    <w:rsid w:val="00D24ACB"/>
    <w:rsid w:val="00D24C55"/>
    <w:rsid w:val="00D24EF8"/>
    <w:rsid w:val="00D25428"/>
    <w:rsid w:val="00D25492"/>
    <w:rsid w:val="00D25C10"/>
    <w:rsid w:val="00D25FD8"/>
    <w:rsid w:val="00D2601C"/>
    <w:rsid w:val="00D263FD"/>
    <w:rsid w:val="00D26732"/>
    <w:rsid w:val="00D26948"/>
    <w:rsid w:val="00D270A4"/>
    <w:rsid w:val="00D27480"/>
    <w:rsid w:val="00D2797D"/>
    <w:rsid w:val="00D27A6E"/>
    <w:rsid w:val="00D27C74"/>
    <w:rsid w:val="00D3005D"/>
    <w:rsid w:val="00D3063A"/>
    <w:rsid w:val="00D307F3"/>
    <w:rsid w:val="00D30F3C"/>
    <w:rsid w:val="00D312EF"/>
    <w:rsid w:val="00D3169E"/>
    <w:rsid w:val="00D319D3"/>
    <w:rsid w:val="00D31BE5"/>
    <w:rsid w:val="00D31C21"/>
    <w:rsid w:val="00D31FE9"/>
    <w:rsid w:val="00D32D8E"/>
    <w:rsid w:val="00D32F89"/>
    <w:rsid w:val="00D32FD5"/>
    <w:rsid w:val="00D33531"/>
    <w:rsid w:val="00D3353C"/>
    <w:rsid w:val="00D335AC"/>
    <w:rsid w:val="00D337C7"/>
    <w:rsid w:val="00D33D50"/>
    <w:rsid w:val="00D33E14"/>
    <w:rsid w:val="00D34345"/>
    <w:rsid w:val="00D344D1"/>
    <w:rsid w:val="00D34760"/>
    <w:rsid w:val="00D34881"/>
    <w:rsid w:val="00D34925"/>
    <w:rsid w:val="00D34BA1"/>
    <w:rsid w:val="00D34E1B"/>
    <w:rsid w:val="00D363D0"/>
    <w:rsid w:val="00D36887"/>
    <w:rsid w:val="00D373D9"/>
    <w:rsid w:val="00D375EA"/>
    <w:rsid w:val="00D376BA"/>
    <w:rsid w:val="00D37C51"/>
    <w:rsid w:val="00D4062B"/>
    <w:rsid w:val="00D4190B"/>
    <w:rsid w:val="00D41978"/>
    <w:rsid w:val="00D41C14"/>
    <w:rsid w:val="00D4206A"/>
    <w:rsid w:val="00D42259"/>
    <w:rsid w:val="00D425BD"/>
    <w:rsid w:val="00D427F8"/>
    <w:rsid w:val="00D428E5"/>
    <w:rsid w:val="00D42E74"/>
    <w:rsid w:val="00D43027"/>
    <w:rsid w:val="00D43386"/>
    <w:rsid w:val="00D43728"/>
    <w:rsid w:val="00D43868"/>
    <w:rsid w:val="00D43991"/>
    <w:rsid w:val="00D439E6"/>
    <w:rsid w:val="00D443FF"/>
    <w:rsid w:val="00D446A8"/>
    <w:rsid w:val="00D44C98"/>
    <w:rsid w:val="00D45385"/>
    <w:rsid w:val="00D45422"/>
    <w:rsid w:val="00D455C6"/>
    <w:rsid w:val="00D45634"/>
    <w:rsid w:val="00D461B0"/>
    <w:rsid w:val="00D4654F"/>
    <w:rsid w:val="00D47D95"/>
    <w:rsid w:val="00D50FE3"/>
    <w:rsid w:val="00D5124C"/>
    <w:rsid w:val="00D5229C"/>
    <w:rsid w:val="00D522D5"/>
    <w:rsid w:val="00D52571"/>
    <w:rsid w:val="00D526DB"/>
    <w:rsid w:val="00D52723"/>
    <w:rsid w:val="00D5276F"/>
    <w:rsid w:val="00D52BC6"/>
    <w:rsid w:val="00D52D68"/>
    <w:rsid w:val="00D52FF7"/>
    <w:rsid w:val="00D5459D"/>
    <w:rsid w:val="00D54723"/>
    <w:rsid w:val="00D54AEA"/>
    <w:rsid w:val="00D54C4B"/>
    <w:rsid w:val="00D54CF4"/>
    <w:rsid w:val="00D54D0D"/>
    <w:rsid w:val="00D55453"/>
    <w:rsid w:val="00D5568A"/>
    <w:rsid w:val="00D557F9"/>
    <w:rsid w:val="00D5642F"/>
    <w:rsid w:val="00D5651F"/>
    <w:rsid w:val="00D57340"/>
    <w:rsid w:val="00D57B3B"/>
    <w:rsid w:val="00D57EEF"/>
    <w:rsid w:val="00D60940"/>
    <w:rsid w:val="00D60C0A"/>
    <w:rsid w:val="00D60D90"/>
    <w:rsid w:val="00D61A21"/>
    <w:rsid w:val="00D62722"/>
    <w:rsid w:val="00D63277"/>
    <w:rsid w:val="00D63415"/>
    <w:rsid w:val="00D636D2"/>
    <w:rsid w:val="00D63D73"/>
    <w:rsid w:val="00D64452"/>
    <w:rsid w:val="00D64CCA"/>
    <w:rsid w:val="00D64E0D"/>
    <w:rsid w:val="00D65580"/>
    <w:rsid w:val="00D65B71"/>
    <w:rsid w:val="00D66E1E"/>
    <w:rsid w:val="00D67538"/>
    <w:rsid w:val="00D6758D"/>
    <w:rsid w:val="00D70503"/>
    <w:rsid w:val="00D70696"/>
    <w:rsid w:val="00D70728"/>
    <w:rsid w:val="00D715BD"/>
    <w:rsid w:val="00D717FF"/>
    <w:rsid w:val="00D71AEE"/>
    <w:rsid w:val="00D726DF"/>
    <w:rsid w:val="00D7274C"/>
    <w:rsid w:val="00D72F2F"/>
    <w:rsid w:val="00D73443"/>
    <w:rsid w:val="00D73787"/>
    <w:rsid w:val="00D74177"/>
    <w:rsid w:val="00D74498"/>
    <w:rsid w:val="00D7547D"/>
    <w:rsid w:val="00D75540"/>
    <w:rsid w:val="00D75722"/>
    <w:rsid w:val="00D75A61"/>
    <w:rsid w:val="00D75CA9"/>
    <w:rsid w:val="00D763FC"/>
    <w:rsid w:val="00D7687C"/>
    <w:rsid w:val="00D771D4"/>
    <w:rsid w:val="00D7721D"/>
    <w:rsid w:val="00D77742"/>
    <w:rsid w:val="00D77D3D"/>
    <w:rsid w:val="00D77FC1"/>
    <w:rsid w:val="00D803C5"/>
    <w:rsid w:val="00D80771"/>
    <w:rsid w:val="00D808D2"/>
    <w:rsid w:val="00D80A2A"/>
    <w:rsid w:val="00D80B05"/>
    <w:rsid w:val="00D80CF5"/>
    <w:rsid w:val="00D814A5"/>
    <w:rsid w:val="00D81E2E"/>
    <w:rsid w:val="00D82585"/>
    <w:rsid w:val="00D82B2B"/>
    <w:rsid w:val="00D83771"/>
    <w:rsid w:val="00D8382A"/>
    <w:rsid w:val="00D83A5C"/>
    <w:rsid w:val="00D84A3E"/>
    <w:rsid w:val="00D84BF8"/>
    <w:rsid w:val="00D85138"/>
    <w:rsid w:val="00D85162"/>
    <w:rsid w:val="00D854CA"/>
    <w:rsid w:val="00D85EFF"/>
    <w:rsid w:val="00D8633E"/>
    <w:rsid w:val="00D8643F"/>
    <w:rsid w:val="00D865B4"/>
    <w:rsid w:val="00D868FA"/>
    <w:rsid w:val="00D86C35"/>
    <w:rsid w:val="00D86D40"/>
    <w:rsid w:val="00D87891"/>
    <w:rsid w:val="00D87971"/>
    <w:rsid w:val="00D87E85"/>
    <w:rsid w:val="00D905F1"/>
    <w:rsid w:val="00D90D17"/>
    <w:rsid w:val="00D91506"/>
    <w:rsid w:val="00D91B0B"/>
    <w:rsid w:val="00D92465"/>
    <w:rsid w:val="00D926F7"/>
    <w:rsid w:val="00D928C8"/>
    <w:rsid w:val="00D92998"/>
    <w:rsid w:val="00D929FD"/>
    <w:rsid w:val="00D92A66"/>
    <w:rsid w:val="00D92C14"/>
    <w:rsid w:val="00D9305C"/>
    <w:rsid w:val="00D931FE"/>
    <w:rsid w:val="00D93633"/>
    <w:rsid w:val="00D93635"/>
    <w:rsid w:val="00D93EA9"/>
    <w:rsid w:val="00D94015"/>
    <w:rsid w:val="00D94B78"/>
    <w:rsid w:val="00D95494"/>
    <w:rsid w:val="00D95773"/>
    <w:rsid w:val="00D96580"/>
    <w:rsid w:val="00D96BB8"/>
    <w:rsid w:val="00D96BD1"/>
    <w:rsid w:val="00D970AB"/>
    <w:rsid w:val="00D97C30"/>
    <w:rsid w:val="00DA031C"/>
    <w:rsid w:val="00DA041B"/>
    <w:rsid w:val="00DA0DB7"/>
    <w:rsid w:val="00DA0EC9"/>
    <w:rsid w:val="00DA1265"/>
    <w:rsid w:val="00DA187E"/>
    <w:rsid w:val="00DA1A05"/>
    <w:rsid w:val="00DA1E2D"/>
    <w:rsid w:val="00DA1E3D"/>
    <w:rsid w:val="00DA23F4"/>
    <w:rsid w:val="00DA2AFB"/>
    <w:rsid w:val="00DA2D47"/>
    <w:rsid w:val="00DA2EA8"/>
    <w:rsid w:val="00DA30E6"/>
    <w:rsid w:val="00DA376E"/>
    <w:rsid w:val="00DA37FE"/>
    <w:rsid w:val="00DA3BB0"/>
    <w:rsid w:val="00DA3C31"/>
    <w:rsid w:val="00DA3EB4"/>
    <w:rsid w:val="00DA4218"/>
    <w:rsid w:val="00DA4330"/>
    <w:rsid w:val="00DA46EA"/>
    <w:rsid w:val="00DA4976"/>
    <w:rsid w:val="00DA4A6A"/>
    <w:rsid w:val="00DA5369"/>
    <w:rsid w:val="00DA5468"/>
    <w:rsid w:val="00DA5BBA"/>
    <w:rsid w:val="00DA6C80"/>
    <w:rsid w:val="00DA6E1F"/>
    <w:rsid w:val="00DA73A2"/>
    <w:rsid w:val="00DA785B"/>
    <w:rsid w:val="00DA7DF4"/>
    <w:rsid w:val="00DB0060"/>
    <w:rsid w:val="00DB0313"/>
    <w:rsid w:val="00DB0CB7"/>
    <w:rsid w:val="00DB0F09"/>
    <w:rsid w:val="00DB0FC8"/>
    <w:rsid w:val="00DB1724"/>
    <w:rsid w:val="00DB1AA3"/>
    <w:rsid w:val="00DB1DE9"/>
    <w:rsid w:val="00DB1F33"/>
    <w:rsid w:val="00DB219D"/>
    <w:rsid w:val="00DB225C"/>
    <w:rsid w:val="00DB22B1"/>
    <w:rsid w:val="00DB2475"/>
    <w:rsid w:val="00DB24BC"/>
    <w:rsid w:val="00DB26AA"/>
    <w:rsid w:val="00DB26D2"/>
    <w:rsid w:val="00DB279C"/>
    <w:rsid w:val="00DB295A"/>
    <w:rsid w:val="00DB2AE0"/>
    <w:rsid w:val="00DB2EE3"/>
    <w:rsid w:val="00DB2F6B"/>
    <w:rsid w:val="00DB3253"/>
    <w:rsid w:val="00DB341F"/>
    <w:rsid w:val="00DB3766"/>
    <w:rsid w:val="00DB37C8"/>
    <w:rsid w:val="00DB39CE"/>
    <w:rsid w:val="00DB3A54"/>
    <w:rsid w:val="00DB3ACB"/>
    <w:rsid w:val="00DB3E7A"/>
    <w:rsid w:val="00DB4002"/>
    <w:rsid w:val="00DB40BD"/>
    <w:rsid w:val="00DB4300"/>
    <w:rsid w:val="00DB4353"/>
    <w:rsid w:val="00DB4A70"/>
    <w:rsid w:val="00DB4C82"/>
    <w:rsid w:val="00DB4CFD"/>
    <w:rsid w:val="00DB50E6"/>
    <w:rsid w:val="00DB53A7"/>
    <w:rsid w:val="00DB55C2"/>
    <w:rsid w:val="00DB56F8"/>
    <w:rsid w:val="00DB67C9"/>
    <w:rsid w:val="00DB6CE5"/>
    <w:rsid w:val="00DB6EDC"/>
    <w:rsid w:val="00DB711A"/>
    <w:rsid w:val="00DB7652"/>
    <w:rsid w:val="00DB76F4"/>
    <w:rsid w:val="00DB7936"/>
    <w:rsid w:val="00DB7A60"/>
    <w:rsid w:val="00DB7AB6"/>
    <w:rsid w:val="00DB7FE8"/>
    <w:rsid w:val="00DC0C95"/>
    <w:rsid w:val="00DC0EEE"/>
    <w:rsid w:val="00DC1263"/>
    <w:rsid w:val="00DC1D6F"/>
    <w:rsid w:val="00DC293F"/>
    <w:rsid w:val="00DC391E"/>
    <w:rsid w:val="00DC3E13"/>
    <w:rsid w:val="00DC3F24"/>
    <w:rsid w:val="00DC41EA"/>
    <w:rsid w:val="00DC43CA"/>
    <w:rsid w:val="00DC470C"/>
    <w:rsid w:val="00DC471C"/>
    <w:rsid w:val="00DC482F"/>
    <w:rsid w:val="00DC4A6B"/>
    <w:rsid w:val="00DC4F87"/>
    <w:rsid w:val="00DC4FBF"/>
    <w:rsid w:val="00DC65DA"/>
    <w:rsid w:val="00DC6B22"/>
    <w:rsid w:val="00DC6D7B"/>
    <w:rsid w:val="00DC6F83"/>
    <w:rsid w:val="00DC7027"/>
    <w:rsid w:val="00DC70E9"/>
    <w:rsid w:val="00DC76E7"/>
    <w:rsid w:val="00DC7C3B"/>
    <w:rsid w:val="00DC7E95"/>
    <w:rsid w:val="00DD03DD"/>
    <w:rsid w:val="00DD0C9F"/>
    <w:rsid w:val="00DD1161"/>
    <w:rsid w:val="00DD1402"/>
    <w:rsid w:val="00DD1AEC"/>
    <w:rsid w:val="00DD1C12"/>
    <w:rsid w:val="00DD1DA0"/>
    <w:rsid w:val="00DD1F5F"/>
    <w:rsid w:val="00DD24D1"/>
    <w:rsid w:val="00DD25A7"/>
    <w:rsid w:val="00DD2743"/>
    <w:rsid w:val="00DD2C76"/>
    <w:rsid w:val="00DD2F44"/>
    <w:rsid w:val="00DD2F71"/>
    <w:rsid w:val="00DD3106"/>
    <w:rsid w:val="00DD335D"/>
    <w:rsid w:val="00DD3613"/>
    <w:rsid w:val="00DD376C"/>
    <w:rsid w:val="00DD38B8"/>
    <w:rsid w:val="00DD38D1"/>
    <w:rsid w:val="00DD3AA5"/>
    <w:rsid w:val="00DD4785"/>
    <w:rsid w:val="00DD50AA"/>
    <w:rsid w:val="00DD523A"/>
    <w:rsid w:val="00DD548D"/>
    <w:rsid w:val="00DD5B53"/>
    <w:rsid w:val="00DD5EFF"/>
    <w:rsid w:val="00DD5F53"/>
    <w:rsid w:val="00DD602C"/>
    <w:rsid w:val="00DD61B7"/>
    <w:rsid w:val="00DD6223"/>
    <w:rsid w:val="00DD6567"/>
    <w:rsid w:val="00DD6580"/>
    <w:rsid w:val="00DD687B"/>
    <w:rsid w:val="00DD692F"/>
    <w:rsid w:val="00DD6957"/>
    <w:rsid w:val="00DD6CFA"/>
    <w:rsid w:val="00DD782B"/>
    <w:rsid w:val="00DD7887"/>
    <w:rsid w:val="00DD78BE"/>
    <w:rsid w:val="00DE0308"/>
    <w:rsid w:val="00DE03D1"/>
    <w:rsid w:val="00DE0520"/>
    <w:rsid w:val="00DE05E9"/>
    <w:rsid w:val="00DE0CA4"/>
    <w:rsid w:val="00DE0E6A"/>
    <w:rsid w:val="00DE11C1"/>
    <w:rsid w:val="00DE14CC"/>
    <w:rsid w:val="00DE1632"/>
    <w:rsid w:val="00DE16DA"/>
    <w:rsid w:val="00DE1F6C"/>
    <w:rsid w:val="00DE2481"/>
    <w:rsid w:val="00DE24BA"/>
    <w:rsid w:val="00DE2698"/>
    <w:rsid w:val="00DE2736"/>
    <w:rsid w:val="00DE2956"/>
    <w:rsid w:val="00DE29E4"/>
    <w:rsid w:val="00DE2B26"/>
    <w:rsid w:val="00DE2B4E"/>
    <w:rsid w:val="00DE2E63"/>
    <w:rsid w:val="00DE2FB7"/>
    <w:rsid w:val="00DE310B"/>
    <w:rsid w:val="00DE34D2"/>
    <w:rsid w:val="00DE364D"/>
    <w:rsid w:val="00DE36E8"/>
    <w:rsid w:val="00DE3945"/>
    <w:rsid w:val="00DE39D4"/>
    <w:rsid w:val="00DE3B29"/>
    <w:rsid w:val="00DE3EA4"/>
    <w:rsid w:val="00DE41F3"/>
    <w:rsid w:val="00DE4639"/>
    <w:rsid w:val="00DE471B"/>
    <w:rsid w:val="00DE4A10"/>
    <w:rsid w:val="00DE4CE4"/>
    <w:rsid w:val="00DE5059"/>
    <w:rsid w:val="00DE5417"/>
    <w:rsid w:val="00DE5EF9"/>
    <w:rsid w:val="00DE61A4"/>
    <w:rsid w:val="00DE64CB"/>
    <w:rsid w:val="00DE66C9"/>
    <w:rsid w:val="00DE6895"/>
    <w:rsid w:val="00DE7190"/>
    <w:rsid w:val="00DE76FC"/>
    <w:rsid w:val="00DE7864"/>
    <w:rsid w:val="00DE7920"/>
    <w:rsid w:val="00DE79DC"/>
    <w:rsid w:val="00DE7F8F"/>
    <w:rsid w:val="00DF00DA"/>
    <w:rsid w:val="00DF025D"/>
    <w:rsid w:val="00DF04A4"/>
    <w:rsid w:val="00DF06BD"/>
    <w:rsid w:val="00DF0E8F"/>
    <w:rsid w:val="00DF14B9"/>
    <w:rsid w:val="00DF18A5"/>
    <w:rsid w:val="00DF1B90"/>
    <w:rsid w:val="00DF1D3A"/>
    <w:rsid w:val="00DF20AB"/>
    <w:rsid w:val="00DF22BF"/>
    <w:rsid w:val="00DF253E"/>
    <w:rsid w:val="00DF2613"/>
    <w:rsid w:val="00DF2DF9"/>
    <w:rsid w:val="00DF2F6D"/>
    <w:rsid w:val="00DF31BD"/>
    <w:rsid w:val="00DF374B"/>
    <w:rsid w:val="00DF3B3D"/>
    <w:rsid w:val="00DF3C19"/>
    <w:rsid w:val="00DF3CB5"/>
    <w:rsid w:val="00DF434A"/>
    <w:rsid w:val="00DF4700"/>
    <w:rsid w:val="00DF4D35"/>
    <w:rsid w:val="00DF5636"/>
    <w:rsid w:val="00DF5683"/>
    <w:rsid w:val="00DF61F6"/>
    <w:rsid w:val="00DF6242"/>
    <w:rsid w:val="00DF725F"/>
    <w:rsid w:val="00DF785E"/>
    <w:rsid w:val="00DF7A15"/>
    <w:rsid w:val="00E0018E"/>
    <w:rsid w:val="00E00579"/>
    <w:rsid w:val="00E007D6"/>
    <w:rsid w:val="00E00C34"/>
    <w:rsid w:val="00E01370"/>
    <w:rsid w:val="00E01512"/>
    <w:rsid w:val="00E01596"/>
    <w:rsid w:val="00E016B9"/>
    <w:rsid w:val="00E01AED"/>
    <w:rsid w:val="00E01D7F"/>
    <w:rsid w:val="00E01DF2"/>
    <w:rsid w:val="00E0209B"/>
    <w:rsid w:val="00E024C4"/>
    <w:rsid w:val="00E02514"/>
    <w:rsid w:val="00E027CB"/>
    <w:rsid w:val="00E02D5E"/>
    <w:rsid w:val="00E02F2D"/>
    <w:rsid w:val="00E02FED"/>
    <w:rsid w:val="00E034CB"/>
    <w:rsid w:val="00E03D41"/>
    <w:rsid w:val="00E04189"/>
    <w:rsid w:val="00E04267"/>
    <w:rsid w:val="00E04397"/>
    <w:rsid w:val="00E04534"/>
    <w:rsid w:val="00E04595"/>
    <w:rsid w:val="00E04976"/>
    <w:rsid w:val="00E051B0"/>
    <w:rsid w:val="00E056B4"/>
    <w:rsid w:val="00E05AC0"/>
    <w:rsid w:val="00E05B18"/>
    <w:rsid w:val="00E062E3"/>
    <w:rsid w:val="00E0655A"/>
    <w:rsid w:val="00E06912"/>
    <w:rsid w:val="00E06BE6"/>
    <w:rsid w:val="00E06CD5"/>
    <w:rsid w:val="00E06FA3"/>
    <w:rsid w:val="00E07140"/>
    <w:rsid w:val="00E07277"/>
    <w:rsid w:val="00E077A1"/>
    <w:rsid w:val="00E0796F"/>
    <w:rsid w:val="00E10669"/>
    <w:rsid w:val="00E10732"/>
    <w:rsid w:val="00E10BA4"/>
    <w:rsid w:val="00E10DB4"/>
    <w:rsid w:val="00E10FE3"/>
    <w:rsid w:val="00E1101C"/>
    <w:rsid w:val="00E111EB"/>
    <w:rsid w:val="00E11548"/>
    <w:rsid w:val="00E11588"/>
    <w:rsid w:val="00E11CC0"/>
    <w:rsid w:val="00E11CCE"/>
    <w:rsid w:val="00E12289"/>
    <w:rsid w:val="00E12708"/>
    <w:rsid w:val="00E12782"/>
    <w:rsid w:val="00E12891"/>
    <w:rsid w:val="00E12A1F"/>
    <w:rsid w:val="00E12AB1"/>
    <w:rsid w:val="00E12C5B"/>
    <w:rsid w:val="00E12EA6"/>
    <w:rsid w:val="00E130A9"/>
    <w:rsid w:val="00E13303"/>
    <w:rsid w:val="00E13775"/>
    <w:rsid w:val="00E139DE"/>
    <w:rsid w:val="00E13F57"/>
    <w:rsid w:val="00E14235"/>
    <w:rsid w:val="00E1436A"/>
    <w:rsid w:val="00E146F5"/>
    <w:rsid w:val="00E14965"/>
    <w:rsid w:val="00E149B8"/>
    <w:rsid w:val="00E14A99"/>
    <w:rsid w:val="00E15649"/>
    <w:rsid w:val="00E1592F"/>
    <w:rsid w:val="00E1598C"/>
    <w:rsid w:val="00E15A5B"/>
    <w:rsid w:val="00E15A5C"/>
    <w:rsid w:val="00E15D53"/>
    <w:rsid w:val="00E15FAB"/>
    <w:rsid w:val="00E16157"/>
    <w:rsid w:val="00E16D2F"/>
    <w:rsid w:val="00E179AA"/>
    <w:rsid w:val="00E17C72"/>
    <w:rsid w:val="00E17E97"/>
    <w:rsid w:val="00E17EDF"/>
    <w:rsid w:val="00E20043"/>
    <w:rsid w:val="00E2005B"/>
    <w:rsid w:val="00E20439"/>
    <w:rsid w:val="00E20553"/>
    <w:rsid w:val="00E20D46"/>
    <w:rsid w:val="00E20DE7"/>
    <w:rsid w:val="00E20E6D"/>
    <w:rsid w:val="00E2143F"/>
    <w:rsid w:val="00E2162B"/>
    <w:rsid w:val="00E2180D"/>
    <w:rsid w:val="00E219B5"/>
    <w:rsid w:val="00E21FC6"/>
    <w:rsid w:val="00E22259"/>
    <w:rsid w:val="00E2256C"/>
    <w:rsid w:val="00E22B17"/>
    <w:rsid w:val="00E23734"/>
    <w:rsid w:val="00E2463F"/>
    <w:rsid w:val="00E24A2A"/>
    <w:rsid w:val="00E254DC"/>
    <w:rsid w:val="00E25E5E"/>
    <w:rsid w:val="00E25FC6"/>
    <w:rsid w:val="00E260D6"/>
    <w:rsid w:val="00E261DF"/>
    <w:rsid w:val="00E262D4"/>
    <w:rsid w:val="00E26779"/>
    <w:rsid w:val="00E26EA4"/>
    <w:rsid w:val="00E2705B"/>
    <w:rsid w:val="00E2731A"/>
    <w:rsid w:val="00E27714"/>
    <w:rsid w:val="00E279F6"/>
    <w:rsid w:val="00E27DE6"/>
    <w:rsid w:val="00E30566"/>
    <w:rsid w:val="00E3087D"/>
    <w:rsid w:val="00E3094B"/>
    <w:rsid w:val="00E30B0F"/>
    <w:rsid w:val="00E30D7A"/>
    <w:rsid w:val="00E30DCC"/>
    <w:rsid w:val="00E31162"/>
    <w:rsid w:val="00E315F0"/>
    <w:rsid w:val="00E31888"/>
    <w:rsid w:val="00E320D5"/>
    <w:rsid w:val="00E3283E"/>
    <w:rsid w:val="00E32B9F"/>
    <w:rsid w:val="00E32C58"/>
    <w:rsid w:val="00E33008"/>
    <w:rsid w:val="00E33056"/>
    <w:rsid w:val="00E3326A"/>
    <w:rsid w:val="00E338AA"/>
    <w:rsid w:val="00E34570"/>
    <w:rsid w:val="00E3491B"/>
    <w:rsid w:val="00E34964"/>
    <w:rsid w:val="00E35139"/>
    <w:rsid w:val="00E35424"/>
    <w:rsid w:val="00E361DA"/>
    <w:rsid w:val="00E36226"/>
    <w:rsid w:val="00E36557"/>
    <w:rsid w:val="00E36718"/>
    <w:rsid w:val="00E36B4F"/>
    <w:rsid w:val="00E375FE"/>
    <w:rsid w:val="00E37600"/>
    <w:rsid w:val="00E37B78"/>
    <w:rsid w:val="00E37DA0"/>
    <w:rsid w:val="00E37EFD"/>
    <w:rsid w:val="00E402C3"/>
    <w:rsid w:val="00E40680"/>
    <w:rsid w:val="00E41714"/>
    <w:rsid w:val="00E41778"/>
    <w:rsid w:val="00E41B3B"/>
    <w:rsid w:val="00E41DF4"/>
    <w:rsid w:val="00E420D5"/>
    <w:rsid w:val="00E42177"/>
    <w:rsid w:val="00E42FA5"/>
    <w:rsid w:val="00E431A9"/>
    <w:rsid w:val="00E43990"/>
    <w:rsid w:val="00E444CA"/>
    <w:rsid w:val="00E451B0"/>
    <w:rsid w:val="00E45918"/>
    <w:rsid w:val="00E45A91"/>
    <w:rsid w:val="00E45C49"/>
    <w:rsid w:val="00E46416"/>
    <w:rsid w:val="00E46432"/>
    <w:rsid w:val="00E46817"/>
    <w:rsid w:val="00E46CCE"/>
    <w:rsid w:val="00E46E95"/>
    <w:rsid w:val="00E46EC7"/>
    <w:rsid w:val="00E46F2E"/>
    <w:rsid w:val="00E46FA9"/>
    <w:rsid w:val="00E47125"/>
    <w:rsid w:val="00E474F1"/>
    <w:rsid w:val="00E47693"/>
    <w:rsid w:val="00E47722"/>
    <w:rsid w:val="00E47B39"/>
    <w:rsid w:val="00E47BC0"/>
    <w:rsid w:val="00E47E3C"/>
    <w:rsid w:val="00E50089"/>
    <w:rsid w:val="00E50497"/>
    <w:rsid w:val="00E50BE6"/>
    <w:rsid w:val="00E5134D"/>
    <w:rsid w:val="00E51BED"/>
    <w:rsid w:val="00E51EDD"/>
    <w:rsid w:val="00E528EC"/>
    <w:rsid w:val="00E52BA1"/>
    <w:rsid w:val="00E52F8F"/>
    <w:rsid w:val="00E53029"/>
    <w:rsid w:val="00E53D70"/>
    <w:rsid w:val="00E53F06"/>
    <w:rsid w:val="00E53FCA"/>
    <w:rsid w:val="00E5448E"/>
    <w:rsid w:val="00E5468B"/>
    <w:rsid w:val="00E54DE1"/>
    <w:rsid w:val="00E556E5"/>
    <w:rsid w:val="00E558A4"/>
    <w:rsid w:val="00E5594B"/>
    <w:rsid w:val="00E55CCF"/>
    <w:rsid w:val="00E55E97"/>
    <w:rsid w:val="00E5678E"/>
    <w:rsid w:val="00E573A7"/>
    <w:rsid w:val="00E57758"/>
    <w:rsid w:val="00E57B2C"/>
    <w:rsid w:val="00E57BCB"/>
    <w:rsid w:val="00E57BE8"/>
    <w:rsid w:val="00E57C60"/>
    <w:rsid w:val="00E60019"/>
    <w:rsid w:val="00E60486"/>
    <w:rsid w:val="00E609FF"/>
    <w:rsid w:val="00E60C30"/>
    <w:rsid w:val="00E61170"/>
    <w:rsid w:val="00E613F3"/>
    <w:rsid w:val="00E615F2"/>
    <w:rsid w:val="00E61754"/>
    <w:rsid w:val="00E6191A"/>
    <w:rsid w:val="00E61BBA"/>
    <w:rsid w:val="00E62054"/>
    <w:rsid w:val="00E622F5"/>
    <w:rsid w:val="00E627D8"/>
    <w:rsid w:val="00E62878"/>
    <w:rsid w:val="00E63184"/>
    <w:rsid w:val="00E6338A"/>
    <w:rsid w:val="00E63493"/>
    <w:rsid w:val="00E63605"/>
    <w:rsid w:val="00E63715"/>
    <w:rsid w:val="00E63774"/>
    <w:rsid w:val="00E6385E"/>
    <w:rsid w:val="00E63BDD"/>
    <w:rsid w:val="00E63F3F"/>
    <w:rsid w:val="00E64459"/>
    <w:rsid w:val="00E6458E"/>
    <w:rsid w:val="00E64716"/>
    <w:rsid w:val="00E64880"/>
    <w:rsid w:val="00E64D2C"/>
    <w:rsid w:val="00E64D3A"/>
    <w:rsid w:val="00E65066"/>
    <w:rsid w:val="00E65631"/>
    <w:rsid w:val="00E65758"/>
    <w:rsid w:val="00E65884"/>
    <w:rsid w:val="00E65D3C"/>
    <w:rsid w:val="00E65E43"/>
    <w:rsid w:val="00E664BA"/>
    <w:rsid w:val="00E669E2"/>
    <w:rsid w:val="00E66C41"/>
    <w:rsid w:val="00E66CD0"/>
    <w:rsid w:val="00E66D76"/>
    <w:rsid w:val="00E66E52"/>
    <w:rsid w:val="00E66E66"/>
    <w:rsid w:val="00E67222"/>
    <w:rsid w:val="00E6728C"/>
    <w:rsid w:val="00E67290"/>
    <w:rsid w:val="00E6781D"/>
    <w:rsid w:val="00E67B38"/>
    <w:rsid w:val="00E67B3A"/>
    <w:rsid w:val="00E67D7D"/>
    <w:rsid w:val="00E67F77"/>
    <w:rsid w:val="00E70310"/>
    <w:rsid w:val="00E7078E"/>
    <w:rsid w:val="00E70BB5"/>
    <w:rsid w:val="00E70FFD"/>
    <w:rsid w:val="00E716CD"/>
    <w:rsid w:val="00E716D6"/>
    <w:rsid w:val="00E71A3D"/>
    <w:rsid w:val="00E7282D"/>
    <w:rsid w:val="00E73911"/>
    <w:rsid w:val="00E73AAA"/>
    <w:rsid w:val="00E73C87"/>
    <w:rsid w:val="00E74110"/>
    <w:rsid w:val="00E74298"/>
    <w:rsid w:val="00E742C2"/>
    <w:rsid w:val="00E7476C"/>
    <w:rsid w:val="00E75648"/>
    <w:rsid w:val="00E75823"/>
    <w:rsid w:val="00E7604D"/>
    <w:rsid w:val="00E76076"/>
    <w:rsid w:val="00E76135"/>
    <w:rsid w:val="00E76B0C"/>
    <w:rsid w:val="00E76D76"/>
    <w:rsid w:val="00E76F5C"/>
    <w:rsid w:val="00E76F84"/>
    <w:rsid w:val="00E8006F"/>
    <w:rsid w:val="00E8014A"/>
    <w:rsid w:val="00E80400"/>
    <w:rsid w:val="00E8059A"/>
    <w:rsid w:val="00E80ECE"/>
    <w:rsid w:val="00E80F4B"/>
    <w:rsid w:val="00E812D6"/>
    <w:rsid w:val="00E81869"/>
    <w:rsid w:val="00E81A68"/>
    <w:rsid w:val="00E81DCB"/>
    <w:rsid w:val="00E82910"/>
    <w:rsid w:val="00E82A82"/>
    <w:rsid w:val="00E82F4F"/>
    <w:rsid w:val="00E83061"/>
    <w:rsid w:val="00E83370"/>
    <w:rsid w:val="00E83982"/>
    <w:rsid w:val="00E83CDB"/>
    <w:rsid w:val="00E84427"/>
    <w:rsid w:val="00E8487A"/>
    <w:rsid w:val="00E84C2C"/>
    <w:rsid w:val="00E84F3B"/>
    <w:rsid w:val="00E851F9"/>
    <w:rsid w:val="00E85530"/>
    <w:rsid w:val="00E85B2E"/>
    <w:rsid w:val="00E85F3A"/>
    <w:rsid w:val="00E86173"/>
    <w:rsid w:val="00E86175"/>
    <w:rsid w:val="00E861E1"/>
    <w:rsid w:val="00E864DF"/>
    <w:rsid w:val="00E8666E"/>
    <w:rsid w:val="00E86840"/>
    <w:rsid w:val="00E86958"/>
    <w:rsid w:val="00E86F2B"/>
    <w:rsid w:val="00E873F1"/>
    <w:rsid w:val="00E87712"/>
    <w:rsid w:val="00E877B0"/>
    <w:rsid w:val="00E87D70"/>
    <w:rsid w:val="00E90D07"/>
    <w:rsid w:val="00E90F5F"/>
    <w:rsid w:val="00E91C53"/>
    <w:rsid w:val="00E91EB6"/>
    <w:rsid w:val="00E91FB6"/>
    <w:rsid w:val="00E92206"/>
    <w:rsid w:val="00E925A3"/>
    <w:rsid w:val="00E929AB"/>
    <w:rsid w:val="00E93074"/>
    <w:rsid w:val="00E9351C"/>
    <w:rsid w:val="00E93717"/>
    <w:rsid w:val="00E93837"/>
    <w:rsid w:val="00E93BB9"/>
    <w:rsid w:val="00E93F4C"/>
    <w:rsid w:val="00E93FC9"/>
    <w:rsid w:val="00E94755"/>
    <w:rsid w:val="00E9482F"/>
    <w:rsid w:val="00E94878"/>
    <w:rsid w:val="00E94B9B"/>
    <w:rsid w:val="00E94E7E"/>
    <w:rsid w:val="00E9536F"/>
    <w:rsid w:val="00E95447"/>
    <w:rsid w:val="00E9551A"/>
    <w:rsid w:val="00E956A1"/>
    <w:rsid w:val="00E95ECA"/>
    <w:rsid w:val="00E96031"/>
    <w:rsid w:val="00E96892"/>
    <w:rsid w:val="00E97639"/>
    <w:rsid w:val="00E97871"/>
    <w:rsid w:val="00E978EE"/>
    <w:rsid w:val="00E97B9C"/>
    <w:rsid w:val="00E97F06"/>
    <w:rsid w:val="00EA01E3"/>
    <w:rsid w:val="00EA04BB"/>
    <w:rsid w:val="00EA08D7"/>
    <w:rsid w:val="00EA09A6"/>
    <w:rsid w:val="00EA15EB"/>
    <w:rsid w:val="00EA1897"/>
    <w:rsid w:val="00EA1FF4"/>
    <w:rsid w:val="00EA2ABF"/>
    <w:rsid w:val="00EA2B05"/>
    <w:rsid w:val="00EA2CE6"/>
    <w:rsid w:val="00EA3B44"/>
    <w:rsid w:val="00EA3C8D"/>
    <w:rsid w:val="00EA3FF5"/>
    <w:rsid w:val="00EA4209"/>
    <w:rsid w:val="00EA454E"/>
    <w:rsid w:val="00EA4700"/>
    <w:rsid w:val="00EA4A88"/>
    <w:rsid w:val="00EA4C68"/>
    <w:rsid w:val="00EA5061"/>
    <w:rsid w:val="00EA51FF"/>
    <w:rsid w:val="00EA574F"/>
    <w:rsid w:val="00EA5B69"/>
    <w:rsid w:val="00EA611E"/>
    <w:rsid w:val="00EA65A3"/>
    <w:rsid w:val="00EA668E"/>
    <w:rsid w:val="00EA6D62"/>
    <w:rsid w:val="00EA7068"/>
    <w:rsid w:val="00EA7689"/>
    <w:rsid w:val="00EA79CF"/>
    <w:rsid w:val="00EA7C77"/>
    <w:rsid w:val="00EA7FCF"/>
    <w:rsid w:val="00EB025A"/>
    <w:rsid w:val="00EB034C"/>
    <w:rsid w:val="00EB038B"/>
    <w:rsid w:val="00EB0625"/>
    <w:rsid w:val="00EB0815"/>
    <w:rsid w:val="00EB096B"/>
    <w:rsid w:val="00EB0ECA"/>
    <w:rsid w:val="00EB1053"/>
    <w:rsid w:val="00EB1097"/>
    <w:rsid w:val="00EB192A"/>
    <w:rsid w:val="00EB1C2F"/>
    <w:rsid w:val="00EB21A9"/>
    <w:rsid w:val="00EB22B0"/>
    <w:rsid w:val="00EB2E37"/>
    <w:rsid w:val="00EB2E8A"/>
    <w:rsid w:val="00EB2EC0"/>
    <w:rsid w:val="00EB32D4"/>
    <w:rsid w:val="00EB3BC1"/>
    <w:rsid w:val="00EB3E78"/>
    <w:rsid w:val="00EB41C8"/>
    <w:rsid w:val="00EB444F"/>
    <w:rsid w:val="00EB44FF"/>
    <w:rsid w:val="00EB497D"/>
    <w:rsid w:val="00EB4ED2"/>
    <w:rsid w:val="00EB510F"/>
    <w:rsid w:val="00EB5507"/>
    <w:rsid w:val="00EB5B0B"/>
    <w:rsid w:val="00EB6217"/>
    <w:rsid w:val="00EB6225"/>
    <w:rsid w:val="00EB6914"/>
    <w:rsid w:val="00EB713F"/>
    <w:rsid w:val="00EB71F9"/>
    <w:rsid w:val="00EB734E"/>
    <w:rsid w:val="00EB745A"/>
    <w:rsid w:val="00EB799D"/>
    <w:rsid w:val="00EB7A17"/>
    <w:rsid w:val="00EC0004"/>
    <w:rsid w:val="00EC023E"/>
    <w:rsid w:val="00EC02FD"/>
    <w:rsid w:val="00EC05EA"/>
    <w:rsid w:val="00EC0A05"/>
    <w:rsid w:val="00EC0C95"/>
    <w:rsid w:val="00EC0D98"/>
    <w:rsid w:val="00EC0DE6"/>
    <w:rsid w:val="00EC10E5"/>
    <w:rsid w:val="00EC1643"/>
    <w:rsid w:val="00EC178C"/>
    <w:rsid w:val="00EC1A3D"/>
    <w:rsid w:val="00EC1B20"/>
    <w:rsid w:val="00EC1CA2"/>
    <w:rsid w:val="00EC24E6"/>
    <w:rsid w:val="00EC2844"/>
    <w:rsid w:val="00EC308D"/>
    <w:rsid w:val="00EC3850"/>
    <w:rsid w:val="00EC3D25"/>
    <w:rsid w:val="00EC44B6"/>
    <w:rsid w:val="00EC45D9"/>
    <w:rsid w:val="00EC49C7"/>
    <w:rsid w:val="00EC4BED"/>
    <w:rsid w:val="00EC4FEB"/>
    <w:rsid w:val="00EC5089"/>
    <w:rsid w:val="00EC510D"/>
    <w:rsid w:val="00EC54F9"/>
    <w:rsid w:val="00EC5500"/>
    <w:rsid w:val="00EC5CB2"/>
    <w:rsid w:val="00EC66FE"/>
    <w:rsid w:val="00EC6789"/>
    <w:rsid w:val="00EC68FF"/>
    <w:rsid w:val="00EC6A7A"/>
    <w:rsid w:val="00EC6C8E"/>
    <w:rsid w:val="00EC6D2E"/>
    <w:rsid w:val="00EC7F82"/>
    <w:rsid w:val="00EC7FFC"/>
    <w:rsid w:val="00ED0C4F"/>
    <w:rsid w:val="00ED0C9C"/>
    <w:rsid w:val="00ED0FA5"/>
    <w:rsid w:val="00ED1102"/>
    <w:rsid w:val="00ED112C"/>
    <w:rsid w:val="00ED1309"/>
    <w:rsid w:val="00ED1494"/>
    <w:rsid w:val="00ED17D6"/>
    <w:rsid w:val="00ED18F8"/>
    <w:rsid w:val="00ED1A98"/>
    <w:rsid w:val="00ED1E0B"/>
    <w:rsid w:val="00ED2072"/>
    <w:rsid w:val="00ED22EB"/>
    <w:rsid w:val="00ED24DB"/>
    <w:rsid w:val="00ED2DB6"/>
    <w:rsid w:val="00ED3350"/>
    <w:rsid w:val="00ED3400"/>
    <w:rsid w:val="00ED4139"/>
    <w:rsid w:val="00ED428C"/>
    <w:rsid w:val="00ED429C"/>
    <w:rsid w:val="00ED4357"/>
    <w:rsid w:val="00ED4932"/>
    <w:rsid w:val="00ED4E3A"/>
    <w:rsid w:val="00ED5272"/>
    <w:rsid w:val="00ED55F9"/>
    <w:rsid w:val="00ED5CDD"/>
    <w:rsid w:val="00ED6679"/>
    <w:rsid w:val="00ED6871"/>
    <w:rsid w:val="00ED68B1"/>
    <w:rsid w:val="00ED6962"/>
    <w:rsid w:val="00ED6AAD"/>
    <w:rsid w:val="00ED6DA4"/>
    <w:rsid w:val="00ED6E1F"/>
    <w:rsid w:val="00ED76C4"/>
    <w:rsid w:val="00ED7F79"/>
    <w:rsid w:val="00EE08BE"/>
    <w:rsid w:val="00EE0A78"/>
    <w:rsid w:val="00EE0C69"/>
    <w:rsid w:val="00EE0E77"/>
    <w:rsid w:val="00EE0E92"/>
    <w:rsid w:val="00EE1067"/>
    <w:rsid w:val="00EE168E"/>
    <w:rsid w:val="00EE1811"/>
    <w:rsid w:val="00EE1B49"/>
    <w:rsid w:val="00EE1B84"/>
    <w:rsid w:val="00EE2290"/>
    <w:rsid w:val="00EE2DF2"/>
    <w:rsid w:val="00EE2E3F"/>
    <w:rsid w:val="00EE2E90"/>
    <w:rsid w:val="00EE31BD"/>
    <w:rsid w:val="00EE3406"/>
    <w:rsid w:val="00EE352E"/>
    <w:rsid w:val="00EE3816"/>
    <w:rsid w:val="00EE3B1F"/>
    <w:rsid w:val="00EE3B2D"/>
    <w:rsid w:val="00EE402E"/>
    <w:rsid w:val="00EE40E4"/>
    <w:rsid w:val="00EE4694"/>
    <w:rsid w:val="00EE49AB"/>
    <w:rsid w:val="00EE4A72"/>
    <w:rsid w:val="00EE6188"/>
    <w:rsid w:val="00EE6E2A"/>
    <w:rsid w:val="00EE6EDA"/>
    <w:rsid w:val="00EE78D4"/>
    <w:rsid w:val="00EE7CFC"/>
    <w:rsid w:val="00EF0062"/>
    <w:rsid w:val="00EF0127"/>
    <w:rsid w:val="00EF04E4"/>
    <w:rsid w:val="00EF052D"/>
    <w:rsid w:val="00EF08FA"/>
    <w:rsid w:val="00EF0C60"/>
    <w:rsid w:val="00EF12CC"/>
    <w:rsid w:val="00EF13CF"/>
    <w:rsid w:val="00EF19A7"/>
    <w:rsid w:val="00EF1B5A"/>
    <w:rsid w:val="00EF2104"/>
    <w:rsid w:val="00EF25CA"/>
    <w:rsid w:val="00EF30CE"/>
    <w:rsid w:val="00EF31AD"/>
    <w:rsid w:val="00EF31F2"/>
    <w:rsid w:val="00EF338A"/>
    <w:rsid w:val="00EF3F01"/>
    <w:rsid w:val="00EF4EA1"/>
    <w:rsid w:val="00EF5066"/>
    <w:rsid w:val="00EF54EC"/>
    <w:rsid w:val="00EF5707"/>
    <w:rsid w:val="00EF5E26"/>
    <w:rsid w:val="00EF622C"/>
    <w:rsid w:val="00EF642F"/>
    <w:rsid w:val="00EF6553"/>
    <w:rsid w:val="00EF6690"/>
    <w:rsid w:val="00EF6A4E"/>
    <w:rsid w:val="00EF6C6C"/>
    <w:rsid w:val="00EF72D3"/>
    <w:rsid w:val="00EF79BA"/>
    <w:rsid w:val="00F00CAD"/>
    <w:rsid w:val="00F00D0A"/>
    <w:rsid w:val="00F00D2A"/>
    <w:rsid w:val="00F01662"/>
    <w:rsid w:val="00F01CBC"/>
    <w:rsid w:val="00F01F0C"/>
    <w:rsid w:val="00F020C2"/>
    <w:rsid w:val="00F0250C"/>
    <w:rsid w:val="00F02806"/>
    <w:rsid w:val="00F02FCA"/>
    <w:rsid w:val="00F0327A"/>
    <w:rsid w:val="00F032D4"/>
    <w:rsid w:val="00F033B4"/>
    <w:rsid w:val="00F036C6"/>
    <w:rsid w:val="00F03804"/>
    <w:rsid w:val="00F03A57"/>
    <w:rsid w:val="00F03ABA"/>
    <w:rsid w:val="00F03AC6"/>
    <w:rsid w:val="00F03B6D"/>
    <w:rsid w:val="00F042E4"/>
    <w:rsid w:val="00F047C6"/>
    <w:rsid w:val="00F049E9"/>
    <w:rsid w:val="00F04C25"/>
    <w:rsid w:val="00F04DC1"/>
    <w:rsid w:val="00F04EC8"/>
    <w:rsid w:val="00F04F37"/>
    <w:rsid w:val="00F04FE6"/>
    <w:rsid w:val="00F056FC"/>
    <w:rsid w:val="00F05F67"/>
    <w:rsid w:val="00F0632F"/>
    <w:rsid w:val="00F06611"/>
    <w:rsid w:val="00F069AE"/>
    <w:rsid w:val="00F07023"/>
    <w:rsid w:val="00F071B0"/>
    <w:rsid w:val="00F073FB"/>
    <w:rsid w:val="00F07965"/>
    <w:rsid w:val="00F10476"/>
    <w:rsid w:val="00F1071A"/>
    <w:rsid w:val="00F11362"/>
    <w:rsid w:val="00F11748"/>
    <w:rsid w:val="00F11E2C"/>
    <w:rsid w:val="00F123BC"/>
    <w:rsid w:val="00F123F8"/>
    <w:rsid w:val="00F12CC6"/>
    <w:rsid w:val="00F12D70"/>
    <w:rsid w:val="00F13453"/>
    <w:rsid w:val="00F13480"/>
    <w:rsid w:val="00F135D8"/>
    <w:rsid w:val="00F1386F"/>
    <w:rsid w:val="00F13E12"/>
    <w:rsid w:val="00F141DC"/>
    <w:rsid w:val="00F1439D"/>
    <w:rsid w:val="00F14453"/>
    <w:rsid w:val="00F14D51"/>
    <w:rsid w:val="00F14EAF"/>
    <w:rsid w:val="00F14EB1"/>
    <w:rsid w:val="00F15133"/>
    <w:rsid w:val="00F151B0"/>
    <w:rsid w:val="00F154F6"/>
    <w:rsid w:val="00F15A52"/>
    <w:rsid w:val="00F162C3"/>
    <w:rsid w:val="00F1650D"/>
    <w:rsid w:val="00F165F5"/>
    <w:rsid w:val="00F16854"/>
    <w:rsid w:val="00F16BEE"/>
    <w:rsid w:val="00F16D4A"/>
    <w:rsid w:val="00F17149"/>
    <w:rsid w:val="00F17384"/>
    <w:rsid w:val="00F1791C"/>
    <w:rsid w:val="00F17A7F"/>
    <w:rsid w:val="00F2018D"/>
    <w:rsid w:val="00F204DF"/>
    <w:rsid w:val="00F20D1C"/>
    <w:rsid w:val="00F20DCF"/>
    <w:rsid w:val="00F2111B"/>
    <w:rsid w:val="00F211B8"/>
    <w:rsid w:val="00F2139D"/>
    <w:rsid w:val="00F215DA"/>
    <w:rsid w:val="00F216AD"/>
    <w:rsid w:val="00F21ADC"/>
    <w:rsid w:val="00F21C26"/>
    <w:rsid w:val="00F21E1C"/>
    <w:rsid w:val="00F220F7"/>
    <w:rsid w:val="00F221B1"/>
    <w:rsid w:val="00F22409"/>
    <w:rsid w:val="00F22794"/>
    <w:rsid w:val="00F227A9"/>
    <w:rsid w:val="00F22B63"/>
    <w:rsid w:val="00F22DB1"/>
    <w:rsid w:val="00F22ECD"/>
    <w:rsid w:val="00F22F24"/>
    <w:rsid w:val="00F2305B"/>
    <w:rsid w:val="00F23615"/>
    <w:rsid w:val="00F23762"/>
    <w:rsid w:val="00F23992"/>
    <w:rsid w:val="00F2399F"/>
    <w:rsid w:val="00F2425E"/>
    <w:rsid w:val="00F24A66"/>
    <w:rsid w:val="00F24A83"/>
    <w:rsid w:val="00F25282"/>
    <w:rsid w:val="00F253D3"/>
    <w:rsid w:val="00F2559E"/>
    <w:rsid w:val="00F256A5"/>
    <w:rsid w:val="00F2586A"/>
    <w:rsid w:val="00F26341"/>
    <w:rsid w:val="00F2692E"/>
    <w:rsid w:val="00F27180"/>
    <w:rsid w:val="00F276E8"/>
    <w:rsid w:val="00F27BFD"/>
    <w:rsid w:val="00F27CDE"/>
    <w:rsid w:val="00F27F04"/>
    <w:rsid w:val="00F302F4"/>
    <w:rsid w:val="00F30426"/>
    <w:rsid w:val="00F31102"/>
    <w:rsid w:val="00F31299"/>
    <w:rsid w:val="00F31BCE"/>
    <w:rsid w:val="00F31F79"/>
    <w:rsid w:val="00F32287"/>
    <w:rsid w:val="00F3283F"/>
    <w:rsid w:val="00F32A2E"/>
    <w:rsid w:val="00F32A7A"/>
    <w:rsid w:val="00F32B23"/>
    <w:rsid w:val="00F33628"/>
    <w:rsid w:val="00F34497"/>
    <w:rsid w:val="00F34A6E"/>
    <w:rsid w:val="00F34D62"/>
    <w:rsid w:val="00F34D85"/>
    <w:rsid w:val="00F352BB"/>
    <w:rsid w:val="00F3534A"/>
    <w:rsid w:val="00F355F9"/>
    <w:rsid w:val="00F35732"/>
    <w:rsid w:val="00F357DF"/>
    <w:rsid w:val="00F35EF3"/>
    <w:rsid w:val="00F368C4"/>
    <w:rsid w:val="00F36F83"/>
    <w:rsid w:val="00F37341"/>
    <w:rsid w:val="00F37682"/>
    <w:rsid w:val="00F37759"/>
    <w:rsid w:val="00F37872"/>
    <w:rsid w:val="00F379DA"/>
    <w:rsid w:val="00F37C46"/>
    <w:rsid w:val="00F37EB2"/>
    <w:rsid w:val="00F37ECD"/>
    <w:rsid w:val="00F401E4"/>
    <w:rsid w:val="00F40425"/>
    <w:rsid w:val="00F4054F"/>
    <w:rsid w:val="00F4082D"/>
    <w:rsid w:val="00F40943"/>
    <w:rsid w:val="00F40D1D"/>
    <w:rsid w:val="00F413FC"/>
    <w:rsid w:val="00F4174B"/>
    <w:rsid w:val="00F41A60"/>
    <w:rsid w:val="00F42127"/>
    <w:rsid w:val="00F42396"/>
    <w:rsid w:val="00F426E5"/>
    <w:rsid w:val="00F43033"/>
    <w:rsid w:val="00F43240"/>
    <w:rsid w:val="00F434B9"/>
    <w:rsid w:val="00F437C0"/>
    <w:rsid w:val="00F4454B"/>
    <w:rsid w:val="00F446DD"/>
    <w:rsid w:val="00F44988"/>
    <w:rsid w:val="00F44C4B"/>
    <w:rsid w:val="00F44C8C"/>
    <w:rsid w:val="00F44D58"/>
    <w:rsid w:val="00F450EB"/>
    <w:rsid w:val="00F451AD"/>
    <w:rsid w:val="00F451CD"/>
    <w:rsid w:val="00F45452"/>
    <w:rsid w:val="00F45641"/>
    <w:rsid w:val="00F46411"/>
    <w:rsid w:val="00F465FA"/>
    <w:rsid w:val="00F466D7"/>
    <w:rsid w:val="00F46797"/>
    <w:rsid w:val="00F4691A"/>
    <w:rsid w:val="00F46AAC"/>
    <w:rsid w:val="00F46EBE"/>
    <w:rsid w:val="00F46ECB"/>
    <w:rsid w:val="00F47B55"/>
    <w:rsid w:val="00F47EDD"/>
    <w:rsid w:val="00F500FB"/>
    <w:rsid w:val="00F5075E"/>
    <w:rsid w:val="00F50EF5"/>
    <w:rsid w:val="00F51016"/>
    <w:rsid w:val="00F51184"/>
    <w:rsid w:val="00F51240"/>
    <w:rsid w:val="00F5131A"/>
    <w:rsid w:val="00F51609"/>
    <w:rsid w:val="00F51B2F"/>
    <w:rsid w:val="00F51B3A"/>
    <w:rsid w:val="00F51F78"/>
    <w:rsid w:val="00F51FF1"/>
    <w:rsid w:val="00F5221C"/>
    <w:rsid w:val="00F522B8"/>
    <w:rsid w:val="00F52379"/>
    <w:rsid w:val="00F52714"/>
    <w:rsid w:val="00F52A23"/>
    <w:rsid w:val="00F52EE1"/>
    <w:rsid w:val="00F52F9B"/>
    <w:rsid w:val="00F53230"/>
    <w:rsid w:val="00F53234"/>
    <w:rsid w:val="00F53F1A"/>
    <w:rsid w:val="00F545A4"/>
    <w:rsid w:val="00F54825"/>
    <w:rsid w:val="00F54870"/>
    <w:rsid w:val="00F54930"/>
    <w:rsid w:val="00F54F4C"/>
    <w:rsid w:val="00F55212"/>
    <w:rsid w:val="00F553B5"/>
    <w:rsid w:val="00F55447"/>
    <w:rsid w:val="00F55550"/>
    <w:rsid w:val="00F55C25"/>
    <w:rsid w:val="00F55F17"/>
    <w:rsid w:val="00F56092"/>
    <w:rsid w:val="00F562BC"/>
    <w:rsid w:val="00F56524"/>
    <w:rsid w:val="00F56725"/>
    <w:rsid w:val="00F56A1D"/>
    <w:rsid w:val="00F56E28"/>
    <w:rsid w:val="00F57D22"/>
    <w:rsid w:val="00F600B9"/>
    <w:rsid w:val="00F60673"/>
    <w:rsid w:val="00F60D15"/>
    <w:rsid w:val="00F61024"/>
    <w:rsid w:val="00F614C3"/>
    <w:rsid w:val="00F6243A"/>
    <w:rsid w:val="00F62760"/>
    <w:rsid w:val="00F627EA"/>
    <w:rsid w:val="00F629A6"/>
    <w:rsid w:val="00F630CB"/>
    <w:rsid w:val="00F632D1"/>
    <w:rsid w:val="00F637F4"/>
    <w:rsid w:val="00F6381F"/>
    <w:rsid w:val="00F63BB0"/>
    <w:rsid w:val="00F63BC8"/>
    <w:rsid w:val="00F6491F"/>
    <w:rsid w:val="00F649FC"/>
    <w:rsid w:val="00F64A19"/>
    <w:rsid w:val="00F64C59"/>
    <w:rsid w:val="00F64E1B"/>
    <w:rsid w:val="00F6536D"/>
    <w:rsid w:val="00F6582D"/>
    <w:rsid w:val="00F659E0"/>
    <w:rsid w:val="00F6632C"/>
    <w:rsid w:val="00F66369"/>
    <w:rsid w:val="00F66406"/>
    <w:rsid w:val="00F66504"/>
    <w:rsid w:val="00F66A92"/>
    <w:rsid w:val="00F66AF1"/>
    <w:rsid w:val="00F66CDE"/>
    <w:rsid w:val="00F66FD6"/>
    <w:rsid w:val="00F67736"/>
    <w:rsid w:val="00F67DAB"/>
    <w:rsid w:val="00F67EB6"/>
    <w:rsid w:val="00F70474"/>
    <w:rsid w:val="00F70F49"/>
    <w:rsid w:val="00F710C8"/>
    <w:rsid w:val="00F71491"/>
    <w:rsid w:val="00F7207E"/>
    <w:rsid w:val="00F72082"/>
    <w:rsid w:val="00F72375"/>
    <w:rsid w:val="00F726B6"/>
    <w:rsid w:val="00F72A63"/>
    <w:rsid w:val="00F72DFE"/>
    <w:rsid w:val="00F730DF"/>
    <w:rsid w:val="00F73459"/>
    <w:rsid w:val="00F73CFE"/>
    <w:rsid w:val="00F73E2E"/>
    <w:rsid w:val="00F7421C"/>
    <w:rsid w:val="00F7495A"/>
    <w:rsid w:val="00F74ABF"/>
    <w:rsid w:val="00F74C61"/>
    <w:rsid w:val="00F74DAF"/>
    <w:rsid w:val="00F7505F"/>
    <w:rsid w:val="00F75199"/>
    <w:rsid w:val="00F7536F"/>
    <w:rsid w:val="00F754CA"/>
    <w:rsid w:val="00F755DF"/>
    <w:rsid w:val="00F759BA"/>
    <w:rsid w:val="00F75CBE"/>
    <w:rsid w:val="00F75CDF"/>
    <w:rsid w:val="00F76578"/>
    <w:rsid w:val="00F766A7"/>
    <w:rsid w:val="00F76833"/>
    <w:rsid w:val="00F77061"/>
    <w:rsid w:val="00F7739D"/>
    <w:rsid w:val="00F77787"/>
    <w:rsid w:val="00F777A0"/>
    <w:rsid w:val="00F779B1"/>
    <w:rsid w:val="00F77AAD"/>
    <w:rsid w:val="00F80383"/>
    <w:rsid w:val="00F80A52"/>
    <w:rsid w:val="00F80AAA"/>
    <w:rsid w:val="00F81006"/>
    <w:rsid w:val="00F81463"/>
    <w:rsid w:val="00F816B4"/>
    <w:rsid w:val="00F83C40"/>
    <w:rsid w:val="00F83CF5"/>
    <w:rsid w:val="00F84098"/>
    <w:rsid w:val="00F84531"/>
    <w:rsid w:val="00F8488F"/>
    <w:rsid w:val="00F84938"/>
    <w:rsid w:val="00F84AC5"/>
    <w:rsid w:val="00F84E56"/>
    <w:rsid w:val="00F85325"/>
    <w:rsid w:val="00F859B4"/>
    <w:rsid w:val="00F85AB8"/>
    <w:rsid w:val="00F866CE"/>
    <w:rsid w:val="00F86E28"/>
    <w:rsid w:val="00F87272"/>
    <w:rsid w:val="00F87517"/>
    <w:rsid w:val="00F8755A"/>
    <w:rsid w:val="00F876E5"/>
    <w:rsid w:val="00F879B4"/>
    <w:rsid w:val="00F87C63"/>
    <w:rsid w:val="00F87D25"/>
    <w:rsid w:val="00F90643"/>
    <w:rsid w:val="00F90C82"/>
    <w:rsid w:val="00F90E4D"/>
    <w:rsid w:val="00F91274"/>
    <w:rsid w:val="00F91619"/>
    <w:rsid w:val="00F91AB6"/>
    <w:rsid w:val="00F91C9E"/>
    <w:rsid w:val="00F91D2B"/>
    <w:rsid w:val="00F925B9"/>
    <w:rsid w:val="00F9278B"/>
    <w:rsid w:val="00F92D2F"/>
    <w:rsid w:val="00F92DD1"/>
    <w:rsid w:val="00F9325C"/>
    <w:rsid w:val="00F933D4"/>
    <w:rsid w:val="00F936F0"/>
    <w:rsid w:val="00F937DF"/>
    <w:rsid w:val="00F942F5"/>
    <w:rsid w:val="00F956E4"/>
    <w:rsid w:val="00F95B03"/>
    <w:rsid w:val="00F95C31"/>
    <w:rsid w:val="00F95CBD"/>
    <w:rsid w:val="00F95F53"/>
    <w:rsid w:val="00F95FFB"/>
    <w:rsid w:val="00F962A1"/>
    <w:rsid w:val="00F96B08"/>
    <w:rsid w:val="00F96C19"/>
    <w:rsid w:val="00F9707F"/>
    <w:rsid w:val="00F972EC"/>
    <w:rsid w:val="00F97344"/>
    <w:rsid w:val="00F979A5"/>
    <w:rsid w:val="00F979E3"/>
    <w:rsid w:val="00F97DD0"/>
    <w:rsid w:val="00F97E37"/>
    <w:rsid w:val="00FA049A"/>
    <w:rsid w:val="00FA0788"/>
    <w:rsid w:val="00FA0A5F"/>
    <w:rsid w:val="00FA1037"/>
    <w:rsid w:val="00FA10FF"/>
    <w:rsid w:val="00FA110F"/>
    <w:rsid w:val="00FA1644"/>
    <w:rsid w:val="00FA1725"/>
    <w:rsid w:val="00FA17B7"/>
    <w:rsid w:val="00FA1839"/>
    <w:rsid w:val="00FA1872"/>
    <w:rsid w:val="00FA1BAD"/>
    <w:rsid w:val="00FA1E08"/>
    <w:rsid w:val="00FA1E8D"/>
    <w:rsid w:val="00FA2182"/>
    <w:rsid w:val="00FA27AB"/>
    <w:rsid w:val="00FA282A"/>
    <w:rsid w:val="00FA2966"/>
    <w:rsid w:val="00FA2ACB"/>
    <w:rsid w:val="00FA2C22"/>
    <w:rsid w:val="00FA2F90"/>
    <w:rsid w:val="00FA31CD"/>
    <w:rsid w:val="00FA31CE"/>
    <w:rsid w:val="00FA3653"/>
    <w:rsid w:val="00FA3820"/>
    <w:rsid w:val="00FA3AC6"/>
    <w:rsid w:val="00FA41A0"/>
    <w:rsid w:val="00FA4468"/>
    <w:rsid w:val="00FA47B0"/>
    <w:rsid w:val="00FA4B85"/>
    <w:rsid w:val="00FA54B8"/>
    <w:rsid w:val="00FA59C9"/>
    <w:rsid w:val="00FA5EFA"/>
    <w:rsid w:val="00FA63D5"/>
    <w:rsid w:val="00FA6A26"/>
    <w:rsid w:val="00FA6E6C"/>
    <w:rsid w:val="00FA6FDF"/>
    <w:rsid w:val="00FA700B"/>
    <w:rsid w:val="00FA701D"/>
    <w:rsid w:val="00FA775F"/>
    <w:rsid w:val="00FA7BA8"/>
    <w:rsid w:val="00FB0086"/>
    <w:rsid w:val="00FB05A8"/>
    <w:rsid w:val="00FB069B"/>
    <w:rsid w:val="00FB0738"/>
    <w:rsid w:val="00FB09A0"/>
    <w:rsid w:val="00FB0F6D"/>
    <w:rsid w:val="00FB1289"/>
    <w:rsid w:val="00FB197B"/>
    <w:rsid w:val="00FB19D1"/>
    <w:rsid w:val="00FB1C4C"/>
    <w:rsid w:val="00FB1FCF"/>
    <w:rsid w:val="00FB20A0"/>
    <w:rsid w:val="00FB210D"/>
    <w:rsid w:val="00FB26D8"/>
    <w:rsid w:val="00FB2C72"/>
    <w:rsid w:val="00FB2D3A"/>
    <w:rsid w:val="00FB323E"/>
    <w:rsid w:val="00FB32C1"/>
    <w:rsid w:val="00FB3899"/>
    <w:rsid w:val="00FB3B80"/>
    <w:rsid w:val="00FB3C80"/>
    <w:rsid w:val="00FB3EB3"/>
    <w:rsid w:val="00FB3F63"/>
    <w:rsid w:val="00FB43BE"/>
    <w:rsid w:val="00FB4ABA"/>
    <w:rsid w:val="00FB5055"/>
    <w:rsid w:val="00FB54AE"/>
    <w:rsid w:val="00FB55F1"/>
    <w:rsid w:val="00FB56F4"/>
    <w:rsid w:val="00FB58A3"/>
    <w:rsid w:val="00FB5F61"/>
    <w:rsid w:val="00FB5F8C"/>
    <w:rsid w:val="00FB6192"/>
    <w:rsid w:val="00FB6424"/>
    <w:rsid w:val="00FB6748"/>
    <w:rsid w:val="00FB6793"/>
    <w:rsid w:val="00FB697F"/>
    <w:rsid w:val="00FB6B49"/>
    <w:rsid w:val="00FB6F57"/>
    <w:rsid w:val="00FB7234"/>
    <w:rsid w:val="00FB7238"/>
    <w:rsid w:val="00FB74A6"/>
    <w:rsid w:val="00FB7C99"/>
    <w:rsid w:val="00FB7E78"/>
    <w:rsid w:val="00FC0730"/>
    <w:rsid w:val="00FC0EA7"/>
    <w:rsid w:val="00FC1BEA"/>
    <w:rsid w:val="00FC1F1D"/>
    <w:rsid w:val="00FC2283"/>
    <w:rsid w:val="00FC28E8"/>
    <w:rsid w:val="00FC2E3F"/>
    <w:rsid w:val="00FC2ED5"/>
    <w:rsid w:val="00FC4798"/>
    <w:rsid w:val="00FC49BD"/>
    <w:rsid w:val="00FC4C5C"/>
    <w:rsid w:val="00FC4FC4"/>
    <w:rsid w:val="00FC5255"/>
    <w:rsid w:val="00FC5CA5"/>
    <w:rsid w:val="00FC6042"/>
    <w:rsid w:val="00FC6231"/>
    <w:rsid w:val="00FC67AE"/>
    <w:rsid w:val="00FC6EEE"/>
    <w:rsid w:val="00FC6F09"/>
    <w:rsid w:val="00FC7219"/>
    <w:rsid w:val="00FC763C"/>
    <w:rsid w:val="00FC77D1"/>
    <w:rsid w:val="00FC7DEF"/>
    <w:rsid w:val="00FD0355"/>
    <w:rsid w:val="00FD06D8"/>
    <w:rsid w:val="00FD070B"/>
    <w:rsid w:val="00FD0C72"/>
    <w:rsid w:val="00FD16CD"/>
    <w:rsid w:val="00FD1DEF"/>
    <w:rsid w:val="00FD22B1"/>
    <w:rsid w:val="00FD2ABD"/>
    <w:rsid w:val="00FD2B88"/>
    <w:rsid w:val="00FD2CD6"/>
    <w:rsid w:val="00FD2F32"/>
    <w:rsid w:val="00FD33F1"/>
    <w:rsid w:val="00FD3400"/>
    <w:rsid w:val="00FD3485"/>
    <w:rsid w:val="00FD3566"/>
    <w:rsid w:val="00FD3567"/>
    <w:rsid w:val="00FD3855"/>
    <w:rsid w:val="00FD4B37"/>
    <w:rsid w:val="00FD5672"/>
    <w:rsid w:val="00FD588E"/>
    <w:rsid w:val="00FD5925"/>
    <w:rsid w:val="00FD5CFC"/>
    <w:rsid w:val="00FD61E9"/>
    <w:rsid w:val="00FD65CC"/>
    <w:rsid w:val="00FD67D8"/>
    <w:rsid w:val="00FD7846"/>
    <w:rsid w:val="00FD7C3E"/>
    <w:rsid w:val="00FD7D06"/>
    <w:rsid w:val="00FD7DFC"/>
    <w:rsid w:val="00FD7F8D"/>
    <w:rsid w:val="00FE02E9"/>
    <w:rsid w:val="00FE0381"/>
    <w:rsid w:val="00FE0595"/>
    <w:rsid w:val="00FE09BC"/>
    <w:rsid w:val="00FE14D5"/>
    <w:rsid w:val="00FE15DF"/>
    <w:rsid w:val="00FE18AD"/>
    <w:rsid w:val="00FE1B14"/>
    <w:rsid w:val="00FE1E8E"/>
    <w:rsid w:val="00FE2819"/>
    <w:rsid w:val="00FE2B17"/>
    <w:rsid w:val="00FE3098"/>
    <w:rsid w:val="00FE30CE"/>
    <w:rsid w:val="00FE3317"/>
    <w:rsid w:val="00FE3768"/>
    <w:rsid w:val="00FE37B3"/>
    <w:rsid w:val="00FE3A4B"/>
    <w:rsid w:val="00FE3E13"/>
    <w:rsid w:val="00FE3EBF"/>
    <w:rsid w:val="00FE4322"/>
    <w:rsid w:val="00FE4389"/>
    <w:rsid w:val="00FE4409"/>
    <w:rsid w:val="00FE530E"/>
    <w:rsid w:val="00FE5397"/>
    <w:rsid w:val="00FE57D6"/>
    <w:rsid w:val="00FE5AA1"/>
    <w:rsid w:val="00FE5C45"/>
    <w:rsid w:val="00FE6390"/>
    <w:rsid w:val="00FE6469"/>
    <w:rsid w:val="00FE6511"/>
    <w:rsid w:val="00FE69B8"/>
    <w:rsid w:val="00FE71B4"/>
    <w:rsid w:val="00FE7558"/>
    <w:rsid w:val="00FE756D"/>
    <w:rsid w:val="00FE788D"/>
    <w:rsid w:val="00FE7949"/>
    <w:rsid w:val="00FE7AE8"/>
    <w:rsid w:val="00FE7D7C"/>
    <w:rsid w:val="00FF0316"/>
    <w:rsid w:val="00FF0320"/>
    <w:rsid w:val="00FF0695"/>
    <w:rsid w:val="00FF06F8"/>
    <w:rsid w:val="00FF08B5"/>
    <w:rsid w:val="00FF2081"/>
    <w:rsid w:val="00FF2228"/>
    <w:rsid w:val="00FF2401"/>
    <w:rsid w:val="00FF247A"/>
    <w:rsid w:val="00FF2698"/>
    <w:rsid w:val="00FF2CD6"/>
    <w:rsid w:val="00FF323E"/>
    <w:rsid w:val="00FF345B"/>
    <w:rsid w:val="00FF3881"/>
    <w:rsid w:val="00FF3C58"/>
    <w:rsid w:val="00FF3DC7"/>
    <w:rsid w:val="00FF43EE"/>
    <w:rsid w:val="00FF458C"/>
    <w:rsid w:val="00FF49A4"/>
    <w:rsid w:val="00FF4A7D"/>
    <w:rsid w:val="00FF4E23"/>
    <w:rsid w:val="00FF5307"/>
    <w:rsid w:val="00FF587F"/>
    <w:rsid w:val="00FF58AF"/>
    <w:rsid w:val="00FF5BF2"/>
    <w:rsid w:val="00FF6266"/>
    <w:rsid w:val="00FF66B8"/>
    <w:rsid w:val="00FF676D"/>
    <w:rsid w:val="00FF6C81"/>
    <w:rsid w:val="00FF6E7B"/>
    <w:rsid w:val="00FF7041"/>
    <w:rsid w:val="00FF73A2"/>
    <w:rsid w:val="00FF7981"/>
    <w:rsid w:val="00FF7B08"/>
    <w:rsid w:val="00FF7E3B"/>
    <w:rsid w:val="00FF7F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1"/>
    <o:shapelayout v:ext="edit">
      <o:idmap v:ext="edit" data="1"/>
    </o:shapelayout>
  </w:shapeDefaults>
  <w:decimalSymbol w:val="."/>
  <w:listSeparator w:val=","/>
  <w14:docId w14:val="2982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toc 1" w:uiPriority="39"/>
    <w:lsdException w:name="toc 2" w:uiPriority="39"/>
    <w:lsdException w:name="List Bullet" w:qFormat="1"/>
    <w:lsdException w:name="Default Paragraph Font" w:uiPriority="1"/>
    <w:lsdException w:name="Body Text" w:qFormat="1"/>
    <w:lsdException w:name="Subtitle" w:qFormat="1"/>
    <w:lsdException w:name="Strong" w:uiPriority="2"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A4964"/>
    <w:rPr>
      <w:sz w:val="26"/>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rPr>
      <w:sz w:val="24"/>
    </w:r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link w:val="ContinuedChar"/>
    <w:uiPriority w:val="99"/>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rPr>
      <w:sz w:val="24"/>
    </w:r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qForma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301E4A"/>
    <w:pPr>
      <w:framePr w:wrap="notBeside" w:hAnchor="text"/>
    </w:pPr>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2E324F"/>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BodyText"/>
    <w:uiPriority w:val="39"/>
    <w:rsid w:val="005C5E19"/>
    <w:pPr>
      <w:tabs>
        <w:tab w:val="right" w:pos="8789"/>
      </w:tabs>
      <w:ind w:left="510" w:right="851" w:hanging="510"/>
      <w:jc w:val="left"/>
    </w:pPr>
    <w:rPr>
      <w:rFonts w:ascii="Arial" w:hAnsi="Arial"/>
      <w:b/>
    </w:rPr>
  </w:style>
  <w:style w:type="paragraph" w:styleId="TOC3">
    <w:name w:val="toc 3"/>
    <w:basedOn w:val="TOC2"/>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D80CF5"/>
    <w:rPr>
      <w:sz w:val="24"/>
    </w:rPr>
  </w:style>
  <w:style w:type="paragraph" w:customStyle="1" w:styleId="TableUnitsRow">
    <w:name w:val="Table Units Row"/>
    <w:basedOn w:val="TableBodyText"/>
    <w:rsid w:val="00812F4A"/>
    <w:pPr>
      <w:spacing w:before="80" w:after="80"/>
    </w:pPr>
  </w:style>
  <w:style w:type="paragraph" w:styleId="TOC1">
    <w:name w:val="toc 1"/>
    <w:basedOn w:val="Normal"/>
    <w:next w:val="TOC2"/>
    <w:link w:val="TOC1Char"/>
    <w:uiPriority w:val="39"/>
    <w:rsid w:val="005C5E19"/>
    <w:pPr>
      <w:tabs>
        <w:tab w:val="right" w:pos="8789"/>
      </w:tabs>
      <w:spacing w:before="480" w:after="60" w:line="320" w:lineRule="exact"/>
      <w:ind w:left="1191" w:right="851" w:hanging="1191"/>
    </w:pPr>
    <w:rPr>
      <w:rFonts w:ascii="Arial" w:hAnsi="Arial"/>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pPr>
      <w:framePr w:wrap="auto"/>
    </w:pPr>
    <w:rPr>
      <w:i/>
    </w:rPr>
  </w:style>
  <w:style w:type="paragraph" w:customStyle="1" w:styleId="Space">
    <w:name w:val="Space"/>
    <w:basedOn w:val="Normal"/>
    <w:rsid w:val="00967CD3"/>
    <w:pPr>
      <w:keepNext/>
      <w:spacing w:line="120" w:lineRule="exact"/>
      <w:jc w:val="both"/>
    </w:pPr>
    <w:rPr>
      <w:rFonts w:ascii="Arial" w:hAnsi="Arial"/>
      <w:sz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rsid w:val="0013739A"/>
    <w:pPr>
      <w:spacing w:before="40"/>
    </w:pPr>
    <w:rPr>
      <w:rFonts w:cs="Arial"/>
      <w:color w:val="000000" w:themeColor="text1"/>
      <w14:textFill>
        <w14:solidFill>
          <w14:schemeClr w14:val="tx1">
            <w14:lumMod w14:val="50000"/>
            <w14:lumOff w14:val="50000"/>
            <w14:lumMod w14:val="50000"/>
            <w14:lumOff w14:val="50000"/>
          </w14:schemeClr>
        </w14:solidFill>
      </w14:textFill>
    </w:rPr>
  </w:style>
  <w:style w:type="character" w:customStyle="1" w:styleId="Heading2Char">
    <w:name w:val="Heading 2 Char"/>
    <w:basedOn w:val="DefaultParagraphFont"/>
    <w:link w:val="Heading2"/>
    <w:rsid w:val="00415F39"/>
    <w:rPr>
      <w:rFonts w:ascii="Arial" w:hAnsi="Arial"/>
      <w:b/>
      <w:sz w:val="32"/>
    </w:rPr>
  </w:style>
  <w:style w:type="character" w:styleId="Hyperlink">
    <w:name w:val="Hyperlink"/>
    <w:basedOn w:val="DefaultParagraphFont"/>
    <w:rsid w:val="00415F39"/>
    <w:rPr>
      <w:color w:val="78A22F" w:themeColor="hyperlink"/>
      <w:u w:val="single"/>
    </w:rPr>
  </w:style>
  <w:style w:type="table" w:styleId="TableGrid">
    <w:name w:val="Table Grid"/>
    <w:basedOn w:val="TableNormal"/>
    <w:rsid w:val="009F3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91500"/>
    <w:rPr>
      <w:rFonts w:ascii="Arial" w:hAnsi="Arial"/>
      <w:b/>
      <w:sz w:val="26"/>
    </w:rPr>
  </w:style>
  <w:style w:type="character" w:customStyle="1" w:styleId="FooterChar">
    <w:name w:val="Footer Char"/>
    <w:basedOn w:val="DefaultParagraphFont"/>
    <w:link w:val="Footer"/>
    <w:semiHidden/>
    <w:rsid w:val="009F6FCD"/>
    <w:rPr>
      <w:rFonts w:ascii="Arial" w:hAnsi="Arial"/>
      <w:caps/>
      <w:spacing w:val="-4"/>
      <w:sz w:val="16"/>
    </w:rPr>
  </w:style>
  <w:style w:type="character" w:customStyle="1" w:styleId="BodyTextChar">
    <w:name w:val="Body Text Char"/>
    <w:basedOn w:val="DefaultParagraphFont"/>
    <w:link w:val="BodyText"/>
    <w:rsid w:val="001F49AE"/>
    <w:rPr>
      <w:sz w:val="24"/>
    </w:rPr>
  </w:style>
  <w:style w:type="character" w:customStyle="1" w:styleId="CommentTextChar">
    <w:name w:val="Comment Text Char"/>
    <w:basedOn w:val="DefaultParagraphFont"/>
    <w:link w:val="CommentText"/>
    <w:semiHidden/>
    <w:rsid w:val="001F49AE"/>
    <w:rPr>
      <w:lang w:eastAsia="en-US"/>
    </w:rPr>
  </w:style>
  <w:style w:type="table" w:customStyle="1" w:styleId="TableGrid1">
    <w:name w:val="Table Grid1"/>
    <w:basedOn w:val="TableNormal"/>
    <w:next w:val="TableGrid"/>
    <w:uiPriority w:val="59"/>
    <w:rsid w:val="00211CE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NotTOC">
    <w:name w:val="Heading 1 Not TOC"/>
    <w:basedOn w:val="Heading1"/>
    <w:next w:val="BodyText"/>
    <w:rsid w:val="00C07D79"/>
    <w:rPr>
      <w:kern w:val="28"/>
      <w:szCs w:val="26"/>
      <w:lang w:eastAsia="en-US"/>
    </w:rPr>
  </w:style>
  <w:style w:type="character" w:customStyle="1" w:styleId="TOC1Char">
    <w:name w:val="TOC 1 Char"/>
    <w:basedOn w:val="DefaultParagraphFont"/>
    <w:link w:val="TOC1"/>
    <w:uiPriority w:val="39"/>
    <w:rsid w:val="00C07D79"/>
    <w:rPr>
      <w:rFonts w:ascii="Arial" w:hAnsi="Arial"/>
      <w:b/>
      <w:caps/>
      <w:sz w:val="26"/>
      <w:lang w:eastAsia="en-US"/>
    </w:rPr>
  </w:style>
  <w:style w:type="character" w:customStyle="1" w:styleId="ContinuedChar">
    <w:name w:val="Continued Char"/>
    <w:basedOn w:val="DefaultParagraphFont"/>
    <w:link w:val="Continued"/>
    <w:uiPriority w:val="99"/>
    <w:locked/>
    <w:rsid w:val="002E03AF"/>
    <w:rPr>
      <w:rFonts w:ascii="Arial" w:hAnsi="Arial"/>
      <w:sz w:val="18"/>
    </w:rPr>
  </w:style>
  <w:style w:type="paragraph" w:customStyle="1" w:styleId="Default">
    <w:name w:val="Default"/>
    <w:rsid w:val="00A72A50"/>
    <w:pPr>
      <w:autoSpaceDE w:val="0"/>
      <w:autoSpaceDN w:val="0"/>
      <w:adjustRightInd w:val="0"/>
    </w:pPr>
    <w:rPr>
      <w:rFonts w:ascii="Calibri" w:hAnsi="Calibri" w:cs="Calibri"/>
      <w:color w:val="000000"/>
      <w:sz w:val="24"/>
      <w:szCs w:val="24"/>
    </w:rPr>
  </w:style>
  <w:style w:type="character" w:styleId="Strong">
    <w:name w:val="Strong"/>
    <w:aliases w:val="Bold"/>
    <w:basedOn w:val="DefaultParagraphFont"/>
    <w:uiPriority w:val="2"/>
    <w:qFormat/>
    <w:rsid w:val="00426747"/>
    <w:rPr>
      <w:b/>
      <w:bCs/>
      <w:color w:val="auto"/>
    </w:rPr>
  </w:style>
  <w:style w:type="table" w:customStyle="1" w:styleId="ABAREStableleftalign">
    <w:name w:val="ABARES table (left align)"/>
    <w:basedOn w:val="TableNormal"/>
    <w:uiPriority w:val="99"/>
    <w:rsid w:val="00426747"/>
    <w:pPr>
      <w:contextualSpacing/>
    </w:pPr>
    <w:rPr>
      <w:rFonts w:ascii="Cambria" w:eastAsia="Calibri" w:hAnsi="Cambria"/>
      <w:sz w:val="19"/>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rPr>
        <w:b/>
      </w:rPr>
    </w:tblStylePr>
  </w:style>
  <w:style w:type="paragraph" w:customStyle="1" w:styleId="TableBoxtext">
    <w:name w:val="Table/Box text"/>
    <w:next w:val="Normal"/>
    <w:uiPriority w:val="27"/>
    <w:qFormat/>
    <w:rsid w:val="00426747"/>
    <w:rPr>
      <w:rFonts w:ascii="Cambria" w:eastAsia="Calibri" w:hAnsi="Cambria"/>
      <w:color w:val="000000" w:themeColor="text1"/>
      <w:sz w:val="19"/>
      <w:szCs w:val="22"/>
      <w:lang w:eastAsia="en-US"/>
    </w:rPr>
  </w:style>
  <w:style w:type="paragraph" w:styleId="CommentSubject">
    <w:name w:val="annotation subject"/>
    <w:basedOn w:val="CommentText"/>
    <w:next w:val="CommentText"/>
    <w:link w:val="CommentSubjectChar"/>
    <w:rsid w:val="00217BCD"/>
    <w:pPr>
      <w:spacing w:before="0" w:line="240" w:lineRule="auto"/>
      <w:ind w:left="0" w:firstLine="0"/>
    </w:pPr>
    <w:rPr>
      <w:b/>
      <w:bCs/>
    </w:rPr>
  </w:style>
  <w:style w:type="character" w:customStyle="1" w:styleId="CommentSubjectChar">
    <w:name w:val="Comment Subject Char"/>
    <w:basedOn w:val="CommentTextChar"/>
    <w:link w:val="CommentSubject"/>
    <w:rsid w:val="00217BCD"/>
    <w:rPr>
      <w:b/>
      <w:bCs/>
      <w:lang w:eastAsia="en-US"/>
    </w:rPr>
  </w:style>
  <w:style w:type="character" w:customStyle="1" w:styleId="FootnoteTextChar">
    <w:name w:val="Footnote Text Char"/>
    <w:basedOn w:val="DefaultParagraphFont"/>
    <w:link w:val="FootnoteText"/>
    <w:rsid w:val="00DE0CA4"/>
  </w:style>
  <w:style w:type="paragraph" w:styleId="Revision">
    <w:name w:val="Revision"/>
    <w:hidden/>
    <w:uiPriority w:val="99"/>
    <w:semiHidden/>
    <w:rsid w:val="005051E7"/>
    <w:rPr>
      <w:sz w:val="26"/>
      <w:lang w:eastAsia="en-US"/>
    </w:rPr>
  </w:style>
  <w:style w:type="paragraph" w:styleId="Bibliography">
    <w:name w:val="Bibliography"/>
    <w:basedOn w:val="Normal"/>
    <w:next w:val="Normal"/>
    <w:uiPriority w:val="37"/>
    <w:unhideWhenUsed/>
    <w:rsid w:val="005F71BF"/>
    <w:pPr>
      <w:spacing w:after="240"/>
      <w:ind w:left="720" w:hanging="720"/>
    </w:pPr>
  </w:style>
  <w:style w:type="paragraph" w:customStyle="1" w:styleId="BoxSpaceAboveElement">
    <w:name w:val="Box Space Above Element"/>
    <w:basedOn w:val="BoxSpaceAbove"/>
    <w:link w:val="BoxSpaceAboveElementChar"/>
    <w:qFormat/>
    <w:rsid w:val="000C53C8"/>
    <w:pPr>
      <w:spacing w:before="240"/>
    </w:pPr>
    <w:rPr>
      <w:b/>
      <w:vanish/>
      <w:color w:val="FF00FF"/>
      <w:sz w:val="14"/>
    </w:rPr>
  </w:style>
  <w:style w:type="character" w:customStyle="1" w:styleId="BoxSpaceAboveElementChar">
    <w:name w:val="Box Space Above Element Char"/>
    <w:basedOn w:val="DefaultParagraphFont"/>
    <w:link w:val="BoxSpaceAboveElement"/>
    <w:rsid w:val="000C53C8"/>
    <w:rPr>
      <w:b/>
      <w:vanish/>
      <w:color w:val="FF00FF"/>
      <w:sz w:val="14"/>
    </w:rPr>
  </w:style>
  <w:style w:type="character" w:customStyle="1" w:styleId="Heading4Char">
    <w:name w:val="Heading 4 Char"/>
    <w:basedOn w:val="DefaultParagraphFont"/>
    <w:link w:val="Heading4"/>
    <w:rsid w:val="00547B1D"/>
    <w:rPr>
      <w:rFonts w:ascii="Arial" w:hAnsi="Arial"/>
      <w:sz w:val="24"/>
    </w:rPr>
  </w:style>
  <w:style w:type="paragraph" w:styleId="NormalWeb">
    <w:name w:val="Normal (Web)"/>
    <w:basedOn w:val="Normal"/>
    <w:uiPriority w:val="99"/>
    <w:unhideWhenUsed/>
    <w:rsid w:val="00FD3567"/>
    <w:pPr>
      <w:spacing w:before="100" w:beforeAutospacing="1" w:after="100" w:afterAutospacing="1"/>
    </w:pPr>
    <w:rPr>
      <w:sz w:val="24"/>
      <w:szCs w:val="24"/>
      <w:lang w:eastAsia="en-AU"/>
    </w:rPr>
  </w:style>
  <w:style w:type="character" w:styleId="EndnoteReference">
    <w:name w:val="endnote reference"/>
    <w:basedOn w:val="DefaultParagraphFont"/>
    <w:rsid w:val="00255D8F"/>
    <w:rPr>
      <w:vertAlign w:val="superscript"/>
    </w:rPr>
  </w:style>
  <w:style w:type="character" w:customStyle="1" w:styleId="QuoteChar">
    <w:name w:val="Quote Char"/>
    <w:basedOn w:val="DefaultParagraphFont"/>
    <w:link w:val="Quote"/>
    <w:rsid w:val="00810999"/>
    <w:rPr>
      <w:sz w:val="22"/>
    </w:rPr>
  </w:style>
  <w:style w:type="paragraph" w:customStyle="1" w:styleId="Tablebullet2">
    <w:name w:val="Table bullet 2"/>
    <w:basedOn w:val="TableBullet"/>
    <w:rsid w:val="008A2ED0"/>
    <w:pPr>
      <w:numPr>
        <w:numId w:val="6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toc 1" w:uiPriority="39"/>
    <w:lsdException w:name="toc 2" w:uiPriority="39"/>
    <w:lsdException w:name="List Bullet" w:qFormat="1"/>
    <w:lsdException w:name="Default Paragraph Font" w:uiPriority="1"/>
    <w:lsdException w:name="Body Text" w:qFormat="1"/>
    <w:lsdException w:name="Subtitle" w:qFormat="1"/>
    <w:lsdException w:name="Strong" w:uiPriority="2"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A4964"/>
    <w:rPr>
      <w:sz w:val="26"/>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rPr>
      <w:sz w:val="24"/>
    </w:r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link w:val="ContinuedChar"/>
    <w:uiPriority w:val="99"/>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rPr>
      <w:sz w:val="24"/>
    </w:r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qForma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301E4A"/>
    <w:pPr>
      <w:framePr w:wrap="notBeside" w:hAnchor="text"/>
    </w:pPr>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2E324F"/>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BodyText"/>
    <w:uiPriority w:val="39"/>
    <w:rsid w:val="005C5E19"/>
    <w:pPr>
      <w:tabs>
        <w:tab w:val="right" w:pos="8789"/>
      </w:tabs>
      <w:ind w:left="510" w:right="851" w:hanging="510"/>
      <w:jc w:val="left"/>
    </w:pPr>
    <w:rPr>
      <w:rFonts w:ascii="Arial" w:hAnsi="Arial"/>
      <w:b/>
    </w:rPr>
  </w:style>
  <w:style w:type="paragraph" w:styleId="TOC3">
    <w:name w:val="toc 3"/>
    <w:basedOn w:val="TOC2"/>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D80CF5"/>
    <w:rPr>
      <w:sz w:val="24"/>
    </w:rPr>
  </w:style>
  <w:style w:type="paragraph" w:customStyle="1" w:styleId="TableUnitsRow">
    <w:name w:val="Table Units Row"/>
    <w:basedOn w:val="TableBodyText"/>
    <w:rsid w:val="00812F4A"/>
    <w:pPr>
      <w:spacing w:before="80" w:after="80"/>
    </w:pPr>
  </w:style>
  <w:style w:type="paragraph" w:styleId="TOC1">
    <w:name w:val="toc 1"/>
    <w:basedOn w:val="Normal"/>
    <w:next w:val="TOC2"/>
    <w:link w:val="TOC1Char"/>
    <w:uiPriority w:val="39"/>
    <w:rsid w:val="005C5E19"/>
    <w:pPr>
      <w:tabs>
        <w:tab w:val="right" w:pos="8789"/>
      </w:tabs>
      <w:spacing w:before="480" w:after="60" w:line="320" w:lineRule="exact"/>
      <w:ind w:left="1191" w:right="851" w:hanging="1191"/>
    </w:pPr>
    <w:rPr>
      <w:rFonts w:ascii="Arial" w:hAnsi="Arial"/>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pPr>
      <w:framePr w:wrap="auto"/>
    </w:pPr>
    <w:rPr>
      <w:i/>
    </w:rPr>
  </w:style>
  <w:style w:type="paragraph" w:customStyle="1" w:styleId="Space">
    <w:name w:val="Space"/>
    <w:basedOn w:val="Normal"/>
    <w:rsid w:val="00967CD3"/>
    <w:pPr>
      <w:keepNext/>
      <w:spacing w:line="120" w:lineRule="exact"/>
      <w:jc w:val="both"/>
    </w:pPr>
    <w:rPr>
      <w:rFonts w:ascii="Arial" w:hAnsi="Arial"/>
      <w:sz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rsid w:val="0013739A"/>
    <w:pPr>
      <w:spacing w:before="40"/>
    </w:pPr>
    <w:rPr>
      <w:rFonts w:cs="Arial"/>
      <w:color w:val="000000" w:themeColor="text1"/>
      <w14:textFill>
        <w14:solidFill>
          <w14:schemeClr w14:val="tx1">
            <w14:lumMod w14:val="50000"/>
            <w14:lumOff w14:val="50000"/>
            <w14:lumMod w14:val="50000"/>
            <w14:lumOff w14:val="50000"/>
          </w14:schemeClr>
        </w14:solidFill>
      </w14:textFill>
    </w:rPr>
  </w:style>
  <w:style w:type="character" w:customStyle="1" w:styleId="Heading2Char">
    <w:name w:val="Heading 2 Char"/>
    <w:basedOn w:val="DefaultParagraphFont"/>
    <w:link w:val="Heading2"/>
    <w:rsid w:val="00415F39"/>
    <w:rPr>
      <w:rFonts w:ascii="Arial" w:hAnsi="Arial"/>
      <w:b/>
      <w:sz w:val="32"/>
    </w:rPr>
  </w:style>
  <w:style w:type="character" w:styleId="Hyperlink">
    <w:name w:val="Hyperlink"/>
    <w:basedOn w:val="DefaultParagraphFont"/>
    <w:rsid w:val="00415F39"/>
    <w:rPr>
      <w:color w:val="78A22F" w:themeColor="hyperlink"/>
      <w:u w:val="single"/>
    </w:rPr>
  </w:style>
  <w:style w:type="table" w:styleId="TableGrid">
    <w:name w:val="Table Grid"/>
    <w:basedOn w:val="TableNormal"/>
    <w:rsid w:val="009F3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91500"/>
    <w:rPr>
      <w:rFonts w:ascii="Arial" w:hAnsi="Arial"/>
      <w:b/>
      <w:sz w:val="26"/>
    </w:rPr>
  </w:style>
  <w:style w:type="character" w:customStyle="1" w:styleId="FooterChar">
    <w:name w:val="Footer Char"/>
    <w:basedOn w:val="DefaultParagraphFont"/>
    <w:link w:val="Footer"/>
    <w:semiHidden/>
    <w:rsid w:val="009F6FCD"/>
    <w:rPr>
      <w:rFonts w:ascii="Arial" w:hAnsi="Arial"/>
      <w:caps/>
      <w:spacing w:val="-4"/>
      <w:sz w:val="16"/>
    </w:rPr>
  </w:style>
  <w:style w:type="character" w:customStyle="1" w:styleId="BodyTextChar">
    <w:name w:val="Body Text Char"/>
    <w:basedOn w:val="DefaultParagraphFont"/>
    <w:link w:val="BodyText"/>
    <w:rsid w:val="001F49AE"/>
    <w:rPr>
      <w:sz w:val="24"/>
    </w:rPr>
  </w:style>
  <w:style w:type="character" w:customStyle="1" w:styleId="CommentTextChar">
    <w:name w:val="Comment Text Char"/>
    <w:basedOn w:val="DefaultParagraphFont"/>
    <w:link w:val="CommentText"/>
    <w:semiHidden/>
    <w:rsid w:val="001F49AE"/>
    <w:rPr>
      <w:lang w:eastAsia="en-US"/>
    </w:rPr>
  </w:style>
  <w:style w:type="table" w:customStyle="1" w:styleId="TableGrid1">
    <w:name w:val="Table Grid1"/>
    <w:basedOn w:val="TableNormal"/>
    <w:next w:val="TableGrid"/>
    <w:uiPriority w:val="59"/>
    <w:rsid w:val="00211CE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NotTOC">
    <w:name w:val="Heading 1 Not TOC"/>
    <w:basedOn w:val="Heading1"/>
    <w:next w:val="BodyText"/>
    <w:rsid w:val="00C07D79"/>
    <w:rPr>
      <w:kern w:val="28"/>
      <w:szCs w:val="26"/>
      <w:lang w:eastAsia="en-US"/>
    </w:rPr>
  </w:style>
  <w:style w:type="character" w:customStyle="1" w:styleId="TOC1Char">
    <w:name w:val="TOC 1 Char"/>
    <w:basedOn w:val="DefaultParagraphFont"/>
    <w:link w:val="TOC1"/>
    <w:uiPriority w:val="39"/>
    <w:rsid w:val="00C07D79"/>
    <w:rPr>
      <w:rFonts w:ascii="Arial" w:hAnsi="Arial"/>
      <w:b/>
      <w:caps/>
      <w:sz w:val="26"/>
      <w:lang w:eastAsia="en-US"/>
    </w:rPr>
  </w:style>
  <w:style w:type="character" w:customStyle="1" w:styleId="ContinuedChar">
    <w:name w:val="Continued Char"/>
    <w:basedOn w:val="DefaultParagraphFont"/>
    <w:link w:val="Continued"/>
    <w:uiPriority w:val="99"/>
    <w:locked/>
    <w:rsid w:val="002E03AF"/>
    <w:rPr>
      <w:rFonts w:ascii="Arial" w:hAnsi="Arial"/>
      <w:sz w:val="18"/>
    </w:rPr>
  </w:style>
  <w:style w:type="paragraph" w:customStyle="1" w:styleId="Default">
    <w:name w:val="Default"/>
    <w:rsid w:val="00A72A50"/>
    <w:pPr>
      <w:autoSpaceDE w:val="0"/>
      <w:autoSpaceDN w:val="0"/>
      <w:adjustRightInd w:val="0"/>
    </w:pPr>
    <w:rPr>
      <w:rFonts w:ascii="Calibri" w:hAnsi="Calibri" w:cs="Calibri"/>
      <w:color w:val="000000"/>
      <w:sz w:val="24"/>
      <w:szCs w:val="24"/>
    </w:rPr>
  </w:style>
  <w:style w:type="character" w:styleId="Strong">
    <w:name w:val="Strong"/>
    <w:aliases w:val="Bold"/>
    <w:basedOn w:val="DefaultParagraphFont"/>
    <w:uiPriority w:val="2"/>
    <w:qFormat/>
    <w:rsid w:val="00426747"/>
    <w:rPr>
      <w:b/>
      <w:bCs/>
      <w:color w:val="auto"/>
    </w:rPr>
  </w:style>
  <w:style w:type="table" w:customStyle="1" w:styleId="ABAREStableleftalign">
    <w:name w:val="ABARES table (left align)"/>
    <w:basedOn w:val="TableNormal"/>
    <w:uiPriority w:val="99"/>
    <w:rsid w:val="00426747"/>
    <w:pPr>
      <w:contextualSpacing/>
    </w:pPr>
    <w:rPr>
      <w:rFonts w:ascii="Cambria" w:eastAsia="Calibri" w:hAnsi="Cambria"/>
      <w:sz w:val="19"/>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rPr>
        <w:b/>
      </w:rPr>
    </w:tblStylePr>
  </w:style>
  <w:style w:type="paragraph" w:customStyle="1" w:styleId="TableBoxtext">
    <w:name w:val="Table/Box text"/>
    <w:next w:val="Normal"/>
    <w:uiPriority w:val="27"/>
    <w:qFormat/>
    <w:rsid w:val="00426747"/>
    <w:rPr>
      <w:rFonts w:ascii="Cambria" w:eastAsia="Calibri" w:hAnsi="Cambria"/>
      <w:color w:val="000000" w:themeColor="text1"/>
      <w:sz w:val="19"/>
      <w:szCs w:val="22"/>
      <w:lang w:eastAsia="en-US"/>
    </w:rPr>
  </w:style>
  <w:style w:type="paragraph" w:styleId="CommentSubject">
    <w:name w:val="annotation subject"/>
    <w:basedOn w:val="CommentText"/>
    <w:next w:val="CommentText"/>
    <w:link w:val="CommentSubjectChar"/>
    <w:rsid w:val="00217BCD"/>
    <w:pPr>
      <w:spacing w:before="0" w:line="240" w:lineRule="auto"/>
      <w:ind w:left="0" w:firstLine="0"/>
    </w:pPr>
    <w:rPr>
      <w:b/>
      <w:bCs/>
    </w:rPr>
  </w:style>
  <w:style w:type="character" w:customStyle="1" w:styleId="CommentSubjectChar">
    <w:name w:val="Comment Subject Char"/>
    <w:basedOn w:val="CommentTextChar"/>
    <w:link w:val="CommentSubject"/>
    <w:rsid w:val="00217BCD"/>
    <w:rPr>
      <w:b/>
      <w:bCs/>
      <w:lang w:eastAsia="en-US"/>
    </w:rPr>
  </w:style>
  <w:style w:type="character" w:customStyle="1" w:styleId="FootnoteTextChar">
    <w:name w:val="Footnote Text Char"/>
    <w:basedOn w:val="DefaultParagraphFont"/>
    <w:link w:val="FootnoteText"/>
    <w:rsid w:val="00DE0CA4"/>
  </w:style>
  <w:style w:type="paragraph" w:styleId="Revision">
    <w:name w:val="Revision"/>
    <w:hidden/>
    <w:uiPriority w:val="99"/>
    <w:semiHidden/>
    <w:rsid w:val="005051E7"/>
    <w:rPr>
      <w:sz w:val="26"/>
      <w:lang w:eastAsia="en-US"/>
    </w:rPr>
  </w:style>
  <w:style w:type="paragraph" w:styleId="Bibliography">
    <w:name w:val="Bibliography"/>
    <w:basedOn w:val="Normal"/>
    <w:next w:val="Normal"/>
    <w:uiPriority w:val="37"/>
    <w:unhideWhenUsed/>
    <w:rsid w:val="005F71BF"/>
    <w:pPr>
      <w:spacing w:after="240"/>
      <w:ind w:left="720" w:hanging="720"/>
    </w:pPr>
  </w:style>
  <w:style w:type="paragraph" w:customStyle="1" w:styleId="BoxSpaceAboveElement">
    <w:name w:val="Box Space Above Element"/>
    <w:basedOn w:val="BoxSpaceAbove"/>
    <w:link w:val="BoxSpaceAboveElementChar"/>
    <w:qFormat/>
    <w:rsid w:val="000C53C8"/>
    <w:pPr>
      <w:spacing w:before="240"/>
    </w:pPr>
    <w:rPr>
      <w:b/>
      <w:vanish/>
      <w:color w:val="FF00FF"/>
      <w:sz w:val="14"/>
    </w:rPr>
  </w:style>
  <w:style w:type="character" w:customStyle="1" w:styleId="BoxSpaceAboveElementChar">
    <w:name w:val="Box Space Above Element Char"/>
    <w:basedOn w:val="DefaultParagraphFont"/>
    <w:link w:val="BoxSpaceAboveElement"/>
    <w:rsid w:val="000C53C8"/>
    <w:rPr>
      <w:b/>
      <w:vanish/>
      <w:color w:val="FF00FF"/>
      <w:sz w:val="14"/>
    </w:rPr>
  </w:style>
  <w:style w:type="character" w:customStyle="1" w:styleId="Heading4Char">
    <w:name w:val="Heading 4 Char"/>
    <w:basedOn w:val="DefaultParagraphFont"/>
    <w:link w:val="Heading4"/>
    <w:rsid w:val="00547B1D"/>
    <w:rPr>
      <w:rFonts w:ascii="Arial" w:hAnsi="Arial"/>
      <w:sz w:val="24"/>
    </w:rPr>
  </w:style>
  <w:style w:type="paragraph" w:styleId="NormalWeb">
    <w:name w:val="Normal (Web)"/>
    <w:basedOn w:val="Normal"/>
    <w:uiPriority w:val="99"/>
    <w:unhideWhenUsed/>
    <w:rsid w:val="00FD3567"/>
    <w:pPr>
      <w:spacing w:before="100" w:beforeAutospacing="1" w:after="100" w:afterAutospacing="1"/>
    </w:pPr>
    <w:rPr>
      <w:sz w:val="24"/>
      <w:szCs w:val="24"/>
      <w:lang w:eastAsia="en-AU"/>
    </w:rPr>
  </w:style>
  <w:style w:type="character" w:styleId="EndnoteReference">
    <w:name w:val="endnote reference"/>
    <w:basedOn w:val="DefaultParagraphFont"/>
    <w:rsid w:val="00255D8F"/>
    <w:rPr>
      <w:vertAlign w:val="superscript"/>
    </w:rPr>
  </w:style>
  <w:style w:type="character" w:customStyle="1" w:styleId="QuoteChar">
    <w:name w:val="Quote Char"/>
    <w:basedOn w:val="DefaultParagraphFont"/>
    <w:link w:val="Quote"/>
    <w:rsid w:val="00810999"/>
    <w:rPr>
      <w:sz w:val="22"/>
    </w:rPr>
  </w:style>
  <w:style w:type="paragraph" w:customStyle="1" w:styleId="Tablebullet2">
    <w:name w:val="Table bullet 2"/>
    <w:basedOn w:val="TableBullet"/>
    <w:rsid w:val="008A2ED0"/>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6939">
      <w:bodyDiv w:val="1"/>
      <w:marLeft w:val="0"/>
      <w:marRight w:val="0"/>
      <w:marTop w:val="0"/>
      <w:marBottom w:val="0"/>
      <w:divBdr>
        <w:top w:val="none" w:sz="0" w:space="0" w:color="auto"/>
        <w:left w:val="none" w:sz="0" w:space="0" w:color="auto"/>
        <w:bottom w:val="none" w:sz="0" w:space="0" w:color="auto"/>
        <w:right w:val="none" w:sz="0" w:space="0" w:color="auto"/>
      </w:divBdr>
    </w:div>
    <w:div w:id="298464444">
      <w:bodyDiv w:val="1"/>
      <w:marLeft w:val="0"/>
      <w:marRight w:val="0"/>
      <w:marTop w:val="0"/>
      <w:marBottom w:val="0"/>
      <w:divBdr>
        <w:top w:val="none" w:sz="0" w:space="0" w:color="auto"/>
        <w:left w:val="none" w:sz="0" w:space="0" w:color="auto"/>
        <w:bottom w:val="none" w:sz="0" w:space="0" w:color="auto"/>
        <w:right w:val="none" w:sz="0" w:space="0" w:color="auto"/>
      </w:divBdr>
    </w:div>
    <w:div w:id="362902060">
      <w:bodyDiv w:val="1"/>
      <w:marLeft w:val="0"/>
      <w:marRight w:val="0"/>
      <w:marTop w:val="0"/>
      <w:marBottom w:val="0"/>
      <w:divBdr>
        <w:top w:val="none" w:sz="0" w:space="0" w:color="auto"/>
        <w:left w:val="none" w:sz="0" w:space="0" w:color="auto"/>
        <w:bottom w:val="none" w:sz="0" w:space="0" w:color="auto"/>
        <w:right w:val="none" w:sz="0" w:space="0" w:color="auto"/>
      </w:divBdr>
    </w:div>
    <w:div w:id="391541283">
      <w:bodyDiv w:val="1"/>
      <w:marLeft w:val="0"/>
      <w:marRight w:val="0"/>
      <w:marTop w:val="0"/>
      <w:marBottom w:val="0"/>
      <w:divBdr>
        <w:top w:val="none" w:sz="0" w:space="0" w:color="auto"/>
        <w:left w:val="none" w:sz="0" w:space="0" w:color="auto"/>
        <w:bottom w:val="none" w:sz="0" w:space="0" w:color="auto"/>
        <w:right w:val="none" w:sz="0" w:space="0" w:color="auto"/>
      </w:divBdr>
    </w:div>
    <w:div w:id="643973320">
      <w:bodyDiv w:val="1"/>
      <w:marLeft w:val="0"/>
      <w:marRight w:val="0"/>
      <w:marTop w:val="0"/>
      <w:marBottom w:val="0"/>
      <w:divBdr>
        <w:top w:val="none" w:sz="0" w:space="0" w:color="auto"/>
        <w:left w:val="none" w:sz="0" w:space="0" w:color="auto"/>
        <w:bottom w:val="none" w:sz="0" w:space="0" w:color="auto"/>
        <w:right w:val="none" w:sz="0" w:space="0" w:color="auto"/>
      </w:divBdr>
    </w:div>
    <w:div w:id="677120729">
      <w:bodyDiv w:val="1"/>
      <w:marLeft w:val="0"/>
      <w:marRight w:val="0"/>
      <w:marTop w:val="0"/>
      <w:marBottom w:val="0"/>
      <w:divBdr>
        <w:top w:val="none" w:sz="0" w:space="0" w:color="auto"/>
        <w:left w:val="none" w:sz="0" w:space="0" w:color="auto"/>
        <w:bottom w:val="none" w:sz="0" w:space="0" w:color="auto"/>
        <w:right w:val="none" w:sz="0" w:space="0" w:color="auto"/>
      </w:divBdr>
    </w:div>
    <w:div w:id="683438224">
      <w:bodyDiv w:val="1"/>
      <w:marLeft w:val="0"/>
      <w:marRight w:val="0"/>
      <w:marTop w:val="0"/>
      <w:marBottom w:val="0"/>
      <w:divBdr>
        <w:top w:val="none" w:sz="0" w:space="0" w:color="auto"/>
        <w:left w:val="none" w:sz="0" w:space="0" w:color="auto"/>
        <w:bottom w:val="none" w:sz="0" w:space="0" w:color="auto"/>
        <w:right w:val="none" w:sz="0" w:space="0" w:color="auto"/>
      </w:divBdr>
      <w:divsChild>
        <w:div w:id="488980792">
          <w:marLeft w:val="0"/>
          <w:marRight w:val="0"/>
          <w:marTop w:val="0"/>
          <w:marBottom w:val="0"/>
          <w:divBdr>
            <w:top w:val="none" w:sz="0" w:space="0" w:color="auto"/>
            <w:left w:val="none" w:sz="0" w:space="0" w:color="auto"/>
            <w:bottom w:val="none" w:sz="0" w:space="0" w:color="auto"/>
            <w:right w:val="none" w:sz="0" w:space="0" w:color="auto"/>
          </w:divBdr>
          <w:divsChild>
            <w:div w:id="1804425830">
              <w:marLeft w:val="0"/>
              <w:marRight w:val="0"/>
              <w:marTop w:val="0"/>
              <w:marBottom w:val="0"/>
              <w:divBdr>
                <w:top w:val="none" w:sz="0" w:space="0" w:color="auto"/>
                <w:left w:val="none" w:sz="0" w:space="0" w:color="auto"/>
                <w:bottom w:val="none" w:sz="0" w:space="0" w:color="auto"/>
                <w:right w:val="none" w:sz="0" w:space="0" w:color="auto"/>
              </w:divBdr>
              <w:divsChild>
                <w:div w:id="943535674">
                  <w:marLeft w:val="0"/>
                  <w:marRight w:val="0"/>
                  <w:marTop w:val="0"/>
                  <w:marBottom w:val="0"/>
                  <w:divBdr>
                    <w:top w:val="none" w:sz="0" w:space="0" w:color="auto"/>
                    <w:left w:val="none" w:sz="0" w:space="0" w:color="auto"/>
                    <w:bottom w:val="none" w:sz="0" w:space="0" w:color="auto"/>
                    <w:right w:val="none" w:sz="0" w:space="0" w:color="auto"/>
                  </w:divBdr>
                  <w:divsChild>
                    <w:div w:id="1186409863">
                      <w:marLeft w:val="-225"/>
                      <w:marRight w:val="-225"/>
                      <w:marTop w:val="0"/>
                      <w:marBottom w:val="0"/>
                      <w:divBdr>
                        <w:top w:val="none" w:sz="0" w:space="0" w:color="auto"/>
                        <w:left w:val="none" w:sz="0" w:space="0" w:color="auto"/>
                        <w:bottom w:val="none" w:sz="0" w:space="0" w:color="auto"/>
                        <w:right w:val="none" w:sz="0" w:space="0" w:color="auto"/>
                      </w:divBdr>
                      <w:divsChild>
                        <w:div w:id="859128178">
                          <w:marLeft w:val="0"/>
                          <w:marRight w:val="0"/>
                          <w:marTop w:val="0"/>
                          <w:marBottom w:val="0"/>
                          <w:divBdr>
                            <w:top w:val="none" w:sz="0" w:space="0" w:color="auto"/>
                            <w:left w:val="none" w:sz="0" w:space="0" w:color="auto"/>
                            <w:bottom w:val="none" w:sz="0" w:space="0" w:color="auto"/>
                            <w:right w:val="none" w:sz="0" w:space="0" w:color="auto"/>
                          </w:divBdr>
                          <w:divsChild>
                            <w:div w:id="8390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17717">
      <w:bodyDiv w:val="1"/>
      <w:marLeft w:val="0"/>
      <w:marRight w:val="0"/>
      <w:marTop w:val="0"/>
      <w:marBottom w:val="0"/>
      <w:divBdr>
        <w:top w:val="none" w:sz="0" w:space="0" w:color="auto"/>
        <w:left w:val="none" w:sz="0" w:space="0" w:color="auto"/>
        <w:bottom w:val="none" w:sz="0" w:space="0" w:color="auto"/>
        <w:right w:val="none" w:sz="0" w:space="0" w:color="auto"/>
      </w:divBdr>
    </w:div>
    <w:div w:id="734549823">
      <w:bodyDiv w:val="1"/>
      <w:marLeft w:val="0"/>
      <w:marRight w:val="0"/>
      <w:marTop w:val="0"/>
      <w:marBottom w:val="0"/>
      <w:divBdr>
        <w:top w:val="none" w:sz="0" w:space="0" w:color="auto"/>
        <w:left w:val="none" w:sz="0" w:space="0" w:color="auto"/>
        <w:bottom w:val="none" w:sz="0" w:space="0" w:color="auto"/>
        <w:right w:val="none" w:sz="0" w:space="0" w:color="auto"/>
      </w:divBdr>
    </w:div>
    <w:div w:id="1038895915">
      <w:bodyDiv w:val="1"/>
      <w:marLeft w:val="0"/>
      <w:marRight w:val="0"/>
      <w:marTop w:val="0"/>
      <w:marBottom w:val="0"/>
      <w:divBdr>
        <w:top w:val="none" w:sz="0" w:space="0" w:color="auto"/>
        <w:left w:val="none" w:sz="0" w:space="0" w:color="auto"/>
        <w:bottom w:val="none" w:sz="0" w:space="0" w:color="auto"/>
        <w:right w:val="none" w:sz="0" w:space="0" w:color="auto"/>
      </w:divBdr>
    </w:div>
    <w:div w:id="1243417684">
      <w:bodyDiv w:val="1"/>
      <w:marLeft w:val="0"/>
      <w:marRight w:val="0"/>
      <w:marTop w:val="0"/>
      <w:marBottom w:val="0"/>
      <w:divBdr>
        <w:top w:val="none" w:sz="0" w:space="0" w:color="auto"/>
        <w:left w:val="none" w:sz="0" w:space="0" w:color="auto"/>
        <w:bottom w:val="none" w:sz="0" w:space="0" w:color="auto"/>
        <w:right w:val="none" w:sz="0" w:space="0" w:color="auto"/>
      </w:divBdr>
    </w:div>
    <w:div w:id="1591155855">
      <w:bodyDiv w:val="1"/>
      <w:marLeft w:val="0"/>
      <w:marRight w:val="0"/>
      <w:marTop w:val="0"/>
      <w:marBottom w:val="0"/>
      <w:divBdr>
        <w:top w:val="none" w:sz="0" w:space="0" w:color="auto"/>
        <w:left w:val="none" w:sz="0" w:space="0" w:color="auto"/>
        <w:bottom w:val="none" w:sz="0" w:space="0" w:color="auto"/>
        <w:right w:val="none" w:sz="0" w:space="0" w:color="auto"/>
      </w:divBdr>
    </w:div>
    <w:div w:id="1598250675">
      <w:bodyDiv w:val="1"/>
      <w:marLeft w:val="0"/>
      <w:marRight w:val="0"/>
      <w:marTop w:val="0"/>
      <w:marBottom w:val="0"/>
      <w:divBdr>
        <w:top w:val="none" w:sz="0" w:space="0" w:color="auto"/>
        <w:left w:val="none" w:sz="0" w:space="0" w:color="auto"/>
        <w:bottom w:val="none" w:sz="0" w:space="0" w:color="auto"/>
        <w:right w:val="none" w:sz="0" w:space="0" w:color="auto"/>
      </w:divBdr>
    </w:div>
    <w:div w:id="1846901034">
      <w:bodyDiv w:val="1"/>
      <w:marLeft w:val="0"/>
      <w:marRight w:val="0"/>
      <w:marTop w:val="0"/>
      <w:marBottom w:val="0"/>
      <w:divBdr>
        <w:top w:val="none" w:sz="0" w:space="0" w:color="auto"/>
        <w:left w:val="none" w:sz="0" w:space="0" w:color="auto"/>
        <w:bottom w:val="none" w:sz="0" w:space="0" w:color="auto"/>
        <w:right w:val="none" w:sz="0" w:space="0" w:color="auto"/>
      </w:divBdr>
    </w:div>
    <w:div w:id="1865631258">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39291794">
      <w:bodyDiv w:val="1"/>
      <w:marLeft w:val="0"/>
      <w:marRight w:val="0"/>
      <w:marTop w:val="0"/>
      <w:marBottom w:val="0"/>
      <w:divBdr>
        <w:top w:val="none" w:sz="0" w:space="0" w:color="auto"/>
        <w:left w:val="none" w:sz="0" w:space="0" w:color="auto"/>
        <w:bottom w:val="none" w:sz="0" w:space="0" w:color="auto"/>
        <w:right w:val="none" w:sz="0" w:space="0" w:color="auto"/>
      </w:divBdr>
      <w:divsChild>
        <w:div w:id="364018406">
          <w:marLeft w:val="0"/>
          <w:marRight w:val="0"/>
          <w:marTop w:val="0"/>
          <w:marBottom w:val="0"/>
          <w:divBdr>
            <w:top w:val="none" w:sz="0" w:space="0" w:color="auto"/>
            <w:left w:val="none" w:sz="0" w:space="0" w:color="auto"/>
            <w:bottom w:val="none" w:sz="0" w:space="0" w:color="auto"/>
            <w:right w:val="none" w:sz="0" w:space="0" w:color="auto"/>
          </w:divBdr>
          <w:divsChild>
            <w:div w:id="196700615">
              <w:marLeft w:val="0"/>
              <w:marRight w:val="0"/>
              <w:marTop w:val="0"/>
              <w:marBottom w:val="0"/>
              <w:divBdr>
                <w:top w:val="none" w:sz="0" w:space="0" w:color="auto"/>
                <w:left w:val="none" w:sz="0" w:space="0" w:color="auto"/>
                <w:bottom w:val="none" w:sz="0" w:space="0" w:color="auto"/>
                <w:right w:val="none" w:sz="0" w:space="0" w:color="auto"/>
              </w:divBdr>
              <w:divsChild>
                <w:div w:id="1786537157">
                  <w:marLeft w:val="0"/>
                  <w:marRight w:val="0"/>
                  <w:marTop w:val="0"/>
                  <w:marBottom w:val="0"/>
                  <w:divBdr>
                    <w:top w:val="none" w:sz="0" w:space="0" w:color="auto"/>
                    <w:left w:val="none" w:sz="0" w:space="0" w:color="auto"/>
                    <w:bottom w:val="none" w:sz="0" w:space="0" w:color="auto"/>
                    <w:right w:val="none" w:sz="0" w:space="0" w:color="auto"/>
                  </w:divBdr>
                  <w:divsChild>
                    <w:div w:id="1020666034">
                      <w:marLeft w:val="-225"/>
                      <w:marRight w:val="-225"/>
                      <w:marTop w:val="0"/>
                      <w:marBottom w:val="0"/>
                      <w:divBdr>
                        <w:top w:val="none" w:sz="0" w:space="0" w:color="auto"/>
                        <w:left w:val="none" w:sz="0" w:space="0" w:color="auto"/>
                        <w:bottom w:val="none" w:sz="0" w:space="0" w:color="auto"/>
                        <w:right w:val="none" w:sz="0" w:space="0" w:color="auto"/>
                      </w:divBdr>
                      <w:divsChild>
                        <w:div w:id="1635136497">
                          <w:marLeft w:val="0"/>
                          <w:marRight w:val="0"/>
                          <w:marTop w:val="0"/>
                          <w:marBottom w:val="0"/>
                          <w:divBdr>
                            <w:top w:val="none" w:sz="0" w:space="0" w:color="auto"/>
                            <w:left w:val="none" w:sz="0" w:space="0" w:color="auto"/>
                            <w:bottom w:val="none" w:sz="0" w:space="0" w:color="auto"/>
                            <w:right w:val="none" w:sz="0" w:space="0" w:color="auto"/>
                          </w:divBdr>
                          <w:divsChild>
                            <w:div w:id="14449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666802">
      <w:bodyDiv w:val="1"/>
      <w:marLeft w:val="0"/>
      <w:marRight w:val="0"/>
      <w:marTop w:val="0"/>
      <w:marBottom w:val="0"/>
      <w:divBdr>
        <w:top w:val="none" w:sz="0" w:space="0" w:color="auto"/>
        <w:left w:val="none" w:sz="0" w:space="0" w:color="auto"/>
        <w:bottom w:val="none" w:sz="0" w:space="0" w:color="auto"/>
        <w:right w:val="none" w:sz="0" w:space="0" w:color="auto"/>
      </w:divBdr>
    </w:div>
    <w:div w:id="201984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9.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hyperlink" Target="mailto:agriculture@pc.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eader" Target="header5.xml"/><Relationship Id="rId32" Type="http://schemas.openxmlformats.org/officeDocument/2006/relationships/hyperlink" Target="http://www.w3.org/TR/WCAG20/"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eader" Target="header10.xml"/><Relationship Id="rId10" Type="http://schemas.openxmlformats.org/officeDocument/2006/relationships/styles" Target="styles.xml"/><Relationship Id="rId19" Type="http://schemas.openxmlformats.org/officeDocument/2006/relationships/hyperlink" Target="mailto:agriculture@pc.gov.au" TargetMode="External"/><Relationship Id="rId31" Type="http://schemas.openxmlformats.org/officeDocument/2006/relationships/hyperlink" Target="http://www.w3.org/TR/WCAG20/"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1.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6.xm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4" PreviousValue="false"/>
</file>

<file path=customXml/item3.xml><?xml version="1.0" encoding="utf-8"?>
<ct:contentTypeSchema xmlns:ct="http://schemas.microsoft.com/office/2006/metadata/contentType" xmlns:ma="http://schemas.microsoft.com/office/2006/metadata/properties/metaAttributes" ct:_="" ma:_="" ma:contentTypeName="Reports" ma:contentTypeID="0x0101007916246811615643A710C6FEAFF56A87110400744569953EEE1B499705EE570A857A44" ma:contentTypeVersion="0" ma:contentTypeDescription="" ma:contentTypeScope="" ma:versionID="81ff51a7e2413932456977bb30772818">
  <xsd:schema xmlns:xsd="http://www.w3.org/2001/XMLSchema" xmlns:xs="http://www.w3.org/2001/XMLSchema" xmlns:p="http://schemas.microsoft.com/office/2006/metadata/properties" xmlns:ns2="3f4bcce7-ac1a-4c9d-aa3e-7e77695652db" targetNamespace="http://schemas.microsoft.com/office/2006/metadata/properties" ma:root="true" ma:fieldsID="f7cf6c2d677dd2019797edb9bc980b32"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quiredMultiChoice="tru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raft_x0020_Report_x0020_Status xmlns="3f4bcce7-ac1a-4c9d-aa3e-7e77695652db">
      <Value>Post compile edits in</Value>
    </Draft_x0020_Report_x0020_Status>
    <TaxKeywordTaxHTField xmlns="3f4bcce7-ac1a-4c9d-aa3e-7e77695652db">
      <Terms xmlns="http://schemas.microsoft.com/office/infopath/2007/PartnerControls">
        <TermInfo xmlns="http://schemas.microsoft.com/office/infopath/2007/PartnerControls">
          <TermName xmlns="http://schemas.microsoft.com/office/infopath/2007/PartnerControls">Agriculture</TermName>
          <TermId xmlns="http://schemas.microsoft.com/office/infopath/2007/PartnerControls">4265576e-1b24-4850-893e-2f2443114b26</TermId>
        </TermInfo>
        <TermInfo xmlns="http://schemas.microsoft.com/office/infopath/2007/PartnerControls">
          <TermName xmlns="http://schemas.microsoft.com/office/infopath/2007/PartnerControls">Regulation</TermName>
          <TermId xmlns="http://schemas.microsoft.com/office/infopath/2007/PartnerControls">b552559f-be75-414e-911d-99b5b7c3eddd</TermId>
        </TermInfo>
        <TermInfo xmlns="http://schemas.microsoft.com/office/infopath/2007/PartnerControls">
          <TermName xmlns="http://schemas.microsoft.com/office/infopath/2007/PartnerControls">Issues Paper</TermName>
          <TermId xmlns="http://schemas.microsoft.com/office/infopath/2007/PartnerControls">36385256-9409-4566-b304-2918de0a4ddd</TermId>
        </TermInfo>
        <TermInfo xmlns="http://schemas.microsoft.com/office/infopath/2007/PartnerControls">
          <TermName xmlns="http://schemas.microsoft.com/office/infopath/2007/PartnerControls">MAPS</TermName>
          <TermId xmlns="http://schemas.microsoft.com/office/infopath/2007/PartnerControls">270fdb04-79b0-4781-98af-3ef6c55b205b</TermId>
        </TermInfo>
      </Term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Position Papers</TermName>
          <TermId xmlns="http://schemas.microsoft.com/office/infopath/2007/PartnerControls">f7c6d104-d621-4ac8-bd3b-7be977714a55</TermId>
        </TermInfo>
      </Terms>
    </p7a0baa8c88445a78b6f55906390ba17>
    <TaxCatchAll xmlns="3f4bcce7-ac1a-4c9d-aa3e-7e77695652db">
      <Value>25</Value>
      <Value>804</Value>
      <Value>208</Value>
      <Value>802</Value>
      <Value>803</Value>
    </TaxCatchAl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1263F-B47D-41E4-A6EC-161C316B4B17}"/>
</file>

<file path=customXml/itemProps2.xml><?xml version="1.0" encoding="utf-8"?>
<ds:datastoreItem xmlns:ds="http://schemas.openxmlformats.org/officeDocument/2006/customXml" ds:itemID="{B7C5FB56-CF49-46F6-8EA1-3BE6123B980F}"/>
</file>

<file path=customXml/itemProps3.xml><?xml version="1.0" encoding="utf-8"?>
<ds:datastoreItem xmlns:ds="http://schemas.openxmlformats.org/officeDocument/2006/customXml" ds:itemID="{DA9BB0F0-3920-4AD7-AB1E-D01A22105DCB}"/>
</file>

<file path=customXml/itemProps4.xml><?xml version="1.0" encoding="utf-8"?>
<ds:datastoreItem xmlns:ds="http://schemas.openxmlformats.org/officeDocument/2006/customXml" ds:itemID="{D2F76772-1BD7-4F55-B86C-37EFBF157006}"/>
</file>

<file path=customXml/itemProps5.xml><?xml version="1.0" encoding="utf-8"?>
<ds:datastoreItem xmlns:ds="http://schemas.openxmlformats.org/officeDocument/2006/customXml" ds:itemID="{449EFB86-6CD2-4003-9FCA-A153172499BC}"/>
</file>

<file path=customXml/itemProps6.xml><?xml version="1.0" encoding="utf-8"?>
<ds:datastoreItem xmlns:ds="http://schemas.openxmlformats.org/officeDocument/2006/customXml" ds:itemID="{DAA895AB-ECB1-431B-84AE-6AE426F1D506}"/>
</file>

<file path=customXml/itemProps7.xml><?xml version="1.0" encoding="utf-8"?>
<ds:datastoreItem xmlns:ds="http://schemas.openxmlformats.org/officeDocument/2006/customXml" ds:itemID="{967FD7A0-42B5-462B-BF3A-3C4748A28BA8}"/>
</file>

<file path=customXml/itemProps8.xml><?xml version="1.0" encoding="utf-8"?>
<ds:datastoreItem xmlns:ds="http://schemas.openxmlformats.org/officeDocument/2006/customXml" ds:itemID="{80BFEF59-96DD-4F4B-BFE9-B006CFAAFE48}"/>
</file>

<file path=docProps/app.xml><?xml version="1.0" encoding="utf-8"?>
<Properties xmlns="http://schemas.openxmlformats.org/officeDocument/2006/extended-properties" xmlns:vt="http://schemas.openxmlformats.org/officeDocument/2006/docPropsVTypes">
  <Template>Normal</Template>
  <TotalTime>13</TotalTime>
  <Pages>35</Pages>
  <Words>10883</Words>
  <Characters>62034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Issues Paper (Ag reg burdens)</vt:lpstr>
    </vt:vector>
  </TitlesOfParts>
  <Company>Productivity Commission</Company>
  <LinksUpToDate>false</LinksUpToDate>
  <CharactersWithSpaces>72772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Paper - Regulation of Australian Agriculture MAPS FINAL</dc:title>
  <dc:subject>Report</dc:subject>
  <dc:creator>Productivity Commission</dc:creator>
  <cp:keywords>Agriculture; Regulation; MAPS; Issues Paper</cp:keywords>
  <dc:description>1.</dc:description>
  <cp:lastModifiedBy>Timol, Isfaaq</cp:lastModifiedBy>
  <cp:revision>11</cp:revision>
  <cp:lastPrinted>2015-12-18T05:59:00Z</cp:lastPrinted>
  <dcterms:created xsi:type="dcterms:W3CDTF">2015-12-20T23:56:00Z</dcterms:created>
  <dcterms:modified xsi:type="dcterms:W3CDTF">2015-12-21T00:45:00Z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2">
    <vt:lpwstr>lue="true"/&gt;&lt;pref name="automaticJournalAbbreviations" value="true"/&gt;&lt;pref name="noteType" value="0"/&gt;&lt;/prefs&gt;&lt;/data&gt;</vt:lpwstr>
  </property>
  <property fmtid="{D5CDD505-2E9C-101B-9397-08002B2CF9AE}" pid="3" name="ContentTypeId">
    <vt:lpwstr>0x0101007916246811615643A710C6FEAFF56A87110400744569953EEE1B499705EE570A857A44</vt:lpwstr>
  </property>
  <property fmtid="{D5CDD505-2E9C-101B-9397-08002B2CF9AE}" pid="4" name="Record Tag">
    <vt:lpwstr>25;#Position Papers|f7c6d104-d621-4ac8-bd3b-7be977714a55</vt:lpwstr>
  </property>
  <property fmtid="{D5CDD505-2E9C-101B-9397-08002B2CF9AE}" pid="5" name="TaxKeyword">
    <vt:lpwstr>804;#Agriculture|4265576e-1b24-4850-893e-2f2443114b26;#803;#Regulation|b552559f-be75-414e-911d-99b5b7c3eddd;#802;#Issues Paper|36385256-9409-4566-b304-2918de0a4ddd;#208;#MAPS|270fdb04-79b0-4781-98af-3ef6c55b205b</vt:lpwstr>
  </property>
  <property fmtid="{D5CDD505-2E9C-101B-9397-08002B2CF9AE}" pid="6" name="ZOTERO_PREF_1">
    <vt:lpwstr>&lt;data data-version="3" zotero-version="4.0.20"&gt;&lt;session id="2uOgygJk"/&gt;&lt;style id="http://www.zotero.org/styles/unisa-harvard" hasBibliography="1" bibliographyStyleHasBeenSet="1"/&gt;&lt;prefs&gt;&lt;pref name="fieldType" value="Field"/&gt;&lt;pref name="storeReferences" va</vt:lpwstr>
  </property>
</Properties>
</file>