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4" w:rsidRPr="00B259D4" w:rsidRDefault="004D6607" w:rsidP="003970DA">
      <w:pPr>
        <w:pStyle w:val="Heading1"/>
        <w:spacing w:after="36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bookmarkStart w:id="0" w:name="ChapterTitle"/>
      <w:r w:rsidRPr="00B259D4">
        <w:rPr>
          <w:rFonts w:asciiTheme="majorHAnsi" w:hAnsiTheme="majorHAnsi" w:cstheme="majorHAnsi"/>
          <w:b/>
          <w:sz w:val="24"/>
          <w:szCs w:val="24"/>
        </w:rPr>
        <w:t>Erratum</w:t>
      </w:r>
      <w:bookmarkEnd w:id="0"/>
      <w:r w:rsidR="00B259D4" w:rsidRPr="00B259D4">
        <w:rPr>
          <w:rFonts w:asciiTheme="majorHAnsi" w:hAnsiTheme="majorHAnsi" w:cstheme="majorHAnsi"/>
          <w:b/>
          <w:sz w:val="24"/>
          <w:szCs w:val="24"/>
        </w:rPr>
        <w:t xml:space="preserve">: Productivity Commission 2015, </w:t>
      </w:r>
      <w:r w:rsidR="00B259D4" w:rsidRPr="002D2A46">
        <w:rPr>
          <w:rFonts w:asciiTheme="majorHAnsi" w:hAnsiTheme="majorHAnsi" w:cstheme="majorHAnsi"/>
          <w:b/>
          <w:i/>
          <w:sz w:val="24"/>
          <w:szCs w:val="24"/>
        </w:rPr>
        <w:t>Public Housing Assistance and Employment in Australia</w:t>
      </w:r>
      <w:r w:rsidR="00B259D4" w:rsidRPr="00B259D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3970DA">
        <w:rPr>
          <w:rFonts w:asciiTheme="majorHAnsi" w:hAnsiTheme="majorHAnsi" w:cstheme="majorHAnsi"/>
          <w:b/>
          <w:sz w:val="24"/>
          <w:szCs w:val="24"/>
        </w:rPr>
        <w:t xml:space="preserve">Volume 1: Chapters, </w:t>
      </w:r>
      <w:r w:rsidR="00B259D4" w:rsidRPr="00B259D4">
        <w:rPr>
          <w:rFonts w:asciiTheme="majorHAnsi" w:hAnsiTheme="majorHAnsi" w:cstheme="majorHAnsi"/>
          <w:b/>
          <w:sz w:val="24"/>
          <w:szCs w:val="24"/>
        </w:rPr>
        <w:t>Commission Research Paper, Canberra (p. 29)</w:t>
      </w:r>
    </w:p>
    <w:p w:rsidR="00336DA8" w:rsidRDefault="00336DA8" w:rsidP="004D6607">
      <w:pPr>
        <w:pStyle w:val="BodyText"/>
      </w:pPr>
      <w:bookmarkStart w:id="1" w:name="begin"/>
      <w:bookmarkStart w:id="2" w:name="_GoBack"/>
      <w:bookmarkEnd w:id="1"/>
      <w:r>
        <w:t xml:space="preserve">The Commission has identified several incorrect values </w:t>
      </w:r>
      <w:r w:rsidR="004D6607">
        <w:t xml:space="preserve">that </w:t>
      </w:r>
      <w:r>
        <w:t xml:space="preserve">were reported in the descriptive statistics for young ISP recipients living at home at 30 June 2013 (table 3.3 on page 29 of the report). </w:t>
      </w:r>
      <w:r w:rsidR="00414239">
        <w:t>All values have been revised and the</w:t>
      </w:r>
      <w:r>
        <w:t xml:space="preserve"> amended table is provided below. The changes do not alter the conclusions in the accompanying text.</w:t>
      </w:r>
      <w:r w:rsidR="002D2A46">
        <w:t xml:space="preserve"> </w:t>
      </w:r>
      <w:r w:rsidR="002D2A46" w:rsidRPr="002D2A46">
        <w:t>The website version of this publication has been amended to reflect this erratum</w:t>
      </w:r>
      <w:bookmarkEnd w:id="2"/>
      <w:r w:rsidR="002D2A46" w:rsidRPr="002D2A46">
        <w:t>.</w:t>
      </w:r>
    </w:p>
    <w:p w:rsidR="004D6607" w:rsidRDefault="004D6607" w:rsidP="003970DA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3F6F7A" w:rsidRPr="00BC3667" w:rsidTr="00331A7E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:rsidR="003F6F7A" w:rsidRDefault="003F6F7A" w:rsidP="00331A7E">
            <w:pPr>
              <w:pStyle w:val="TableTitle"/>
            </w:pPr>
            <w:r>
              <w:rPr>
                <w:b w:val="0"/>
              </w:rPr>
              <w:t xml:space="preserve">Table </w:t>
            </w:r>
            <w:bookmarkStart w:id="3" w:name="OLE_LINK14"/>
            <w:r>
              <w:rPr>
                <w:b w:val="0"/>
              </w:rPr>
              <w:fldChar w:fldCharType="begin" w:fldLock="1"/>
            </w:r>
            <w:r>
              <w:rPr>
                <w:b w:val="0"/>
              </w:rPr>
              <w:instrText xml:space="preserve"> COMMENTS  \* MERGEFORMAT 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3.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fldChar w:fldCharType="begin" w:fldLock="1"/>
            </w:r>
            <w:r>
              <w:rPr>
                <w:b w:val="0"/>
              </w:rPr>
              <w:instrText xml:space="preserve"> SEQ Table \* ARABIC 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3</w:t>
            </w:r>
            <w:r>
              <w:rPr>
                <w:b w:val="0"/>
              </w:rPr>
              <w:fldChar w:fldCharType="end"/>
            </w:r>
            <w:bookmarkEnd w:id="3"/>
            <w:r>
              <w:tab/>
              <w:t>Characteristics of young ISP recipients living at home at 30 June 2013</w:t>
            </w:r>
          </w:p>
          <w:p w:rsidR="003F6F7A" w:rsidRPr="00BC3667" w:rsidRDefault="003F6F7A" w:rsidP="00331A7E">
            <w:pPr>
              <w:pStyle w:val="Subtitle"/>
            </w:pPr>
            <w:r>
              <w:t>Per cent of ISP recipients aged 16–24 within each tenure</w:t>
            </w:r>
          </w:p>
        </w:tc>
      </w:tr>
      <w:tr w:rsidR="003F6F7A" w:rsidTr="00331A7E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1275"/>
              <w:gridCol w:w="1421"/>
              <w:gridCol w:w="1419"/>
            </w:tblGrid>
            <w:tr w:rsidR="003F6F7A" w:rsidTr="00331A7E">
              <w:tc>
                <w:tcPr>
                  <w:tcW w:w="2576" w:type="pct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:rsidR="003F6F7A" w:rsidRDefault="003F6F7A" w:rsidP="00331A7E">
                  <w:pPr>
                    <w:pStyle w:val="TableColumnHeading"/>
                    <w:jc w:val="left"/>
                  </w:pPr>
                </w:p>
              </w:tc>
              <w:tc>
                <w:tcPr>
                  <w:tcW w:w="751" w:type="pct"/>
                  <w:tcBorders>
                    <w:top w:val="single" w:sz="6" w:space="0" w:color="BFBFBF"/>
                    <w:bottom w:val="single" w:sz="6" w:space="0" w:color="BFBFBF"/>
                  </w:tcBorders>
                  <w:vAlign w:val="bottom"/>
                </w:tcPr>
                <w:p w:rsidR="003F6F7A" w:rsidRPr="004D6607" w:rsidRDefault="003F6F7A" w:rsidP="004D6607">
                  <w:pPr>
                    <w:pStyle w:val="TableColumnHeading"/>
                  </w:pPr>
                  <w:r w:rsidRPr="004D6607">
                    <w:t xml:space="preserve">Renter with </w:t>
                  </w:r>
                  <w:proofErr w:type="spellStart"/>
                  <w:r w:rsidRPr="004D6607">
                    <w:t>CRA</w:t>
                  </w:r>
                  <w:proofErr w:type="spellEnd"/>
                </w:p>
              </w:tc>
              <w:tc>
                <w:tcPr>
                  <w:tcW w:w="837" w:type="pct"/>
                  <w:tcBorders>
                    <w:top w:val="single" w:sz="6" w:space="0" w:color="BFBFBF"/>
                    <w:bottom w:val="single" w:sz="6" w:space="0" w:color="BFBFBF"/>
                  </w:tcBorders>
                  <w:vAlign w:val="bottom"/>
                </w:tcPr>
                <w:p w:rsidR="003F6F7A" w:rsidRPr="004D6607" w:rsidRDefault="003F6F7A" w:rsidP="004D6607">
                  <w:pPr>
                    <w:pStyle w:val="TableColumnHeading"/>
                  </w:pPr>
                  <w:r w:rsidRPr="004D6607">
                    <w:t xml:space="preserve">Public </w:t>
                  </w:r>
                  <w:r w:rsidR="00B259D4">
                    <w:br/>
                  </w:r>
                  <w:r w:rsidRPr="004D6607">
                    <w:t>housing</w:t>
                  </w:r>
                </w:p>
              </w:tc>
              <w:tc>
                <w:tcPr>
                  <w:tcW w:w="836" w:type="pct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  <w:vAlign w:val="bottom"/>
                </w:tcPr>
                <w:p w:rsidR="003F6F7A" w:rsidRPr="004D6607" w:rsidRDefault="003F6F7A" w:rsidP="004D6607">
                  <w:pPr>
                    <w:pStyle w:val="TableColumnHeading"/>
                  </w:pPr>
                  <w:r w:rsidRPr="004D6607">
                    <w:t>No housing assistance</w:t>
                  </w:r>
                </w:p>
              </w:tc>
            </w:tr>
            <w:tr w:rsidR="003F6F7A" w:rsidRPr="00206DE1" w:rsidTr="00331A7E">
              <w:tc>
                <w:tcPr>
                  <w:tcW w:w="2576" w:type="pct"/>
                  <w:vAlign w:val="bottom"/>
                </w:tcPr>
                <w:p w:rsidR="003F6F7A" w:rsidRPr="00206DE1" w:rsidRDefault="003F6F7A" w:rsidP="00331A7E">
                  <w:pPr>
                    <w:pStyle w:val="TableBodyText"/>
                    <w:spacing w:before="40"/>
                    <w:jc w:val="left"/>
                    <w:rPr>
                      <w:i/>
                    </w:rPr>
                  </w:pPr>
                  <w:r w:rsidRPr="00206DE1">
                    <w:rPr>
                      <w:rFonts w:cs="Arial"/>
                      <w:i/>
                      <w:szCs w:val="18"/>
                      <w:lang w:eastAsia="en-US"/>
                    </w:rPr>
                    <w:t>Employed</w:t>
                  </w:r>
                </w:p>
              </w:tc>
              <w:tc>
                <w:tcPr>
                  <w:tcW w:w="751" w:type="pct"/>
                  <w:vAlign w:val="bottom"/>
                </w:tcPr>
                <w:p w:rsidR="003F6F7A" w:rsidRPr="00551E1B" w:rsidRDefault="00551E1B" w:rsidP="004D6607">
                  <w:pPr>
                    <w:pStyle w:val="TableBodyText"/>
                  </w:pPr>
                  <w:r>
                    <w:t>19.1</w:t>
                  </w:r>
                </w:p>
              </w:tc>
              <w:tc>
                <w:tcPr>
                  <w:tcW w:w="837" w:type="pct"/>
                  <w:vAlign w:val="bottom"/>
                </w:tcPr>
                <w:p w:rsidR="003F6F7A" w:rsidRPr="00551E1B" w:rsidRDefault="00551E1B" w:rsidP="004D6607">
                  <w:pPr>
                    <w:pStyle w:val="TableBodyText"/>
                  </w:pPr>
                  <w:r>
                    <w:t>13.7</w:t>
                  </w:r>
                </w:p>
              </w:tc>
              <w:tc>
                <w:tcPr>
                  <w:tcW w:w="836" w:type="pct"/>
                  <w:vAlign w:val="bottom"/>
                </w:tcPr>
                <w:p w:rsidR="003F6F7A" w:rsidRPr="00551E1B" w:rsidRDefault="00551E1B" w:rsidP="004D6607">
                  <w:pPr>
                    <w:pStyle w:val="TableBodyText"/>
                  </w:pPr>
                  <w:r>
                    <w:t>24.1</w:t>
                  </w:r>
                </w:p>
              </w:tc>
            </w:tr>
            <w:tr w:rsidR="003F6F7A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3F6F7A" w:rsidRDefault="003F6F7A" w:rsidP="00331A7E">
                  <w:pPr>
                    <w:pStyle w:val="TableBodyText"/>
                    <w:jc w:val="left"/>
                  </w:pPr>
                  <w:r w:rsidRPr="0092570B">
                    <w:rPr>
                      <w:rFonts w:cs="Arial"/>
                      <w:b/>
                      <w:szCs w:val="18"/>
                      <w:lang w:eastAsia="en-US"/>
                    </w:rPr>
                    <w:t>Income support payment type</w:t>
                  </w:r>
                </w:p>
              </w:tc>
              <w:tc>
                <w:tcPr>
                  <w:tcW w:w="751" w:type="pct"/>
                  <w:vAlign w:val="bottom"/>
                </w:tcPr>
                <w:p w:rsidR="003F6F7A" w:rsidRPr="009B1264" w:rsidRDefault="003F6F7A" w:rsidP="004D6607">
                  <w:pPr>
                    <w:pStyle w:val="TableBodyText"/>
                    <w:rPr>
                      <w:i/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pct"/>
                  <w:vAlign w:val="bottom"/>
                </w:tcPr>
                <w:p w:rsidR="003F6F7A" w:rsidRPr="009B1264" w:rsidRDefault="003F6F7A" w:rsidP="004D6607">
                  <w:pPr>
                    <w:pStyle w:val="TableBodyText"/>
                    <w:rPr>
                      <w:i/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3F6F7A" w:rsidRPr="009B1264" w:rsidRDefault="003F6F7A" w:rsidP="004D6607">
                  <w:pPr>
                    <w:pStyle w:val="TableBodyText"/>
                    <w:rPr>
                      <w:i/>
                      <w:szCs w:val="18"/>
                      <w:lang w:eastAsia="en-US"/>
                    </w:rPr>
                  </w:pP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Disability Support Pension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12.9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19.2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14.1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proofErr w:type="spellStart"/>
                  <w:r w:rsidRPr="00E26CF5">
                    <w:rPr>
                      <w:rFonts w:cs="Arial"/>
                      <w:szCs w:val="18"/>
                      <w:lang w:eastAsia="en-US"/>
                    </w:rPr>
                    <w:t>Newstart</w:t>
                  </w:r>
                  <w:proofErr w:type="spellEnd"/>
                  <w:r w:rsidRPr="00E26CF5">
                    <w:rPr>
                      <w:rFonts w:cs="Arial"/>
                      <w:szCs w:val="18"/>
                      <w:lang w:eastAsia="en-US"/>
                    </w:rPr>
                    <w:t xml:space="preserve"> Allowance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8.7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10.7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9.1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Parenting Payment (Single)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6.2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7.5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3.8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Parenting Payment (Partnered)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0.9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1.2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1.0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Youth Allowance (Student)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34.3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22.5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46.7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Youth Allowance (</w:t>
                  </w:r>
                  <w:r>
                    <w:rPr>
                      <w:rFonts w:cs="Arial"/>
                      <w:szCs w:val="18"/>
                      <w:lang w:eastAsia="en-US"/>
                    </w:rPr>
                    <w:t>Job seeker</w:t>
                  </w:r>
                  <w:r w:rsidRPr="00E26CF5">
                    <w:rPr>
                      <w:rFonts w:cs="Arial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30.1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30.4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21.2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Carer Payment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4.5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5.5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2.9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Other</w:t>
                  </w:r>
                  <w:r w:rsidRPr="00CE075C">
                    <w:rPr>
                      <w:rStyle w:val="NoteLabel"/>
                    </w:rPr>
                    <w:t>a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2.3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3.0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1.2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jc w:val="left"/>
                  </w:pPr>
                  <w:r w:rsidRPr="00BA386C">
                    <w:rPr>
                      <w:rFonts w:cs="Arial"/>
                      <w:b/>
                      <w:szCs w:val="18"/>
                      <w:lang w:eastAsia="en-US"/>
                    </w:rPr>
                    <w:t>Demographic characteristics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pct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Female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50.0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47.8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50.0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>
                    <w:rPr>
                      <w:rFonts w:cs="Arial"/>
                      <w:szCs w:val="18"/>
                      <w:lang w:eastAsia="en-US"/>
                    </w:rPr>
                    <w:t>Married or p</w:t>
                  </w:r>
                  <w:r w:rsidRPr="00E26CF5">
                    <w:rPr>
                      <w:rFonts w:cs="Arial"/>
                      <w:szCs w:val="18"/>
                      <w:lang w:eastAsia="en-US"/>
                    </w:rPr>
                    <w:t>artnered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2.9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3.5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2.8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 w:rsidRPr="00E26CF5">
                    <w:rPr>
                      <w:rFonts w:cs="Arial"/>
                      <w:szCs w:val="18"/>
                      <w:lang w:eastAsia="en-US"/>
                    </w:rPr>
                    <w:t>Indigenous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18.5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28.4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13.4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>
                    <w:rPr>
                      <w:rFonts w:cs="Arial"/>
                      <w:szCs w:val="18"/>
                      <w:lang w:eastAsia="en-US"/>
                    </w:rPr>
                    <w:t>P</w:t>
                  </w:r>
                  <w:r w:rsidRPr="00E26CF5">
                    <w:rPr>
                      <w:rFonts w:cs="Arial"/>
                      <w:szCs w:val="18"/>
                      <w:lang w:eastAsia="en-US"/>
                    </w:rPr>
                    <w:t>referred language</w:t>
                  </w:r>
                  <w:r>
                    <w:rPr>
                      <w:rFonts w:cs="Arial"/>
                      <w:szCs w:val="18"/>
                      <w:lang w:eastAsia="en-US"/>
                    </w:rPr>
                    <w:t xml:space="preserve"> — English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97.1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98.8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98.7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  <w:rPr>
                      <w:rFonts w:cs="Arial"/>
                      <w:szCs w:val="18"/>
                      <w:lang w:eastAsia="en-US"/>
                    </w:rPr>
                  </w:pPr>
                  <w:r>
                    <w:rPr>
                      <w:rFonts w:cs="Arial"/>
                      <w:szCs w:val="18"/>
                      <w:lang w:eastAsia="en-US"/>
                    </w:rPr>
                    <w:t>Medical condition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20.9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28.2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Default="00551E1B" w:rsidP="004D6607">
                  <w:pPr>
                    <w:pStyle w:val="TableBodyText"/>
                  </w:pPr>
                  <w:r>
                    <w:t>20.4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jc w:val="left"/>
                  </w:pPr>
                  <w:r w:rsidRPr="00BA386C">
                    <w:rPr>
                      <w:rFonts w:cs="Arial"/>
                      <w:b/>
                      <w:szCs w:val="18"/>
                      <w:lang w:eastAsia="en-US"/>
                    </w:rPr>
                    <w:t>Regional characteristics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pct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>
                    <w:rPr>
                      <w:rFonts w:cs="Arial"/>
                      <w:szCs w:val="18"/>
                      <w:lang w:eastAsia="en-US"/>
                    </w:rPr>
                    <w:t>M</w:t>
                  </w:r>
                  <w:r w:rsidRPr="00E26CF5">
                    <w:rPr>
                      <w:rFonts w:cs="Arial"/>
                      <w:szCs w:val="18"/>
                      <w:lang w:eastAsia="en-US"/>
                    </w:rPr>
                    <w:t>ajor city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Pr="00551E1B" w:rsidRDefault="00551E1B" w:rsidP="004D6607">
                  <w:pPr>
                    <w:pStyle w:val="TableBodyText"/>
                  </w:pPr>
                  <w:r>
                    <w:t>67.7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Pr="00551E1B" w:rsidRDefault="00551E1B" w:rsidP="004D6607">
                  <w:pPr>
                    <w:pStyle w:val="TableBodyText"/>
                  </w:pPr>
                  <w:r>
                    <w:t>71.8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Pr="00551E1B" w:rsidRDefault="00551E1B" w:rsidP="004D6607">
                  <w:pPr>
                    <w:pStyle w:val="TableBodyText"/>
                  </w:pPr>
                  <w:r>
                    <w:t>70.8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ind w:left="113"/>
                    <w:jc w:val="left"/>
                  </w:pPr>
                  <w:r>
                    <w:rPr>
                      <w:rFonts w:cs="Arial"/>
                      <w:szCs w:val="18"/>
                      <w:lang w:eastAsia="en-US"/>
                    </w:rPr>
                    <w:t>A</w:t>
                  </w:r>
                  <w:r w:rsidRPr="004A675C">
                    <w:rPr>
                      <w:rFonts w:cs="Arial"/>
                      <w:szCs w:val="18"/>
                      <w:lang w:eastAsia="en-US"/>
                    </w:rPr>
                    <w:t>reas of high disadvantage</w:t>
                  </w:r>
                  <w:r>
                    <w:rPr>
                      <w:rFonts w:cs="Arial"/>
                      <w:szCs w:val="18"/>
                      <w:lang w:eastAsia="en-US"/>
                    </w:rPr>
                    <w:t xml:space="preserve"> (lowest </w:t>
                  </w:r>
                  <w:proofErr w:type="spellStart"/>
                  <w:r>
                    <w:rPr>
                      <w:rFonts w:cs="Arial"/>
                      <w:szCs w:val="18"/>
                      <w:lang w:eastAsia="en-US"/>
                    </w:rPr>
                    <w:t>IRSD</w:t>
                  </w:r>
                  <w:proofErr w:type="spellEnd"/>
                  <w:r>
                    <w:rPr>
                      <w:rFonts w:cs="Arial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18"/>
                      <w:lang w:eastAsia="en-US"/>
                    </w:rPr>
                    <w:t>decile</w:t>
                  </w:r>
                  <w:proofErr w:type="spellEnd"/>
                  <w:r>
                    <w:rPr>
                      <w:rFonts w:cs="Arial"/>
                      <w:szCs w:val="18"/>
                      <w:lang w:eastAsia="en-US"/>
                    </w:rPr>
                    <w:t>)</w:t>
                  </w:r>
                  <w:r>
                    <w:rPr>
                      <w:rStyle w:val="NoteLabel"/>
                    </w:rPr>
                    <w:t>b</w:t>
                  </w:r>
                </w:p>
              </w:tc>
              <w:tc>
                <w:tcPr>
                  <w:tcW w:w="751" w:type="pct"/>
                  <w:vAlign w:val="bottom"/>
                </w:tcPr>
                <w:p w:rsidR="00551E1B" w:rsidRPr="00551E1B" w:rsidRDefault="00F36C1A" w:rsidP="004D6607">
                  <w:pPr>
                    <w:pStyle w:val="TableBodyText"/>
                  </w:pPr>
                  <w:r>
                    <w:t>24.9</w:t>
                  </w:r>
                </w:p>
              </w:tc>
              <w:tc>
                <w:tcPr>
                  <w:tcW w:w="837" w:type="pct"/>
                  <w:vAlign w:val="bottom"/>
                </w:tcPr>
                <w:p w:rsidR="00551E1B" w:rsidRPr="00551E1B" w:rsidRDefault="00F36C1A" w:rsidP="004D6607">
                  <w:pPr>
                    <w:pStyle w:val="TableBodyText"/>
                  </w:pPr>
                  <w:r>
                    <w:t>49.7</w:t>
                  </w: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Pr="00551E1B" w:rsidRDefault="00F36C1A" w:rsidP="004D6607">
                  <w:pPr>
                    <w:pStyle w:val="TableBodyText"/>
                  </w:pPr>
                  <w:r>
                    <w:t>22.9</w:t>
                  </w:r>
                </w:p>
              </w:tc>
            </w:tr>
            <w:tr w:rsidR="00551E1B" w:rsidTr="00331A7E">
              <w:tc>
                <w:tcPr>
                  <w:tcW w:w="2576" w:type="pct"/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jc w:val="left"/>
                  </w:pPr>
                </w:p>
              </w:tc>
              <w:tc>
                <w:tcPr>
                  <w:tcW w:w="751" w:type="pct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837" w:type="pct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vAlign w:val="bottom"/>
                </w:tcPr>
                <w:p w:rsidR="00551E1B" w:rsidRPr="009B1264" w:rsidRDefault="00551E1B" w:rsidP="004D6607">
                  <w:pPr>
                    <w:pStyle w:val="TableBodyText"/>
                    <w:rPr>
                      <w:szCs w:val="18"/>
                      <w:lang w:eastAsia="en-US"/>
                    </w:rPr>
                  </w:pPr>
                </w:p>
              </w:tc>
            </w:tr>
            <w:tr w:rsidR="00551E1B" w:rsidTr="00331A7E">
              <w:tc>
                <w:tcPr>
                  <w:tcW w:w="2576" w:type="pct"/>
                  <w:tcBorders>
                    <w:bottom w:val="single" w:sz="6" w:space="0" w:color="BFBFBF"/>
                  </w:tcBorders>
                  <w:shd w:val="clear" w:color="auto" w:fill="auto"/>
                  <w:vAlign w:val="bottom"/>
                </w:tcPr>
                <w:p w:rsidR="00551E1B" w:rsidRDefault="00551E1B" w:rsidP="00331A7E">
                  <w:pPr>
                    <w:pStyle w:val="TableBodyText"/>
                    <w:jc w:val="left"/>
                  </w:pPr>
                  <w:r w:rsidRPr="00BA386C">
                    <w:rPr>
                      <w:rFonts w:cs="Arial"/>
                      <w:b/>
                      <w:szCs w:val="18"/>
                      <w:lang w:eastAsia="en-US"/>
                    </w:rPr>
                    <w:t>Number of IS</w:t>
                  </w:r>
                  <w:r>
                    <w:rPr>
                      <w:rFonts w:cs="Arial"/>
                      <w:b/>
                      <w:szCs w:val="18"/>
                      <w:lang w:eastAsia="en-US"/>
                    </w:rPr>
                    <w:t>P</w:t>
                  </w:r>
                  <w:r w:rsidRPr="00BA386C">
                    <w:rPr>
                      <w:rFonts w:cs="Arial"/>
                      <w:b/>
                      <w:szCs w:val="18"/>
                      <w:lang w:eastAsia="en-US"/>
                    </w:rPr>
                    <w:t xml:space="preserve"> recipients (‘000)</w:t>
                  </w:r>
                </w:p>
              </w:tc>
              <w:tc>
                <w:tcPr>
                  <w:tcW w:w="751" w:type="pct"/>
                  <w:tcBorders>
                    <w:bottom w:val="single" w:sz="6" w:space="0" w:color="BFBFBF"/>
                  </w:tcBorders>
                  <w:vAlign w:val="bottom"/>
                </w:tcPr>
                <w:p w:rsidR="00551E1B" w:rsidRPr="00551E1B" w:rsidRDefault="00551E1B" w:rsidP="004D6607">
                  <w:pPr>
                    <w:pStyle w:val="TableBodyText"/>
                  </w:pPr>
                  <w:r>
                    <w:t>37 047</w:t>
                  </w:r>
                </w:p>
              </w:tc>
              <w:tc>
                <w:tcPr>
                  <w:tcW w:w="837" w:type="pct"/>
                  <w:tcBorders>
                    <w:bottom w:val="single" w:sz="6" w:space="0" w:color="BFBFBF"/>
                  </w:tcBorders>
                  <w:vAlign w:val="bottom"/>
                </w:tcPr>
                <w:p w:rsidR="00551E1B" w:rsidRPr="00551E1B" w:rsidRDefault="00551E1B" w:rsidP="004D6607">
                  <w:pPr>
                    <w:pStyle w:val="TableBodyText"/>
                  </w:pPr>
                  <w:r>
                    <w:t>24 542</w:t>
                  </w:r>
                </w:p>
              </w:tc>
              <w:tc>
                <w:tcPr>
                  <w:tcW w:w="836" w:type="pct"/>
                  <w:tcBorders>
                    <w:bottom w:val="single" w:sz="6" w:space="0" w:color="BFBFBF"/>
                  </w:tcBorders>
                  <w:shd w:val="clear" w:color="auto" w:fill="auto"/>
                  <w:vAlign w:val="bottom"/>
                </w:tcPr>
                <w:p w:rsidR="00551E1B" w:rsidRPr="00551E1B" w:rsidRDefault="00551E1B" w:rsidP="004D6607">
                  <w:pPr>
                    <w:pStyle w:val="TableBodyText"/>
                  </w:pPr>
                  <w:r>
                    <w:t>49 283</w:t>
                  </w:r>
                </w:p>
              </w:tc>
            </w:tr>
          </w:tbl>
          <w:p w:rsidR="003F6F7A" w:rsidRDefault="003F6F7A" w:rsidP="00331A7E">
            <w:pPr>
              <w:pStyle w:val="Box"/>
            </w:pPr>
          </w:p>
        </w:tc>
      </w:tr>
      <w:tr w:rsidR="003F6F7A" w:rsidTr="00331A7E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F7A" w:rsidRDefault="003F6F7A" w:rsidP="00331A7E">
            <w:pPr>
              <w:pStyle w:val="Note"/>
              <w:rPr>
                <w:i/>
              </w:rPr>
            </w:pPr>
            <w:proofErr w:type="spellStart"/>
            <w:r w:rsidRPr="008E77FE">
              <w:rPr>
                <w:rStyle w:val="NoteLabel"/>
              </w:rPr>
              <w:t>a</w:t>
            </w:r>
            <w:proofErr w:type="spellEnd"/>
            <w:r>
              <w:t xml:space="preserve"> </w:t>
            </w:r>
            <w:r w:rsidRPr="00E82BD0">
              <w:rPr>
                <w:spacing w:val="-2"/>
              </w:rPr>
              <w:t xml:space="preserve">Other payments include a range of less common income support payments, including Bereavement Allowance, Wife’s Pension, Wife’s Disability Support Pension, </w:t>
            </w:r>
            <w:proofErr w:type="spellStart"/>
            <w:r w:rsidRPr="00E82BD0">
              <w:rPr>
                <w:spacing w:val="-2"/>
              </w:rPr>
              <w:t>Austudy</w:t>
            </w:r>
            <w:proofErr w:type="spellEnd"/>
            <w:r w:rsidRPr="00E82BD0">
              <w:rPr>
                <w:spacing w:val="-2"/>
              </w:rPr>
              <w:t xml:space="preserve">, Partner Allowance, Sickness Allowance, Special Benefits, Widow Allowance and </w:t>
            </w:r>
            <w:proofErr w:type="spellStart"/>
            <w:r w:rsidRPr="00E82BD0">
              <w:rPr>
                <w:spacing w:val="-2"/>
              </w:rPr>
              <w:t>Abstudy</w:t>
            </w:r>
            <w:proofErr w:type="spellEnd"/>
            <w:r w:rsidRPr="00E82BD0">
              <w:rPr>
                <w:spacing w:val="-2"/>
              </w:rPr>
              <w:t>.</w:t>
            </w:r>
            <w:r>
              <w:t xml:space="preserve"> </w:t>
            </w:r>
            <w:r>
              <w:rPr>
                <w:rStyle w:val="NoteLabel"/>
              </w:rPr>
              <w:t>b</w:t>
            </w:r>
            <w:r>
              <w:t xml:space="preserve"> Socio</w:t>
            </w:r>
            <w:r>
              <w:noBreakHyphen/>
              <w:t xml:space="preserve">economic status is measured by an Index of Relative Socioeconomic Disadvantage created by the ABS using data from the 2011 Census </w:t>
            </w:r>
            <w:r w:rsidRPr="00413DEF">
              <w:rPr>
                <w:szCs w:val="24"/>
              </w:rPr>
              <w:t>(ABS </w:t>
            </w:r>
            <w:proofErr w:type="spellStart"/>
            <w:r w:rsidRPr="00413DEF">
              <w:rPr>
                <w:szCs w:val="24"/>
              </w:rPr>
              <w:t>2014</w:t>
            </w:r>
            <w:r>
              <w:rPr>
                <w:szCs w:val="24"/>
              </w:rPr>
              <w:t>c</w:t>
            </w:r>
            <w:proofErr w:type="spellEnd"/>
            <w:r w:rsidRPr="00413DEF">
              <w:rPr>
                <w:szCs w:val="24"/>
              </w:rPr>
              <w:t>)</w:t>
            </w:r>
            <w:r>
              <w:t xml:space="preserve">. The index includes information about the socioeconomic characteristics of the residents of an area including unemployment rates, education levels, English language ability and household income. Areas are defined by the </w:t>
            </w:r>
            <w:proofErr w:type="spellStart"/>
            <w:r>
              <w:t>ABS’s</w:t>
            </w:r>
            <w:proofErr w:type="spellEnd"/>
            <w:r>
              <w:t xml:space="preserve"> level 1 statistical areas </w:t>
            </w:r>
            <w:r w:rsidRPr="00F1633A">
              <w:rPr>
                <w:rFonts w:cs="Arial"/>
                <w:szCs w:val="24"/>
              </w:rPr>
              <w:t>(ABS 2010)</w:t>
            </w:r>
            <w:r>
              <w:t> — the second smallest geographic areas for which the ABS publishes information. On average, these areas are home to 400 people.</w:t>
            </w:r>
          </w:p>
        </w:tc>
      </w:tr>
      <w:tr w:rsidR="003F6F7A" w:rsidRPr="00176D3F" w:rsidTr="00331A7E">
        <w:tblPrEx>
          <w:tblBorders>
            <w:top w:val="single" w:sz="6" w:space="0" w:color="78A22F"/>
            <w:left w:val="single" w:sz="6" w:space="0" w:color="78A22F"/>
            <w:bottom w:val="single" w:sz="6" w:space="0" w:color="78A22F"/>
            <w:right w:val="single" w:sz="6" w:space="0" w:color="78A22F"/>
          </w:tblBorders>
        </w:tblPrEx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F7A" w:rsidRPr="00176D3F" w:rsidRDefault="003F6F7A" w:rsidP="00331A7E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 w:rsidRPr="00176D3F">
              <w:t xml:space="preserve">: </w:t>
            </w:r>
            <w:r>
              <w:t>Author estimates based on Research and Evaluation Database.</w:t>
            </w:r>
          </w:p>
        </w:tc>
      </w:tr>
      <w:tr w:rsidR="003F6F7A" w:rsidTr="00331A7E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:rsidR="003F6F7A" w:rsidRDefault="003F6F7A" w:rsidP="00331A7E">
            <w:pPr>
              <w:pStyle w:val="Box"/>
              <w:spacing w:before="0" w:line="120" w:lineRule="exact"/>
            </w:pPr>
          </w:p>
        </w:tc>
      </w:tr>
      <w:tr w:rsidR="003F6F7A" w:rsidRPr="00626D32" w:rsidTr="00331A7E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:rsidR="003F6F7A" w:rsidRPr="00626D32" w:rsidRDefault="003F6F7A" w:rsidP="00331A7E">
            <w:pPr>
              <w:pStyle w:val="BoxSpaceBelow"/>
            </w:pPr>
          </w:p>
        </w:tc>
      </w:tr>
    </w:tbl>
    <w:p w:rsidR="004D6607" w:rsidRDefault="004D6607" w:rsidP="003970DA">
      <w:pPr>
        <w:pStyle w:val="Space"/>
      </w:pPr>
    </w:p>
    <w:sectPr w:rsidR="004D6607" w:rsidSect="003970D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985" w:right="1304" w:bottom="1135" w:left="1814" w:header="1701" w:footer="397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8A" w:rsidRDefault="00FC0F8A">
      <w:r>
        <w:separator/>
      </w:r>
    </w:p>
  </w:endnote>
  <w:endnote w:type="continuationSeparator" w:id="0">
    <w:p w:rsidR="00FC0F8A" w:rsidRDefault="00FC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772909" w:rsidTr="005F48ED">
      <w:trPr>
        <w:trHeight w:hRule="exact" w:val="567"/>
      </w:trPr>
      <w:tc>
        <w:tcPr>
          <w:tcW w:w="510" w:type="dxa"/>
        </w:tcPr>
        <w:p w:rsidR="00772909" w:rsidRPr="00A24443" w:rsidRDefault="00772909" w:rsidP="0019293B">
          <w:pPr>
            <w:pStyle w:val="Footer"/>
            <w:tabs>
              <w:tab w:val="left" w:pos="0"/>
            </w:tabs>
            <w:ind w:right="0"/>
            <w:rPr>
              <w:rStyle w:val="PageNumber"/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3970DA">
            <w:rPr>
              <w:rStyle w:val="PageNumber"/>
              <w:caps w:val="0"/>
              <w:noProof/>
            </w:rPr>
            <w:t>2</w:t>
          </w:r>
          <w:r w:rsidRPr="00A24443">
            <w:rPr>
              <w:rStyle w:val="PageNumber"/>
              <w:caps w:val="0"/>
            </w:rPr>
            <w:fldChar w:fldCharType="end"/>
          </w:r>
        </w:p>
      </w:tc>
      <w:tc>
        <w:tcPr>
          <w:tcW w:w="7767" w:type="dxa"/>
        </w:tcPr>
        <w:p w:rsidR="00772909" w:rsidRPr="0013739A" w:rsidRDefault="00772909" w:rsidP="0013739A">
          <w:pPr>
            <w:pStyle w:val="Footer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SUBJECT  \* MERGEFORMAT </w:instrText>
          </w:r>
          <w:r w:rsidRPr="00BA5B14">
            <w:rPr>
              <w:rFonts w:cs="Arial"/>
            </w:rPr>
            <w:fldChar w:fldCharType="separate"/>
          </w:r>
          <w:r w:rsidR="002D2A46">
            <w:rPr>
              <w:rFonts w:cs="Arial"/>
            </w:rPr>
            <w:t>Erratum - Housing Assistance and Employment in Australia</w:t>
          </w:r>
          <w:r w:rsidRPr="00BA5B14">
            <w:rPr>
              <w:rFonts w:cs="Arial"/>
            </w:rPr>
            <w:fldChar w:fldCharType="end"/>
          </w:r>
          <w:bookmarkStart w:id="4" w:name="DraftReportEven"/>
          <w:bookmarkEnd w:id="4"/>
        </w:p>
      </w:tc>
      <w:tc>
        <w:tcPr>
          <w:tcW w:w="510" w:type="dxa"/>
        </w:tcPr>
        <w:p w:rsidR="00772909" w:rsidRDefault="00772909" w:rsidP="0019293B">
          <w:pPr>
            <w:pStyle w:val="Footer"/>
          </w:pPr>
        </w:p>
      </w:tc>
    </w:tr>
  </w:tbl>
  <w:p w:rsidR="00772909" w:rsidRDefault="00772909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772909" w:rsidTr="005F48ED">
      <w:trPr>
        <w:trHeight w:hRule="exact" w:val="567"/>
      </w:trPr>
      <w:tc>
        <w:tcPr>
          <w:tcW w:w="510" w:type="dxa"/>
        </w:tcPr>
        <w:p w:rsidR="00772909" w:rsidRDefault="00772909">
          <w:pPr>
            <w:pStyle w:val="Footer"/>
            <w:ind w:right="360" w:firstLine="360"/>
          </w:pPr>
        </w:p>
      </w:tc>
      <w:tc>
        <w:tcPr>
          <w:tcW w:w="7767" w:type="dxa"/>
        </w:tcPr>
        <w:p w:rsidR="00772909" w:rsidRPr="00BA5B14" w:rsidRDefault="004D6607" w:rsidP="0013739A">
          <w:pPr>
            <w:pStyle w:val="Footer"/>
            <w:jc w:val="right"/>
            <w:rPr>
              <w:rFonts w:cs="Arial"/>
            </w:rPr>
          </w:pPr>
          <w:bookmarkStart w:id="5" w:name="DraftReportOdd"/>
          <w:bookmarkEnd w:id="5"/>
          <w:r>
            <w:rPr>
              <w:rFonts w:cs="Arial"/>
            </w:rPr>
            <w:t>ERRATUM</w:t>
          </w:r>
        </w:p>
      </w:tc>
      <w:tc>
        <w:tcPr>
          <w:tcW w:w="510" w:type="dxa"/>
        </w:tcPr>
        <w:p w:rsidR="00772909" w:rsidRPr="00A24443" w:rsidRDefault="00772909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1E120D">
            <w:rPr>
              <w:rStyle w:val="PageNumber"/>
              <w:caps w:val="0"/>
              <w:noProof/>
            </w:rPr>
            <w:t>1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772909" w:rsidRDefault="00772909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8A" w:rsidRDefault="00FC0F8A">
      <w:r>
        <w:separator/>
      </w:r>
    </w:p>
  </w:footnote>
  <w:footnote w:type="continuationSeparator" w:id="0">
    <w:p w:rsidR="00FC0F8A" w:rsidRDefault="00FC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772909">
      <w:tc>
        <w:tcPr>
          <w:tcW w:w="2155" w:type="dxa"/>
          <w:tcBorders>
            <w:top w:val="single" w:sz="24" w:space="0" w:color="auto"/>
          </w:tcBorders>
        </w:tcPr>
        <w:p w:rsidR="00772909" w:rsidRDefault="00772909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772909" w:rsidRDefault="00772909" w:rsidP="0019293B">
          <w:pPr>
            <w:pStyle w:val="HeaderEven"/>
          </w:pPr>
        </w:p>
      </w:tc>
    </w:tr>
  </w:tbl>
  <w:p w:rsidR="00772909" w:rsidRDefault="00772909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772909">
      <w:tc>
        <w:tcPr>
          <w:tcW w:w="6634" w:type="dxa"/>
          <w:tcBorders>
            <w:top w:val="single" w:sz="6" w:space="0" w:color="auto"/>
          </w:tcBorders>
        </w:tcPr>
        <w:p w:rsidR="00772909" w:rsidRDefault="00772909" w:rsidP="00E669E2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772909" w:rsidRDefault="00772909" w:rsidP="00E669E2">
          <w:pPr>
            <w:pStyle w:val="HeaderOdd"/>
          </w:pPr>
        </w:p>
      </w:tc>
    </w:tr>
  </w:tbl>
  <w:p w:rsidR="00772909" w:rsidRDefault="00772909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5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5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6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19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16"/>
  </w:num>
  <w:num w:numId="15">
    <w:abstractNumId w:val="19"/>
  </w:num>
  <w:num w:numId="16">
    <w:abstractNumId w:val="12"/>
  </w:num>
  <w:num w:numId="17">
    <w:abstractNumId w:val="20"/>
  </w:num>
  <w:num w:numId="18">
    <w:abstractNumId w:val="0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 w:numId="20">
    <w:abstractNumId w:val="17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Errata"/>
    <w:docVar w:name="ShortReportTitle" w:val="Erratum - Housing Assistance and Employment in Australia"/>
  </w:docVars>
  <w:rsids>
    <w:rsidRoot w:val="006D7BB7"/>
    <w:rsid w:val="000227D5"/>
    <w:rsid w:val="000245AA"/>
    <w:rsid w:val="0003664B"/>
    <w:rsid w:val="0004111F"/>
    <w:rsid w:val="00055077"/>
    <w:rsid w:val="000565B3"/>
    <w:rsid w:val="0007150B"/>
    <w:rsid w:val="000938F5"/>
    <w:rsid w:val="00095663"/>
    <w:rsid w:val="00096E55"/>
    <w:rsid w:val="0009783E"/>
    <w:rsid w:val="000B1022"/>
    <w:rsid w:val="000B601B"/>
    <w:rsid w:val="000C207E"/>
    <w:rsid w:val="000D41E9"/>
    <w:rsid w:val="000F0035"/>
    <w:rsid w:val="000F04E7"/>
    <w:rsid w:val="000F060A"/>
    <w:rsid w:val="000F420B"/>
    <w:rsid w:val="00110116"/>
    <w:rsid w:val="00120072"/>
    <w:rsid w:val="00126EB8"/>
    <w:rsid w:val="001274D4"/>
    <w:rsid w:val="001363AA"/>
    <w:rsid w:val="0013739A"/>
    <w:rsid w:val="00142165"/>
    <w:rsid w:val="00162434"/>
    <w:rsid w:val="00183E82"/>
    <w:rsid w:val="001878BB"/>
    <w:rsid w:val="00191AE0"/>
    <w:rsid w:val="0019293B"/>
    <w:rsid w:val="0019426B"/>
    <w:rsid w:val="001A6A4B"/>
    <w:rsid w:val="001C0865"/>
    <w:rsid w:val="001C0AED"/>
    <w:rsid w:val="001C3ABA"/>
    <w:rsid w:val="001C5111"/>
    <w:rsid w:val="001E120D"/>
    <w:rsid w:val="001E7BE8"/>
    <w:rsid w:val="001F0248"/>
    <w:rsid w:val="001F3EB3"/>
    <w:rsid w:val="001F4F86"/>
    <w:rsid w:val="00202C2C"/>
    <w:rsid w:val="00203050"/>
    <w:rsid w:val="002135AB"/>
    <w:rsid w:val="002144BE"/>
    <w:rsid w:val="00242279"/>
    <w:rsid w:val="00243997"/>
    <w:rsid w:val="0024516C"/>
    <w:rsid w:val="00245C82"/>
    <w:rsid w:val="002724BA"/>
    <w:rsid w:val="00291B40"/>
    <w:rsid w:val="002B4008"/>
    <w:rsid w:val="002C439F"/>
    <w:rsid w:val="002D0C42"/>
    <w:rsid w:val="002D0E8E"/>
    <w:rsid w:val="002D2A46"/>
    <w:rsid w:val="00301189"/>
    <w:rsid w:val="00301E4A"/>
    <w:rsid w:val="003168B8"/>
    <w:rsid w:val="00322D64"/>
    <w:rsid w:val="00323E09"/>
    <w:rsid w:val="00333932"/>
    <w:rsid w:val="00336DA8"/>
    <w:rsid w:val="003518AA"/>
    <w:rsid w:val="00352165"/>
    <w:rsid w:val="00353182"/>
    <w:rsid w:val="003565D9"/>
    <w:rsid w:val="003602E1"/>
    <w:rsid w:val="0037026F"/>
    <w:rsid w:val="00371240"/>
    <w:rsid w:val="00374731"/>
    <w:rsid w:val="00376E59"/>
    <w:rsid w:val="00377EC1"/>
    <w:rsid w:val="00380340"/>
    <w:rsid w:val="003919F9"/>
    <w:rsid w:val="003920CF"/>
    <w:rsid w:val="003970DA"/>
    <w:rsid w:val="003B23C2"/>
    <w:rsid w:val="003C38B5"/>
    <w:rsid w:val="003C5D99"/>
    <w:rsid w:val="003C691A"/>
    <w:rsid w:val="003D1087"/>
    <w:rsid w:val="003E2F59"/>
    <w:rsid w:val="003E746B"/>
    <w:rsid w:val="003F0789"/>
    <w:rsid w:val="003F6F7A"/>
    <w:rsid w:val="00401882"/>
    <w:rsid w:val="004100C8"/>
    <w:rsid w:val="00411DBD"/>
    <w:rsid w:val="00412ACE"/>
    <w:rsid w:val="00414239"/>
    <w:rsid w:val="004145D2"/>
    <w:rsid w:val="0042642C"/>
    <w:rsid w:val="00426CB4"/>
    <w:rsid w:val="00431249"/>
    <w:rsid w:val="00434C19"/>
    <w:rsid w:val="00450810"/>
    <w:rsid w:val="00462C59"/>
    <w:rsid w:val="00470737"/>
    <w:rsid w:val="00477144"/>
    <w:rsid w:val="00491380"/>
    <w:rsid w:val="0049459F"/>
    <w:rsid w:val="004A38DD"/>
    <w:rsid w:val="004B43AE"/>
    <w:rsid w:val="004C30ED"/>
    <w:rsid w:val="004D5675"/>
    <w:rsid w:val="004D6607"/>
    <w:rsid w:val="00517795"/>
    <w:rsid w:val="00523639"/>
    <w:rsid w:val="00531FE5"/>
    <w:rsid w:val="005402FA"/>
    <w:rsid w:val="00551E1B"/>
    <w:rsid w:val="005729BD"/>
    <w:rsid w:val="00580154"/>
    <w:rsid w:val="00583C39"/>
    <w:rsid w:val="00586A90"/>
    <w:rsid w:val="00587F28"/>
    <w:rsid w:val="005909CF"/>
    <w:rsid w:val="00591E71"/>
    <w:rsid w:val="005A0D41"/>
    <w:rsid w:val="005D329F"/>
    <w:rsid w:val="005F1E15"/>
    <w:rsid w:val="005F48ED"/>
    <w:rsid w:val="00606E78"/>
    <w:rsid w:val="00607BF1"/>
    <w:rsid w:val="006177B8"/>
    <w:rsid w:val="00630D4D"/>
    <w:rsid w:val="00632A74"/>
    <w:rsid w:val="00654D42"/>
    <w:rsid w:val="00666E02"/>
    <w:rsid w:val="00691199"/>
    <w:rsid w:val="0069422D"/>
    <w:rsid w:val="006A4655"/>
    <w:rsid w:val="006B2B3C"/>
    <w:rsid w:val="006C1D81"/>
    <w:rsid w:val="006C7038"/>
    <w:rsid w:val="006D7BB7"/>
    <w:rsid w:val="006E73EF"/>
    <w:rsid w:val="007079C9"/>
    <w:rsid w:val="00711CF8"/>
    <w:rsid w:val="00714D4D"/>
    <w:rsid w:val="007266D3"/>
    <w:rsid w:val="00732029"/>
    <w:rsid w:val="007604BB"/>
    <w:rsid w:val="00772909"/>
    <w:rsid w:val="00785232"/>
    <w:rsid w:val="0079701E"/>
    <w:rsid w:val="007A21EB"/>
    <w:rsid w:val="007A2EC1"/>
    <w:rsid w:val="007B1A93"/>
    <w:rsid w:val="007C36C9"/>
    <w:rsid w:val="007D6401"/>
    <w:rsid w:val="007E01E4"/>
    <w:rsid w:val="007E7A12"/>
    <w:rsid w:val="007F7107"/>
    <w:rsid w:val="00800D4C"/>
    <w:rsid w:val="00803FAC"/>
    <w:rsid w:val="0081030F"/>
    <w:rsid w:val="00812F4A"/>
    <w:rsid w:val="0082087D"/>
    <w:rsid w:val="00835771"/>
    <w:rsid w:val="00842933"/>
    <w:rsid w:val="0086082C"/>
    <w:rsid w:val="00864ADC"/>
    <w:rsid w:val="00880153"/>
    <w:rsid w:val="00880F97"/>
    <w:rsid w:val="0088133A"/>
    <w:rsid w:val="0089285E"/>
    <w:rsid w:val="0089436C"/>
    <w:rsid w:val="008D365C"/>
    <w:rsid w:val="008D7622"/>
    <w:rsid w:val="009021A6"/>
    <w:rsid w:val="009030BF"/>
    <w:rsid w:val="00903B52"/>
    <w:rsid w:val="0091032F"/>
    <w:rsid w:val="00914368"/>
    <w:rsid w:val="00931076"/>
    <w:rsid w:val="009345D9"/>
    <w:rsid w:val="00934B15"/>
    <w:rsid w:val="00940C87"/>
    <w:rsid w:val="00942B62"/>
    <w:rsid w:val="0095323B"/>
    <w:rsid w:val="00956A0C"/>
    <w:rsid w:val="00956BD9"/>
    <w:rsid w:val="00962489"/>
    <w:rsid w:val="00967CD3"/>
    <w:rsid w:val="00990C2C"/>
    <w:rsid w:val="009A5171"/>
    <w:rsid w:val="009E1844"/>
    <w:rsid w:val="009F0D1B"/>
    <w:rsid w:val="009F5BBD"/>
    <w:rsid w:val="009F696D"/>
    <w:rsid w:val="009F6BC6"/>
    <w:rsid w:val="009F74EF"/>
    <w:rsid w:val="00A02826"/>
    <w:rsid w:val="00A15D5A"/>
    <w:rsid w:val="00A17328"/>
    <w:rsid w:val="00A23A20"/>
    <w:rsid w:val="00A24443"/>
    <w:rsid w:val="00A268B9"/>
    <w:rsid w:val="00A2703A"/>
    <w:rsid w:val="00A33DFF"/>
    <w:rsid w:val="00A35115"/>
    <w:rsid w:val="00A36D9A"/>
    <w:rsid w:val="00A451DC"/>
    <w:rsid w:val="00A554AB"/>
    <w:rsid w:val="00A57062"/>
    <w:rsid w:val="00A67781"/>
    <w:rsid w:val="00A761F9"/>
    <w:rsid w:val="00A92B53"/>
    <w:rsid w:val="00A94FA6"/>
    <w:rsid w:val="00AA49A0"/>
    <w:rsid w:val="00AA6710"/>
    <w:rsid w:val="00AB0681"/>
    <w:rsid w:val="00AC3A15"/>
    <w:rsid w:val="00AD520B"/>
    <w:rsid w:val="00AE3BCC"/>
    <w:rsid w:val="00B259D4"/>
    <w:rsid w:val="00B425C3"/>
    <w:rsid w:val="00B440AD"/>
    <w:rsid w:val="00B479BB"/>
    <w:rsid w:val="00B53E7E"/>
    <w:rsid w:val="00B6342E"/>
    <w:rsid w:val="00B7113F"/>
    <w:rsid w:val="00BA2BCF"/>
    <w:rsid w:val="00BA5B14"/>
    <w:rsid w:val="00BA73B6"/>
    <w:rsid w:val="00BA7E27"/>
    <w:rsid w:val="00BB2603"/>
    <w:rsid w:val="00BB4FCD"/>
    <w:rsid w:val="00BC04E9"/>
    <w:rsid w:val="00BD13EA"/>
    <w:rsid w:val="00BD6D99"/>
    <w:rsid w:val="00BE3808"/>
    <w:rsid w:val="00C03B88"/>
    <w:rsid w:val="00C062E9"/>
    <w:rsid w:val="00C07B64"/>
    <w:rsid w:val="00C13721"/>
    <w:rsid w:val="00C14FE4"/>
    <w:rsid w:val="00C3066D"/>
    <w:rsid w:val="00C52416"/>
    <w:rsid w:val="00C543F4"/>
    <w:rsid w:val="00C6291C"/>
    <w:rsid w:val="00C633CB"/>
    <w:rsid w:val="00C664CD"/>
    <w:rsid w:val="00C736B7"/>
    <w:rsid w:val="00C81D4A"/>
    <w:rsid w:val="00C8762C"/>
    <w:rsid w:val="00CA00F9"/>
    <w:rsid w:val="00CA2961"/>
    <w:rsid w:val="00CA4BAF"/>
    <w:rsid w:val="00CB50D7"/>
    <w:rsid w:val="00CB7177"/>
    <w:rsid w:val="00CB7CED"/>
    <w:rsid w:val="00CC070F"/>
    <w:rsid w:val="00CC1998"/>
    <w:rsid w:val="00CC4946"/>
    <w:rsid w:val="00CC64A1"/>
    <w:rsid w:val="00CF3B11"/>
    <w:rsid w:val="00D270A4"/>
    <w:rsid w:val="00D31FE9"/>
    <w:rsid w:val="00D34E1B"/>
    <w:rsid w:val="00D36012"/>
    <w:rsid w:val="00D376BA"/>
    <w:rsid w:val="00D434A0"/>
    <w:rsid w:val="00D45634"/>
    <w:rsid w:val="00D5568A"/>
    <w:rsid w:val="00D63D73"/>
    <w:rsid w:val="00D64452"/>
    <w:rsid w:val="00D66E1E"/>
    <w:rsid w:val="00D70696"/>
    <w:rsid w:val="00D75722"/>
    <w:rsid w:val="00D80CF5"/>
    <w:rsid w:val="00DA5BBA"/>
    <w:rsid w:val="00DB26D2"/>
    <w:rsid w:val="00DB67C9"/>
    <w:rsid w:val="00DC0C95"/>
    <w:rsid w:val="00DC4F0B"/>
    <w:rsid w:val="00DD6580"/>
    <w:rsid w:val="00DD73F1"/>
    <w:rsid w:val="00DF0B17"/>
    <w:rsid w:val="00E01D7F"/>
    <w:rsid w:val="00E05C03"/>
    <w:rsid w:val="00E17C72"/>
    <w:rsid w:val="00E21FC6"/>
    <w:rsid w:val="00E431A9"/>
    <w:rsid w:val="00E669E2"/>
    <w:rsid w:val="00E76135"/>
    <w:rsid w:val="00E82F4F"/>
    <w:rsid w:val="00E864DF"/>
    <w:rsid w:val="00EB2CC3"/>
    <w:rsid w:val="00EC0834"/>
    <w:rsid w:val="00EC2844"/>
    <w:rsid w:val="00EC5500"/>
    <w:rsid w:val="00ED18F8"/>
    <w:rsid w:val="00ED37FB"/>
    <w:rsid w:val="00EE6EDA"/>
    <w:rsid w:val="00EE778E"/>
    <w:rsid w:val="00EF6719"/>
    <w:rsid w:val="00EF6C6C"/>
    <w:rsid w:val="00F056FC"/>
    <w:rsid w:val="00F0632F"/>
    <w:rsid w:val="00F069AE"/>
    <w:rsid w:val="00F10476"/>
    <w:rsid w:val="00F135D8"/>
    <w:rsid w:val="00F31299"/>
    <w:rsid w:val="00F3534A"/>
    <w:rsid w:val="00F35BFB"/>
    <w:rsid w:val="00F36ACC"/>
    <w:rsid w:val="00F36C1A"/>
    <w:rsid w:val="00F51609"/>
    <w:rsid w:val="00F55C25"/>
    <w:rsid w:val="00F73727"/>
    <w:rsid w:val="00F766A7"/>
    <w:rsid w:val="00F81006"/>
    <w:rsid w:val="00F85325"/>
    <w:rsid w:val="00F97932"/>
    <w:rsid w:val="00FC0F8A"/>
    <w:rsid w:val="00FD22B1"/>
    <w:rsid w:val="00FD33F1"/>
    <w:rsid w:val="00FD356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F6F7A"/>
    <w:rPr>
      <w:sz w:val="24"/>
      <w:szCs w:val="24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812F4A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812F4A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semiHidden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semiHidden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semiHidden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semiHidden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12F4A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semiHidden/>
    <w:rsid w:val="00E01D7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812F4A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9F5BBD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812F4A"/>
    <w:pPr>
      <w:numPr>
        <w:numId w:val="13"/>
      </w:numPr>
      <w:ind w:left="568" w:hanging="284"/>
    </w:pPr>
  </w:style>
  <w:style w:type="paragraph" w:customStyle="1" w:styleId="BoxListNumber">
    <w:name w:val="Box List Number"/>
    <w:basedOn w:val="BodyText"/>
    <w:rsid w:val="00812F4A"/>
    <w:pPr>
      <w:keepNext/>
      <w:numPr>
        <w:numId w:val="10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055077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812F4A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812F4A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517795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9F74EF"/>
    <w:pPr>
      <w:spacing w:before="12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9F74E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9F74E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517795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517795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9F74EF"/>
    <w:pPr>
      <w:spacing w:before="120"/>
    </w:pPr>
  </w:style>
  <w:style w:type="paragraph" w:styleId="Subtitle">
    <w:name w:val="Subtitle"/>
    <w:basedOn w:val="Caption"/>
    <w:link w:val="SubtitleChar"/>
    <w:qFormat/>
    <w:rsid w:val="00301E4A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9F5BBD"/>
    <w:pPr>
      <w:numPr>
        <w:numId w:val="15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Rec"/>
    <w:qFormat/>
    <w:rsid w:val="009F5BBD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9021A6"/>
  </w:style>
  <w:style w:type="character" w:styleId="FootnoteReference">
    <w:name w:val="footnote reference"/>
    <w:basedOn w:val="DefaultParagraphFont"/>
    <w:semiHidden/>
    <w:rsid w:val="00243997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43997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9F5BBD"/>
    <w:rPr>
      <w:i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2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812F4A"/>
    <w:pPr>
      <w:numPr>
        <w:numId w:val="3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4"/>
      </w:numPr>
      <w:spacing w:before="120"/>
    </w:pPr>
  </w:style>
  <w:style w:type="paragraph" w:styleId="ListBullet3">
    <w:name w:val="List Bullet 3"/>
    <w:basedOn w:val="BodyText"/>
    <w:rsid w:val="00055077"/>
    <w:pPr>
      <w:numPr>
        <w:numId w:val="5"/>
      </w:numPr>
      <w:spacing w:before="120"/>
      <w:ind w:left="1020" w:hanging="340"/>
    </w:pPr>
  </w:style>
  <w:style w:type="paragraph" w:styleId="ListNumber">
    <w:name w:val="List Number"/>
    <w:basedOn w:val="BodyText"/>
    <w:rsid w:val="00864ADC"/>
    <w:pPr>
      <w:numPr>
        <w:numId w:val="9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812F4A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CB7CED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812F4A"/>
    <w:pPr>
      <w:numPr>
        <w:numId w:val="6"/>
      </w:numPr>
    </w:pPr>
  </w:style>
  <w:style w:type="paragraph" w:customStyle="1" w:styleId="Rec">
    <w:name w:val="Rec"/>
    <w:basedOn w:val="BodyText"/>
    <w:qFormat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301E4A"/>
    <w:pPr>
      <w:numPr>
        <w:numId w:val="17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11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812F4A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812F4A"/>
    <w:pPr>
      <w:numPr>
        <w:numId w:val="8"/>
      </w:numPr>
      <w:jc w:val="left"/>
    </w:pPr>
  </w:style>
  <w:style w:type="paragraph" w:customStyle="1" w:styleId="TableColumnHeading">
    <w:name w:val="Table Column Heading"/>
    <w:basedOn w:val="TableBodyText"/>
    <w:rsid w:val="00812F4A"/>
    <w:pPr>
      <w:spacing w:before="80" w:after="80"/>
    </w:pPr>
    <w:rPr>
      <w:i/>
    </w:rPr>
  </w:style>
  <w:style w:type="paragraph" w:styleId="TOC2">
    <w:name w:val="toc 2"/>
    <w:basedOn w:val="TOC1"/>
    <w:rsid w:val="00F35BFB"/>
    <w:pPr>
      <w:ind w:left="1134" w:hanging="624"/>
    </w:pPr>
    <w:rPr>
      <w:b w:val="0"/>
    </w:rPr>
  </w:style>
  <w:style w:type="paragraph" w:styleId="TOC3">
    <w:name w:val="toc 3"/>
    <w:basedOn w:val="TOC2"/>
    <w:rsid w:val="00F73727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9021A6"/>
    <w:pPr>
      <w:spacing w:before="120"/>
    </w:pPr>
  </w:style>
  <w:style w:type="paragraph" w:customStyle="1" w:styleId="TableUnitsRow">
    <w:name w:val="Table Units Row"/>
    <w:basedOn w:val="TableBodyText"/>
    <w:rsid w:val="008D7622"/>
    <w:pPr>
      <w:spacing w:before="40"/>
    </w:pPr>
  </w:style>
  <w:style w:type="paragraph" w:styleId="TOC1">
    <w:name w:val="toc 1"/>
    <w:basedOn w:val="Normal"/>
    <w:next w:val="TOC2"/>
    <w:link w:val="TOC1Char"/>
    <w:rsid w:val="00F73727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01E4A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812F4A"/>
    <w:pPr>
      <w:numPr>
        <w:numId w:val="14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812F4A"/>
    <w:pPr>
      <w:numPr>
        <w:numId w:val="12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4145D2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F55C25"/>
    <w:pPr>
      <w:keepNext/>
      <w:numPr>
        <w:numId w:val="20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470737"/>
    <w:pPr>
      <w:numPr>
        <w:numId w:val="21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9F5BBD"/>
    <w:rPr>
      <w:i/>
    </w:rPr>
  </w:style>
  <w:style w:type="paragraph" w:customStyle="1" w:styleId="Space">
    <w:name w:val="Space"/>
    <w:basedOn w:val="Normal"/>
    <w:rsid w:val="00967CD3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CC070F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CC070F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812F4A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0B1022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62434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B2CC3"/>
    <w:rPr>
      <w:sz w:val="24"/>
    </w:rPr>
  </w:style>
  <w:style w:type="character" w:customStyle="1" w:styleId="FooterChar">
    <w:name w:val="Footer Char"/>
    <w:basedOn w:val="BodyTextChar"/>
    <w:link w:val="Footer"/>
    <w:semiHidden/>
    <w:rsid w:val="00EB2CC3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62434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6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F73727"/>
    <w:rPr>
      <w:rFonts w:ascii="Arial" w:hAnsi="Arial"/>
      <w:b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3FAC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3FAC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803FAC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F6F7A"/>
    <w:rPr>
      <w:sz w:val="24"/>
      <w:szCs w:val="24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812F4A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812F4A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semiHidden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semiHidden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semiHidden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semiHidden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12F4A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semiHidden/>
    <w:rsid w:val="00E01D7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812F4A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9F5BBD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812F4A"/>
    <w:pPr>
      <w:numPr>
        <w:numId w:val="13"/>
      </w:numPr>
      <w:ind w:left="568" w:hanging="284"/>
    </w:pPr>
  </w:style>
  <w:style w:type="paragraph" w:customStyle="1" w:styleId="BoxListNumber">
    <w:name w:val="Box List Number"/>
    <w:basedOn w:val="BodyText"/>
    <w:rsid w:val="00812F4A"/>
    <w:pPr>
      <w:keepNext/>
      <w:numPr>
        <w:numId w:val="10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055077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812F4A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812F4A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517795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9F74EF"/>
    <w:pPr>
      <w:spacing w:before="12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9F74E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9F74E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517795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517795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9F74EF"/>
    <w:pPr>
      <w:spacing w:before="120"/>
    </w:pPr>
  </w:style>
  <w:style w:type="paragraph" w:styleId="Subtitle">
    <w:name w:val="Subtitle"/>
    <w:basedOn w:val="Caption"/>
    <w:link w:val="SubtitleChar"/>
    <w:qFormat/>
    <w:rsid w:val="00301E4A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9F5BBD"/>
    <w:pPr>
      <w:numPr>
        <w:numId w:val="15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Rec"/>
    <w:qFormat/>
    <w:rsid w:val="009F5BBD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9021A6"/>
  </w:style>
  <w:style w:type="character" w:styleId="FootnoteReference">
    <w:name w:val="footnote reference"/>
    <w:basedOn w:val="DefaultParagraphFont"/>
    <w:semiHidden/>
    <w:rsid w:val="00243997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43997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9F5BBD"/>
    <w:rPr>
      <w:i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2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812F4A"/>
    <w:pPr>
      <w:numPr>
        <w:numId w:val="3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4"/>
      </w:numPr>
      <w:spacing w:before="120"/>
    </w:pPr>
  </w:style>
  <w:style w:type="paragraph" w:styleId="ListBullet3">
    <w:name w:val="List Bullet 3"/>
    <w:basedOn w:val="BodyText"/>
    <w:rsid w:val="00055077"/>
    <w:pPr>
      <w:numPr>
        <w:numId w:val="5"/>
      </w:numPr>
      <w:spacing w:before="120"/>
      <w:ind w:left="1020" w:hanging="340"/>
    </w:pPr>
  </w:style>
  <w:style w:type="paragraph" w:styleId="ListNumber">
    <w:name w:val="List Number"/>
    <w:basedOn w:val="BodyText"/>
    <w:rsid w:val="00864ADC"/>
    <w:pPr>
      <w:numPr>
        <w:numId w:val="9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812F4A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CB7CED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812F4A"/>
    <w:pPr>
      <w:numPr>
        <w:numId w:val="6"/>
      </w:numPr>
    </w:pPr>
  </w:style>
  <w:style w:type="paragraph" w:customStyle="1" w:styleId="Rec">
    <w:name w:val="Rec"/>
    <w:basedOn w:val="BodyText"/>
    <w:qFormat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301E4A"/>
    <w:pPr>
      <w:numPr>
        <w:numId w:val="17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11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812F4A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812F4A"/>
    <w:pPr>
      <w:numPr>
        <w:numId w:val="8"/>
      </w:numPr>
      <w:jc w:val="left"/>
    </w:pPr>
  </w:style>
  <w:style w:type="paragraph" w:customStyle="1" w:styleId="TableColumnHeading">
    <w:name w:val="Table Column Heading"/>
    <w:basedOn w:val="TableBodyText"/>
    <w:rsid w:val="00812F4A"/>
    <w:pPr>
      <w:spacing w:before="80" w:after="80"/>
    </w:pPr>
    <w:rPr>
      <w:i/>
    </w:rPr>
  </w:style>
  <w:style w:type="paragraph" w:styleId="TOC2">
    <w:name w:val="toc 2"/>
    <w:basedOn w:val="TOC1"/>
    <w:rsid w:val="00F35BFB"/>
    <w:pPr>
      <w:ind w:left="1134" w:hanging="624"/>
    </w:pPr>
    <w:rPr>
      <w:b w:val="0"/>
    </w:rPr>
  </w:style>
  <w:style w:type="paragraph" w:styleId="TOC3">
    <w:name w:val="toc 3"/>
    <w:basedOn w:val="TOC2"/>
    <w:rsid w:val="00F73727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9021A6"/>
    <w:pPr>
      <w:spacing w:before="120"/>
    </w:pPr>
  </w:style>
  <w:style w:type="paragraph" w:customStyle="1" w:styleId="TableUnitsRow">
    <w:name w:val="Table Units Row"/>
    <w:basedOn w:val="TableBodyText"/>
    <w:rsid w:val="008D7622"/>
    <w:pPr>
      <w:spacing w:before="40"/>
    </w:pPr>
  </w:style>
  <w:style w:type="paragraph" w:styleId="TOC1">
    <w:name w:val="toc 1"/>
    <w:basedOn w:val="Normal"/>
    <w:next w:val="TOC2"/>
    <w:link w:val="TOC1Char"/>
    <w:rsid w:val="00F73727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01E4A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812F4A"/>
    <w:pPr>
      <w:numPr>
        <w:numId w:val="14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812F4A"/>
    <w:pPr>
      <w:numPr>
        <w:numId w:val="12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4145D2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F55C25"/>
    <w:pPr>
      <w:keepNext/>
      <w:numPr>
        <w:numId w:val="20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470737"/>
    <w:pPr>
      <w:numPr>
        <w:numId w:val="21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9F5BBD"/>
    <w:rPr>
      <w:i/>
    </w:rPr>
  </w:style>
  <w:style w:type="paragraph" w:customStyle="1" w:styleId="Space">
    <w:name w:val="Space"/>
    <w:basedOn w:val="Normal"/>
    <w:rsid w:val="00967CD3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CC070F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CC070F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812F4A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0B1022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62434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B2CC3"/>
    <w:rPr>
      <w:sz w:val="24"/>
    </w:rPr>
  </w:style>
  <w:style w:type="character" w:customStyle="1" w:styleId="FooterChar">
    <w:name w:val="Footer Char"/>
    <w:basedOn w:val="BodyTextChar"/>
    <w:link w:val="Footer"/>
    <w:semiHidden/>
    <w:rsid w:val="00EB2CC3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62434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6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F73727"/>
    <w:rPr>
      <w:rFonts w:ascii="Arial" w:hAnsi="Arial"/>
      <w:b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3FAC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3FAC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803FA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ProdCommTheme">
  <a:themeElements>
    <a:clrScheme name="PC colour scheme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78A22F"/>
      </a:accent1>
      <a:accent2>
        <a:srgbClr val="265A9A"/>
      </a:accent2>
      <a:accent3>
        <a:srgbClr val="B2D673"/>
      </a:accent3>
      <a:accent4>
        <a:srgbClr val="F2F2F2"/>
      </a:accent4>
      <a:accent5>
        <a:srgbClr val="387DD2"/>
      </a:accent5>
      <a:accent6>
        <a:srgbClr val="C00000"/>
      </a:accent6>
      <a:hlink>
        <a:srgbClr val="78A22F"/>
      </a:hlink>
      <a:folHlink>
        <a:srgbClr val="387DD2"/>
      </a:folHlink>
    </a:clrScheme>
    <a:fontScheme name="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4945-C6F2-479B-9E8F-47F8635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chapter.dotm</Template>
  <TotalTime>0</TotalTime>
  <Pages>1</Pages>
  <Words>352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Company>Productivity Commission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</dc:title>
  <dc:subject>Erratum - Housing Assistance and Employment in Australia</dc:subject>
  <dc:creator>Productivity Commission</dc:creator>
  <dc:description>1.</dc:description>
  <cp:lastModifiedBy>Productivity Commission</cp:lastModifiedBy>
  <cp:revision>2</cp:revision>
  <cp:lastPrinted>2015-06-03T22:51:00Z</cp:lastPrinted>
  <dcterms:created xsi:type="dcterms:W3CDTF">2015-06-10T01:58:00Z</dcterms:created>
  <dcterms:modified xsi:type="dcterms:W3CDTF">2015-06-10T01:58:00Z</dcterms:modified>
</cp:coreProperties>
</file>