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D3843" w14:textId="5903C30A" w:rsidR="00A33DFF" w:rsidRDefault="000650AA" w:rsidP="00002976">
      <w:pPr>
        <w:pStyle w:val="Heading1nochapterno"/>
      </w:pPr>
      <w:r>
        <w:t>Background p</w:t>
      </w:r>
      <w:r w:rsidR="00002976" w:rsidRPr="00002976">
        <w:t xml:space="preserve">aper </w:t>
      </w:r>
      <w:r w:rsidR="00613827">
        <w:t>1</w:t>
      </w:r>
      <w:r w:rsidR="00002976" w:rsidRPr="00002976">
        <w:br/>
      </w:r>
      <w:r w:rsidR="00D06858">
        <w:t>About</w:t>
      </w:r>
      <w:r w:rsidR="00002976">
        <w:t xml:space="preserve"> Indigenous </w:t>
      </w:r>
      <w:r w:rsidR="00AC528B">
        <w:t xml:space="preserve">Australian </w:t>
      </w:r>
      <w:r w:rsidR="00AA7E4B">
        <w:t>students</w:t>
      </w:r>
    </w:p>
    <w:p w14:paraId="72642ADE" w14:textId="51C420FA" w:rsidR="00002976" w:rsidRDefault="00002976">
      <w:pPr>
        <w:pStyle w:val="BoxSpaceAbove"/>
      </w:pPr>
      <w:bookmarkStart w:id="0" w:name="begin"/>
      <w:bookmarkEnd w:id="0"/>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002976" w14:paraId="71BE3652" w14:textId="77777777" w:rsidTr="009E672D">
        <w:tc>
          <w:tcPr>
            <w:tcW w:w="8771" w:type="dxa"/>
            <w:tcBorders>
              <w:top w:val="single" w:sz="6" w:space="0" w:color="78A22F"/>
              <w:left w:val="nil"/>
              <w:bottom w:val="nil"/>
              <w:right w:val="nil"/>
            </w:tcBorders>
            <w:shd w:val="clear" w:color="auto" w:fill="F2F2F2"/>
          </w:tcPr>
          <w:p w14:paraId="07CD8043" w14:textId="6A7AD650" w:rsidR="00002976" w:rsidRDefault="00002976" w:rsidP="006D3503">
            <w:pPr>
              <w:pStyle w:val="BoxTitle"/>
            </w:pPr>
            <w:r>
              <w:t>Key points</w:t>
            </w:r>
          </w:p>
        </w:tc>
      </w:tr>
      <w:tr w:rsidR="00002976" w14:paraId="384405E8" w14:textId="77777777" w:rsidTr="009E672D">
        <w:trPr>
          <w:cantSplit/>
        </w:trPr>
        <w:tc>
          <w:tcPr>
            <w:tcW w:w="8771" w:type="dxa"/>
            <w:tcBorders>
              <w:top w:val="nil"/>
              <w:left w:val="nil"/>
              <w:bottom w:val="nil"/>
              <w:right w:val="nil"/>
            </w:tcBorders>
            <w:shd w:val="clear" w:color="auto" w:fill="F2F2F2"/>
          </w:tcPr>
          <w:p w14:paraId="55F6D46F" w14:textId="3DB94915" w:rsidR="009905AA" w:rsidRDefault="009905AA" w:rsidP="001D49FE">
            <w:pPr>
              <w:pStyle w:val="BoxListBullet"/>
            </w:pPr>
            <w:r>
              <w:t xml:space="preserve">This background paper </w:t>
            </w:r>
            <w:r w:rsidR="00A055CD">
              <w:t>provides some information about</w:t>
            </w:r>
            <w:r>
              <w:t xml:space="preserve"> Indigenous </w:t>
            </w:r>
            <w:r w:rsidR="00AC528B">
              <w:t xml:space="preserve">Australian </w:t>
            </w:r>
            <w:r>
              <w:t xml:space="preserve">primary school students </w:t>
            </w:r>
            <w:r w:rsidR="00A055CD">
              <w:t xml:space="preserve">based on </w:t>
            </w:r>
            <w:r w:rsidR="00587D98">
              <w:t>de</w:t>
            </w:r>
            <w:r w:rsidR="00587D98">
              <w:noBreakHyphen/>
              <w:t xml:space="preserve">identified </w:t>
            </w:r>
            <w:r w:rsidR="00676E93">
              <w:t>data</w:t>
            </w:r>
            <w:r>
              <w:t xml:space="preserve"> provided </w:t>
            </w:r>
            <w:r w:rsidRPr="0059405C">
              <w:t xml:space="preserve">to the Commission by </w:t>
            </w:r>
            <w:r>
              <w:t xml:space="preserve">the </w:t>
            </w:r>
            <w:r w:rsidRPr="0059405C">
              <w:t>A</w:t>
            </w:r>
            <w:r>
              <w:t>ustralian Curriculum, Assessment and Reporting Authority (ACARA).</w:t>
            </w:r>
          </w:p>
          <w:p w14:paraId="0458EB77" w14:textId="0AEE6988" w:rsidR="00D001C4" w:rsidRDefault="00D001C4" w:rsidP="00CB7DD8">
            <w:pPr>
              <w:pStyle w:val="BoxListBullet2"/>
            </w:pPr>
            <w:r>
              <w:t xml:space="preserve">The data include </w:t>
            </w:r>
            <w:r w:rsidR="007D2D62">
              <w:t xml:space="preserve">test </w:t>
            </w:r>
            <w:r>
              <w:t xml:space="preserve">results </w:t>
            </w:r>
            <w:r w:rsidR="007D2D62">
              <w:t xml:space="preserve">from the </w:t>
            </w:r>
            <w:r w:rsidR="007D2D62" w:rsidRPr="008C6F6F">
              <w:t xml:space="preserve">National Assessment Program </w:t>
            </w:r>
            <w:r w:rsidR="007D2D62">
              <w:t>—</w:t>
            </w:r>
            <w:r w:rsidR="007D2D62" w:rsidRPr="008C6F6F">
              <w:t xml:space="preserve"> Literacy and Numeracy</w:t>
            </w:r>
            <w:r w:rsidR="007D2D62">
              <w:t xml:space="preserve"> (</w:t>
            </w:r>
            <w:proofErr w:type="spellStart"/>
            <w:r w:rsidR="007D2D62">
              <w:t>NAPLAN</w:t>
            </w:r>
            <w:proofErr w:type="spellEnd"/>
            <w:r w:rsidR="007D2D62">
              <w:t xml:space="preserve">). The data cover all students across Australia in </w:t>
            </w:r>
            <w:r w:rsidR="009F5439">
              <w:t>Y</w:t>
            </w:r>
            <w:r>
              <w:t>ear</w:t>
            </w:r>
            <w:r w:rsidR="009F5439">
              <w:t>s</w:t>
            </w:r>
            <w:r>
              <w:t xml:space="preserve"> 3 </w:t>
            </w:r>
            <w:r w:rsidR="0055727B">
              <w:t>and</w:t>
            </w:r>
            <w:r>
              <w:t xml:space="preserve"> 5</w:t>
            </w:r>
            <w:r w:rsidR="007D2D62">
              <w:t xml:space="preserve"> </w:t>
            </w:r>
            <w:r>
              <w:t xml:space="preserve">in 2013 </w:t>
            </w:r>
            <w:r w:rsidR="0055727B">
              <w:t>and</w:t>
            </w:r>
            <w:r>
              <w:t xml:space="preserve"> 2014.</w:t>
            </w:r>
            <w:r w:rsidR="00676E93">
              <w:t xml:space="preserve"> </w:t>
            </w:r>
            <w:r>
              <w:t xml:space="preserve">For brevity, this </w:t>
            </w:r>
            <w:r w:rsidR="007236ED">
              <w:t xml:space="preserve">paper </w:t>
            </w:r>
            <w:r>
              <w:t xml:space="preserve">focuses only on students in Year 5 in 2014 and mainly discusses the results of the </w:t>
            </w:r>
            <w:proofErr w:type="spellStart"/>
            <w:r>
              <w:t>NAPLAN</w:t>
            </w:r>
            <w:proofErr w:type="spellEnd"/>
            <w:r>
              <w:t xml:space="preserve"> reading test.</w:t>
            </w:r>
          </w:p>
          <w:p w14:paraId="5980E2A7" w14:textId="77E7200F" w:rsidR="00D52A39" w:rsidRDefault="00D52A39" w:rsidP="00CB7DD8">
            <w:pPr>
              <w:pStyle w:val="BoxListBullet"/>
            </w:pPr>
            <w:r w:rsidRPr="00D52A39">
              <w:t xml:space="preserve">The </w:t>
            </w:r>
            <w:r>
              <w:t>paper</w:t>
            </w:r>
            <w:r w:rsidRPr="00D52A39">
              <w:t xml:space="preserve"> </w:t>
            </w:r>
            <w:r w:rsidR="00081BF6">
              <w:t>describes</w:t>
            </w:r>
            <w:r w:rsidRPr="00D52A39">
              <w:t xml:space="preserve"> </w:t>
            </w:r>
            <w:r w:rsidR="00F32912">
              <w:t xml:space="preserve">how student scores vary with a range of student </w:t>
            </w:r>
            <w:r w:rsidR="00F43863">
              <w:t xml:space="preserve">demographics </w:t>
            </w:r>
            <w:r w:rsidR="00F32912">
              <w:t xml:space="preserve">and school characteristics. </w:t>
            </w:r>
            <w:r w:rsidR="0066113C">
              <w:t>T</w:t>
            </w:r>
            <w:r w:rsidR="00F32912">
              <w:t xml:space="preserve">hese descriptions </w:t>
            </w:r>
            <w:r w:rsidR="00AD7D87">
              <w:t>should</w:t>
            </w:r>
            <w:r>
              <w:t xml:space="preserve"> not </w:t>
            </w:r>
            <w:r w:rsidR="00AD7D87">
              <w:t>be used to attribute causation</w:t>
            </w:r>
            <w:r w:rsidRPr="00D52A39">
              <w:t>.</w:t>
            </w:r>
          </w:p>
          <w:p w14:paraId="13B78320" w14:textId="00AAEB47" w:rsidR="00963674" w:rsidRDefault="00EF093D" w:rsidP="00CB7DD8">
            <w:pPr>
              <w:pStyle w:val="BoxListBullet"/>
            </w:pPr>
            <w:r>
              <w:t>T</w:t>
            </w:r>
            <w:r w:rsidR="00963674">
              <w:t>here were 14 </w:t>
            </w:r>
            <w:r w:rsidR="00B45E06">
              <w:t xml:space="preserve">620 </w:t>
            </w:r>
            <w:r w:rsidR="00963674">
              <w:t>Indigenous students in Year 5</w:t>
            </w:r>
            <w:r w:rsidR="00CF500D">
              <w:t xml:space="preserve"> in 2014</w:t>
            </w:r>
            <w:r>
              <w:t>, representing</w:t>
            </w:r>
            <w:r w:rsidR="00963674">
              <w:t xml:space="preserve"> five</w:t>
            </w:r>
            <w:r w:rsidR="00E32387">
              <w:t> per cent</w:t>
            </w:r>
            <w:r w:rsidR="00963674">
              <w:t xml:space="preserve"> of all Year 5 students</w:t>
            </w:r>
            <w:r>
              <w:t xml:space="preserve"> nationally</w:t>
            </w:r>
            <w:r w:rsidR="00963674">
              <w:t>.</w:t>
            </w:r>
          </w:p>
          <w:p w14:paraId="2AD4418B" w14:textId="6B7A7AE6" w:rsidR="00963674" w:rsidRDefault="00963674" w:rsidP="00CB7DD8">
            <w:pPr>
              <w:pStyle w:val="BoxListBullet"/>
            </w:pPr>
            <w:r>
              <w:t xml:space="preserve">Indigenous students make up a large proportion of all students </w:t>
            </w:r>
            <w:r w:rsidR="00A05E5B">
              <w:t xml:space="preserve">at schools </w:t>
            </w:r>
            <w:r>
              <w:t>in remote and very remote regions, particularly in the Northern Territory.</w:t>
            </w:r>
          </w:p>
          <w:p w14:paraId="639DDD0D" w14:textId="74F67DAF" w:rsidR="00963674" w:rsidRDefault="00963674" w:rsidP="00CB7DD8">
            <w:pPr>
              <w:pStyle w:val="BoxListBullet"/>
            </w:pPr>
            <w:r>
              <w:t xml:space="preserve">But this is not where most Indigenous students </w:t>
            </w:r>
            <w:r w:rsidR="00A05E5B">
              <w:t xml:space="preserve">go to school </w:t>
            </w:r>
            <w:r>
              <w:t>— eighty</w:t>
            </w:r>
            <w:r w:rsidR="00E32387">
              <w:t> per cent</w:t>
            </w:r>
            <w:r>
              <w:t xml:space="preserve"> of all Indigenous students </w:t>
            </w:r>
            <w:r w:rsidR="00A05E5B">
              <w:t xml:space="preserve">attend schools </w:t>
            </w:r>
            <w:r>
              <w:t xml:space="preserve">in metropolitan and provincial regions. </w:t>
            </w:r>
            <w:r w:rsidR="002F6232">
              <w:t>M</w:t>
            </w:r>
            <w:r>
              <w:t xml:space="preserve">ore than half </w:t>
            </w:r>
            <w:r w:rsidR="00A05E5B">
              <w:t xml:space="preserve">attend schools </w:t>
            </w:r>
            <w:r>
              <w:t>in the metropolitan and provincial regions of New South Wales and Queensland.</w:t>
            </w:r>
          </w:p>
          <w:p w14:paraId="258DE039" w14:textId="295333F5" w:rsidR="008C6FFB" w:rsidRDefault="008C6FFB" w:rsidP="00CB7DD8">
            <w:pPr>
              <w:pStyle w:val="BoxListBullet"/>
            </w:pPr>
            <w:r>
              <w:t xml:space="preserve">Regardless of location, Indigenous students tend to </w:t>
            </w:r>
            <w:r w:rsidR="00CF500D">
              <w:t xml:space="preserve">perform less well </w:t>
            </w:r>
            <w:r>
              <w:t xml:space="preserve">on </w:t>
            </w:r>
            <w:proofErr w:type="spellStart"/>
            <w:r>
              <w:t>NAPLAN</w:t>
            </w:r>
            <w:proofErr w:type="spellEnd"/>
            <w:r>
              <w:t xml:space="preserve"> tests </w:t>
            </w:r>
            <w:r w:rsidR="00CF500D">
              <w:t>than</w:t>
            </w:r>
            <w:r>
              <w:t xml:space="preserve"> non</w:t>
            </w:r>
            <w:r w:rsidR="003C48BA">
              <w:noBreakHyphen/>
            </w:r>
            <w:r>
              <w:t>Indigenous students.</w:t>
            </w:r>
          </w:p>
          <w:p w14:paraId="24E58C10" w14:textId="04B72D2A" w:rsidR="008C6FFB" w:rsidRDefault="008C6FFB" w:rsidP="00CB7DD8">
            <w:pPr>
              <w:pStyle w:val="BoxListBullet2"/>
            </w:pPr>
            <w:r>
              <w:t xml:space="preserve">Indigenous students are both underrepresented among </w:t>
            </w:r>
            <w:r w:rsidR="00081BF6">
              <w:t>high</w:t>
            </w:r>
            <w:r w:rsidR="00081BF6">
              <w:noBreakHyphen/>
            </w:r>
            <w:r>
              <w:t xml:space="preserve">achieving students and overrepresented among </w:t>
            </w:r>
            <w:r w:rsidR="00081BF6">
              <w:t>under</w:t>
            </w:r>
            <w:r>
              <w:t>achieving students.</w:t>
            </w:r>
          </w:p>
          <w:p w14:paraId="02420963" w14:textId="3721D17D" w:rsidR="008C6FFB" w:rsidRDefault="008C6FFB" w:rsidP="00CB7DD8">
            <w:pPr>
              <w:pStyle w:val="BoxListBullet"/>
            </w:pPr>
            <w:r>
              <w:t>Indigenous students tend to have parents with less formal education, who work in less</w:t>
            </w:r>
            <w:r>
              <w:noBreakHyphen/>
              <w:t xml:space="preserve">skilled occupations or </w:t>
            </w:r>
            <w:r w:rsidR="009905AA">
              <w:t xml:space="preserve">who </w:t>
            </w:r>
            <w:r>
              <w:t>are not part of the paid workforce.</w:t>
            </w:r>
          </w:p>
          <w:p w14:paraId="07DA54E9" w14:textId="546A1DD3" w:rsidR="008C6FFB" w:rsidRDefault="008C6FFB" w:rsidP="00CB7DD8">
            <w:pPr>
              <w:pStyle w:val="BoxListBullet2"/>
            </w:pPr>
            <w:r>
              <w:t xml:space="preserve">Students with parents who have less formal education or who work in </w:t>
            </w:r>
            <w:r w:rsidR="00F40DC4">
              <w:t>less</w:t>
            </w:r>
            <w:r w:rsidR="00A9261F">
              <w:noBreakHyphen/>
            </w:r>
            <w:r w:rsidR="00F40DC4">
              <w:t>skilled</w:t>
            </w:r>
            <w:r>
              <w:t xml:space="preserve"> occupations tend to have lower </w:t>
            </w:r>
            <w:proofErr w:type="spellStart"/>
            <w:r w:rsidR="009905AA">
              <w:t>NAPLAN</w:t>
            </w:r>
            <w:proofErr w:type="spellEnd"/>
            <w:r w:rsidR="009905AA">
              <w:t xml:space="preserve"> </w:t>
            </w:r>
            <w:r>
              <w:t>test scores.</w:t>
            </w:r>
          </w:p>
          <w:p w14:paraId="65A43216" w14:textId="77777777" w:rsidR="003B6015" w:rsidRDefault="008C6FFB" w:rsidP="00CB7DD8">
            <w:pPr>
              <w:pStyle w:val="BoxListBullet"/>
            </w:pPr>
            <w:r>
              <w:t xml:space="preserve">Indigenous students </w:t>
            </w:r>
            <w:r w:rsidR="00D82CEE">
              <w:t>attend</w:t>
            </w:r>
            <w:r>
              <w:t xml:space="preserve"> schools </w:t>
            </w:r>
            <w:r w:rsidR="00D82CEE">
              <w:t>that tend to have</w:t>
            </w:r>
            <w:r>
              <w:t xml:space="preserve"> lower student attendance rates.</w:t>
            </w:r>
          </w:p>
          <w:p w14:paraId="753353F8" w14:textId="67226BC7" w:rsidR="008C6FFB" w:rsidRDefault="00096E02" w:rsidP="003B6015">
            <w:pPr>
              <w:pStyle w:val="BoxListBullet2"/>
            </w:pPr>
            <w:r>
              <w:t>S</w:t>
            </w:r>
            <w:r w:rsidR="008C6FFB">
              <w:t>tudents at schools with lower student attendance rates tend to have lower test scores.</w:t>
            </w:r>
          </w:p>
          <w:p w14:paraId="1E204C6A" w14:textId="1675B15F" w:rsidR="009905AA" w:rsidRDefault="008C6FFB" w:rsidP="00CB7DD8">
            <w:pPr>
              <w:pStyle w:val="BoxListBullet"/>
            </w:pPr>
            <w:r>
              <w:t xml:space="preserve">Half of all Indigenous students </w:t>
            </w:r>
            <w:r w:rsidR="009905AA">
              <w:t>go to schools where Indigenous students make up less than 15</w:t>
            </w:r>
            <w:r w:rsidR="00E32387">
              <w:t> per cent</w:t>
            </w:r>
            <w:r w:rsidR="009905AA">
              <w:t xml:space="preserve"> of the total student enrolment.</w:t>
            </w:r>
            <w:r>
              <w:t xml:space="preserve"> </w:t>
            </w:r>
            <w:r w:rsidR="000F1F32">
              <w:t>A</w:t>
            </w:r>
            <w:r w:rsidR="009905AA" w:rsidRPr="009905AA">
              <w:t xml:space="preserve"> considerable minority of Indigenous students (11</w:t>
            </w:r>
            <w:r w:rsidR="00E32387">
              <w:t> per cent</w:t>
            </w:r>
            <w:r w:rsidR="009905AA" w:rsidRPr="009905AA">
              <w:t xml:space="preserve">) go to schools where Indigenous students make up </w:t>
            </w:r>
            <w:r w:rsidR="009905AA">
              <w:t xml:space="preserve">more than </w:t>
            </w:r>
            <w:r w:rsidR="009905AA" w:rsidRPr="009905AA">
              <w:t>95</w:t>
            </w:r>
            <w:r w:rsidR="00E32387">
              <w:t> per cent</w:t>
            </w:r>
            <w:r w:rsidR="009905AA" w:rsidRPr="009905AA">
              <w:t xml:space="preserve"> of </w:t>
            </w:r>
            <w:r w:rsidR="009905AA">
              <w:t>the total</w:t>
            </w:r>
            <w:r w:rsidR="009905AA" w:rsidRPr="009905AA">
              <w:t xml:space="preserve"> student</w:t>
            </w:r>
            <w:r w:rsidR="009905AA">
              <w:t xml:space="preserve"> enrolment</w:t>
            </w:r>
            <w:r w:rsidR="009905AA" w:rsidRPr="009905AA">
              <w:t>.</w:t>
            </w:r>
          </w:p>
          <w:p w14:paraId="2936D988" w14:textId="1B673356" w:rsidR="00002976" w:rsidRPr="001D49FE" w:rsidRDefault="009905AA" w:rsidP="00BF6F75">
            <w:pPr>
              <w:pStyle w:val="BoxListBullet"/>
            </w:pPr>
            <w:r>
              <w:t>Across all remoteness categories, Indigenous students tend to perform better at schools w</w:t>
            </w:r>
            <w:r w:rsidR="00CF28E9">
              <w:t>h</w:t>
            </w:r>
            <w:r>
              <w:t>ere Indigenous students make up a small proportion of the total student enrolment.</w:t>
            </w:r>
            <w:r w:rsidRPr="009905AA" w:rsidDel="00243719">
              <w:t xml:space="preserve"> </w:t>
            </w:r>
          </w:p>
        </w:tc>
      </w:tr>
      <w:tr w:rsidR="00002976" w14:paraId="2B4FBC6E" w14:textId="77777777" w:rsidTr="009E672D">
        <w:trPr>
          <w:cantSplit/>
        </w:trPr>
        <w:tc>
          <w:tcPr>
            <w:tcW w:w="8771" w:type="dxa"/>
            <w:tcBorders>
              <w:top w:val="nil"/>
              <w:left w:val="nil"/>
              <w:bottom w:val="single" w:sz="6" w:space="0" w:color="78A22F"/>
              <w:right w:val="nil"/>
            </w:tcBorders>
            <w:shd w:val="clear" w:color="auto" w:fill="F2F2F2"/>
          </w:tcPr>
          <w:p w14:paraId="24A36468" w14:textId="0DBCE386" w:rsidR="00002976" w:rsidRDefault="00002976">
            <w:pPr>
              <w:pStyle w:val="Box"/>
              <w:spacing w:before="0" w:line="120" w:lineRule="exact"/>
            </w:pPr>
          </w:p>
        </w:tc>
      </w:tr>
      <w:tr w:rsidR="00002976" w:rsidRPr="000863A5" w14:paraId="6F1AD235" w14:textId="77777777" w:rsidTr="009E672D">
        <w:tc>
          <w:tcPr>
            <w:tcW w:w="8771" w:type="dxa"/>
            <w:tcBorders>
              <w:top w:val="single" w:sz="6" w:space="0" w:color="78A22F"/>
              <w:left w:val="nil"/>
              <w:bottom w:val="nil"/>
              <w:right w:val="nil"/>
            </w:tcBorders>
          </w:tcPr>
          <w:p w14:paraId="2CFC88DA" w14:textId="02900C5B" w:rsidR="00002976" w:rsidRPr="00626D32" w:rsidRDefault="00002976" w:rsidP="009E672D">
            <w:pPr>
              <w:pStyle w:val="BoxSpaceBelow"/>
            </w:pPr>
          </w:p>
        </w:tc>
      </w:tr>
    </w:tbl>
    <w:p w14:paraId="72FF323D" w14:textId="28C5ACD8" w:rsidR="00666E02" w:rsidRDefault="00A85BAB" w:rsidP="00002976">
      <w:pPr>
        <w:pStyle w:val="Heading2"/>
      </w:pPr>
      <w:r>
        <w:rPr>
          <w:noProof/>
        </w:rPr>
        <w:lastRenderedPageBreak/>
        <w:t>1</w:t>
      </w:r>
      <w:r w:rsidR="00002976">
        <w:tab/>
      </w:r>
      <w:r w:rsidR="00425DFF">
        <w:t>Introduction</w:t>
      </w:r>
    </w:p>
    <w:p w14:paraId="636423D0" w14:textId="1934BFF4" w:rsidR="00866BEA" w:rsidRDefault="00425DFF" w:rsidP="0059405C">
      <w:pPr>
        <w:pStyle w:val="BodyText"/>
      </w:pPr>
      <w:r>
        <w:t>This background paper p</w:t>
      </w:r>
      <w:r w:rsidR="00067F47">
        <w:t xml:space="preserve">resents </w:t>
      </w:r>
      <w:r w:rsidR="00763923">
        <w:t>some information about</w:t>
      </w:r>
      <w:r w:rsidR="00067F47">
        <w:t xml:space="preserve"> Indigenous </w:t>
      </w:r>
      <w:r w:rsidR="00AC528B">
        <w:t xml:space="preserve">Australian </w:t>
      </w:r>
      <w:r>
        <w:t xml:space="preserve">primary school </w:t>
      </w:r>
      <w:r w:rsidR="00067F47">
        <w:t>students</w:t>
      </w:r>
      <w:r w:rsidR="00F43863">
        <w:t xml:space="preserve"> to provide context for the analysis in the body of the report</w:t>
      </w:r>
      <w:r>
        <w:t>.</w:t>
      </w:r>
      <w:r w:rsidR="00AC528B">
        <w:rPr>
          <w:rStyle w:val="FootnoteReference"/>
        </w:rPr>
        <w:footnoteReference w:id="2"/>
      </w:r>
      <w:r w:rsidR="0059405C">
        <w:t xml:space="preserve"> </w:t>
      </w:r>
      <w:r w:rsidR="00763923">
        <w:t xml:space="preserve">It </w:t>
      </w:r>
      <w:r w:rsidR="003D1AB1">
        <w:t>describes the demographic background</w:t>
      </w:r>
      <w:r w:rsidR="00866BEA">
        <w:t xml:space="preserve"> of Indigenous students</w:t>
      </w:r>
      <w:r w:rsidR="00763923">
        <w:t>,</w:t>
      </w:r>
      <w:r w:rsidR="00CB7DD8">
        <w:t xml:space="preserve"> </w:t>
      </w:r>
      <w:r w:rsidR="00763923">
        <w:t>some characteristics of the</w:t>
      </w:r>
      <w:r w:rsidR="00866BEA">
        <w:t xml:space="preserve"> </w:t>
      </w:r>
      <w:r w:rsidR="00326DDD">
        <w:t>schools the</w:t>
      </w:r>
      <w:r w:rsidR="00CB7DD8">
        <w:t>y</w:t>
      </w:r>
      <w:r w:rsidR="00326DDD">
        <w:t xml:space="preserve"> </w:t>
      </w:r>
      <w:r w:rsidR="00866BEA">
        <w:t xml:space="preserve">attend and the </w:t>
      </w:r>
      <w:r w:rsidR="00CB7DD8">
        <w:t xml:space="preserve">results they obtained in the </w:t>
      </w:r>
      <w:r w:rsidR="00CB7DD8" w:rsidRPr="008C6F6F">
        <w:t xml:space="preserve">National Assessment Program </w:t>
      </w:r>
      <w:r w:rsidR="00CB7DD8">
        <w:t>—</w:t>
      </w:r>
      <w:r w:rsidR="00CB7DD8" w:rsidRPr="008C6F6F">
        <w:t xml:space="preserve"> Literacy and Numeracy</w:t>
      </w:r>
      <w:r w:rsidR="00CB7DD8">
        <w:t xml:space="preserve"> (</w:t>
      </w:r>
      <w:proofErr w:type="spellStart"/>
      <w:r w:rsidR="00CB7DD8">
        <w:t>NAPLAN</w:t>
      </w:r>
      <w:proofErr w:type="spellEnd"/>
      <w:r w:rsidR="00CB7DD8">
        <w:t>)</w:t>
      </w:r>
      <w:r w:rsidR="00DF098C">
        <w:t xml:space="preserve"> (box 1)</w:t>
      </w:r>
      <w:r w:rsidR="00866BEA">
        <w:t>.</w:t>
      </w:r>
      <w:r w:rsidR="0059405C">
        <w:t xml:space="preserve"> </w:t>
      </w:r>
      <w:r w:rsidR="00F65DB1">
        <w:t>For</w:t>
      </w:r>
      <w:r w:rsidR="00866BEA">
        <w:t xml:space="preserve"> perspective, </w:t>
      </w:r>
      <w:r w:rsidR="00D70BED">
        <w:t>information</w:t>
      </w:r>
      <w:r w:rsidR="00865C22">
        <w:t xml:space="preserve"> is presented for both </w:t>
      </w:r>
      <w:r w:rsidR="00866BEA">
        <w:t xml:space="preserve">Indigenous </w:t>
      </w:r>
      <w:r w:rsidR="00865C22">
        <w:t>and non</w:t>
      </w:r>
      <w:r w:rsidR="003C48BA">
        <w:noBreakHyphen/>
      </w:r>
      <w:r w:rsidR="00865C22">
        <w:t xml:space="preserve">Indigenous </w:t>
      </w:r>
      <w:r w:rsidR="00866BEA">
        <w:t>student</w:t>
      </w:r>
      <w:r w:rsidR="00865C22">
        <w:t>s</w:t>
      </w:r>
      <w:r w:rsidR="00866BEA">
        <w:t>.</w:t>
      </w:r>
    </w:p>
    <w:p w14:paraId="0FA46135" w14:textId="5425562D" w:rsidR="007C0656" w:rsidRDefault="00425DFF" w:rsidP="0059405C">
      <w:pPr>
        <w:pStyle w:val="BodyText"/>
      </w:pPr>
      <w:r w:rsidRPr="0059405C">
        <w:t>Th</w:t>
      </w:r>
      <w:r w:rsidR="007E5FE8" w:rsidRPr="0059405C">
        <w:t>e</w:t>
      </w:r>
      <w:r w:rsidRPr="0059405C">
        <w:t xml:space="preserve"> </w:t>
      </w:r>
      <w:r w:rsidR="00CE759C" w:rsidRPr="0059405C">
        <w:t>p</w:t>
      </w:r>
      <w:r w:rsidR="00CE759C">
        <w:t>aper</w:t>
      </w:r>
      <w:r w:rsidR="00CE759C" w:rsidRPr="0059405C">
        <w:t xml:space="preserve"> </w:t>
      </w:r>
      <w:r w:rsidRPr="0059405C">
        <w:t xml:space="preserve">is based on </w:t>
      </w:r>
      <w:r w:rsidR="00866BEA" w:rsidRPr="0059405C">
        <w:t xml:space="preserve">a </w:t>
      </w:r>
      <w:r w:rsidR="00E0587D">
        <w:t>de</w:t>
      </w:r>
      <w:r w:rsidR="00E0587D">
        <w:noBreakHyphen/>
        <w:t>identified</w:t>
      </w:r>
      <w:r w:rsidR="00E0587D" w:rsidRPr="0059405C">
        <w:t xml:space="preserve"> </w:t>
      </w:r>
      <w:r w:rsidR="00866BEA" w:rsidRPr="0059405C">
        <w:t xml:space="preserve">dataset provided to the Commission by </w:t>
      </w:r>
      <w:r w:rsidR="00F65DB1">
        <w:t xml:space="preserve">the </w:t>
      </w:r>
      <w:r w:rsidR="00866BEA" w:rsidRPr="0059405C">
        <w:t>A</w:t>
      </w:r>
      <w:r w:rsidR="00B83A28">
        <w:t>ustralian Curriculum</w:t>
      </w:r>
      <w:r w:rsidR="00C97DD5">
        <w:t>,</w:t>
      </w:r>
      <w:r w:rsidR="00B83A28">
        <w:t xml:space="preserve"> Assessment </w:t>
      </w:r>
      <w:r w:rsidR="00C97DD5">
        <w:t xml:space="preserve">and Reporting </w:t>
      </w:r>
      <w:r w:rsidR="00B83A28">
        <w:t>Authority (ACARA)</w:t>
      </w:r>
      <w:r w:rsidR="00866BEA" w:rsidRPr="0059405C">
        <w:t>.</w:t>
      </w:r>
      <w:r w:rsidR="0059405C">
        <w:t xml:space="preserve"> </w:t>
      </w:r>
      <w:r w:rsidR="007C0656">
        <w:t>This dataset was provided on an ‘as is’ basis and ACARA takes no responsibility for its accuracy, quality o</w:t>
      </w:r>
      <w:r w:rsidR="00F65DB1">
        <w:t>r</w:t>
      </w:r>
      <w:r w:rsidR="007C0656">
        <w:t xml:space="preserve"> fitness </w:t>
      </w:r>
      <w:r w:rsidR="00785960">
        <w:t xml:space="preserve">for </w:t>
      </w:r>
      <w:r w:rsidR="007C0656">
        <w:t>purpose. All analysis contained herein was undertaken by the Commission and has not been validated by ACARA.</w:t>
      </w:r>
    </w:p>
    <w:p w14:paraId="6D54F83E" w14:textId="2D58B880" w:rsidR="0095119F" w:rsidRDefault="00866BEA" w:rsidP="0095119F">
      <w:pPr>
        <w:pStyle w:val="BodyText"/>
      </w:pPr>
      <w:r>
        <w:t xml:space="preserve">The dataset </w:t>
      </w:r>
      <w:r w:rsidR="0059405C">
        <w:t>includes</w:t>
      </w:r>
      <w:r>
        <w:t xml:space="preserve"> all students who were in </w:t>
      </w:r>
      <w:r w:rsidR="00F65DB1">
        <w:t>Y</w:t>
      </w:r>
      <w:r>
        <w:t xml:space="preserve">ear 3 or </w:t>
      </w:r>
      <w:r w:rsidR="00F65DB1">
        <w:t>Y</w:t>
      </w:r>
      <w:r>
        <w:t>ear 5 in 2013 and 2014</w:t>
      </w:r>
      <w:r w:rsidR="006D3503">
        <w:t>,</w:t>
      </w:r>
      <w:r>
        <w:t xml:space="preserve"> including those who did not sit </w:t>
      </w:r>
      <w:proofErr w:type="spellStart"/>
      <w:r>
        <w:t>NAPLAN</w:t>
      </w:r>
      <w:proofErr w:type="spellEnd"/>
      <w:r>
        <w:t xml:space="preserve"> tests.</w:t>
      </w:r>
      <w:r w:rsidR="0059405C">
        <w:t xml:space="preserve"> </w:t>
      </w:r>
      <w:r w:rsidR="00F65DB1">
        <w:t>F</w:t>
      </w:r>
      <w:r>
        <w:t xml:space="preserve">or brevity, the analysis </w:t>
      </w:r>
      <w:r w:rsidR="0059405C">
        <w:t xml:space="preserve">is </w:t>
      </w:r>
      <w:r w:rsidR="007C0656">
        <w:t>restricted</w:t>
      </w:r>
      <w:r w:rsidR="0059405C">
        <w:t xml:space="preserve"> to </w:t>
      </w:r>
      <w:r>
        <w:t xml:space="preserve">students </w:t>
      </w:r>
      <w:r w:rsidR="006D3503">
        <w:t xml:space="preserve">who were in </w:t>
      </w:r>
      <w:r w:rsidR="00F65DB1">
        <w:t xml:space="preserve">Year </w:t>
      </w:r>
      <w:r w:rsidR="006D3503">
        <w:t xml:space="preserve">5 </w:t>
      </w:r>
      <w:r w:rsidR="00B83A28">
        <w:t xml:space="preserve">in 2014 </w:t>
      </w:r>
      <w:r w:rsidR="006D3503">
        <w:t xml:space="preserve">and </w:t>
      </w:r>
      <w:r w:rsidR="007C0656">
        <w:t>mainly refers to results from the reading test</w:t>
      </w:r>
      <w:r>
        <w:t>.</w:t>
      </w:r>
      <w:r w:rsidR="0059405C">
        <w:t xml:space="preserve"> </w:t>
      </w:r>
      <w:r w:rsidR="0095119F">
        <w:t>The Commission’s unpublished analysis suggests the broad conclusions in this paper also hold across tests, year levels (Year 3 and Year 5) and years (2013 and 2014).</w:t>
      </w:r>
    </w:p>
    <w:p w14:paraId="37D93807" w14:textId="741FEE4D" w:rsidR="00425DFF" w:rsidRDefault="00425DFF">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25DFF" w14:paraId="7FEBDEDD" w14:textId="77777777" w:rsidTr="009E672D">
        <w:tc>
          <w:tcPr>
            <w:tcW w:w="8771" w:type="dxa"/>
            <w:tcBorders>
              <w:top w:val="single" w:sz="6" w:space="0" w:color="78A22F"/>
              <w:left w:val="nil"/>
              <w:bottom w:val="nil"/>
              <w:right w:val="nil"/>
            </w:tcBorders>
            <w:shd w:val="clear" w:color="auto" w:fill="F2F2F2"/>
          </w:tcPr>
          <w:p w14:paraId="23474341" w14:textId="7E3E8A71" w:rsidR="00425DFF" w:rsidRDefault="00425DFF" w:rsidP="00425DFF">
            <w:pPr>
              <w:pStyle w:val="BoxTitle"/>
            </w:pPr>
            <w:r>
              <w:rPr>
                <w:b w:val="0"/>
              </w:rPr>
              <w:t xml:space="preserve">Box </w:t>
            </w:r>
            <w:bookmarkStart w:id="1" w:name="OLE_LINK2"/>
            <w:r w:rsidR="00A85BAB">
              <w:rPr>
                <w:b w:val="0"/>
                <w:noProof/>
              </w:rPr>
              <w:t>1</w:t>
            </w:r>
            <w:bookmarkEnd w:id="1"/>
            <w:r>
              <w:tab/>
              <w:t xml:space="preserve">About </w:t>
            </w:r>
            <w:proofErr w:type="spellStart"/>
            <w:r>
              <w:t>NAPLAN</w:t>
            </w:r>
            <w:proofErr w:type="spellEnd"/>
          </w:p>
        </w:tc>
      </w:tr>
      <w:tr w:rsidR="00425DFF" w14:paraId="087460B3" w14:textId="77777777" w:rsidTr="009E672D">
        <w:trPr>
          <w:cantSplit/>
        </w:trPr>
        <w:tc>
          <w:tcPr>
            <w:tcW w:w="8771" w:type="dxa"/>
            <w:tcBorders>
              <w:top w:val="nil"/>
              <w:left w:val="nil"/>
              <w:bottom w:val="nil"/>
              <w:right w:val="nil"/>
            </w:tcBorders>
            <w:shd w:val="clear" w:color="auto" w:fill="F2F2F2"/>
          </w:tcPr>
          <w:p w14:paraId="3D2557BD" w14:textId="50EDC4DB" w:rsidR="00477234" w:rsidRDefault="00477234" w:rsidP="00C47490">
            <w:pPr>
              <w:pStyle w:val="Box"/>
            </w:pPr>
            <w:r>
              <w:t xml:space="preserve">The </w:t>
            </w:r>
            <w:r w:rsidR="00194FE0">
              <w:t>National Assessment Program — L</w:t>
            </w:r>
            <w:r>
              <w:t xml:space="preserve">iteracy and </w:t>
            </w:r>
            <w:r w:rsidR="00194FE0">
              <w:t>N</w:t>
            </w:r>
            <w:r>
              <w:t>umeracy (</w:t>
            </w:r>
            <w:proofErr w:type="spellStart"/>
            <w:r>
              <w:t>NAPLAN</w:t>
            </w:r>
            <w:proofErr w:type="spellEnd"/>
            <w:r>
              <w:t xml:space="preserve">) is an annual assessment of the literacy and numeracy skills of students in </w:t>
            </w:r>
            <w:r w:rsidR="00F65DB1">
              <w:t>Y</w:t>
            </w:r>
            <w:r>
              <w:t xml:space="preserve">ears 3, 5, 7 and 9. </w:t>
            </w:r>
            <w:proofErr w:type="spellStart"/>
            <w:r>
              <w:t>NAPLAN</w:t>
            </w:r>
            <w:proofErr w:type="spellEnd"/>
            <w:r>
              <w:t xml:space="preserve"> assessments take place over three days in the second full week of May and cover four domains:</w:t>
            </w:r>
            <w:r w:rsidR="00C47490">
              <w:t xml:space="preserve"> </w:t>
            </w:r>
            <w:r>
              <w:t>reading</w:t>
            </w:r>
            <w:r w:rsidR="00C47490">
              <w:t xml:space="preserve">, </w:t>
            </w:r>
            <w:r>
              <w:t>writing</w:t>
            </w:r>
            <w:r w:rsidR="00C47490">
              <w:t xml:space="preserve">, </w:t>
            </w:r>
            <w:r>
              <w:t>language conventions (spelling</w:t>
            </w:r>
            <w:r w:rsidR="00861E6A">
              <w:t xml:space="preserve"> and</w:t>
            </w:r>
            <w:r>
              <w:t xml:space="preserve"> grammar and punctuation)</w:t>
            </w:r>
            <w:r w:rsidR="00C47490">
              <w:t xml:space="preserve"> and </w:t>
            </w:r>
            <w:r>
              <w:t>numeracy.</w:t>
            </w:r>
          </w:p>
          <w:p w14:paraId="0EF0504B" w14:textId="2E598788" w:rsidR="00477234" w:rsidRDefault="00477234" w:rsidP="00477234">
            <w:pPr>
              <w:pStyle w:val="Box"/>
            </w:pPr>
            <w:r w:rsidRPr="0038783F">
              <w:t xml:space="preserve">The Australian Curriculum, Assessment and Reporting Authority has responsibility for the development and central management of </w:t>
            </w:r>
            <w:proofErr w:type="spellStart"/>
            <w:r>
              <w:t>NAPLAN</w:t>
            </w:r>
            <w:proofErr w:type="spellEnd"/>
            <w:r w:rsidRPr="0038783F">
              <w:t xml:space="preserve">. </w:t>
            </w:r>
            <w:r>
              <w:t>In each state and territory, a Test Administration Authority</w:t>
            </w:r>
            <w:r w:rsidRPr="0038783F">
              <w:t xml:space="preserve"> (</w:t>
            </w:r>
            <w:r>
              <w:t>usually the Department of Education or a related body</w:t>
            </w:r>
            <w:r w:rsidRPr="0038783F">
              <w:t xml:space="preserve">) is responsible for the administration of the tests. All states and territories administer the tests </w:t>
            </w:r>
            <w:r>
              <w:t>according to</w:t>
            </w:r>
            <w:r w:rsidRPr="0038783F">
              <w:t xml:space="preserve"> nationally agreed protocols.</w:t>
            </w:r>
          </w:p>
          <w:p w14:paraId="533613AF" w14:textId="1F4EAA4D" w:rsidR="00477234" w:rsidRDefault="00477234" w:rsidP="00477234">
            <w:pPr>
              <w:pStyle w:val="Box"/>
            </w:pPr>
            <w:proofErr w:type="spellStart"/>
            <w:r>
              <w:t>NAPLAN</w:t>
            </w:r>
            <w:proofErr w:type="spellEnd"/>
            <w:r>
              <w:t xml:space="preserve"> results are scaled so that student </w:t>
            </w:r>
            <w:r w:rsidR="00C47490">
              <w:t>scores</w:t>
            </w:r>
            <w:r>
              <w:t xml:space="preserve"> across year levels and across test years can be present</w:t>
            </w:r>
            <w:r w:rsidR="00C47490">
              <w:t>ed on the same assessment scale</w:t>
            </w:r>
            <w:r>
              <w:t xml:space="preserve">. Five assessment scales are used — one each for reading, writing, spelling, grammar and punctuation, and numeracy. Students from all year levels participating in </w:t>
            </w:r>
            <w:proofErr w:type="spellStart"/>
            <w:r>
              <w:t>NAPLAN</w:t>
            </w:r>
            <w:proofErr w:type="spellEnd"/>
            <w:r>
              <w:t xml:space="preserve"> are represented on these same five scales.</w:t>
            </w:r>
          </w:p>
          <w:p w14:paraId="4FEDC2D2" w14:textId="05AD58AC" w:rsidR="00C47490" w:rsidRDefault="00477234" w:rsidP="00477234">
            <w:pPr>
              <w:pStyle w:val="Box"/>
            </w:pPr>
            <w:r>
              <w:t xml:space="preserve">Each scale is divided into ten bands. Band 1 covers all scores equal to or less than 270. Bands 2 to 9 each span a range of 52 points and Band 10 covers all scores above 686. These bands are used to relate </w:t>
            </w:r>
            <w:proofErr w:type="spellStart"/>
            <w:r>
              <w:t>NAPLAN</w:t>
            </w:r>
            <w:proofErr w:type="spellEnd"/>
            <w:r>
              <w:t xml:space="preserve"> scores to </w:t>
            </w:r>
            <w:r w:rsidR="00192C76">
              <w:t>nationally agreed minimum standards</w:t>
            </w:r>
            <w:r>
              <w:t xml:space="preserve"> for </w:t>
            </w:r>
            <w:r w:rsidR="0014772D">
              <w:t xml:space="preserve">education </w:t>
            </w:r>
            <w:r w:rsidR="00C47490">
              <w:t>achievement at each year level.</w:t>
            </w:r>
            <w:r w:rsidR="00C47490" w:rsidRPr="00192C76">
              <w:t xml:space="preserve"> </w:t>
            </w:r>
            <w:r w:rsidR="00192C76" w:rsidRPr="00192C76">
              <w:t xml:space="preserve">Students with results in the band representing the </w:t>
            </w:r>
            <w:r w:rsidR="00192C76">
              <w:t>‘</w:t>
            </w:r>
            <w:r w:rsidR="00DE06E8">
              <w:t>n</w:t>
            </w:r>
            <w:r w:rsidR="00192C76" w:rsidRPr="00192C76">
              <w:t xml:space="preserve">ational </w:t>
            </w:r>
            <w:r w:rsidR="00DE06E8">
              <w:t>m</w:t>
            </w:r>
            <w:r w:rsidR="00192C76" w:rsidRPr="00192C76">
              <w:t xml:space="preserve">inimum </w:t>
            </w:r>
            <w:r w:rsidR="00DE06E8">
              <w:t>s</w:t>
            </w:r>
            <w:r w:rsidR="00192C76" w:rsidRPr="00192C76">
              <w:t>tandard</w:t>
            </w:r>
            <w:r w:rsidR="00192C76">
              <w:t>’</w:t>
            </w:r>
            <w:r w:rsidR="00192C76" w:rsidRPr="00192C76">
              <w:t xml:space="preserve"> for their year level are considered to have demonstrated the basic elements of reading, writing</w:t>
            </w:r>
            <w:r w:rsidR="009F6B7C">
              <w:t>, spelling, grammar and punc</w:t>
            </w:r>
            <w:r w:rsidR="00865C22">
              <w:t>tu</w:t>
            </w:r>
            <w:r w:rsidR="009F6B7C">
              <w:t>ation,</w:t>
            </w:r>
            <w:r w:rsidR="00192C76" w:rsidRPr="00192C76">
              <w:t xml:space="preserve"> and numeracy for that year level.</w:t>
            </w:r>
          </w:p>
          <w:p w14:paraId="61888CAA" w14:textId="55684AE3" w:rsidR="00477234" w:rsidRDefault="00E45C2E" w:rsidP="00477234">
            <w:pPr>
              <w:pStyle w:val="Box"/>
            </w:pPr>
            <w:r>
              <w:t>T</w:t>
            </w:r>
            <w:r w:rsidR="00C47490">
              <w:t>he figure below</w:t>
            </w:r>
            <w:r>
              <w:t xml:space="preserve"> </w:t>
            </w:r>
            <w:r w:rsidR="00192C76">
              <w:t>relates</w:t>
            </w:r>
            <w:r>
              <w:t xml:space="preserve"> the </w:t>
            </w:r>
            <w:proofErr w:type="spellStart"/>
            <w:r>
              <w:t>NAPLAN</w:t>
            </w:r>
            <w:proofErr w:type="spellEnd"/>
            <w:r>
              <w:t xml:space="preserve"> assessment </w:t>
            </w:r>
            <w:r w:rsidR="00C651D5">
              <w:t xml:space="preserve">bands to </w:t>
            </w:r>
            <w:r>
              <w:t xml:space="preserve">the 2014 mean </w:t>
            </w:r>
            <w:r w:rsidR="00C651D5">
              <w:t>reading and numeracy test</w:t>
            </w:r>
            <w:r>
              <w:t xml:space="preserve"> score</w:t>
            </w:r>
            <w:r w:rsidR="00C651D5">
              <w:t>s</w:t>
            </w:r>
            <w:r>
              <w:t xml:space="preserve"> for </w:t>
            </w:r>
            <w:r w:rsidR="00C651D5">
              <w:t xml:space="preserve">students at </w:t>
            </w:r>
            <w:r>
              <w:t>each year level.</w:t>
            </w:r>
            <w:r w:rsidR="00C47490">
              <w:t xml:space="preserve"> ‘NMS’ refers to the band where students are considered to be ‘at the </w:t>
            </w:r>
            <w:r w:rsidR="00DE06E8">
              <w:t>n</w:t>
            </w:r>
            <w:r w:rsidR="00C47490">
              <w:t xml:space="preserve">ational </w:t>
            </w:r>
            <w:r w:rsidR="00DE06E8">
              <w:t>m</w:t>
            </w:r>
            <w:r w:rsidR="00C47490">
              <w:t xml:space="preserve">inimum </w:t>
            </w:r>
            <w:r w:rsidR="00DE06E8">
              <w:t>s</w:t>
            </w:r>
            <w:r w:rsidR="00C47490">
              <w:t xml:space="preserve">tandard’ for their year level. For each year level, students in the bands below those marked ‘NMS’ are considered to be </w:t>
            </w:r>
            <w:r>
              <w:t>‘</w:t>
            </w:r>
            <w:r w:rsidR="00C47490">
              <w:t xml:space="preserve">below the </w:t>
            </w:r>
            <w:r w:rsidR="00DE06E8">
              <w:t>n</w:t>
            </w:r>
            <w:r w:rsidR="00C47490">
              <w:t xml:space="preserve">ational </w:t>
            </w:r>
            <w:r w:rsidR="00DE06E8">
              <w:t>m</w:t>
            </w:r>
            <w:r w:rsidR="00C47490">
              <w:t xml:space="preserve">inimum </w:t>
            </w:r>
            <w:r w:rsidR="00DE06E8">
              <w:t>s</w:t>
            </w:r>
            <w:r w:rsidR="00C47490">
              <w:t>tandard</w:t>
            </w:r>
            <w:r>
              <w:t>’</w:t>
            </w:r>
            <w:r w:rsidR="00C47490">
              <w:t>.</w:t>
            </w:r>
          </w:p>
          <w:p w14:paraId="16D1C4B7" w14:textId="1D0DBEBC" w:rsidR="00425DFF" w:rsidRDefault="00245EBE" w:rsidP="002671B5">
            <w:pPr>
              <w:pStyle w:val="Box"/>
              <w:jc w:val="center"/>
            </w:pPr>
            <w:r>
              <w:t xml:space="preserve"> </w:t>
            </w:r>
            <w:r>
              <w:rPr>
                <w:noProof/>
              </w:rPr>
              <w:drawing>
                <wp:inline distT="0" distB="0" distL="0" distR="0" wp14:anchorId="64CF5602" wp14:editId="6AD1DD1A">
                  <wp:extent cx="4167631" cy="3228975"/>
                  <wp:effectExtent l="0" t="0" r="4445" b="0"/>
                  <wp:docPr id="2" name="Picture 2" descr="This figure show how the NAPLAN score bands relate to the NAPLAN scores. For each 52 point range between 270 points and 686 points there is a 'band'.&#10;&#10;Band 2 between 270 and 322 points is the national minimum standard for year 3 students.&#10;&#10;Band 4 between 374 and 426 points is the national minimum standard for year 5 students.&#10;&#10;Band 5 between 426 and 478 points is the national minimum standard for year 7 students.&#10;&#10;Band 2 between 478 and 530 points is the national minimum standard for year 9 students.&#10;" title="NAPLAN assessment scale and score b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r="21969"/>
                          <a:stretch/>
                        </pic:blipFill>
                        <pic:spPr bwMode="auto">
                          <a:xfrm>
                            <a:off x="0" y="0"/>
                            <a:ext cx="4167631" cy="32289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25DFF" w14:paraId="02B3AAA7" w14:textId="77777777" w:rsidTr="009E672D">
        <w:trPr>
          <w:cantSplit/>
        </w:trPr>
        <w:tc>
          <w:tcPr>
            <w:tcW w:w="8771" w:type="dxa"/>
            <w:tcBorders>
              <w:top w:val="nil"/>
              <w:left w:val="nil"/>
              <w:bottom w:val="nil"/>
              <w:right w:val="nil"/>
            </w:tcBorders>
            <w:shd w:val="clear" w:color="auto" w:fill="F2F2F2"/>
          </w:tcPr>
          <w:p w14:paraId="73AE59B0" w14:textId="4908BE58" w:rsidR="00425DFF" w:rsidRDefault="00425DFF" w:rsidP="00790EE6">
            <w:pPr>
              <w:pStyle w:val="BoxSource"/>
            </w:pPr>
            <w:r>
              <w:rPr>
                <w:i/>
              </w:rPr>
              <w:t>Sources</w:t>
            </w:r>
            <w:r w:rsidRPr="00167F06">
              <w:t xml:space="preserve">: </w:t>
            </w:r>
            <w:r w:rsidR="002671B5">
              <w:t>ACARA</w:t>
            </w:r>
            <w:r w:rsidR="00E32387">
              <w:t xml:space="preserve"> </w:t>
            </w:r>
            <w:r w:rsidR="00790EE6" w:rsidRPr="00790EE6">
              <w:rPr>
                <w:rFonts w:cs="Arial"/>
              </w:rPr>
              <w:t>(2015)</w:t>
            </w:r>
            <w:r w:rsidR="002671B5">
              <w:t>; Holmes</w:t>
            </w:r>
            <w:r w:rsidR="003C48BA">
              <w:noBreakHyphen/>
            </w:r>
            <w:r w:rsidR="002671B5">
              <w:t>Smith</w:t>
            </w:r>
            <w:r w:rsidR="00790EE6">
              <w:t xml:space="preserve"> </w:t>
            </w:r>
            <w:r w:rsidR="00790EE6" w:rsidRPr="00790EE6">
              <w:rPr>
                <w:rFonts w:cs="Arial"/>
              </w:rPr>
              <w:t>(2012)</w:t>
            </w:r>
            <w:r w:rsidR="002671B5">
              <w:t>.</w:t>
            </w:r>
          </w:p>
        </w:tc>
      </w:tr>
      <w:tr w:rsidR="00425DFF" w14:paraId="2D065152" w14:textId="77777777" w:rsidTr="009E672D">
        <w:trPr>
          <w:cantSplit/>
        </w:trPr>
        <w:tc>
          <w:tcPr>
            <w:tcW w:w="8771" w:type="dxa"/>
            <w:tcBorders>
              <w:top w:val="nil"/>
              <w:left w:val="nil"/>
              <w:bottom w:val="single" w:sz="6" w:space="0" w:color="78A22F"/>
              <w:right w:val="nil"/>
            </w:tcBorders>
            <w:shd w:val="clear" w:color="auto" w:fill="F2F2F2"/>
          </w:tcPr>
          <w:p w14:paraId="41A689EE" w14:textId="77777777" w:rsidR="00425DFF" w:rsidRDefault="00425DFF">
            <w:pPr>
              <w:pStyle w:val="Box"/>
              <w:spacing w:before="0" w:line="120" w:lineRule="exact"/>
            </w:pPr>
          </w:p>
        </w:tc>
      </w:tr>
      <w:tr w:rsidR="00425DFF" w:rsidRPr="000863A5" w14:paraId="2035ADEE" w14:textId="77777777" w:rsidTr="009E672D">
        <w:tc>
          <w:tcPr>
            <w:tcW w:w="8771" w:type="dxa"/>
            <w:tcBorders>
              <w:top w:val="single" w:sz="6" w:space="0" w:color="78A22F"/>
              <w:left w:val="nil"/>
              <w:bottom w:val="nil"/>
              <w:right w:val="nil"/>
            </w:tcBorders>
          </w:tcPr>
          <w:p w14:paraId="666A89CF" w14:textId="11F396AE" w:rsidR="00425DFF" w:rsidRPr="00626D32" w:rsidRDefault="00425DFF" w:rsidP="009E672D">
            <w:pPr>
              <w:pStyle w:val="BoxSpaceBelow"/>
            </w:pPr>
          </w:p>
        </w:tc>
      </w:tr>
    </w:tbl>
    <w:p w14:paraId="624E4D91" w14:textId="41A06805" w:rsidR="00866BEA" w:rsidRDefault="00A85BAB" w:rsidP="00326DDD">
      <w:pPr>
        <w:pStyle w:val="Heading2"/>
      </w:pPr>
      <w:r>
        <w:rPr>
          <w:noProof/>
        </w:rPr>
        <w:lastRenderedPageBreak/>
        <w:t>2</w:t>
      </w:r>
      <w:r w:rsidR="00326DDD">
        <w:tab/>
      </w:r>
      <w:r w:rsidR="00805273">
        <w:t>T</w:t>
      </w:r>
      <w:r w:rsidR="00326DDD">
        <w:t>he Indigenous student population</w:t>
      </w:r>
    </w:p>
    <w:p w14:paraId="19DC6EE6" w14:textId="4E14586C" w:rsidR="00835042" w:rsidRDefault="00835042" w:rsidP="00835042">
      <w:pPr>
        <w:pStyle w:val="ListBullet"/>
        <w:numPr>
          <w:ilvl w:val="0"/>
          <w:numId w:val="0"/>
        </w:numPr>
      </w:pPr>
      <w:r>
        <w:t xml:space="preserve">In 2014, </w:t>
      </w:r>
      <w:r w:rsidR="006A68DC">
        <w:t xml:space="preserve">there were </w:t>
      </w:r>
      <w:r>
        <w:t>282 </w:t>
      </w:r>
      <w:r w:rsidR="00FF2098">
        <w:t xml:space="preserve">585 </w:t>
      </w:r>
      <w:r w:rsidR="006F6E67">
        <w:t>Year </w:t>
      </w:r>
      <w:r>
        <w:t>5 students in Australia</w:t>
      </w:r>
      <w:r w:rsidR="0010530E">
        <w:t xml:space="preserve">, </w:t>
      </w:r>
      <w:r w:rsidR="00B23A99">
        <w:t>5</w:t>
      </w:r>
      <w:r w:rsidR="00E32387">
        <w:t> per cent</w:t>
      </w:r>
      <w:r w:rsidR="00B23A99">
        <w:t xml:space="preserve"> of whom (</w:t>
      </w:r>
      <w:r w:rsidR="0010530E">
        <w:t>14 </w:t>
      </w:r>
      <w:r w:rsidR="00FF2098">
        <w:t>620</w:t>
      </w:r>
      <w:r w:rsidR="00B23A99">
        <w:t>)</w:t>
      </w:r>
      <w:r>
        <w:t xml:space="preserve"> </w:t>
      </w:r>
      <w:r w:rsidR="006F6E67">
        <w:t>were</w:t>
      </w:r>
      <w:r>
        <w:t xml:space="preserve"> </w:t>
      </w:r>
      <w:r w:rsidR="00E01A65">
        <w:t>Indigenous</w:t>
      </w:r>
      <w:r>
        <w:t>.</w:t>
      </w:r>
      <w:r w:rsidR="00371124">
        <w:t xml:space="preserve"> </w:t>
      </w:r>
      <w:r w:rsidR="00CA106F">
        <w:t xml:space="preserve">This section </w:t>
      </w:r>
      <w:r w:rsidR="00BB0A06">
        <w:t>provides</w:t>
      </w:r>
      <w:r w:rsidR="00F723FA">
        <w:t xml:space="preserve"> </w:t>
      </w:r>
      <w:r w:rsidR="00BB0A06">
        <w:t xml:space="preserve">some </w:t>
      </w:r>
      <w:r w:rsidR="00F723FA">
        <w:t>information about</w:t>
      </w:r>
      <w:r w:rsidR="00CA106F">
        <w:t xml:space="preserve"> these students</w:t>
      </w:r>
      <w:r w:rsidR="00A07E27">
        <w:t xml:space="preserve"> —</w:t>
      </w:r>
      <w:r w:rsidR="00CA106F">
        <w:t xml:space="preserve"> where the</w:t>
      </w:r>
      <w:r w:rsidR="00F00D0A">
        <w:t>y</w:t>
      </w:r>
      <w:r w:rsidR="00CA106F">
        <w:t xml:space="preserve"> </w:t>
      </w:r>
      <w:r w:rsidR="00A05E5B">
        <w:t xml:space="preserve">go to school </w:t>
      </w:r>
      <w:r w:rsidR="00544B07">
        <w:t>(box 2)</w:t>
      </w:r>
      <w:r w:rsidR="00CA106F">
        <w:t xml:space="preserve">, their family backgrounds and </w:t>
      </w:r>
      <w:r w:rsidR="001C6C2D">
        <w:t>the</w:t>
      </w:r>
      <w:r w:rsidR="00CA106F">
        <w:t xml:space="preserve"> kinds of schools they attend.</w:t>
      </w:r>
    </w:p>
    <w:p w14:paraId="66BFD2C4" w14:textId="266CD171" w:rsidR="00E01A65" w:rsidRDefault="00E01A65" w:rsidP="00BF6F75">
      <w:pPr>
        <w:pStyle w:val="BoxSpaceAbove"/>
        <w:spacing w:before="300"/>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524A4B" w14:paraId="375E64B6" w14:textId="77777777" w:rsidTr="00117259">
        <w:tc>
          <w:tcPr>
            <w:tcW w:w="8771" w:type="dxa"/>
            <w:tcBorders>
              <w:top w:val="single" w:sz="6" w:space="0" w:color="78A22F"/>
              <w:left w:val="nil"/>
              <w:bottom w:val="nil"/>
              <w:right w:val="nil"/>
            </w:tcBorders>
            <w:shd w:val="clear" w:color="auto" w:fill="F2F2F2"/>
          </w:tcPr>
          <w:p w14:paraId="680588CF" w14:textId="292DC075" w:rsidR="00524A4B" w:rsidRDefault="00524A4B" w:rsidP="00C333E7">
            <w:pPr>
              <w:pStyle w:val="BoxTitle"/>
            </w:pPr>
            <w:r>
              <w:rPr>
                <w:b w:val="0"/>
              </w:rPr>
              <w:t xml:space="preserve">Box </w:t>
            </w:r>
            <w:bookmarkStart w:id="2" w:name="OLE_LINK1"/>
            <w:r w:rsidR="00A85BAB">
              <w:rPr>
                <w:b w:val="0"/>
                <w:noProof/>
              </w:rPr>
              <w:t>2</w:t>
            </w:r>
            <w:bookmarkEnd w:id="2"/>
            <w:r>
              <w:tab/>
            </w:r>
            <w:r w:rsidR="00544B07">
              <w:t xml:space="preserve">Classifying </w:t>
            </w:r>
            <w:r w:rsidR="00A37076">
              <w:t xml:space="preserve">students and </w:t>
            </w:r>
            <w:r w:rsidR="00544B07">
              <w:t xml:space="preserve">schools by </w:t>
            </w:r>
            <w:r w:rsidR="00C333E7">
              <w:t>geographic area</w:t>
            </w:r>
          </w:p>
        </w:tc>
      </w:tr>
      <w:tr w:rsidR="00524A4B" w14:paraId="30AE826E" w14:textId="77777777" w:rsidTr="00117259">
        <w:trPr>
          <w:cantSplit/>
        </w:trPr>
        <w:tc>
          <w:tcPr>
            <w:tcW w:w="8771" w:type="dxa"/>
            <w:tcBorders>
              <w:top w:val="nil"/>
              <w:left w:val="nil"/>
              <w:bottom w:val="nil"/>
              <w:right w:val="nil"/>
            </w:tcBorders>
            <w:shd w:val="clear" w:color="auto" w:fill="F2F2F2"/>
          </w:tcPr>
          <w:p w14:paraId="0ECE1A20" w14:textId="4074A67C" w:rsidR="00666361" w:rsidRDefault="006D3503" w:rsidP="006D3503">
            <w:pPr>
              <w:pStyle w:val="Box"/>
            </w:pPr>
            <w:r>
              <w:t>The dataset provided by the Australian Curriculum</w:t>
            </w:r>
            <w:r w:rsidR="00C97DD5">
              <w:t>,</w:t>
            </w:r>
            <w:r>
              <w:t xml:space="preserve"> Assessment and Reporting Authority</w:t>
            </w:r>
            <w:r w:rsidR="008E439F">
              <w:t xml:space="preserve"> (ACARA)</w:t>
            </w:r>
            <w:r>
              <w:t xml:space="preserve"> includes information on the location of schools that students attend </w:t>
            </w:r>
            <w:r w:rsidR="00521DCB">
              <w:t xml:space="preserve">categorised </w:t>
            </w:r>
            <w:r>
              <w:t>by state and remoteness.</w:t>
            </w:r>
          </w:p>
          <w:p w14:paraId="1AAEFF4B" w14:textId="18CC9389" w:rsidR="0078345F" w:rsidRDefault="006D25F8" w:rsidP="006D3503">
            <w:pPr>
              <w:pStyle w:val="Box"/>
            </w:pPr>
            <w:r>
              <w:t>Schools are coded for r</w:t>
            </w:r>
            <w:r w:rsidR="006D3503">
              <w:t>emoteness using a classific</w:t>
            </w:r>
            <w:r w:rsidR="00666361">
              <w:t xml:space="preserve">ation developed in 2001 for the </w:t>
            </w:r>
            <w:proofErr w:type="spellStart"/>
            <w:r w:rsidR="00666361">
              <w:t>COAG</w:t>
            </w:r>
            <w:proofErr w:type="spellEnd"/>
            <w:r w:rsidR="00666361">
              <w:t xml:space="preserve"> </w:t>
            </w:r>
            <w:r w:rsidR="00666361" w:rsidRPr="00666361">
              <w:t>Ministerial Council on Education, Employment, Training and Youth Affairs</w:t>
            </w:r>
            <w:r w:rsidR="00666361">
              <w:t xml:space="preserve">. The classification incorporates elements of the ABS Australian Standard Geographical Classification </w:t>
            </w:r>
            <w:r w:rsidR="001E05EF">
              <w:t>(</w:t>
            </w:r>
            <w:proofErr w:type="spellStart"/>
            <w:r w:rsidR="001E05EF">
              <w:t>ASGC</w:t>
            </w:r>
            <w:proofErr w:type="spellEnd"/>
            <w:r w:rsidR="001E05EF">
              <w:t xml:space="preserve">) </w:t>
            </w:r>
            <w:r w:rsidR="00666361">
              <w:t>and the Accessibility/Remote</w:t>
            </w:r>
            <w:r w:rsidR="00666361" w:rsidRPr="00521DCB">
              <w:t>ness Index of Australia (ARIA) developed by the University of Adelaide.</w:t>
            </w:r>
            <w:r w:rsidRPr="00521DCB">
              <w:t xml:space="preserve"> ARIA is an index of remoteness </w:t>
            </w:r>
            <w:r w:rsidR="00521DCB" w:rsidRPr="00521DCB">
              <w:t>with values ranging from 0 (high accessibility) to 15 (high remoteness). Values are</w:t>
            </w:r>
            <w:r w:rsidR="00521DCB" w:rsidRPr="006D25F8">
              <w:t xml:space="preserve"> </w:t>
            </w:r>
            <w:r w:rsidRPr="006D25F8">
              <w:t>derived from measures of road distances between populated localities</w:t>
            </w:r>
            <w:r>
              <w:t xml:space="preserve"> and ‘service centres’ — towns or cities with more than 1000 people</w:t>
            </w:r>
            <w:r w:rsidRPr="006D25F8">
              <w:t>.</w:t>
            </w:r>
            <w:r w:rsidR="00756326">
              <w:t xml:space="preserve"> The</w:t>
            </w:r>
            <w:r w:rsidR="008E439F">
              <w:t xml:space="preserve"> ACARA dataset codes </w:t>
            </w:r>
            <w:r w:rsidR="00756326">
              <w:t>four zones of remoteness: metropolitan, provincial, remote and very remote.</w:t>
            </w:r>
            <w:r w:rsidR="001C47DA">
              <w:t xml:space="preserve"> </w:t>
            </w:r>
          </w:p>
          <w:p w14:paraId="37A0ABC0" w14:textId="3C0DB41F" w:rsidR="00666361" w:rsidRDefault="00AC6C2B" w:rsidP="00AC6C2B">
            <w:pPr>
              <w:pStyle w:val="BoxListBullet"/>
            </w:pPr>
            <w:r>
              <w:t>M</w:t>
            </w:r>
            <w:r w:rsidR="001E05EF">
              <w:t xml:space="preserve">etropolitan </w:t>
            </w:r>
            <w:r>
              <w:t>zones cover</w:t>
            </w:r>
            <w:r w:rsidR="001E05EF">
              <w:t xml:space="preserve"> the </w:t>
            </w:r>
            <w:proofErr w:type="spellStart"/>
            <w:r w:rsidR="001E05EF">
              <w:t>ASGC</w:t>
            </w:r>
            <w:proofErr w:type="spellEnd"/>
            <w:r w:rsidR="001E05EF">
              <w:t xml:space="preserve"> </w:t>
            </w:r>
            <w:r>
              <w:t>S</w:t>
            </w:r>
            <w:r w:rsidR="001E05EF">
              <w:t xml:space="preserve">tatistical </w:t>
            </w:r>
            <w:r>
              <w:t>D</w:t>
            </w:r>
            <w:r w:rsidR="001E05EF">
              <w:t xml:space="preserve">ivisions that represent Australia’s </w:t>
            </w:r>
            <w:r w:rsidR="00425F6C">
              <w:t>most populous</w:t>
            </w:r>
            <w:r w:rsidR="001E05EF">
              <w:t xml:space="preserve"> capital cities: Sydney, Melbourne, Brisbane</w:t>
            </w:r>
            <w:r>
              <w:t>, Adelaide</w:t>
            </w:r>
            <w:r w:rsidR="001E05EF">
              <w:t xml:space="preserve"> and Perth</w:t>
            </w:r>
            <w:r w:rsidR="00425F6C">
              <w:t>;</w:t>
            </w:r>
            <w:r w:rsidR="001E05EF">
              <w:t xml:space="preserve"> </w:t>
            </w:r>
            <w:r>
              <w:t xml:space="preserve">and </w:t>
            </w:r>
            <w:r w:rsidR="001E05EF">
              <w:t xml:space="preserve">major urban </w:t>
            </w:r>
            <w:proofErr w:type="spellStart"/>
            <w:r w:rsidR="00425F6C">
              <w:t>ASGC</w:t>
            </w:r>
            <w:proofErr w:type="spellEnd"/>
            <w:r w:rsidR="00425F6C">
              <w:t xml:space="preserve"> </w:t>
            </w:r>
            <w:r w:rsidR="001E05EF">
              <w:t>Statistical District</w:t>
            </w:r>
            <w:r w:rsidR="006D25F8">
              <w:t>s:</w:t>
            </w:r>
            <w:r w:rsidR="001E05EF">
              <w:t xml:space="preserve"> </w:t>
            </w:r>
            <w:r>
              <w:t>ACT–</w:t>
            </w:r>
            <w:r w:rsidR="001E05EF">
              <w:t>Queanbeyan, Cairns, Gold Coast</w:t>
            </w:r>
            <w:r>
              <w:t>–</w:t>
            </w:r>
            <w:r w:rsidR="001E05EF">
              <w:t>Tweed Heads, Geelong, Hobart, Newcastle, Sunshine Coast, Townsville and Wollongong.</w:t>
            </w:r>
          </w:p>
          <w:p w14:paraId="47B079AF" w14:textId="48B20924" w:rsidR="006D25F8" w:rsidRDefault="006D25F8" w:rsidP="00AC6C2B">
            <w:pPr>
              <w:pStyle w:val="BoxListBullet"/>
            </w:pPr>
            <w:r>
              <w:t xml:space="preserve">Provincial zones cover areas outside of the metropolitan zones with an ARIA index value greater than 0.2 and less than </w:t>
            </w:r>
            <w:r w:rsidR="00756326">
              <w:t>or equal to 5.92.</w:t>
            </w:r>
          </w:p>
          <w:p w14:paraId="4B0032C4" w14:textId="53820A14" w:rsidR="00756326" w:rsidRDefault="00756326" w:rsidP="00756326">
            <w:pPr>
              <w:pStyle w:val="BoxListBullet"/>
            </w:pPr>
            <w:r>
              <w:t>Remotes zones cover areas with an ARIA index value greater than 5.92 and less than or equal to 10.53.</w:t>
            </w:r>
          </w:p>
          <w:p w14:paraId="3B4A6918" w14:textId="2FFF809A" w:rsidR="0078345F" w:rsidRPr="006D3503" w:rsidRDefault="00756326" w:rsidP="00BF6F75">
            <w:pPr>
              <w:pStyle w:val="BoxListBullet"/>
            </w:pPr>
            <w:r>
              <w:t>Very remote zones cover areas with an ARIA index value greater than 10.53.</w:t>
            </w:r>
            <w:r w:rsidR="00223865" w:rsidRPr="00BF6F75">
              <w:rPr>
                <w:noProof/>
                <w:sz w:val="2"/>
                <w:szCs w:val="2"/>
              </w:rPr>
              <w:drawing>
                <wp:inline distT="0" distB="0" distL="0" distR="0" wp14:anchorId="06B6BEB8" wp14:editId="5192D36C">
                  <wp:extent cx="5400000" cy="2878473"/>
                  <wp:effectExtent l="0" t="0" r="0" b="0"/>
                  <wp:docPr id="8" name="Picture 8" descr="This maps show how remoteness categories are related to different parts of Australia.&#10;&#10;The only areas classified as metropolitan are those in suburban Sydney, Melbourne, Brisbane, Adelaide and Perth.&#10;&#10;Areas classified as provincial include Hobart, Darwin, areas around the fringes of Perth and Adelaide and most of the eastern seaboard outside metropolitan areas.&#10;&#10;Remote areas include areas to the far east of Perth, north of Adelaide, areas inland from the eastern seaboard and areas around Darwin, Katherine and Alice Spring.&#10;&#10;Very remote areas account for most of Western Australia, most of the Northern Territory, the western parts of Queensland and the north western parts of New South Wales." title="Map of Australia by remoteness categ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 of regions by remoteness (update 2).jpeg"/>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400000" cy="2878473"/>
                          </a:xfrm>
                          <a:prstGeom prst="rect">
                            <a:avLst/>
                          </a:prstGeom>
                        </pic:spPr>
                      </pic:pic>
                    </a:graphicData>
                  </a:graphic>
                </wp:inline>
              </w:drawing>
            </w:r>
          </w:p>
        </w:tc>
      </w:tr>
      <w:tr w:rsidR="00524A4B" w14:paraId="59EE79FC" w14:textId="77777777" w:rsidTr="00117259">
        <w:trPr>
          <w:cantSplit/>
        </w:trPr>
        <w:tc>
          <w:tcPr>
            <w:tcW w:w="8771" w:type="dxa"/>
            <w:tcBorders>
              <w:top w:val="nil"/>
              <w:left w:val="nil"/>
              <w:bottom w:val="nil"/>
              <w:right w:val="nil"/>
            </w:tcBorders>
            <w:shd w:val="clear" w:color="auto" w:fill="F2F2F2"/>
          </w:tcPr>
          <w:p w14:paraId="31CE7F18" w14:textId="477B7469" w:rsidR="00524A4B" w:rsidRDefault="00524A4B" w:rsidP="00B05299">
            <w:pPr>
              <w:pStyle w:val="BoxSource"/>
            </w:pPr>
            <w:r>
              <w:rPr>
                <w:i/>
              </w:rPr>
              <w:t>Sources</w:t>
            </w:r>
            <w:r w:rsidRPr="00167F06">
              <w:t xml:space="preserve">: </w:t>
            </w:r>
            <w:proofErr w:type="spellStart"/>
            <w:r w:rsidR="001C47DA">
              <w:t>APMRC</w:t>
            </w:r>
            <w:proofErr w:type="spellEnd"/>
            <w:r w:rsidR="00F5791D">
              <w:t xml:space="preserve"> </w:t>
            </w:r>
            <w:r w:rsidR="00F5791D" w:rsidRPr="00F5791D">
              <w:rPr>
                <w:rFonts w:cs="Arial"/>
              </w:rPr>
              <w:t>(2015)</w:t>
            </w:r>
            <w:r w:rsidR="00132540">
              <w:t xml:space="preserve">; </w:t>
            </w:r>
            <w:r w:rsidR="00A41D0E">
              <w:t>Jones</w:t>
            </w:r>
            <w:r w:rsidR="00B05299">
              <w:t xml:space="preserve"> </w:t>
            </w:r>
            <w:r w:rsidR="00B05299" w:rsidRPr="00B05299">
              <w:rPr>
                <w:rFonts w:cs="Arial"/>
              </w:rPr>
              <w:t>(2004)</w:t>
            </w:r>
            <w:r w:rsidR="001C47DA">
              <w:t>.</w:t>
            </w:r>
          </w:p>
        </w:tc>
      </w:tr>
      <w:tr w:rsidR="00524A4B" w14:paraId="720B5562" w14:textId="77777777" w:rsidTr="00117259">
        <w:trPr>
          <w:cantSplit/>
        </w:trPr>
        <w:tc>
          <w:tcPr>
            <w:tcW w:w="8771" w:type="dxa"/>
            <w:tcBorders>
              <w:top w:val="nil"/>
              <w:left w:val="nil"/>
              <w:bottom w:val="single" w:sz="6" w:space="0" w:color="78A22F"/>
              <w:right w:val="nil"/>
            </w:tcBorders>
            <w:shd w:val="clear" w:color="auto" w:fill="F2F2F2"/>
          </w:tcPr>
          <w:p w14:paraId="2CCA9037" w14:textId="77777777" w:rsidR="00524A4B" w:rsidRDefault="00524A4B">
            <w:pPr>
              <w:pStyle w:val="Box"/>
              <w:spacing w:before="0" w:line="120" w:lineRule="exact"/>
            </w:pPr>
          </w:p>
        </w:tc>
      </w:tr>
      <w:tr w:rsidR="00524A4B" w:rsidRPr="000863A5" w14:paraId="647359A7" w14:textId="77777777" w:rsidTr="00117259">
        <w:tc>
          <w:tcPr>
            <w:tcW w:w="8771" w:type="dxa"/>
            <w:tcBorders>
              <w:top w:val="single" w:sz="6" w:space="0" w:color="78A22F"/>
              <w:left w:val="nil"/>
              <w:bottom w:val="nil"/>
              <w:right w:val="nil"/>
            </w:tcBorders>
          </w:tcPr>
          <w:p w14:paraId="37D794C7" w14:textId="319BCBB6" w:rsidR="00524A4B" w:rsidRPr="00626D32" w:rsidRDefault="00524A4B" w:rsidP="00117259">
            <w:pPr>
              <w:pStyle w:val="BoxSpaceBelow"/>
            </w:pPr>
          </w:p>
        </w:tc>
      </w:tr>
    </w:tbl>
    <w:p w14:paraId="7102A9E9" w14:textId="5E33A0AA" w:rsidR="00326DDD" w:rsidRDefault="00326DDD" w:rsidP="00326DDD">
      <w:pPr>
        <w:pStyle w:val="Heading3"/>
      </w:pPr>
      <w:r>
        <w:lastRenderedPageBreak/>
        <w:t xml:space="preserve">Where do Indigenous students </w:t>
      </w:r>
      <w:r w:rsidR="00A05E5B">
        <w:t>go to school</w:t>
      </w:r>
      <w:r>
        <w:t>?</w:t>
      </w:r>
    </w:p>
    <w:p w14:paraId="3266DAD1" w14:textId="58F4EB45" w:rsidR="00835042" w:rsidRPr="009E4E80" w:rsidRDefault="00923732" w:rsidP="00E23417">
      <w:pPr>
        <w:pStyle w:val="BodyText"/>
      </w:pPr>
      <w:r w:rsidRPr="009E4E80">
        <w:t>M</w:t>
      </w:r>
      <w:r w:rsidR="00371124" w:rsidRPr="009E4E80">
        <w:t xml:space="preserve">ost Indigenous students </w:t>
      </w:r>
      <w:r w:rsidR="00A05E5B">
        <w:t>attend schools</w:t>
      </w:r>
      <w:r w:rsidR="00A05E5B" w:rsidRPr="009E4E80">
        <w:t xml:space="preserve"> </w:t>
      </w:r>
      <w:r w:rsidR="00371124" w:rsidRPr="009E4E80">
        <w:t>in metropolitan and provincial regions of Australia. D</w:t>
      </w:r>
      <w:r w:rsidR="00446CC0" w:rsidRPr="009E4E80">
        <w:t>ivid</w:t>
      </w:r>
      <w:r w:rsidR="00371124" w:rsidRPr="009E4E80">
        <w:t>ing</w:t>
      </w:r>
      <w:r w:rsidR="00446CC0" w:rsidRPr="009E4E80">
        <w:t xml:space="preserve"> Australia by state and remoteness, four regions stand out for their high Indigenous </w:t>
      </w:r>
      <w:r w:rsidR="00295FCE" w:rsidRPr="009E4E80">
        <w:t xml:space="preserve">student </w:t>
      </w:r>
      <w:r w:rsidR="00446CC0" w:rsidRPr="009E4E80">
        <w:t>populations</w:t>
      </w:r>
      <w:r w:rsidR="00295FCE" w:rsidRPr="009E4E80">
        <w:t xml:space="preserve"> —</w:t>
      </w:r>
      <w:r w:rsidR="00446CC0" w:rsidRPr="009E4E80">
        <w:t xml:space="preserve"> </w:t>
      </w:r>
      <w:r w:rsidR="00295FCE" w:rsidRPr="009E4E80">
        <w:t>m</w:t>
      </w:r>
      <w:r w:rsidR="00446CC0" w:rsidRPr="009E4E80">
        <w:t>etropolitan New South Wales, provincial New South Wales, metropolitan Queensland and provincial Queensland. Together, these regions account for m</w:t>
      </w:r>
      <w:r w:rsidR="00656759" w:rsidRPr="009E4E80">
        <w:t xml:space="preserve">ore than half of all </w:t>
      </w:r>
      <w:r w:rsidR="00B04770" w:rsidRPr="009E4E80">
        <w:t>Indigenous students</w:t>
      </w:r>
      <w:r w:rsidR="00295FCE" w:rsidRPr="009E4E80">
        <w:t xml:space="preserve"> in Year 5</w:t>
      </w:r>
      <w:r w:rsidR="00B04770" w:rsidRPr="009E4E80">
        <w:t xml:space="preserve"> </w:t>
      </w:r>
      <w:r w:rsidR="0077239B" w:rsidRPr="009E4E80">
        <w:t>(5</w:t>
      </w:r>
      <w:r w:rsidR="00213180" w:rsidRPr="009E4E80">
        <w:t>5</w:t>
      </w:r>
      <w:r w:rsidR="00E32387">
        <w:t> per cent</w:t>
      </w:r>
      <w:r w:rsidR="0077239B" w:rsidRPr="009E4E80">
        <w:t>)</w:t>
      </w:r>
      <w:r w:rsidR="0052062F" w:rsidRPr="009E4E80">
        <w:t>.</w:t>
      </w:r>
    </w:p>
    <w:p w14:paraId="4FB0E048" w14:textId="53317552" w:rsidR="00B04770" w:rsidRDefault="00B04770" w:rsidP="00312CD2">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B04770" w14:paraId="21DEE526" w14:textId="77777777" w:rsidTr="00312CD2">
        <w:tc>
          <w:tcPr>
            <w:tcW w:w="8771" w:type="dxa"/>
            <w:tcBorders>
              <w:top w:val="single" w:sz="6" w:space="0" w:color="78A22F"/>
              <w:left w:val="nil"/>
              <w:bottom w:val="nil"/>
              <w:right w:val="nil"/>
            </w:tcBorders>
            <w:shd w:val="clear" w:color="auto" w:fill="auto"/>
          </w:tcPr>
          <w:p w14:paraId="4F98FD1A" w14:textId="2E59ACF1" w:rsidR="00B04770" w:rsidRDefault="00B04770" w:rsidP="00312CD2">
            <w:pPr>
              <w:pStyle w:val="FigureTitle"/>
            </w:pPr>
            <w:r w:rsidRPr="00784A05">
              <w:rPr>
                <w:b w:val="0"/>
              </w:rPr>
              <w:t xml:space="preserve">Figure </w:t>
            </w:r>
            <w:r w:rsidR="00A85BAB">
              <w:rPr>
                <w:b w:val="0"/>
                <w:noProof/>
              </w:rPr>
              <w:t>1</w:t>
            </w:r>
            <w:r>
              <w:tab/>
              <w:t>Indigenous student population</w:t>
            </w:r>
            <w:r w:rsidRPr="00B04770">
              <w:rPr>
                <w:rStyle w:val="NoteLabel"/>
                <w:b/>
              </w:rPr>
              <w:t>a</w:t>
            </w:r>
          </w:p>
          <w:p w14:paraId="3B32AB35" w14:textId="05117C77" w:rsidR="00B04770" w:rsidRPr="00176D3F" w:rsidRDefault="00B04770" w:rsidP="00312CD2">
            <w:pPr>
              <w:pStyle w:val="Subtitle"/>
            </w:pPr>
            <w:r w:rsidRPr="00F616F6">
              <w:t>By state and remoteness (Year 5, 2014)</w:t>
            </w:r>
          </w:p>
        </w:tc>
      </w:tr>
      <w:tr w:rsidR="00B04770" w14:paraId="510C6DCF" w14:textId="77777777" w:rsidTr="00312CD2">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B04770" w14:paraId="326EC4EF" w14:textId="77777777" w:rsidTr="00312CD2">
              <w:trPr>
                <w:jc w:val="center"/>
              </w:trPr>
              <w:tc>
                <w:tcPr>
                  <w:tcW w:w="5000" w:type="pct"/>
                  <w:tcBorders>
                    <w:top w:val="nil"/>
                    <w:bottom w:val="nil"/>
                  </w:tcBorders>
                </w:tcPr>
                <w:p w14:paraId="7F09B4EC" w14:textId="59542F9C" w:rsidR="00290437" w:rsidRDefault="00290437" w:rsidP="00312CD2">
                  <w:pPr>
                    <w:pStyle w:val="Figure"/>
                    <w:spacing w:before="60" w:after="60"/>
                  </w:pPr>
                  <w:r>
                    <w:rPr>
                      <w:noProof/>
                    </w:rPr>
                    <w:drawing>
                      <wp:inline distT="0" distB="0" distL="0" distR="0" wp14:anchorId="5ABDC708" wp14:editId="34385AAD">
                        <wp:extent cx="5401310" cy="4017645"/>
                        <wp:effectExtent l="0" t="0" r="8890" b="1905"/>
                        <wp:docPr id="5" name="Picture 5" descr="This chart show the year 5 2014 Indigenous student population broken down by state and remoteness category. The four most populous regions are metropolitan New South Wales (14%), metropolitan Queensland (14%), Provincial NSW (16%) and Provincial Queensland (11%). Together, these areas account for 55% of the total student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1310" cy="4017645"/>
                                </a:xfrm>
                                <a:prstGeom prst="rect">
                                  <a:avLst/>
                                </a:prstGeom>
                                <a:noFill/>
                              </pic:spPr>
                            </pic:pic>
                          </a:graphicData>
                        </a:graphic>
                      </wp:inline>
                    </w:drawing>
                  </w:r>
                </w:p>
              </w:tc>
            </w:tr>
          </w:tbl>
          <w:p w14:paraId="5E85E0C2" w14:textId="77777777" w:rsidR="00B04770" w:rsidRDefault="00B04770" w:rsidP="00312CD2">
            <w:pPr>
              <w:pStyle w:val="Figure"/>
            </w:pPr>
          </w:p>
        </w:tc>
      </w:tr>
      <w:tr w:rsidR="00B04770" w:rsidRPr="00176D3F" w14:paraId="1F362A9A" w14:textId="77777777" w:rsidTr="00312CD2">
        <w:tc>
          <w:tcPr>
            <w:tcW w:w="8771" w:type="dxa"/>
            <w:tcBorders>
              <w:top w:val="nil"/>
              <w:left w:val="nil"/>
              <w:bottom w:val="nil"/>
              <w:right w:val="nil"/>
            </w:tcBorders>
            <w:shd w:val="clear" w:color="auto" w:fill="auto"/>
          </w:tcPr>
          <w:p w14:paraId="64DD7749" w14:textId="330BEE2B" w:rsidR="00B04770" w:rsidRPr="00176D3F" w:rsidRDefault="00B04770" w:rsidP="00295FCE">
            <w:pPr>
              <w:pStyle w:val="Note"/>
            </w:pPr>
            <w:proofErr w:type="spellStart"/>
            <w:r>
              <w:rPr>
                <w:rStyle w:val="NoteLabel"/>
              </w:rPr>
              <w:t>a</w:t>
            </w:r>
            <w:proofErr w:type="spellEnd"/>
            <w:r>
              <w:t xml:space="preserve"> Excludes </w:t>
            </w:r>
            <w:r w:rsidR="00295FCE">
              <w:t xml:space="preserve">77 </w:t>
            </w:r>
            <w:r w:rsidR="004743EA">
              <w:t xml:space="preserve">Indigenous </w:t>
            </w:r>
            <w:r>
              <w:t xml:space="preserve">students </w:t>
            </w:r>
            <w:r w:rsidR="004743EA">
              <w:t>(1</w:t>
            </w:r>
            <w:r w:rsidR="00E32387">
              <w:t> per cent</w:t>
            </w:r>
            <w:r w:rsidR="004743EA">
              <w:t xml:space="preserve">) </w:t>
            </w:r>
            <w:r>
              <w:t xml:space="preserve">who either had no </w:t>
            </w:r>
            <w:r w:rsidR="000B7DAF">
              <w:t>defined</w:t>
            </w:r>
            <w:r>
              <w:t xml:space="preserve"> region or were in a region with less than 30 Indigenous students.</w:t>
            </w:r>
          </w:p>
        </w:tc>
      </w:tr>
      <w:tr w:rsidR="00B04770" w:rsidRPr="00176D3F" w14:paraId="1B8B41C5" w14:textId="77777777" w:rsidTr="00312CD2">
        <w:tc>
          <w:tcPr>
            <w:tcW w:w="8771" w:type="dxa"/>
            <w:tcBorders>
              <w:top w:val="nil"/>
              <w:left w:val="nil"/>
              <w:bottom w:val="nil"/>
              <w:right w:val="nil"/>
            </w:tcBorders>
            <w:shd w:val="clear" w:color="auto" w:fill="auto"/>
          </w:tcPr>
          <w:p w14:paraId="7C0D0BD1" w14:textId="41F18B66" w:rsidR="00B04770" w:rsidRPr="00176D3F" w:rsidRDefault="001C6C2D" w:rsidP="001C6C2D">
            <w:pPr>
              <w:pStyle w:val="Source"/>
            </w:pPr>
            <w:r>
              <w:rPr>
                <w:i/>
              </w:rPr>
              <w:t>S</w:t>
            </w:r>
            <w:r w:rsidR="00B04770" w:rsidRPr="00784A05">
              <w:rPr>
                <w:i/>
              </w:rPr>
              <w:t>ource</w:t>
            </w:r>
            <w:r w:rsidR="00B04770" w:rsidRPr="00176D3F">
              <w:t xml:space="preserve">: </w:t>
            </w:r>
            <w:r>
              <w:t>Commission estimates based on ACARA data (unpublished).</w:t>
            </w:r>
          </w:p>
        </w:tc>
      </w:tr>
      <w:tr w:rsidR="00B04770" w14:paraId="2F58D133" w14:textId="77777777" w:rsidTr="00312CD2">
        <w:tc>
          <w:tcPr>
            <w:tcW w:w="8771" w:type="dxa"/>
            <w:tcBorders>
              <w:top w:val="nil"/>
              <w:left w:val="nil"/>
              <w:bottom w:val="single" w:sz="6" w:space="0" w:color="78A22F"/>
              <w:right w:val="nil"/>
            </w:tcBorders>
            <w:shd w:val="clear" w:color="auto" w:fill="auto"/>
          </w:tcPr>
          <w:p w14:paraId="4866EB2C" w14:textId="77777777" w:rsidR="00B04770" w:rsidRDefault="00B04770" w:rsidP="00312CD2">
            <w:pPr>
              <w:pStyle w:val="Figurespace"/>
            </w:pPr>
          </w:p>
        </w:tc>
      </w:tr>
      <w:tr w:rsidR="00B04770" w:rsidRPr="000863A5" w14:paraId="28895AFF" w14:textId="77777777" w:rsidTr="00312CD2">
        <w:tc>
          <w:tcPr>
            <w:tcW w:w="8771" w:type="dxa"/>
            <w:tcBorders>
              <w:top w:val="single" w:sz="6" w:space="0" w:color="78A22F"/>
              <w:left w:val="nil"/>
              <w:bottom w:val="nil"/>
              <w:right w:val="nil"/>
            </w:tcBorders>
          </w:tcPr>
          <w:p w14:paraId="7D5E5FAD" w14:textId="1064C4B6" w:rsidR="00B04770" w:rsidRPr="00626D32" w:rsidRDefault="00B04770" w:rsidP="00312CD2">
            <w:pPr>
              <w:pStyle w:val="BoxSpaceBelow"/>
            </w:pPr>
          </w:p>
        </w:tc>
      </w:tr>
    </w:tbl>
    <w:p w14:paraId="3A49927F" w14:textId="77777777" w:rsidR="006A32C3" w:rsidRDefault="006A32C3">
      <w:pPr>
        <w:rPr>
          <w:i/>
          <w:szCs w:val="20"/>
        </w:rPr>
      </w:pPr>
      <w:r>
        <w:rPr>
          <w:i/>
        </w:rPr>
        <w:br w:type="page"/>
      </w:r>
    </w:p>
    <w:p w14:paraId="26172F84" w14:textId="57468723" w:rsidR="00AA0B74" w:rsidRPr="009E4E80" w:rsidRDefault="00295FCE" w:rsidP="00AA0B74">
      <w:pPr>
        <w:pStyle w:val="BodyText"/>
      </w:pPr>
      <w:r w:rsidRPr="009E4E80">
        <w:lastRenderedPageBreak/>
        <w:t xml:space="preserve">Indigenous students </w:t>
      </w:r>
      <w:r w:rsidR="0077098F" w:rsidRPr="009E4E80">
        <w:t xml:space="preserve">represent a high proportion of the population </w:t>
      </w:r>
      <w:r w:rsidR="00AA0B74" w:rsidRPr="009E4E80">
        <w:t xml:space="preserve">in remote and very remote </w:t>
      </w:r>
      <w:r w:rsidR="000B1EB0" w:rsidRPr="009E4E80">
        <w:t>region</w:t>
      </w:r>
      <w:r w:rsidR="00AA0B74" w:rsidRPr="009E4E80">
        <w:t>s</w:t>
      </w:r>
      <w:r w:rsidR="00815401" w:rsidRPr="009E4E80">
        <w:t>.</w:t>
      </w:r>
      <w:r w:rsidRPr="009E4E80">
        <w:t xml:space="preserve"> Across Australia</w:t>
      </w:r>
      <w:r w:rsidR="00E0587D">
        <w:t xml:space="preserve"> (as noted above)</w:t>
      </w:r>
      <w:r w:rsidRPr="009E4E80">
        <w:t xml:space="preserve">, Indigenous students represent </w:t>
      </w:r>
      <w:r w:rsidR="00143B3E" w:rsidRPr="009E4E80">
        <w:t>5</w:t>
      </w:r>
      <w:r w:rsidR="00E32387">
        <w:t> per cent</w:t>
      </w:r>
      <w:r w:rsidRPr="009E4E80">
        <w:t xml:space="preserve"> of all Year 5 students</w:t>
      </w:r>
      <w:r w:rsidR="00476A8E" w:rsidRPr="009E4E80">
        <w:t>,</w:t>
      </w:r>
      <w:r w:rsidRPr="009E4E80">
        <w:t xml:space="preserve"> but </w:t>
      </w:r>
      <w:r w:rsidR="000B1EB0" w:rsidRPr="009E4E80">
        <w:t>25</w:t>
      </w:r>
      <w:r w:rsidR="00E32387">
        <w:t> per cent</w:t>
      </w:r>
      <w:r w:rsidR="000B1EB0" w:rsidRPr="009E4E80">
        <w:t xml:space="preserve"> of all Year 5 students in remote areas</w:t>
      </w:r>
      <w:r w:rsidR="006F2DC0">
        <w:t>,</w:t>
      </w:r>
      <w:r w:rsidR="000B1EB0" w:rsidRPr="009E4E80">
        <w:t xml:space="preserve"> and 66</w:t>
      </w:r>
      <w:r w:rsidR="00E32387">
        <w:t> per cent</w:t>
      </w:r>
      <w:r w:rsidR="000B1EB0" w:rsidRPr="009E4E80">
        <w:t xml:space="preserve"> of all Year 5 students in very remote areas.</w:t>
      </w:r>
      <w:r w:rsidR="00923732" w:rsidRPr="009E4E80">
        <w:t xml:space="preserve"> </w:t>
      </w:r>
      <w:r w:rsidR="00662398" w:rsidRPr="009E4E80">
        <w:t xml:space="preserve">Of all </w:t>
      </w:r>
      <w:r w:rsidR="00923732" w:rsidRPr="009E4E80">
        <w:t>region</w:t>
      </w:r>
      <w:r w:rsidR="00662398" w:rsidRPr="009E4E80">
        <w:t>s</w:t>
      </w:r>
      <w:r w:rsidR="00923732" w:rsidRPr="009E4E80">
        <w:t xml:space="preserve">, </w:t>
      </w:r>
      <w:r w:rsidR="00662398" w:rsidRPr="009E4E80">
        <w:t xml:space="preserve">Indigenous students are most strongly represented in </w:t>
      </w:r>
      <w:r w:rsidR="00923732" w:rsidRPr="009E4E80">
        <w:t>very remote Northern Territory</w:t>
      </w:r>
      <w:r w:rsidR="00662398" w:rsidRPr="009E4E80">
        <w:t xml:space="preserve"> where they</w:t>
      </w:r>
      <w:r w:rsidR="00923732" w:rsidRPr="009E4E80">
        <w:t xml:space="preserve"> account for 88</w:t>
      </w:r>
      <w:r w:rsidR="00E32387">
        <w:t> per cent</w:t>
      </w:r>
      <w:r w:rsidR="00923732" w:rsidRPr="009E4E80">
        <w:t xml:space="preserve"> of all </w:t>
      </w:r>
      <w:r w:rsidR="00A904D8" w:rsidRPr="009E4E80">
        <w:t xml:space="preserve">Year 5 </w:t>
      </w:r>
      <w:r w:rsidR="00923732" w:rsidRPr="009E4E80">
        <w:t>students.</w:t>
      </w:r>
    </w:p>
    <w:p w14:paraId="6286A5E1" w14:textId="067DEE4A" w:rsidR="00AA0B74" w:rsidRDefault="00AA0B74" w:rsidP="00AA0B74">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AA0B74" w14:paraId="770C0336" w14:textId="77777777" w:rsidTr="00A91BF3">
        <w:tc>
          <w:tcPr>
            <w:tcW w:w="8771" w:type="dxa"/>
            <w:tcBorders>
              <w:top w:val="single" w:sz="6" w:space="0" w:color="78A22F"/>
              <w:left w:val="nil"/>
              <w:bottom w:val="nil"/>
              <w:right w:val="nil"/>
            </w:tcBorders>
            <w:shd w:val="clear" w:color="auto" w:fill="auto"/>
          </w:tcPr>
          <w:p w14:paraId="62969B27" w14:textId="4AD2CF70" w:rsidR="00AA0B74" w:rsidRDefault="00AA0B74" w:rsidP="00A91BF3">
            <w:pPr>
              <w:pStyle w:val="FigureTitle"/>
            </w:pPr>
            <w:r w:rsidRPr="00784A05">
              <w:rPr>
                <w:b w:val="0"/>
              </w:rPr>
              <w:t xml:space="preserve">Figure </w:t>
            </w:r>
            <w:r w:rsidR="00A85BAB">
              <w:rPr>
                <w:b w:val="0"/>
                <w:noProof/>
              </w:rPr>
              <w:t>2</w:t>
            </w:r>
            <w:r>
              <w:tab/>
              <w:t>Indigenous students as a proportion of all students within a region</w:t>
            </w:r>
            <w:r w:rsidRPr="00F3214E">
              <w:rPr>
                <w:rStyle w:val="NoteLabel"/>
                <w:b/>
              </w:rPr>
              <w:t>a</w:t>
            </w:r>
          </w:p>
          <w:p w14:paraId="46CB0F05" w14:textId="77777777" w:rsidR="00AA0B74" w:rsidRPr="00F616F6" w:rsidRDefault="00AA0B74" w:rsidP="00A91BF3">
            <w:pPr>
              <w:pStyle w:val="Subtitle"/>
            </w:pPr>
            <w:r w:rsidRPr="00F616F6">
              <w:t>By state and remoteness (Year 5, 2014)</w:t>
            </w:r>
          </w:p>
        </w:tc>
      </w:tr>
      <w:tr w:rsidR="00AA0B74" w14:paraId="10183B5D" w14:textId="77777777" w:rsidTr="00A91BF3">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AA0B74" w14:paraId="2652668F" w14:textId="77777777" w:rsidTr="00A91BF3">
              <w:trPr>
                <w:jc w:val="center"/>
              </w:trPr>
              <w:tc>
                <w:tcPr>
                  <w:tcW w:w="5000" w:type="pct"/>
                  <w:tcBorders>
                    <w:top w:val="nil"/>
                    <w:bottom w:val="nil"/>
                  </w:tcBorders>
                </w:tcPr>
                <w:p w14:paraId="22E42B00" w14:textId="3DA0F765" w:rsidR="00290437" w:rsidRDefault="00290437" w:rsidP="00A91BF3">
                  <w:pPr>
                    <w:pStyle w:val="Figure"/>
                    <w:spacing w:before="60" w:after="60"/>
                  </w:pPr>
                  <w:r>
                    <w:rPr>
                      <w:noProof/>
                    </w:rPr>
                    <w:drawing>
                      <wp:inline distT="0" distB="0" distL="0" distR="0" wp14:anchorId="22786728" wp14:editId="1B8B1AE9">
                        <wp:extent cx="5401310" cy="2633980"/>
                        <wp:effectExtent l="0" t="0" r="8890" b="0"/>
                        <wp:docPr id="10" name="Picture 10" descr="This figure shows that in every state with a very remote area, the  Indigenous student population is a high percentage of the total student populatoin.&#10;&#10;Nationally, Indigenous students make up 5.2% of the student population (in year 5, 2014).&#10;&#10;In metropolitan areas, the proportion of Indigenous students in each state is at or below the national percentage.&#10;&#10;In provincial areas it is mostly around the national percentage.&#10;&#10;In all remote areas except South Australia the percentage is 20% or higher.&#10;&#10;In all very remote areas it is around 40% or higher. &#10;&#10;It is highest in very remote NT. Indigenous students make up more than 80% of the student population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1310" cy="2633980"/>
                                </a:xfrm>
                                <a:prstGeom prst="rect">
                                  <a:avLst/>
                                </a:prstGeom>
                                <a:noFill/>
                              </pic:spPr>
                            </pic:pic>
                          </a:graphicData>
                        </a:graphic>
                      </wp:inline>
                    </w:drawing>
                  </w:r>
                </w:p>
              </w:tc>
            </w:tr>
          </w:tbl>
          <w:p w14:paraId="42354155" w14:textId="77777777" w:rsidR="00AA0B74" w:rsidRDefault="00AA0B74" w:rsidP="00A91BF3">
            <w:pPr>
              <w:pStyle w:val="Figure"/>
            </w:pPr>
          </w:p>
        </w:tc>
      </w:tr>
      <w:tr w:rsidR="00AA0B74" w:rsidRPr="00176D3F" w14:paraId="755A3130" w14:textId="77777777" w:rsidTr="00A91BF3">
        <w:tc>
          <w:tcPr>
            <w:tcW w:w="8771" w:type="dxa"/>
            <w:tcBorders>
              <w:top w:val="nil"/>
              <w:left w:val="nil"/>
              <w:bottom w:val="nil"/>
              <w:right w:val="nil"/>
            </w:tcBorders>
            <w:shd w:val="clear" w:color="auto" w:fill="auto"/>
          </w:tcPr>
          <w:p w14:paraId="0CAA1E54" w14:textId="74FEA5D6" w:rsidR="00AA0B74" w:rsidRPr="00176D3F" w:rsidRDefault="00AA0B74" w:rsidP="0080318B">
            <w:pPr>
              <w:pStyle w:val="Note"/>
            </w:pPr>
            <w:proofErr w:type="spellStart"/>
            <w:r>
              <w:rPr>
                <w:rStyle w:val="NoteLabel"/>
              </w:rPr>
              <w:t>a</w:t>
            </w:r>
            <w:proofErr w:type="spellEnd"/>
            <w:r>
              <w:t xml:space="preserve"> Excludes </w:t>
            </w:r>
            <w:r w:rsidR="0080318B">
              <w:t>77</w:t>
            </w:r>
            <w:r>
              <w:t xml:space="preserve"> Indigenous students (1</w:t>
            </w:r>
            <w:r w:rsidR="00E32387">
              <w:t> per cent</w:t>
            </w:r>
            <w:r>
              <w:t>) who either had no defined region or were in a region with less than 30 Indigenous students.</w:t>
            </w:r>
          </w:p>
        </w:tc>
      </w:tr>
      <w:tr w:rsidR="00AA0B74" w:rsidRPr="00176D3F" w14:paraId="37FB5F8E" w14:textId="77777777" w:rsidTr="00A91BF3">
        <w:tc>
          <w:tcPr>
            <w:tcW w:w="8771" w:type="dxa"/>
            <w:tcBorders>
              <w:top w:val="nil"/>
              <w:left w:val="nil"/>
              <w:bottom w:val="nil"/>
              <w:right w:val="nil"/>
            </w:tcBorders>
            <w:shd w:val="clear" w:color="auto" w:fill="auto"/>
          </w:tcPr>
          <w:p w14:paraId="201DF2E1" w14:textId="77777777" w:rsidR="00AA0B74" w:rsidRPr="00176D3F" w:rsidRDefault="00AA0B74" w:rsidP="00A91BF3">
            <w:pPr>
              <w:pStyle w:val="Source"/>
            </w:pPr>
            <w:r>
              <w:rPr>
                <w:i/>
              </w:rPr>
              <w:t>S</w:t>
            </w:r>
            <w:r w:rsidRPr="00784A05">
              <w:rPr>
                <w:i/>
              </w:rPr>
              <w:t>ource</w:t>
            </w:r>
            <w:r w:rsidRPr="00176D3F">
              <w:t xml:space="preserve">: </w:t>
            </w:r>
            <w:r>
              <w:t>Commission estimates based on ACARA data (unpublished).</w:t>
            </w:r>
          </w:p>
        </w:tc>
      </w:tr>
      <w:tr w:rsidR="00AA0B74" w14:paraId="711224F7" w14:textId="77777777" w:rsidTr="00A91BF3">
        <w:tc>
          <w:tcPr>
            <w:tcW w:w="8771" w:type="dxa"/>
            <w:tcBorders>
              <w:top w:val="nil"/>
              <w:left w:val="nil"/>
              <w:bottom w:val="single" w:sz="6" w:space="0" w:color="78A22F"/>
              <w:right w:val="nil"/>
            </w:tcBorders>
            <w:shd w:val="clear" w:color="auto" w:fill="auto"/>
          </w:tcPr>
          <w:p w14:paraId="418D9ECE" w14:textId="77777777" w:rsidR="00AA0B74" w:rsidRDefault="00AA0B74" w:rsidP="00A91BF3">
            <w:pPr>
              <w:pStyle w:val="Figurespace"/>
            </w:pPr>
          </w:p>
        </w:tc>
      </w:tr>
      <w:tr w:rsidR="00AA0B74" w:rsidRPr="000863A5" w14:paraId="70E21A85" w14:textId="77777777" w:rsidTr="00A91BF3">
        <w:tc>
          <w:tcPr>
            <w:tcW w:w="8771" w:type="dxa"/>
            <w:tcBorders>
              <w:top w:val="single" w:sz="6" w:space="0" w:color="78A22F"/>
              <w:left w:val="nil"/>
              <w:bottom w:val="nil"/>
              <w:right w:val="nil"/>
            </w:tcBorders>
          </w:tcPr>
          <w:p w14:paraId="602119A8" w14:textId="2F02ED5E" w:rsidR="00AA0B74" w:rsidRPr="00626D32" w:rsidRDefault="00AA0B74" w:rsidP="00A91BF3">
            <w:pPr>
              <w:pStyle w:val="BoxSpaceBelow"/>
            </w:pPr>
          </w:p>
        </w:tc>
      </w:tr>
    </w:tbl>
    <w:p w14:paraId="432B13F6" w14:textId="77777777" w:rsidR="006A32C3" w:rsidRDefault="006A32C3">
      <w:pPr>
        <w:rPr>
          <w:i/>
          <w:szCs w:val="20"/>
        </w:rPr>
      </w:pPr>
      <w:r>
        <w:rPr>
          <w:i/>
        </w:rPr>
        <w:br w:type="page"/>
      </w:r>
    </w:p>
    <w:p w14:paraId="58CE7298" w14:textId="796307A1" w:rsidR="00A05D0F" w:rsidRDefault="002F4924" w:rsidP="008C6213">
      <w:pPr>
        <w:pStyle w:val="BodyText"/>
      </w:pPr>
      <w:r w:rsidRPr="009E4E80">
        <w:lastRenderedPageBreak/>
        <w:t xml:space="preserve">More </w:t>
      </w:r>
      <w:r w:rsidR="0022753C" w:rsidRPr="009E4E80">
        <w:t xml:space="preserve">Indigenous students </w:t>
      </w:r>
      <w:r w:rsidRPr="009E4E80">
        <w:t xml:space="preserve">tend to </w:t>
      </w:r>
      <w:r w:rsidR="00FA127F" w:rsidRPr="009E4E80">
        <w:t>change schools</w:t>
      </w:r>
      <w:r w:rsidR="0022753C" w:rsidRPr="009E4E80">
        <w:t xml:space="preserve"> than their non</w:t>
      </w:r>
      <w:r w:rsidR="0022753C" w:rsidRPr="009E4E80">
        <w:noBreakHyphen/>
        <w:t>Indigenous counterparts</w:t>
      </w:r>
      <w:r w:rsidR="006E762C" w:rsidRPr="009E4E80">
        <w:t>.</w:t>
      </w:r>
      <w:r w:rsidR="00144A5A" w:rsidRPr="009E4E80">
        <w:t xml:space="preserve"> Of </w:t>
      </w:r>
      <w:r w:rsidR="00AE606F" w:rsidRPr="009E4E80">
        <w:t xml:space="preserve">all Indigenous </w:t>
      </w:r>
      <w:r w:rsidR="00144A5A" w:rsidRPr="009E4E80">
        <w:t xml:space="preserve">students in Year </w:t>
      </w:r>
      <w:r w:rsidR="00AE606F" w:rsidRPr="009E4E80">
        <w:t>5</w:t>
      </w:r>
      <w:r w:rsidR="00144A5A" w:rsidRPr="009E4E80">
        <w:t>, 26</w:t>
      </w:r>
      <w:r w:rsidR="00E32387">
        <w:t> per cent</w:t>
      </w:r>
      <w:r w:rsidR="00144A5A" w:rsidRPr="009E4E80">
        <w:t xml:space="preserve"> </w:t>
      </w:r>
      <w:r w:rsidR="00530BE5" w:rsidRPr="009E4E80">
        <w:t>had</w:t>
      </w:r>
      <w:r w:rsidR="00144A5A" w:rsidRPr="009E4E80">
        <w:t xml:space="preserve"> </w:t>
      </w:r>
      <w:r w:rsidR="00AE606F" w:rsidRPr="009E4E80">
        <w:t>moved schools in the previous two years</w:t>
      </w:r>
      <w:r w:rsidR="00144A5A" w:rsidRPr="009E4E80">
        <w:t>.</w:t>
      </w:r>
      <w:r w:rsidR="006E762C" w:rsidRPr="009E4E80">
        <w:t xml:space="preserve"> </w:t>
      </w:r>
      <w:r w:rsidR="00AE606F" w:rsidRPr="009E4E80">
        <w:t>The equivalent figure for non</w:t>
      </w:r>
      <w:r w:rsidR="003C48BA">
        <w:noBreakHyphen/>
      </w:r>
      <w:r w:rsidR="00AE606F" w:rsidRPr="009E4E80">
        <w:t>Indigenous students is 17</w:t>
      </w:r>
      <w:r w:rsidR="00E32387">
        <w:t> per cent</w:t>
      </w:r>
      <w:r w:rsidR="00AE606F" w:rsidRPr="009E4E80">
        <w:t xml:space="preserve">. </w:t>
      </w:r>
      <w:r w:rsidR="00A05D0F">
        <w:t xml:space="preserve">This is consistent with </w:t>
      </w:r>
      <w:r w:rsidR="008C6213">
        <w:t xml:space="preserve">existing </w:t>
      </w:r>
      <w:r w:rsidR="00A05D0F">
        <w:t xml:space="preserve">research which indicates that </w:t>
      </w:r>
      <w:r w:rsidR="008C6213">
        <w:t xml:space="preserve">many Indigenous students (and their families) maintain or access multiple residencies and regularly move between schools </w:t>
      </w:r>
      <w:r w:rsidR="00401F26" w:rsidRPr="00401F26">
        <w:rPr>
          <w:szCs w:val="24"/>
        </w:rPr>
        <w:t xml:space="preserve">(Dockery and Colquhoun 2012; Doyle and </w:t>
      </w:r>
      <w:proofErr w:type="spellStart"/>
      <w:r w:rsidR="00401F26" w:rsidRPr="00401F26">
        <w:rPr>
          <w:szCs w:val="24"/>
        </w:rPr>
        <w:t>Prout</w:t>
      </w:r>
      <w:proofErr w:type="spellEnd"/>
      <w:r w:rsidR="00401F26" w:rsidRPr="00401F26">
        <w:rPr>
          <w:szCs w:val="24"/>
        </w:rPr>
        <w:t> 2012)</w:t>
      </w:r>
      <w:r w:rsidR="008C6213">
        <w:t>.</w:t>
      </w:r>
    </w:p>
    <w:p w14:paraId="20A4A2AD" w14:textId="16A78402" w:rsidR="002947A4" w:rsidRPr="009E4E80" w:rsidRDefault="008C6213" w:rsidP="0022753C">
      <w:pPr>
        <w:pStyle w:val="BodyText"/>
      </w:pPr>
      <w:r>
        <w:t>It is worth noting that m</w:t>
      </w:r>
      <w:r w:rsidR="00144A5A" w:rsidRPr="009E4E80">
        <w:t xml:space="preserve">obility rates vary from </w:t>
      </w:r>
      <w:r w:rsidR="00AE606F" w:rsidRPr="009E4E80">
        <w:t>region to region.</w:t>
      </w:r>
      <w:r>
        <w:t xml:space="preserve"> </w:t>
      </w:r>
      <w:r w:rsidR="00F17C70">
        <w:t>In some regions, the m</w:t>
      </w:r>
      <w:r>
        <w:t xml:space="preserve">obility rate of Indigenous students </w:t>
      </w:r>
      <w:r w:rsidR="00F17C70">
        <w:t>is</w:t>
      </w:r>
      <w:r>
        <w:t xml:space="preserve"> not substantially above </w:t>
      </w:r>
      <w:r w:rsidR="00F17C70">
        <w:t>that</w:t>
      </w:r>
      <w:r>
        <w:t xml:space="preserve"> of non</w:t>
      </w:r>
      <w:r w:rsidR="00F17C70">
        <w:noBreakHyphen/>
      </w:r>
      <w:r>
        <w:t>Indigenous students.</w:t>
      </w:r>
    </w:p>
    <w:p w14:paraId="5ADB30C7" w14:textId="307C74CD" w:rsidR="00FA127F" w:rsidRDefault="00FA127F" w:rsidP="00312CD2">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FA127F" w14:paraId="368E0229" w14:textId="77777777" w:rsidTr="00312CD2">
        <w:tc>
          <w:tcPr>
            <w:tcW w:w="8771" w:type="dxa"/>
            <w:tcBorders>
              <w:top w:val="single" w:sz="6" w:space="0" w:color="78A22F"/>
              <w:left w:val="nil"/>
              <w:bottom w:val="nil"/>
              <w:right w:val="nil"/>
            </w:tcBorders>
            <w:shd w:val="clear" w:color="auto" w:fill="auto"/>
          </w:tcPr>
          <w:p w14:paraId="25EB304A" w14:textId="3AC62D6C" w:rsidR="00FA127F" w:rsidRDefault="00FA127F" w:rsidP="00312CD2">
            <w:pPr>
              <w:pStyle w:val="FigureTitle"/>
            </w:pPr>
            <w:r w:rsidRPr="00784A05">
              <w:rPr>
                <w:b w:val="0"/>
              </w:rPr>
              <w:t xml:space="preserve">Figure </w:t>
            </w:r>
            <w:r w:rsidR="00A85BAB">
              <w:rPr>
                <w:b w:val="0"/>
                <w:noProof/>
              </w:rPr>
              <w:t>3</w:t>
            </w:r>
            <w:r>
              <w:tab/>
            </w:r>
            <w:r w:rsidR="0052062F">
              <w:t>S</w:t>
            </w:r>
            <w:r w:rsidR="0094458A">
              <w:t>tudent mobility</w:t>
            </w:r>
            <w:r w:rsidR="00B519EF" w:rsidRPr="00B519EF">
              <w:rPr>
                <w:rStyle w:val="NoteLabel"/>
                <w:b/>
              </w:rPr>
              <w:t>a</w:t>
            </w:r>
          </w:p>
          <w:p w14:paraId="4AA8533C" w14:textId="0B08849A" w:rsidR="00FA127F" w:rsidRPr="00D600DB" w:rsidRDefault="0094458A" w:rsidP="005E2353">
            <w:pPr>
              <w:pStyle w:val="Subtitle"/>
            </w:pPr>
            <w:r w:rsidRPr="00D600DB">
              <w:t xml:space="preserve">Proportion of </w:t>
            </w:r>
            <w:r w:rsidR="0052062F" w:rsidRPr="00D600DB">
              <w:t>Indigenous and non</w:t>
            </w:r>
            <w:r w:rsidR="003C48BA">
              <w:noBreakHyphen/>
            </w:r>
            <w:r w:rsidR="0052062F" w:rsidRPr="00D600DB">
              <w:t xml:space="preserve">Indigenous </w:t>
            </w:r>
            <w:r w:rsidRPr="00D600DB">
              <w:t>students who changed school</w:t>
            </w:r>
            <w:r w:rsidRPr="00AA0B74">
              <w:t xml:space="preserve">s </w:t>
            </w:r>
            <w:r w:rsidRPr="00D600DB">
              <w:t>between Year 3 and Year 5</w:t>
            </w:r>
            <w:r w:rsidR="00300780" w:rsidRPr="00D600DB">
              <w:t>, by state and remoteness (2014)</w:t>
            </w:r>
          </w:p>
        </w:tc>
      </w:tr>
      <w:tr w:rsidR="00FA127F" w14:paraId="711C5C94" w14:textId="77777777" w:rsidTr="00312CD2">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FA127F" w14:paraId="69DA42B7" w14:textId="77777777" w:rsidTr="00312CD2">
              <w:trPr>
                <w:jc w:val="center"/>
              </w:trPr>
              <w:tc>
                <w:tcPr>
                  <w:tcW w:w="5000" w:type="pct"/>
                  <w:tcBorders>
                    <w:top w:val="nil"/>
                    <w:bottom w:val="nil"/>
                  </w:tcBorders>
                </w:tcPr>
                <w:p w14:paraId="00F59ED0" w14:textId="7E63D5B6" w:rsidR="00290437" w:rsidRDefault="00290437" w:rsidP="00312CD2">
                  <w:pPr>
                    <w:pStyle w:val="Figure"/>
                    <w:spacing w:before="60" w:after="60"/>
                  </w:pPr>
                  <w:r>
                    <w:rPr>
                      <w:noProof/>
                    </w:rPr>
                    <w:drawing>
                      <wp:inline distT="0" distB="0" distL="0" distR="0" wp14:anchorId="2256FCE8" wp14:editId="4D96D3FC">
                        <wp:extent cx="5401310" cy="2633980"/>
                        <wp:effectExtent l="0" t="0" r="8890" b="0"/>
                        <wp:docPr id="14" name="Picture 14" descr="This figure show student mobility rates by state and remoteness category. There is no clear pattern across states and remoteness areas, but the mobility rates of Indigenous students tend to be higher than the mobility rates of non-Indigenous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1310" cy="2633980"/>
                                </a:xfrm>
                                <a:prstGeom prst="rect">
                                  <a:avLst/>
                                </a:prstGeom>
                                <a:noFill/>
                              </pic:spPr>
                            </pic:pic>
                          </a:graphicData>
                        </a:graphic>
                      </wp:inline>
                    </w:drawing>
                  </w:r>
                </w:p>
              </w:tc>
            </w:tr>
          </w:tbl>
          <w:p w14:paraId="753E4650" w14:textId="77777777" w:rsidR="00FA127F" w:rsidRDefault="00FA127F" w:rsidP="00312CD2">
            <w:pPr>
              <w:pStyle w:val="Figure"/>
            </w:pPr>
          </w:p>
        </w:tc>
      </w:tr>
      <w:tr w:rsidR="00FA127F" w:rsidRPr="00176D3F" w14:paraId="0E2BC6A5" w14:textId="77777777" w:rsidTr="00312CD2">
        <w:tc>
          <w:tcPr>
            <w:tcW w:w="8771" w:type="dxa"/>
            <w:tcBorders>
              <w:top w:val="nil"/>
              <w:left w:val="nil"/>
              <w:bottom w:val="nil"/>
              <w:right w:val="nil"/>
            </w:tcBorders>
            <w:shd w:val="clear" w:color="auto" w:fill="auto"/>
          </w:tcPr>
          <w:p w14:paraId="68187ACC" w14:textId="4C58B989" w:rsidR="00FA127F" w:rsidRPr="00176D3F" w:rsidRDefault="00FA127F" w:rsidP="009E4E80">
            <w:pPr>
              <w:pStyle w:val="Note"/>
            </w:pPr>
            <w:proofErr w:type="spellStart"/>
            <w:r>
              <w:rPr>
                <w:rStyle w:val="NoteLabel"/>
              </w:rPr>
              <w:t>a</w:t>
            </w:r>
            <w:proofErr w:type="spellEnd"/>
            <w:r>
              <w:t xml:space="preserve"> </w:t>
            </w:r>
            <w:r w:rsidR="000B7DAF">
              <w:t xml:space="preserve">Excludes </w:t>
            </w:r>
            <w:r w:rsidR="006E762C">
              <w:t xml:space="preserve">3522 </w:t>
            </w:r>
            <w:r w:rsidR="00C84D48">
              <w:t>Indigenous</w:t>
            </w:r>
            <w:r w:rsidR="000B7DAF">
              <w:t xml:space="preserve"> students</w:t>
            </w:r>
            <w:r w:rsidR="004743EA">
              <w:t xml:space="preserve"> (</w:t>
            </w:r>
            <w:r w:rsidR="006E762C">
              <w:t>24</w:t>
            </w:r>
            <w:r w:rsidR="00E32387">
              <w:t> per cent</w:t>
            </w:r>
            <w:r w:rsidR="004743EA">
              <w:t>)</w:t>
            </w:r>
            <w:r w:rsidR="000B7DAF">
              <w:t xml:space="preserve"> </w:t>
            </w:r>
            <w:r w:rsidR="00C84D48">
              <w:t xml:space="preserve">and </w:t>
            </w:r>
            <w:r w:rsidR="006E762C">
              <w:t xml:space="preserve">22 299 </w:t>
            </w:r>
            <w:r w:rsidR="00B61AB1">
              <w:t>non</w:t>
            </w:r>
            <w:r w:rsidR="003C48BA">
              <w:noBreakHyphen/>
            </w:r>
            <w:r w:rsidR="00B61AB1">
              <w:t>Indigenous students (</w:t>
            </w:r>
            <w:r w:rsidR="006E762C">
              <w:t>12</w:t>
            </w:r>
            <w:r w:rsidR="00E32387">
              <w:t> per cent</w:t>
            </w:r>
            <w:r w:rsidR="00B61AB1">
              <w:t xml:space="preserve">) </w:t>
            </w:r>
            <w:r w:rsidR="000B7DAF">
              <w:t xml:space="preserve">who </w:t>
            </w:r>
            <w:r w:rsidR="000536B1">
              <w:t xml:space="preserve">had no recorded information about mobility, </w:t>
            </w:r>
            <w:r w:rsidR="000B7DAF">
              <w:t>had no defined region</w:t>
            </w:r>
            <w:r w:rsidR="00C84D48">
              <w:t>,</w:t>
            </w:r>
            <w:r w:rsidR="000B7DAF">
              <w:t xml:space="preserve"> </w:t>
            </w:r>
            <w:r w:rsidR="000536B1">
              <w:t xml:space="preserve">or </w:t>
            </w:r>
            <w:r w:rsidR="000B7DAF">
              <w:t>were in a region with less than 30 Indigenous students.</w:t>
            </w:r>
            <w:r w:rsidR="006E762C">
              <w:t xml:space="preserve"> </w:t>
            </w:r>
            <w:r w:rsidR="009E4E80">
              <w:t>No information was available for students from the</w:t>
            </w:r>
            <w:r w:rsidR="006E762C">
              <w:t xml:space="preserve"> Northern Territory.</w:t>
            </w:r>
          </w:p>
        </w:tc>
      </w:tr>
      <w:tr w:rsidR="00FA127F" w:rsidRPr="00176D3F" w14:paraId="309E12FC" w14:textId="77777777" w:rsidTr="00312CD2">
        <w:tc>
          <w:tcPr>
            <w:tcW w:w="8771" w:type="dxa"/>
            <w:tcBorders>
              <w:top w:val="nil"/>
              <w:left w:val="nil"/>
              <w:bottom w:val="nil"/>
              <w:right w:val="nil"/>
            </w:tcBorders>
            <w:shd w:val="clear" w:color="auto" w:fill="auto"/>
          </w:tcPr>
          <w:p w14:paraId="407055F3" w14:textId="1507F829" w:rsidR="00FA127F" w:rsidRPr="00176D3F" w:rsidRDefault="001C6C2D" w:rsidP="001C6C2D">
            <w:pPr>
              <w:pStyle w:val="Source"/>
            </w:pPr>
            <w:r>
              <w:rPr>
                <w:i/>
              </w:rPr>
              <w:t>S</w:t>
            </w:r>
            <w:r w:rsidR="00FA127F" w:rsidRPr="00784A05">
              <w:rPr>
                <w:i/>
              </w:rPr>
              <w:t>ource</w:t>
            </w:r>
            <w:r w:rsidR="00FA127F" w:rsidRPr="00176D3F">
              <w:t xml:space="preserve">: </w:t>
            </w:r>
            <w:r>
              <w:t>Commission estimates based on ACARA data (unpublished).</w:t>
            </w:r>
          </w:p>
        </w:tc>
      </w:tr>
      <w:tr w:rsidR="00FA127F" w14:paraId="4C38BDE3" w14:textId="77777777" w:rsidTr="00312CD2">
        <w:tc>
          <w:tcPr>
            <w:tcW w:w="8771" w:type="dxa"/>
            <w:tcBorders>
              <w:top w:val="nil"/>
              <w:left w:val="nil"/>
              <w:bottom w:val="single" w:sz="6" w:space="0" w:color="78A22F"/>
              <w:right w:val="nil"/>
            </w:tcBorders>
            <w:shd w:val="clear" w:color="auto" w:fill="auto"/>
          </w:tcPr>
          <w:p w14:paraId="3B4B20DE" w14:textId="77777777" w:rsidR="00FA127F" w:rsidRDefault="00FA127F" w:rsidP="00312CD2">
            <w:pPr>
              <w:pStyle w:val="Figurespace"/>
            </w:pPr>
          </w:p>
        </w:tc>
      </w:tr>
      <w:tr w:rsidR="00FA127F" w:rsidRPr="000863A5" w14:paraId="311416E5" w14:textId="77777777" w:rsidTr="00312CD2">
        <w:tc>
          <w:tcPr>
            <w:tcW w:w="8771" w:type="dxa"/>
            <w:tcBorders>
              <w:top w:val="single" w:sz="6" w:space="0" w:color="78A22F"/>
              <w:left w:val="nil"/>
              <w:bottom w:val="nil"/>
              <w:right w:val="nil"/>
            </w:tcBorders>
          </w:tcPr>
          <w:p w14:paraId="37D9941E" w14:textId="4EEDF60C" w:rsidR="00FA127F" w:rsidRPr="00626D32" w:rsidRDefault="00FA127F" w:rsidP="00312CD2">
            <w:pPr>
              <w:pStyle w:val="BoxSpaceBelow"/>
            </w:pPr>
          </w:p>
        </w:tc>
      </w:tr>
    </w:tbl>
    <w:p w14:paraId="7B14461F" w14:textId="77777777" w:rsidR="006A32C3" w:rsidRDefault="006A32C3" w:rsidP="006A32C3">
      <w:pPr>
        <w:pStyle w:val="BodyText"/>
        <w:rPr>
          <w:rFonts w:ascii="Arial" w:hAnsi="Arial"/>
          <w:sz w:val="26"/>
        </w:rPr>
      </w:pPr>
      <w:r>
        <w:br w:type="page"/>
      </w:r>
    </w:p>
    <w:p w14:paraId="3F92BBE6" w14:textId="1309D3EF" w:rsidR="00405200" w:rsidRDefault="00405200" w:rsidP="00AA4ED8">
      <w:pPr>
        <w:pStyle w:val="Heading3"/>
      </w:pPr>
      <w:r>
        <w:lastRenderedPageBreak/>
        <w:t>What family backgrounds do Indigenou</w:t>
      </w:r>
      <w:r w:rsidR="00AA4ED8">
        <w:t>s</w:t>
      </w:r>
      <w:r>
        <w:t xml:space="preserve"> students have?</w:t>
      </w:r>
    </w:p>
    <w:p w14:paraId="4253A495" w14:textId="2805D31E" w:rsidR="0022753C" w:rsidRPr="00B52895" w:rsidRDefault="00377FC7" w:rsidP="0022753C">
      <w:pPr>
        <w:pStyle w:val="BodyText"/>
      </w:pPr>
      <w:r w:rsidRPr="00B52895">
        <w:t>It is common for Indigenous students in remote and very remote areas to have a language background other than English</w:t>
      </w:r>
      <w:r w:rsidR="00A64C3D">
        <w:t xml:space="preserve"> (</w:t>
      </w:r>
      <w:proofErr w:type="spellStart"/>
      <w:r w:rsidR="00A64C3D">
        <w:t>LBOTE</w:t>
      </w:r>
      <w:proofErr w:type="spellEnd"/>
      <w:r w:rsidR="00A64C3D">
        <w:t>)</w:t>
      </w:r>
      <w:r w:rsidRPr="00B52895">
        <w:t xml:space="preserve">. But in metropolitan and provincial areas — where most Indigenous students </w:t>
      </w:r>
      <w:r w:rsidR="00A05E5B">
        <w:t>go to school</w:t>
      </w:r>
      <w:r w:rsidR="00A05E5B" w:rsidRPr="00B52895">
        <w:t xml:space="preserve"> </w:t>
      </w:r>
      <w:r w:rsidRPr="00B52895">
        <w:t>— Indigenous students are less likely than non</w:t>
      </w:r>
      <w:r w:rsidR="003C48BA">
        <w:noBreakHyphen/>
      </w:r>
      <w:r w:rsidRPr="00B52895">
        <w:t xml:space="preserve">Indigenous students to </w:t>
      </w:r>
      <w:r w:rsidR="00617F22" w:rsidRPr="00B52895">
        <w:t>have</w:t>
      </w:r>
      <w:r w:rsidRPr="00B52895">
        <w:t xml:space="preserve"> a </w:t>
      </w:r>
      <w:proofErr w:type="spellStart"/>
      <w:r w:rsidR="002D1E8C">
        <w:t>LBOTE</w:t>
      </w:r>
      <w:proofErr w:type="spellEnd"/>
      <w:r w:rsidRPr="00B52895">
        <w:t>.</w:t>
      </w:r>
      <w:r w:rsidR="008141CF" w:rsidRPr="00416A9F">
        <w:rPr>
          <w:rStyle w:val="FootnoteReference"/>
        </w:rPr>
        <w:footnoteReference w:id="3"/>
      </w:r>
    </w:p>
    <w:p w14:paraId="15E0532E" w14:textId="22EA68AA" w:rsidR="00377FC7" w:rsidRDefault="00377FC7" w:rsidP="00312CD2">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377FC7" w14:paraId="18FA8823" w14:textId="77777777" w:rsidTr="00312CD2">
        <w:tc>
          <w:tcPr>
            <w:tcW w:w="8771" w:type="dxa"/>
            <w:tcBorders>
              <w:top w:val="single" w:sz="6" w:space="0" w:color="78A22F"/>
              <w:left w:val="nil"/>
              <w:bottom w:val="nil"/>
              <w:right w:val="nil"/>
            </w:tcBorders>
            <w:shd w:val="clear" w:color="auto" w:fill="auto"/>
          </w:tcPr>
          <w:p w14:paraId="59E3B692" w14:textId="5C0A2DF6" w:rsidR="00377FC7" w:rsidRDefault="00377FC7" w:rsidP="00312CD2">
            <w:pPr>
              <w:pStyle w:val="FigureTitle"/>
            </w:pPr>
            <w:r w:rsidRPr="00784A05">
              <w:rPr>
                <w:b w:val="0"/>
              </w:rPr>
              <w:t xml:space="preserve">Figure </w:t>
            </w:r>
            <w:r w:rsidR="00A85BAB">
              <w:rPr>
                <w:b w:val="0"/>
                <w:noProof/>
              </w:rPr>
              <w:t>4</w:t>
            </w:r>
            <w:r>
              <w:tab/>
            </w:r>
            <w:r w:rsidR="0052062F">
              <w:t>Language background</w:t>
            </w:r>
            <w:r w:rsidR="002E31C6" w:rsidRPr="002E31C6">
              <w:rPr>
                <w:rStyle w:val="NoteLabel"/>
                <w:b/>
              </w:rPr>
              <w:t>a</w:t>
            </w:r>
          </w:p>
          <w:p w14:paraId="0FDFD4FC" w14:textId="6BDE93F7" w:rsidR="00377FC7" w:rsidRPr="00176D3F" w:rsidRDefault="0052062F" w:rsidP="005E2353">
            <w:pPr>
              <w:pStyle w:val="Subtitle"/>
            </w:pPr>
            <w:r>
              <w:t>Proportion of Indigenous and non</w:t>
            </w:r>
            <w:r w:rsidR="003C48BA">
              <w:noBreakHyphen/>
            </w:r>
            <w:r>
              <w:t>Indigenous students with a language background other than English, by remoteness (Year 5, 2014)</w:t>
            </w:r>
          </w:p>
        </w:tc>
      </w:tr>
      <w:tr w:rsidR="00377FC7" w14:paraId="4805622C" w14:textId="77777777" w:rsidTr="00312CD2">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377FC7" w14:paraId="28EEF574" w14:textId="77777777" w:rsidTr="00312CD2">
              <w:trPr>
                <w:jc w:val="center"/>
              </w:trPr>
              <w:tc>
                <w:tcPr>
                  <w:tcW w:w="5000" w:type="pct"/>
                  <w:tcBorders>
                    <w:top w:val="nil"/>
                    <w:bottom w:val="nil"/>
                  </w:tcBorders>
                </w:tcPr>
                <w:p w14:paraId="5E457038" w14:textId="566618D7" w:rsidR="00377FC7" w:rsidRDefault="00A25434" w:rsidP="00312CD2">
                  <w:pPr>
                    <w:pStyle w:val="Figure"/>
                    <w:spacing w:before="60" w:after="60"/>
                  </w:pPr>
                  <w:r>
                    <w:rPr>
                      <w:noProof/>
                    </w:rPr>
                    <w:drawing>
                      <wp:inline distT="0" distB="0" distL="0" distR="0" wp14:anchorId="25D3C214" wp14:editId="2553FDA8">
                        <wp:extent cx="5400000" cy="2632134"/>
                        <wp:effectExtent l="0" t="0" r="0" b="0"/>
                        <wp:docPr id="23" name="Picture 23" descr="This figure show the proportion of Indigenous and non-Indigenous students with a language background other than English by remoteness category. Overall, most non-Indigenous students than Indigenous students have a language background other than English. But in remote and very remote areas, far more Indigenous students than non-Indigenous students have a language background other than English.&#10;&#10;In very remote areas, around 80 per cent of Indigenous students have a language background other than English." title="Languag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4.emf"/>
                                <pic:cNvPicPr/>
                              </pic:nvPicPr>
                              <pic:blipFill>
                                <a:blip r:embed="rId20">
                                  <a:extLst>
                                    <a:ext uri="{28A0092B-C50C-407E-A947-70E740481C1C}">
                                      <a14:useLocalDpi xmlns:a14="http://schemas.microsoft.com/office/drawing/2010/main" val="0"/>
                                    </a:ext>
                                  </a:extLst>
                                </a:blip>
                                <a:stretch>
                                  <a:fillRect/>
                                </a:stretch>
                              </pic:blipFill>
                              <pic:spPr>
                                <a:xfrm>
                                  <a:off x="0" y="0"/>
                                  <a:ext cx="5400000" cy="2632134"/>
                                </a:xfrm>
                                <a:prstGeom prst="rect">
                                  <a:avLst/>
                                </a:prstGeom>
                              </pic:spPr>
                            </pic:pic>
                          </a:graphicData>
                        </a:graphic>
                      </wp:inline>
                    </w:drawing>
                  </w:r>
                </w:p>
              </w:tc>
            </w:tr>
          </w:tbl>
          <w:p w14:paraId="724B2633" w14:textId="77777777" w:rsidR="00377FC7" w:rsidRDefault="00377FC7" w:rsidP="00312CD2">
            <w:pPr>
              <w:pStyle w:val="Figure"/>
            </w:pPr>
          </w:p>
        </w:tc>
      </w:tr>
      <w:tr w:rsidR="00377FC7" w:rsidRPr="00176D3F" w14:paraId="758B46DC" w14:textId="77777777" w:rsidTr="00312CD2">
        <w:tc>
          <w:tcPr>
            <w:tcW w:w="8771" w:type="dxa"/>
            <w:tcBorders>
              <w:top w:val="nil"/>
              <w:left w:val="nil"/>
              <w:bottom w:val="nil"/>
              <w:right w:val="nil"/>
            </w:tcBorders>
            <w:shd w:val="clear" w:color="auto" w:fill="auto"/>
          </w:tcPr>
          <w:p w14:paraId="1193FE31" w14:textId="50B9A2DD" w:rsidR="00377FC7" w:rsidRPr="00176D3F" w:rsidRDefault="001D5FE3" w:rsidP="006708BE">
            <w:pPr>
              <w:pStyle w:val="Note"/>
            </w:pPr>
            <w:proofErr w:type="spellStart"/>
            <w:r>
              <w:rPr>
                <w:rStyle w:val="NoteLabel"/>
              </w:rPr>
              <w:t>a</w:t>
            </w:r>
            <w:proofErr w:type="spellEnd"/>
            <w:r>
              <w:t xml:space="preserve"> Excludes </w:t>
            </w:r>
            <w:r w:rsidR="007B1D16">
              <w:t xml:space="preserve">817 </w:t>
            </w:r>
            <w:r>
              <w:t>Indigenous students (</w:t>
            </w:r>
            <w:r w:rsidR="007B1D16">
              <w:t>6</w:t>
            </w:r>
            <w:r w:rsidR="00E32387">
              <w:t> per cent</w:t>
            </w:r>
            <w:r>
              <w:t xml:space="preserve">) and </w:t>
            </w:r>
            <w:r w:rsidR="007B1D16">
              <w:t xml:space="preserve">8203 </w:t>
            </w:r>
            <w:r>
              <w:t>non</w:t>
            </w:r>
            <w:r w:rsidR="003C48BA">
              <w:noBreakHyphen/>
            </w:r>
            <w:r>
              <w:t>Indigenous students (3</w:t>
            </w:r>
            <w:r w:rsidR="00E32387">
              <w:t> per cent</w:t>
            </w:r>
            <w:r>
              <w:t xml:space="preserve">) who </w:t>
            </w:r>
            <w:r w:rsidR="00C5132B">
              <w:t>ha</w:t>
            </w:r>
            <w:r w:rsidR="006708BE">
              <w:t>d</w:t>
            </w:r>
            <w:r w:rsidR="00C5132B">
              <w:t xml:space="preserve"> not recorded information about</w:t>
            </w:r>
            <w:r w:rsidR="00496B4F">
              <w:t xml:space="preserve"> language background or </w:t>
            </w:r>
            <w:r>
              <w:t>had no defined region.</w:t>
            </w:r>
          </w:p>
        </w:tc>
      </w:tr>
      <w:tr w:rsidR="00377FC7" w:rsidRPr="00176D3F" w14:paraId="21F649E5" w14:textId="77777777" w:rsidTr="00312CD2">
        <w:tc>
          <w:tcPr>
            <w:tcW w:w="8771" w:type="dxa"/>
            <w:tcBorders>
              <w:top w:val="nil"/>
              <w:left w:val="nil"/>
              <w:bottom w:val="nil"/>
              <w:right w:val="nil"/>
            </w:tcBorders>
            <w:shd w:val="clear" w:color="auto" w:fill="auto"/>
          </w:tcPr>
          <w:p w14:paraId="7B2A5470" w14:textId="672906BF" w:rsidR="00377FC7" w:rsidRPr="00176D3F" w:rsidRDefault="001C6C2D" w:rsidP="00312CD2">
            <w:pPr>
              <w:pStyle w:val="Source"/>
            </w:pPr>
            <w:r>
              <w:rPr>
                <w:i/>
              </w:rPr>
              <w:t>S</w:t>
            </w:r>
            <w:r w:rsidRPr="00784A05">
              <w:rPr>
                <w:i/>
              </w:rPr>
              <w:t>ource</w:t>
            </w:r>
            <w:r w:rsidRPr="00176D3F">
              <w:t xml:space="preserve">: </w:t>
            </w:r>
            <w:r>
              <w:t>Commission estimates based on ACARA data (unpublished).</w:t>
            </w:r>
          </w:p>
        </w:tc>
      </w:tr>
      <w:tr w:rsidR="00377FC7" w14:paraId="6E199422" w14:textId="77777777" w:rsidTr="00312CD2">
        <w:tc>
          <w:tcPr>
            <w:tcW w:w="8771" w:type="dxa"/>
            <w:tcBorders>
              <w:top w:val="nil"/>
              <w:left w:val="nil"/>
              <w:bottom w:val="single" w:sz="6" w:space="0" w:color="78A22F"/>
              <w:right w:val="nil"/>
            </w:tcBorders>
            <w:shd w:val="clear" w:color="auto" w:fill="auto"/>
          </w:tcPr>
          <w:p w14:paraId="007D9DC1" w14:textId="77777777" w:rsidR="00377FC7" w:rsidRDefault="00377FC7" w:rsidP="00312CD2">
            <w:pPr>
              <w:pStyle w:val="Figurespace"/>
            </w:pPr>
          </w:p>
        </w:tc>
      </w:tr>
      <w:tr w:rsidR="00377FC7" w:rsidRPr="000863A5" w14:paraId="5C0385BE" w14:textId="77777777" w:rsidTr="00312CD2">
        <w:tc>
          <w:tcPr>
            <w:tcW w:w="8771" w:type="dxa"/>
            <w:tcBorders>
              <w:top w:val="single" w:sz="6" w:space="0" w:color="78A22F"/>
              <w:left w:val="nil"/>
              <w:bottom w:val="nil"/>
              <w:right w:val="nil"/>
            </w:tcBorders>
          </w:tcPr>
          <w:p w14:paraId="6654BDD5" w14:textId="50CB63B4" w:rsidR="00377FC7" w:rsidRPr="00626D32" w:rsidRDefault="00377FC7" w:rsidP="00312CD2">
            <w:pPr>
              <w:pStyle w:val="BoxSpaceBelow"/>
            </w:pPr>
          </w:p>
        </w:tc>
      </w:tr>
    </w:tbl>
    <w:p w14:paraId="648CF6E5" w14:textId="229ED058" w:rsidR="00653A6E" w:rsidRDefault="00617F22" w:rsidP="0052062F">
      <w:pPr>
        <w:pStyle w:val="ListBullet"/>
        <w:numPr>
          <w:ilvl w:val="0"/>
          <w:numId w:val="0"/>
        </w:numPr>
      </w:pPr>
      <w:r w:rsidRPr="00B52895">
        <w:t xml:space="preserve">Indigenous students tend to have parents </w:t>
      </w:r>
      <w:r w:rsidR="00E97547" w:rsidRPr="00B52895">
        <w:t>with less formal education than non</w:t>
      </w:r>
      <w:r w:rsidR="003C48BA">
        <w:noBreakHyphen/>
      </w:r>
      <w:r w:rsidR="00E97547" w:rsidRPr="00B52895">
        <w:t>Indigenous students.</w:t>
      </w:r>
      <w:r w:rsidR="004309B9" w:rsidRPr="00B52895">
        <w:t xml:space="preserve"> For example, </w:t>
      </w:r>
      <w:r w:rsidR="00340217" w:rsidRPr="00B52895">
        <w:t>of</w:t>
      </w:r>
      <w:r w:rsidR="004309B9" w:rsidRPr="00B52895">
        <w:t xml:space="preserve"> </w:t>
      </w:r>
      <w:r w:rsidR="00340217" w:rsidRPr="00B52895">
        <w:t>Indigenous students in Year 5</w:t>
      </w:r>
      <w:r w:rsidR="00232DC2">
        <w:t>, 45</w:t>
      </w:r>
      <w:r w:rsidR="00E32387">
        <w:t> per cent</w:t>
      </w:r>
      <w:r w:rsidR="00232DC2">
        <w:t xml:space="preserve"> </w:t>
      </w:r>
      <w:r w:rsidR="00340217" w:rsidRPr="00B52895">
        <w:t xml:space="preserve">had a mother </w:t>
      </w:r>
      <w:r w:rsidR="0013295B">
        <w:t xml:space="preserve">who </w:t>
      </w:r>
      <w:r w:rsidR="00232DC2">
        <w:t xml:space="preserve">did not </w:t>
      </w:r>
      <w:r w:rsidR="0013295B">
        <w:t xml:space="preserve">complete </w:t>
      </w:r>
      <w:r w:rsidR="00F27AF9">
        <w:t>secondary</w:t>
      </w:r>
      <w:r w:rsidR="0013295B">
        <w:t xml:space="preserve"> school</w:t>
      </w:r>
      <w:r w:rsidR="00340217" w:rsidRPr="00B52895">
        <w:t xml:space="preserve">. By contrast, only </w:t>
      </w:r>
      <w:r w:rsidR="00653A6E">
        <w:t>18</w:t>
      </w:r>
      <w:r w:rsidR="00E32387">
        <w:t> per cent</w:t>
      </w:r>
      <w:r w:rsidR="00340217" w:rsidRPr="00B52895">
        <w:t xml:space="preserve"> of </w:t>
      </w:r>
      <w:r w:rsidR="00232DC2">
        <w:t>non</w:t>
      </w:r>
      <w:r w:rsidR="00232DC2">
        <w:noBreakHyphen/>
      </w:r>
      <w:r w:rsidR="00340217" w:rsidRPr="00B52895">
        <w:t xml:space="preserve">Indigenous students had a mother </w:t>
      </w:r>
      <w:r w:rsidR="0013295B">
        <w:t xml:space="preserve">who </w:t>
      </w:r>
      <w:r w:rsidR="008D53D5">
        <w:t>di</w:t>
      </w:r>
      <w:r w:rsidR="0013295B">
        <w:t xml:space="preserve">d not complete </w:t>
      </w:r>
      <w:r w:rsidR="00F27AF9">
        <w:t>secondary</w:t>
      </w:r>
      <w:r w:rsidR="0013295B">
        <w:t xml:space="preserve"> school</w:t>
      </w:r>
      <w:r w:rsidR="00340217" w:rsidRPr="00B52895">
        <w:t>.</w:t>
      </w:r>
    </w:p>
    <w:p w14:paraId="248AC1A3" w14:textId="5ABD8157" w:rsidR="0052062F" w:rsidRDefault="001944DD" w:rsidP="0052062F">
      <w:pPr>
        <w:pStyle w:val="ListBullet"/>
        <w:numPr>
          <w:ilvl w:val="0"/>
          <w:numId w:val="0"/>
        </w:numPr>
      </w:pPr>
      <w:r>
        <w:t xml:space="preserve">However, </w:t>
      </w:r>
      <w:r w:rsidR="001D3F22">
        <w:t xml:space="preserve">for </w:t>
      </w:r>
      <w:r>
        <w:t>a substantial proportion of students</w:t>
      </w:r>
      <w:r w:rsidR="001D3F22">
        <w:t xml:space="preserve"> (particularly Indigenous students), </w:t>
      </w:r>
      <w:r w:rsidR="0013295B">
        <w:t xml:space="preserve">parents’ education background </w:t>
      </w:r>
      <w:r w:rsidR="001D3F22">
        <w:t>is unstated or unknown</w:t>
      </w:r>
      <w:r w:rsidR="0013295B">
        <w:t>.</w:t>
      </w:r>
      <w:r w:rsidR="00653A6E">
        <w:t xml:space="preserve"> Mother’s education was unstated or unknown for 2</w:t>
      </w:r>
      <w:r w:rsidR="008D53D5">
        <w:t>3</w:t>
      </w:r>
      <w:r w:rsidR="00E32387">
        <w:t> per cent</w:t>
      </w:r>
      <w:r w:rsidR="00653A6E">
        <w:t xml:space="preserve"> of Indigenous students and 9</w:t>
      </w:r>
      <w:r w:rsidR="00E32387">
        <w:t> per cent</w:t>
      </w:r>
      <w:r w:rsidR="00653A6E">
        <w:t xml:space="preserve"> of non</w:t>
      </w:r>
      <w:r w:rsidR="003C48BA">
        <w:noBreakHyphen/>
      </w:r>
      <w:r w:rsidR="00653A6E">
        <w:t>Indigenous students</w:t>
      </w:r>
      <w:r w:rsidR="001D3F22">
        <w:t>, while</w:t>
      </w:r>
      <w:r w:rsidR="00653A6E">
        <w:t xml:space="preserve"> </w:t>
      </w:r>
      <w:r w:rsidR="001D3F22">
        <w:t>f</w:t>
      </w:r>
      <w:r w:rsidR="00653A6E">
        <w:t>ather</w:t>
      </w:r>
      <w:r w:rsidR="00A64C3D">
        <w:t>’</w:t>
      </w:r>
      <w:r w:rsidR="00653A6E">
        <w:t>s education was unstated or unknown for 50</w:t>
      </w:r>
      <w:r w:rsidR="00E32387">
        <w:t> per cent</w:t>
      </w:r>
      <w:r w:rsidR="00653A6E">
        <w:t xml:space="preserve"> of Indigenous students and 20</w:t>
      </w:r>
      <w:r w:rsidR="00E32387">
        <w:t> per cent</w:t>
      </w:r>
      <w:r w:rsidR="00653A6E">
        <w:t xml:space="preserve"> of non</w:t>
      </w:r>
      <w:r w:rsidR="003C48BA">
        <w:noBreakHyphen/>
      </w:r>
      <w:r w:rsidR="00653A6E">
        <w:t>Indigenous students.</w:t>
      </w:r>
    </w:p>
    <w:p w14:paraId="4D4AF547" w14:textId="0C70A0AD" w:rsidR="00D1413F" w:rsidRDefault="00D1413F" w:rsidP="00312CD2">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D1413F" w14:paraId="131B75D9" w14:textId="77777777" w:rsidTr="00312CD2">
        <w:tc>
          <w:tcPr>
            <w:tcW w:w="8771" w:type="dxa"/>
            <w:tcBorders>
              <w:top w:val="single" w:sz="6" w:space="0" w:color="78A22F"/>
              <w:left w:val="nil"/>
              <w:bottom w:val="nil"/>
              <w:right w:val="nil"/>
            </w:tcBorders>
            <w:shd w:val="clear" w:color="auto" w:fill="auto"/>
          </w:tcPr>
          <w:p w14:paraId="4FB07531" w14:textId="3B2251ED" w:rsidR="00D1413F" w:rsidRDefault="00D1413F" w:rsidP="00312CD2">
            <w:pPr>
              <w:pStyle w:val="FigureTitle"/>
            </w:pPr>
            <w:r w:rsidRPr="00784A05">
              <w:rPr>
                <w:b w:val="0"/>
              </w:rPr>
              <w:t xml:space="preserve">Figure </w:t>
            </w:r>
            <w:r w:rsidR="00A85BAB">
              <w:rPr>
                <w:b w:val="0"/>
                <w:noProof/>
              </w:rPr>
              <w:t>5</w:t>
            </w:r>
            <w:r>
              <w:tab/>
            </w:r>
            <w:r w:rsidR="00F27AF9">
              <w:t>Parental education</w:t>
            </w:r>
            <w:r w:rsidR="00C859D2" w:rsidRPr="00C859D2">
              <w:rPr>
                <w:rStyle w:val="NoteLabel"/>
                <w:b/>
              </w:rPr>
              <w:t>a</w:t>
            </w:r>
          </w:p>
          <w:p w14:paraId="3F8CAED2" w14:textId="24D75882" w:rsidR="00D1413F" w:rsidRPr="00176D3F" w:rsidRDefault="009731FE" w:rsidP="00A00D0D">
            <w:pPr>
              <w:pStyle w:val="Subtitle"/>
            </w:pPr>
            <w:r>
              <w:t>Proportion of Indigenous and non</w:t>
            </w:r>
            <w:r w:rsidR="003C48BA">
              <w:noBreakHyphen/>
            </w:r>
            <w:r>
              <w:t xml:space="preserve">Indigenous students by </w:t>
            </w:r>
            <w:r w:rsidR="00A00D0D">
              <w:t>parent’s high school completion rate and highest level of education attained</w:t>
            </w:r>
            <w:r>
              <w:t xml:space="preserve"> (Year 5, 2014)</w:t>
            </w:r>
            <w:r w:rsidR="00F27AF9">
              <w:rPr>
                <w:rStyle w:val="NoteLabel"/>
              </w:rPr>
              <w:t>a</w:t>
            </w:r>
          </w:p>
        </w:tc>
      </w:tr>
      <w:tr w:rsidR="00D1413F" w14:paraId="28E6729B" w14:textId="77777777" w:rsidTr="00312CD2">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D1413F" w14:paraId="4474DE76" w14:textId="77777777" w:rsidTr="00312CD2">
              <w:trPr>
                <w:jc w:val="center"/>
              </w:trPr>
              <w:tc>
                <w:tcPr>
                  <w:tcW w:w="5000" w:type="pct"/>
                  <w:tcBorders>
                    <w:top w:val="nil"/>
                    <w:bottom w:val="nil"/>
                  </w:tcBorders>
                </w:tcPr>
                <w:p w14:paraId="1F84CB38" w14:textId="322BCD80" w:rsidR="00290437" w:rsidRDefault="00373B7E" w:rsidP="00290437">
                  <w:pPr>
                    <w:pStyle w:val="Figure"/>
                    <w:spacing w:before="60" w:after="60"/>
                  </w:pPr>
                  <w:r>
                    <w:rPr>
                      <w:noProof/>
                    </w:rPr>
                    <mc:AlternateContent>
                      <mc:Choice Requires="wps">
                        <w:drawing>
                          <wp:anchor distT="0" distB="0" distL="114300" distR="114300" simplePos="0" relativeHeight="251661312" behindDoc="0" locked="0" layoutInCell="1" allowOverlap="1" wp14:anchorId="229FDE6B" wp14:editId="563DF01D">
                            <wp:simplePos x="0" y="0"/>
                            <wp:positionH relativeFrom="column">
                              <wp:posOffset>3225165</wp:posOffset>
                            </wp:positionH>
                            <wp:positionV relativeFrom="paragraph">
                              <wp:posOffset>3106156</wp:posOffset>
                            </wp:positionV>
                            <wp:extent cx="866775" cy="10477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866775" cy="104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2BE2C2" w14:textId="4CB072A0" w:rsidR="00057B1E" w:rsidRPr="002D1E8C" w:rsidRDefault="00057B1E" w:rsidP="002D1E8C">
                                        <w:pPr>
                                          <w:jc w:val="center"/>
                                          <w:rPr>
                                            <w:rFonts w:asciiTheme="minorHAnsi" w:hAnsiTheme="minorHAnsi" w:cstheme="minorHAnsi"/>
                                            <w:color w:val="FFFFFF" w:themeColor="background1"/>
                                            <w:sz w:val="14"/>
                                            <w:szCs w:val="14"/>
                                          </w:rPr>
                                        </w:pPr>
                                        <w:r>
                                          <w:rPr>
                                            <w:rFonts w:asciiTheme="minorHAnsi" w:hAnsiTheme="minorHAnsi" w:cstheme="minorHAnsi"/>
                                            <w:color w:val="FFFFFF" w:themeColor="background1"/>
                                            <w:sz w:val="14"/>
                                            <w:szCs w:val="14"/>
                                          </w:rPr>
                                          <w:t>Diploma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53.95pt;margin-top:244.6pt;width:68.25pt;height:8.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" filled="f" stroked="f" strokeweight=".5pt">
                            <v:textbox inset="0,0,0,0">
                              <w:txbxContent>
                                <w:p w14:paraId="022BE2C2" w14:textId="4CB072A0" w:rsidR="00057B1E" w:rsidRPr="002D1E8C" w:rsidRDefault="00057B1E" w:rsidP="002D1E8C">
                                  <w:pPr>
                                    <w:jc w:val="center"/>
                                    <w:rPr>
                                      <w:rFonts w:asciiTheme="minorHAnsi" w:hAnsiTheme="minorHAnsi" w:cstheme="minorHAnsi"/>
                                      <w:color w:val="FFFFFF" w:themeColor="background1"/>
                                      <w:sz w:val="14"/>
                                      <w:szCs w:val="14"/>
                                    </w:rPr>
                                  </w:pPr>
                                  <w:r>
                                    <w:rPr>
                                      <w:rFonts w:asciiTheme="minorHAnsi" w:hAnsiTheme="minorHAnsi" w:cstheme="minorHAnsi"/>
                                      <w:color w:val="FFFFFF" w:themeColor="background1"/>
                                      <w:sz w:val="14"/>
                                      <w:szCs w:val="14"/>
                                    </w:rPr>
                                    <w:t>Diploma</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5A4ED10" wp14:editId="7F638527">
                            <wp:simplePos x="0" y="0"/>
                            <wp:positionH relativeFrom="column">
                              <wp:posOffset>3226435</wp:posOffset>
                            </wp:positionH>
                            <wp:positionV relativeFrom="paragraph">
                              <wp:posOffset>2973441</wp:posOffset>
                            </wp:positionV>
                            <wp:extent cx="866775" cy="10477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866775" cy="104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845D0F" w14:textId="7D38D06E" w:rsidR="00057B1E" w:rsidRPr="002D1E8C" w:rsidRDefault="00057B1E" w:rsidP="002D1E8C">
                                        <w:pPr>
                                          <w:jc w:val="center"/>
                                          <w:rPr>
                                            <w:rFonts w:asciiTheme="minorHAnsi" w:hAnsiTheme="minorHAnsi" w:cstheme="minorHAnsi"/>
                                            <w:color w:val="FFFFFF" w:themeColor="background1"/>
                                            <w:sz w:val="14"/>
                                            <w:szCs w:val="14"/>
                                          </w:rPr>
                                        </w:pPr>
                                        <w:r w:rsidRPr="002D1E8C">
                                          <w:rPr>
                                            <w:rFonts w:asciiTheme="minorHAnsi" w:hAnsiTheme="minorHAnsi" w:cstheme="minorHAnsi"/>
                                            <w:color w:val="FFFFFF" w:themeColor="background1"/>
                                            <w:sz w:val="14"/>
                                            <w:szCs w:val="14"/>
                                          </w:rPr>
                                          <w:t>Degree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6" o:spid="_x0000_s1027" type="#_x0000_t202" style="position:absolute;left:0;text-align:left;margin-left:254.05pt;margin-top:234.15pt;width:68.25pt;height:8.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" filled="f" stroked="f" strokeweight=".5pt">
                            <v:textbox inset="0,0,0,0">
                              <w:txbxContent>
                                <w:p w14:paraId="3D845D0F" w14:textId="7D38D06E" w:rsidR="00057B1E" w:rsidRPr="002D1E8C" w:rsidRDefault="00057B1E" w:rsidP="002D1E8C">
                                  <w:pPr>
                                    <w:jc w:val="center"/>
                                    <w:rPr>
                                      <w:rFonts w:asciiTheme="minorHAnsi" w:hAnsiTheme="minorHAnsi" w:cstheme="minorHAnsi"/>
                                      <w:color w:val="FFFFFF" w:themeColor="background1"/>
                                      <w:sz w:val="14"/>
                                      <w:szCs w:val="14"/>
                                    </w:rPr>
                                  </w:pPr>
                                  <w:r w:rsidRPr="002D1E8C">
                                    <w:rPr>
                                      <w:rFonts w:asciiTheme="minorHAnsi" w:hAnsiTheme="minorHAnsi" w:cstheme="minorHAnsi"/>
                                      <w:color w:val="FFFFFF" w:themeColor="background1"/>
                                      <w:sz w:val="14"/>
                                      <w:szCs w:val="14"/>
                                    </w:rPr>
                                    <w:t>Degree</w:t>
                                  </w:r>
                                </w:p>
                              </w:txbxContent>
                            </v:textbox>
                          </v:shape>
                        </w:pict>
                      </mc:Fallback>
                    </mc:AlternateContent>
                  </w:r>
                  <w:r w:rsidR="007077EB">
                    <w:rPr>
                      <w:noProof/>
                    </w:rPr>
                    <mc:AlternateContent>
                      <mc:Choice Requires="wps">
                        <w:drawing>
                          <wp:anchor distT="0" distB="0" distL="114300" distR="114300" simplePos="0" relativeHeight="251663360" behindDoc="0" locked="0" layoutInCell="1" allowOverlap="1" wp14:anchorId="389643CF" wp14:editId="60FCCA5B">
                            <wp:simplePos x="0" y="0"/>
                            <wp:positionH relativeFrom="column">
                              <wp:posOffset>4369435</wp:posOffset>
                            </wp:positionH>
                            <wp:positionV relativeFrom="paragraph">
                              <wp:posOffset>5058410</wp:posOffset>
                            </wp:positionV>
                            <wp:extent cx="866775" cy="10477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866775" cy="104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949A88" w14:textId="4D0A44D9" w:rsidR="00057B1E" w:rsidRPr="002D1E8C" w:rsidRDefault="00057B1E" w:rsidP="002D1E8C">
                                        <w:pPr>
                                          <w:jc w:val="center"/>
                                          <w:rPr>
                                            <w:rFonts w:asciiTheme="minorHAnsi" w:hAnsiTheme="minorHAnsi" w:cstheme="minorHAnsi"/>
                                            <w:color w:val="FFFFFF" w:themeColor="background1"/>
                                            <w:sz w:val="14"/>
                                            <w:szCs w:val="14"/>
                                          </w:rPr>
                                        </w:pPr>
                                        <w:r>
                                          <w:rPr>
                                            <w:rFonts w:asciiTheme="minorHAnsi" w:hAnsiTheme="minorHAnsi" w:cstheme="minorHAnsi"/>
                                            <w:color w:val="FFFFFF" w:themeColor="background1"/>
                                            <w:sz w:val="14"/>
                                            <w:szCs w:val="14"/>
                                          </w:rPr>
                                          <w:t>Year 9 or below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8" type="#_x0000_t202" style="position:absolute;left:0;text-align:left;margin-left:344.05pt;margin-top:398.3pt;width:68.25pt;height:8.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" filled="f" stroked="f" strokeweight=".5pt">
                            <v:textbox inset="0,0,0,0">
                              <w:txbxContent>
                                <w:p w14:paraId="1E949A88" w14:textId="4D0A44D9" w:rsidR="00057B1E" w:rsidRPr="002D1E8C" w:rsidRDefault="00057B1E" w:rsidP="002D1E8C">
                                  <w:pPr>
                                    <w:jc w:val="center"/>
                                    <w:rPr>
                                      <w:rFonts w:asciiTheme="minorHAnsi" w:hAnsiTheme="minorHAnsi" w:cstheme="minorHAnsi"/>
                                      <w:color w:val="FFFFFF" w:themeColor="background1"/>
                                      <w:sz w:val="14"/>
                                      <w:szCs w:val="14"/>
                                    </w:rPr>
                                  </w:pPr>
                                  <w:r>
                                    <w:rPr>
                                      <w:rFonts w:asciiTheme="minorHAnsi" w:hAnsiTheme="minorHAnsi" w:cstheme="minorHAnsi"/>
                                      <w:color w:val="FFFFFF" w:themeColor="background1"/>
                                      <w:sz w:val="14"/>
                                      <w:szCs w:val="14"/>
                                    </w:rPr>
                                    <w:t>Year 9 or below</w:t>
                                  </w:r>
                                </w:p>
                              </w:txbxContent>
                            </v:textbox>
                          </v:shape>
                        </w:pict>
                      </mc:Fallback>
                    </mc:AlternateContent>
                  </w:r>
                  <w:r w:rsidR="00290437">
                    <w:rPr>
                      <w:noProof/>
                    </w:rPr>
                    <w:drawing>
                      <wp:inline distT="0" distB="0" distL="0" distR="0" wp14:anchorId="77025B64" wp14:editId="4957B236">
                        <wp:extent cx="5401310" cy="5401310"/>
                        <wp:effectExtent l="0" t="0" r="8890" b="8890"/>
                        <wp:docPr id="22" name="Picture 22" descr="This figure show the high school completions rates and highest level of education achieved of the mothers and fathers of Indigneous and non-Indigenous students in year 5 in 2014.&#10;&#10;Around 40% of Indigneous students have a father/mother who did not complete high school. For non-Indigenous students the equivalent figure is below 20%.&#10;&#10;Indigenous students also have a much lower proportion of mothers/fathers with a university de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1310" cy="5401310"/>
                                </a:xfrm>
                                <a:prstGeom prst="rect">
                                  <a:avLst/>
                                </a:prstGeom>
                                <a:noFill/>
                              </pic:spPr>
                            </pic:pic>
                          </a:graphicData>
                        </a:graphic>
                      </wp:inline>
                    </w:drawing>
                  </w:r>
                </w:p>
              </w:tc>
            </w:tr>
          </w:tbl>
          <w:p w14:paraId="52873AC5" w14:textId="77777777" w:rsidR="00D1413F" w:rsidRDefault="00D1413F" w:rsidP="00312CD2">
            <w:pPr>
              <w:pStyle w:val="Figure"/>
            </w:pPr>
          </w:p>
        </w:tc>
      </w:tr>
      <w:tr w:rsidR="00F27AF9" w:rsidRPr="00176D3F" w14:paraId="5EB4B20A" w14:textId="77777777" w:rsidTr="00312CD2">
        <w:tc>
          <w:tcPr>
            <w:tcW w:w="8771" w:type="dxa"/>
            <w:tcBorders>
              <w:top w:val="nil"/>
              <w:left w:val="nil"/>
              <w:bottom w:val="nil"/>
              <w:right w:val="nil"/>
            </w:tcBorders>
            <w:shd w:val="clear" w:color="auto" w:fill="auto"/>
          </w:tcPr>
          <w:p w14:paraId="30343A7E" w14:textId="1CAB52EB" w:rsidR="00F27AF9" w:rsidRDefault="00F27AF9" w:rsidP="00365F23">
            <w:pPr>
              <w:pStyle w:val="Source"/>
              <w:rPr>
                <w:i/>
              </w:rPr>
            </w:pPr>
            <w:proofErr w:type="spellStart"/>
            <w:r>
              <w:rPr>
                <w:rStyle w:val="NoteLabel"/>
              </w:rPr>
              <w:t>a</w:t>
            </w:r>
            <w:proofErr w:type="spellEnd"/>
            <w:r>
              <w:t xml:space="preserve"> </w:t>
            </w:r>
            <w:r w:rsidR="00DD041A">
              <w:t xml:space="preserve">Figures </w:t>
            </w:r>
            <w:r w:rsidR="00365F23">
              <w:t xml:space="preserve">relating to </w:t>
            </w:r>
            <w:r w:rsidR="00DD041A">
              <w:t>mothers e</w:t>
            </w:r>
            <w:r>
              <w:t xml:space="preserve">xclude </w:t>
            </w:r>
            <w:r w:rsidR="00653A6E">
              <w:t>3334</w:t>
            </w:r>
            <w:r>
              <w:t xml:space="preserve"> Indigenous students (23</w:t>
            </w:r>
            <w:r w:rsidR="00E32387">
              <w:t> per cent</w:t>
            </w:r>
            <w:r>
              <w:t xml:space="preserve">) and </w:t>
            </w:r>
            <w:r w:rsidR="00653A6E">
              <w:t>23 650</w:t>
            </w:r>
            <w:r>
              <w:t xml:space="preserve"> non</w:t>
            </w:r>
            <w:r w:rsidR="003C48BA">
              <w:noBreakHyphen/>
            </w:r>
            <w:r>
              <w:t>Indigenous students (9</w:t>
            </w:r>
            <w:r w:rsidR="00E32387">
              <w:t> per cent</w:t>
            </w:r>
            <w:r>
              <w:t xml:space="preserve">) </w:t>
            </w:r>
            <w:r w:rsidR="00365F23">
              <w:t>for whom information on</w:t>
            </w:r>
            <w:r>
              <w:t xml:space="preserve"> mother’s education</w:t>
            </w:r>
            <w:r w:rsidR="00365F23">
              <w:t xml:space="preserve"> is unavailable</w:t>
            </w:r>
            <w:r>
              <w:t>.</w:t>
            </w:r>
            <w:r w:rsidR="00DD041A">
              <w:t xml:space="preserve"> Figures </w:t>
            </w:r>
            <w:r w:rsidR="00365F23">
              <w:t>relating to</w:t>
            </w:r>
            <w:r w:rsidR="00DD041A">
              <w:t xml:space="preserve"> fathers exclude </w:t>
            </w:r>
            <w:r w:rsidR="00653A6E">
              <w:t>7328</w:t>
            </w:r>
            <w:r w:rsidR="00DD041A">
              <w:t xml:space="preserve"> Indigenous students (</w:t>
            </w:r>
            <w:r w:rsidR="00653A6E">
              <w:t>50</w:t>
            </w:r>
            <w:r w:rsidR="00E32387">
              <w:t> per cent</w:t>
            </w:r>
            <w:r w:rsidR="00DD041A">
              <w:t xml:space="preserve">) and </w:t>
            </w:r>
            <w:r w:rsidR="00653A6E">
              <w:t>52 604</w:t>
            </w:r>
            <w:r w:rsidR="00DD041A">
              <w:t xml:space="preserve"> non</w:t>
            </w:r>
            <w:r w:rsidR="003C48BA">
              <w:noBreakHyphen/>
            </w:r>
            <w:r w:rsidR="00DD041A">
              <w:t>Indigenous students (</w:t>
            </w:r>
            <w:r w:rsidR="00653A6E">
              <w:t>20</w:t>
            </w:r>
            <w:r w:rsidR="00E32387">
              <w:t> per cent</w:t>
            </w:r>
            <w:r w:rsidR="00DD041A">
              <w:t xml:space="preserve">) </w:t>
            </w:r>
            <w:r w:rsidR="00365F23">
              <w:t xml:space="preserve">for </w:t>
            </w:r>
            <w:r w:rsidR="00DD041A">
              <w:t>who</w:t>
            </w:r>
            <w:r w:rsidR="00365F23">
              <w:t>m</w:t>
            </w:r>
            <w:r w:rsidR="00DD041A">
              <w:t xml:space="preserve"> </w:t>
            </w:r>
            <w:r w:rsidR="00365F23">
              <w:t>information on</w:t>
            </w:r>
            <w:r w:rsidR="00DD041A">
              <w:t xml:space="preserve"> father’s education</w:t>
            </w:r>
            <w:r w:rsidR="00365F23">
              <w:t xml:space="preserve"> is unavailable</w:t>
            </w:r>
            <w:r w:rsidR="00DD041A">
              <w:t>.</w:t>
            </w:r>
          </w:p>
        </w:tc>
      </w:tr>
      <w:tr w:rsidR="00D1413F" w:rsidRPr="00176D3F" w14:paraId="47253282" w14:textId="77777777" w:rsidTr="00312CD2">
        <w:tc>
          <w:tcPr>
            <w:tcW w:w="8771" w:type="dxa"/>
            <w:tcBorders>
              <w:top w:val="nil"/>
              <w:left w:val="nil"/>
              <w:bottom w:val="nil"/>
              <w:right w:val="nil"/>
            </w:tcBorders>
            <w:shd w:val="clear" w:color="auto" w:fill="auto"/>
          </w:tcPr>
          <w:p w14:paraId="38C3B5E0" w14:textId="5EBBB770" w:rsidR="00D1413F" w:rsidRPr="00176D3F" w:rsidRDefault="001C6C2D" w:rsidP="00312CD2">
            <w:pPr>
              <w:pStyle w:val="Source"/>
            </w:pPr>
            <w:r>
              <w:rPr>
                <w:i/>
              </w:rPr>
              <w:t>S</w:t>
            </w:r>
            <w:r w:rsidRPr="00784A05">
              <w:rPr>
                <w:i/>
              </w:rPr>
              <w:t>ource</w:t>
            </w:r>
            <w:r w:rsidRPr="00176D3F">
              <w:t xml:space="preserve">: </w:t>
            </w:r>
            <w:r>
              <w:t>Commission estimates based on ACARA data (unpublished).</w:t>
            </w:r>
          </w:p>
        </w:tc>
      </w:tr>
      <w:tr w:rsidR="00D1413F" w14:paraId="62CC9DDF" w14:textId="77777777" w:rsidTr="00312CD2">
        <w:tc>
          <w:tcPr>
            <w:tcW w:w="8771" w:type="dxa"/>
            <w:tcBorders>
              <w:top w:val="nil"/>
              <w:left w:val="nil"/>
              <w:bottom w:val="single" w:sz="6" w:space="0" w:color="78A22F"/>
              <w:right w:val="nil"/>
            </w:tcBorders>
            <w:shd w:val="clear" w:color="auto" w:fill="auto"/>
          </w:tcPr>
          <w:p w14:paraId="790F80C9" w14:textId="77777777" w:rsidR="00D1413F" w:rsidRDefault="00D1413F" w:rsidP="00312CD2">
            <w:pPr>
              <w:pStyle w:val="Figurespace"/>
            </w:pPr>
          </w:p>
        </w:tc>
      </w:tr>
      <w:tr w:rsidR="00D1413F" w:rsidRPr="000863A5" w14:paraId="21A11378" w14:textId="77777777" w:rsidTr="00312CD2">
        <w:tc>
          <w:tcPr>
            <w:tcW w:w="8771" w:type="dxa"/>
            <w:tcBorders>
              <w:top w:val="single" w:sz="6" w:space="0" w:color="78A22F"/>
              <w:left w:val="nil"/>
              <w:bottom w:val="nil"/>
              <w:right w:val="nil"/>
            </w:tcBorders>
          </w:tcPr>
          <w:p w14:paraId="5ED161C8" w14:textId="09799E58" w:rsidR="00D1413F" w:rsidRPr="00626D32" w:rsidRDefault="00D1413F" w:rsidP="00312CD2">
            <w:pPr>
              <w:pStyle w:val="BoxSpaceBelow"/>
            </w:pPr>
          </w:p>
        </w:tc>
      </w:tr>
    </w:tbl>
    <w:p w14:paraId="49486C26" w14:textId="4760EF25" w:rsidR="008D53D5" w:rsidRPr="00B52895" w:rsidRDefault="008D53D5" w:rsidP="008D53D5">
      <w:pPr>
        <w:pStyle w:val="BodyText"/>
      </w:pPr>
      <w:r w:rsidRPr="0013295B">
        <w:t xml:space="preserve">The Commission’s econometric analysis in background paper 2 suggests that students whose mother’s formal education is unstated achieved similar </w:t>
      </w:r>
      <w:proofErr w:type="spellStart"/>
      <w:r w:rsidRPr="0013295B">
        <w:t>NAPLAN</w:t>
      </w:r>
      <w:proofErr w:type="spellEnd"/>
      <w:r w:rsidRPr="0013295B">
        <w:t xml:space="preserve"> results, holding all else constant, to students with mothers who had a level of formal education of ‘Year 9 or below’. Consequently, the numbers presented here may actually understate the difference in formal education levels between the </w:t>
      </w:r>
      <w:r>
        <w:t>parent</w:t>
      </w:r>
      <w:r w:rsidRPr="0013295B">
        <w:t>s of Indigenous students and those of non</w:t>
      </w:r>
      <w:r w:rsidR="003C48BA">
        <w:noBreakHyphen/>
      </w:r>
      <w:r w:rsidRPr="0013295B">
        <w:t>Indigenous students.</w:t>
      </w:r>
    </w:p>
    <w:p w14:paraId="65A4CC8E" w14:textId="526ACAEF" w:rsidR="00E97547" w:rsidRDefault="00C9275F" w:rsidP="0052062F">
      <w:pPr>
        <w:pStyle w:val="ListBullet"/>
        <w:numPr>
          <w:ilvl w:val="0"/>
          <w:numId w:val="0"/>
        </w:numPr>
      </w:pPr>
      <w:r w:rsidRPr="00A0168E">
        <w:lastRenderedPageBreak/>
        <w:t>Low levels of formal education among the parents of Indigenous students are more common in remote areas and less common in metropolitan areas.</w:t>
      </w:r>
      <w:r w:rsidR="000C76EA" w:rsidRPr="00A0168E">
        <w:t xml:space="preserve"> </w:t>
      </w:r>
      <w:r w:rsidR="00350846" w:rsidRPr="00A0168E">
        <w:t xml:space="preserve">For example, </w:t>
      </w:r>
      <w:r w:rsidR="00515A41">
        <w:t xml:space="preserve">excluding students </w:t>
      </w:r>
      <w:r w:rsidR="008D53D5">
        <w:t>for whom</w:t>
      </w:r>
      <w:r w:rsidR="00515A41">
        <w:t xml:space="preserve"> mother’s education background</w:t>
      </w:r>
      <w:r w:rsidR="008D53D5">
        <w:t xml:space="preserve"> was unstated or unknown</w:t>
      </w:r>
      <w:r w:rsidR="00515A41">
        <w:t xml:space="preserve">, </w:t>
      </w:r>
      <w:r w:rsidR="00350846" w:rsidRPr="008D53D5">
        <w:t xml:space="preserve">the proportion of </w:t>
      </w:r>
      <w:r w:rsidR="003E41B1" w:rsidRPr="008D53D5">
        <w:t xml:space="preserve">Indigenous </w:t>
      </w:r>
      <w:r w:rsidR="00350846" w:rsidRPr="008D53D5">
        <w:t xml:space="preserve">students with mothers who </w:t>
      </w:r>
      <w:r w:rsidR="00D74C33" w:rsidRPr="008D53D5">
        <w:t xml:space="preserve">did not </w:t>
      </w:r>
      <w:r w:rsidR="00350846" w:rsidRPr="008D53D5">
        <w:t xml:space="preserve">complete secondary school is </w:t>
      </w:r>
      <w:r w:rsidR="00051AEA" w:rsidRPr="008D53D5">
        <w:t>39</w:t>
      </w:r>
      <w:r w:rsidR="00E32387">
        <w:t> per cent</w:t>
      </w:r>
      <w:r w:rsidRPr="008D53D5">
        <w:t xml:space="preserve"> in metropolitan areas</w:t>
      </w:r>
      <w:r w:rsidR="003C673C" w:rsidRPr="008D53D5">
        <w:t xml:space="preserve">, but </w:t>
      </w:r>
      <w:r w:rsidR="00051AEA" w:rsidRPr="008D53D5">
        <w:t>66</w:t>
      </w:r>
      <w:r w:rsidR="00E32387">
        <w:t> per cent</w:t>
      </w:r>
      <w:r w:rsidR="003C673C" w:rsidRPr="008D53D5">
        <w:t xml:space="preserve"> in very remote areas</w:t>
      </w:r>
      <w:r w:rsidRPr="008D53D5">
        <w:t>.</w:t>
      </w:r>
      <w:r w:rsidR="008D53D5">
        <w:t xml:space="preserve"> Again, however, this may understate the disparity as the proportion of Indigenous students for whom mother’s education was unstated or unknown </w:t>
      </w:r>
      <w:r w:rsidR="00EE60D4">
        <w:t>i</w:t>
      </w:r>
      <w:r w:rsidR="00365F23">
        <w:t>ncreases</w:t>
      </w:r>
      <w:r w:rsidR="00EE60D4">
        <w:t xml:space="preserve"> with remoteness (</w:t>
      </w:r>
      <w:r w:rsidR="002C161D">
        <w:t>33</w:t>
      </w:r>
      <w:r w:rsidR="00E32387">
        <w:t> per cent</w:t>
      </w:r>
      <w:r w:rsidR="00EE60D4">
        <w:t xml:space="preserve"> in </w:t>
      </w:r>
      <w:r w:rsidR="002C161D">
        <w:t>metropolitan</w:t>
      </w:r>
      <w:r w:rsidR="00EE60D4">
        <w:t xml:space="preserve"> areas compared </w:t>
      </w:r>
      <w:r w:rsidR="008B406F">
        <w:t>with</w:t>
      </w:r>
      <w:r w:rsidR="00EE60D4">
        <w:t xml:space="preserve"> </w:t>
      </w:r>
      <w:r w:rsidR="002C161D">
        <w:t>58</w:t>
      </w:r>
      <w:r w:rsidR="00E32387">
        <w:t> per cent</w:t>
      </w:r>
      <w:r w:rsidR="00EE60D4">
        <w:t xml:space="preserve"> in </w:t>
      </w:r>
      <w:r w:rsidR="002C161D">
        <w:t>very remote</w:t>
      </w:r>
      <w:r w:rsidR="00EE60D4">
        <w:t xml:space="preserve"> areas).</w:t>
      </w:r>
    </w:p>
    <w:p w14:paraId="7F073C44" w14:textId="6B7232D2" w:rsidR="00C9275F" w:rsidRDefault="00C9275F" w:rsidP="00312CD2">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C9275F" w14:paraId="497AB753" w14:textId="77777777" w:rsidTr="00312CD2">
        <w:tc>
          <w:tcPr>
            <w:tcW w:w="8771" w:type="dxa"/>
            <w:tcBorders>
              <w:top w:val="single" w:sz="6" w:space="0" w:color="78A22F"/>
              <w:left w:val="nil"/>
              <w:bottom w:val="nil"/>
              <w:right w:val="nil"/>
            </w:tcBorders>
            <w:shd w:val="clear" w:color="auto" w:fill="auto"/>
          </w:tcPr>
          <w:p w14:paraId="539FFB55" w14:textId="1449F530" w:rsidR="00C9275F" w:rsidRDefault="00C9275F" w:rsidP="00312CD2">
            <w:pPr>
              <w:pStyle w:val="FigureTitle"/>
            </w:pPr>
            <w:r w:rsidRPr="00784A05">
              <w:rPr>
                <w:b w:val="0"/>
              </w:rPr>
              <w:t xml:space="preserve">Figure </w:t>
            </w:r>
            <w:r w:rsidR="00A85BAB">
              <w:rPr>
                <w:b w:val="0"/>
                <w:noProof/>
              </w:rPr>
              <w:t>6</w:t>
            </w:r>
            <w:r>
              <w:tab/>
              <w:t xml:space="preserve">Mothers </w:t>
            </w:r>
            <w:r w:rsidR="00D74C33">
              <w:t xml:space="preserve">who </w:t>
            </w:r>
            <w:r w:rsidR="00F14D2A">
              <w:t xml:space="preserve">did not </w:t>
            </w:r>
            <w:r w:rsidR="00D74C33">
              <w:t>complete secondary school</w:t>
            </w:r>
            <w:r w:rsidR="00F27AF9" w:rsidRPr="00F27AF9">
              <w:rPr>
                <w:rStyle w:val="NoteLabel"/>
                <w:b/>
              </w:rPr>
              <w:t>a</w:t>
            </w:r>
          </w:p>
          <w:p w14:paraId="3B79C4AB" w14:textId="0BAC892D" w:rsidR="00C9275F" w:rsidRPr="00176D3F" w:rsidRDefault="00C9275F" w:rsidP="00450B26">
            <w:pPr>
              <w:pStyle w:val="Subtitle"/>
            </w:pPr>
            <w:r>
              <w:t>Proportion of Indigenous and non</w:t>
            </w:r>
            <w:r w:rsidR="003C48BA">
              <w:noBreakHyphen/>
            </w:r>
            <w:r>
              <w:t>Indigenous students, by remoteness (</w:t>
            </w:r>
            <w:r w:rsidR="00537C28">
              <w:t>Year </w:t>
            </w:r>
            <w:r>
              <w:t>5</w:t>
            </w:r>
            <w:r w:rsidR="00537C28">
              <w:t>, </w:t>
            </w:r>
            <w:r>
              <w:t>2014)</w:t>
            </w:r>
          </w:p>
        </w:tc>
      </w:tr>
      <w:tr w:rsidR="00C9275F" w14:paraId="7FC377A8" w14:textId="77777777" w:rsidTr="00312CD2">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C9275F" w14:paraId="0A81755C" w14:textId="77777777" w:rsidTr="00312CD2">
              <w:trPr>
                <w:jc w:val="center"/>
              </w:trPr>
              <w:tc>
                <w:tcPr>
                  <w:tcW w:w="5000" w:type="pct"/>
                  <w:tcBorders>
                    <w:top w:val="nil"/>
                    <w:bottom w:val="nil"/>
                  </w:tcBorders>
                </w:tcPr>
                <w:p w14:paraId="03D7D7E1" w14:textId="412AB80D" w:rsidR="00C9275F" w:rsidRDefault="00337857" w:rsidP="00312CD2">
                  <w:pPr>
                    <w:pStyle w:val="Figure"/>
                    <w:spacing w:before="60" w:after="60"/>
                  </w:pPr>
                  <w:r>
                    <w:rPr>
                      <w:noProof/>
                    </w:rPr>
                    <w:drawing>
                      <wp:inline distT="0" distB="0" distL="0" distR="0" wp14:anchorId="1EE3A982" wp14:editId="41261C38">
                        <wp:extent cx="5400000" cy="2632134"/>
                        <wp:effectExtent l="0" t="0" r="0" b="0"/>
                        <wp:docPr id="28" name="Picture 28" descr="This figure show the percentage of Indigenous and non-Indigenous students who have mothers who did not complete secondary school by remoteness category.&#10;&#10;The percentage rises steeply with remoteness for Indigenous students. In very remote areas, over 60% of Indigenous students have mothers who did not complete secondary school.&#10;&#10;For non-Indigenous studnets, the figure does not change a great deal by remoteness. In very remote areas, around 20% of non-Indigenous students have a mother who did not complete secondary school." title="Mothers who did not complete second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6.emf"/>
                                <pic:cNvPicPr/>
                              </pic:nvPicPr>
                              <pic:blipFill>
                                <a:blip r:embed="rId22">
                                  <a:extLst>
                                    <a:ext uri="{28A0092B-C50C-407E-A947-70E740481C1C}">
                                      <a14:useLocalDpi xmlns:a14="http://schemas.microsoft.com/office/drawing/2010/main" val="0"/>
                                    </a:ext>
                                  </a:extLst>
                                </a:blip>
                                <a:stretch>
                                  <a:fillRect/>
                                </a:stretch>
                              </pic:blipFill>
                              <pic:spPr>
                                <a:xfrm>
                                  <a:off x="0" y="0"/>
                                  <a:ext cx="5400000" cy="2632134"/>
                                </a:xfrm>
                                <a:prstGeom prst="rect">
                                  <a:avLst/>
                                </a:prstGeom>
                              </pic:spPr>
                            </pic:pic>
                          </a:graphicData>
                        </a:graphic>
                      </wp:inline>
                    </w:drawing>
                  </w:r>
                </w:p>
              </w:tc>
            </w:tr>
          </w:tbl>
          <w:p w14:paraId="237FFAC1" w14:textId="77777777" w:rsidR="00C9275F" w:rsidRDefault="00C9275F" w:rsidP="00312CD2">
            <w:pPr>
              <w:pStyle w:val="Figure"/>
            </w:pPr>
          </w:p>
        </w:tc>
      </w:tr>
      <w:tr w:rsidR="00C9275F" w:rsidRPr="00176D3F" w14:paraId="0815B8A8" w14:textId="77777777" w:rsidTr="00312CD2">
        <w:tc>
          <w:tcPr>
            <w:tcW w:w="8771" w:type="dxa"/>
            <w:tcBorders>
              <w:top w:val="nil"/>
              <w:left w:val="nil"/>
              <w:bottom w:val="nil"/>
              <w:right w:val="nil"/>
            </w:tcBorders>
            <w:shd w:val="clear" w:color="auto" w:fill="auto"/>
          </w:tcPr>
          <w:p w14:paraId="08D2550E" w14:textId="55049733" w:rsidR="00C9275F" w:rsidRPr="00176D3F" w:rsidRDefault="00C9275F" w:rsidP="00D11308">
            <w:pPr>
              <w:pStyle w:val="Note"/>
            </w:pPr>
            <w:proofErr w:type="spellStart"/>
            <w:r>
              <w:rPr>
                <w:rStyle w:val="NoteLabel"/>
              </w:rPr>
              <w:t>a</w:t>
            </w:r>
            <w:proofErr w:type="spellEnd"/>
            <w:r>
              <w:t xml:space="preserve"> </w:t>
            </w:r>
            <w:r w:rsidR="00487E2F">
              <w:t xml:space="preserve">Excludes </w:t>
            </w:r>
            <w:r w:rsidR="00D11308">
              <w:t xml:space="preserve">3370 </w:t>
            </w:r>
            <w:r w:rsidR="00487E2F">
              <w:t>Indigenous students (</w:t>
            </w:r>
            <w:r w:rsidR="00D11308">
              <w:t>23</w:t>
            </w:r>
            <w:r w:rsidR="00E32387">
              <w:t> per cent</w:t>
            </w:r>
            <w:r w:rsidR="00487E2F">
              <w:t xml:space="preserve">) and </w:t>
            </w:r>
            <w:r w:rsidR="00D11308">
              <w:t xml:space="preserve">23 807 </w:t>
            </w:r>
            <w:r w:rsidR="00487E2F">
              <w:t>non</w:t>
            </w:r>
            <w:r w:rsidR="003C48BA">
              <w:noBreakHyphen/>
            </w:r>
            <w:r w:rsidR="00487E2F">
              <w:t>Indigenous students (</w:t>
            </w:r>
            <w:r w:rsidR="00D11308">
              <w:t>9</w:t>
            </w:r>
            <w:r w:rsidR="00E32387">
              <w:t> per cent</w:t>
            </w:r>
            <w:r w:rsidR="00487E2F">
              <w:t>) who either had no defined region or did not state their mother’s education.</w:t>
            </w:r>
          </w:p>
        </w:tc>
      </w:tr>
      <w:tr w:rsidR="00C9275F" w:rsidRPr="00176D3F" w14:paraId="3F225AC1" w14:textId="77777777" w:rsidTr="00312CD2">
        <w:tc>
          <w:tcPr>
            <w:tcW w:w="8771" w:type="dxa"/>
            <w:tcBorders>
              <w:top w:val="nil"/>
              <w:left w:val="nil"/>
              <w:bottom w:val="nil"/>
              <w:right w:val="nil"/>
            </w:tcBorders>
            <w:shd w:val="clear" w:color="auto" w:fill="auto"/>
          </w:tcPr>
          <w:p w14:paraId="4459ABD8" w14:textId="7FF0763D" w:rsidR="00C9275F" w:rsidRPr="00176D3F" w:rsidRDefault="001C6C2D" w:rsidP="00312CD2">
            <w:pPr>
              <w:pStyle w:val="Source"/>
            </w:pPr>
            <w:r>
              <w:rPr>
                <w:i/>
              </w:rPr>
              <w:t>S</w:t>
            </w:r>
            <w:r w:rsidRPr="00784A05">
              <w:rPr>
                <w:i/>
              </w:rPr>
              <w:t>ource</w:t>
            </w:r>
            <w:r w:rsidRPr="00176D3F">
              <w:t xml:space="preserve">: </w:t>
            </w:r>
            <w:r>
              <w:t>Commission estimates based on ACARA data (unpublished).</w:t>
            </w:r>
          </w:p>
        </w:tc>
      </w:tr>
      <w:tr w:rsidR="00C9275F" w14:paraId="41D873DF" w14:textId="77777777" w:rsidTr="00312CD2">
        <w:tc>
          <w:tcPr>
            <w:tcW w:w="8771" w:type="dxa"/>
            <w:tcBorders>
              <w:top w:val="nil"/>
              <w:left w:val="nil"/>
              <w:bottom w:val="single" w:sz="6" w:space="0" w:color="78A22F"/>
              <w:right w:val="nil"/>
            </w:tcBorders>
            <w:shd w:val="clear" w:color="auto" w:fill="auto"/>
          </w:tcPr>
          <w:p w14:paraId="24007D6D" w14:textId="77777777" w:rsidR="00C9275F" w:rsidRDefault="00C9275F" w:rsidP="00312CD2">
            <w:pPr>
              <w:pStyle w:val="Figurespace"/>
            </w:pPr>
          </w:p>
        </w:tc>
      </w:tr>
      <w:tr w:rsidR="00C9275F" w:rsidRPr="000863A5" w14:paraId="26C5122B" w14:textId="77777777" w:rsidTr="00312CD2">
        <w:tc>
          <w:tcPr>
            <w:tcW w:w="8771" w:type="dxa"/>
            <w:tcBorders>
              <w:top w:val="single" w:sz="6" w:space="0" w:color="78A22F"/>
              <w:left w:val="nil"/>
              <w:bottom w:val="nil"/>
              <w:right w:val="nil"/>
            </w:tcBorders>
          </w:tcPr>
          <w:p w14:paraId="27E21179" w14:textId="4C0F59EE" w:rsidR="00C9275F" w:rsidRPr="00626D32" w:rsidRDefault="00C9275F" w:rsidP="00312CD2">
            <w:pPr>
              <w:pStyle w:val="BoxSpaceBelow"/>
            </w:pPr>
          </w:p>
        </w:tc>
      </w:tr>
    </w:tbl>
    <w:p w14:paraId="0420B0A2" w14:textId="5BB94AE2" w:rsidR="00A27A38" w:rsidRPr="006F1B28" w:rsidRDefault="00956449" w:rsidP="00565BE0">
      <w:pPr>
        <w:pStyle w:val="BodyText"/>
      </w:pPr>
      <w:r>
        <w:t xml:space="preserve">The parents of </w:t>
      </w:r>
      <w:r w:rsidR="00565BE0" w:rsidRPr="006F1B28">
        <w:t>Indigenous students are more likely than their non</w:t>
      </w:r>
      <w:r w:rsidR="003C48BA">
        <w:noBreakHyphen/>
      </w:r>
      <w:r w:rsidR="00565BE0" w:rsidRPr="006F1B28">
        <w:t xml:space="preserve">Indigenous counterparts to have parents </w:t>
      </w:r>
      <w:r w:rsidR="00E971A9" w:rsidRPr="006F1B28">
        <w:t xml:space="preserve">that are </w:t>
      </w:r>
      <w:r w:rsidR="00565BE0" w:rsidRPr="006F1B28">
        <w:t xml:space="preserve">not in paid </w:t>
      </w:r>
      <w:r w:rsidR="00E971A9" w:rsidRPr="006F1B28">
        <w:t>employment</w:t>
      </w:r>
      <w:r w:rsidR="00565BE0" w:rsidRPr="006F1B28">
        <w:t xml:space="preserve">. Of those in the paid workforce, most are </w:t>
      </w:r>
      <w:r w:rsidR="003A2DD8" w:rsidRPr="006F1B28">
        <w:t xml:space="preserve">employed </w:t>
      </w:r>
      <w:r w:rsidR="00565BE0" w:rsidRPr="006F1B28">
        <w:t>in less</w:t>
      </w:r>
      <w:r w:rsidR="003A2DD8" w:rsidRPr="006F1B28">
        <w:noBreakHyphen/>
      </w:r>
      <w:r w:rsidR="00565BE0" w:rsidRPr="006F1B28">
        <w:t xml:space="preserve">skilled </w:t>
      </w:r>
      <w:r w:rsidR="003A2DD8" w:rsidRPr="006F1B28">
        <w:t>occupations</w:t>
      </w:r>
      <w:r w:rsidR="00565BE0" w:rsidRPr="006F1B28">
        <w:t>.</w:t>
      </w:r>
      <w:r>
        <w:t xml:space="preserve"> Again, the high proportion of students for whom parent’s employment status is unstated or unknown is worthy of note.</w:t>
      </w:r>
      <w:r w:rsidR="0066113C">
        <w:t xml:space="preserve"> (Father’s occupation</w:t>
      </w:r>
      <w:r w:rsidR="001A4CC8">
        <w:t xml:space="preserve"> is unknown or unstated</w:t>
      </w:r>
      <w:r w:rsidR="0066113C">
        <w:t xml:space="preserve"> for 56</w:t>
      </w:r>
      <w:r w:rsidR="00E32387">
        <w:t> per cent</w:t>
      </w:r>
      <w:r w:rsidR="0066113C">
        <w:t xml:space="preserve"> of Indigenous students and 23</w:t>
      </w:r>
      <w:r w:rsidR="00E32387">
        <w:t> per cent</w:t>
      </w:r>
      <w:r w:rsidR="0066113C">
        <w:t xml:space="preserve"> of non</w:t>
      </w:r>
      <w:r w:rsidR="001A4CC8">
        <w:noBreakHyphen/>
      </w:r>
      <w:r w:rsidR="0066113C">
        <w:t xml:space="preserve">Indigenous students. </w:t>
      </w:r>
      <w:r w:rsidR="001A4CC8">
        <w:t>M</w:t>
      </w:r>
      <w:r w:rsidR="0066113C">
        <w:t>other’s occupation</w:t>
      </w:r>
      <w:r w:rsidR="001A4CC8">
        <w:t xml:space="preserve"> is unknown or unstated</w:t>
      </w:r>
      <w:r w:rsidR="0066113C">
        <w:t xml:space="preserve"> for 35</w:t>
      </w:r>
      <w:r w:rsidR="00E32387">
        <w:t> per cent</w:t>
      </w:r>
      <w:r w:rsidR="0066113C">
        <w:t xml:space="preserve"> of Indigenous students and 15</w:t>
      </w:r>
      <w:r w:rsidR="00E32387">
        <w:t> per cent</w:t>
      </w:r>
      <w:r w:rsidR="0066113C">
        <w:t xml:space="preserve"> of non</w:t>
      </w:r>
      <w:r w:rsidR="003C48BA">
        <w:noBreakHyphen/>
      </w:r>
      <w:r w:rsidR="0066113C">
        <w:t>Indigenous students.)</w:t>
      </w:r>
    </w:p>
    <w:p w14:paraId="579E7433" w14:textId="07D500FE" w:rsidR="003A44D2" w:rsidRDefault="003A44D2" w:rsidP="00312CD2">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3A44D2" w14:paraId="7843A558" w14:textId="77777777" w:rsidTr="00312CD2">
        <w:tc>
          <w:tcPr>
            <w:tcW w:w="8771" w:type="dxa"/>
            <w:tcBorders>
              <w:top w:val="single" w:sz="6" w:space="0" w:color="78A22F"/>
              <w:left w:val="nil"/>
              <w:bottom w:val="nil"/>
              <w:right w:val="nil"/>
            </w:tcBorders>
            <w:shd w:val="clear" w:color="auto" w:fill="auto"/>
          </w:tcPr>
          <w:p w14:paraId="74DCC01C" w14:textId="64730179" w:rsidR="003A44D2" w:rsidRDefault="003A44D2" w:rsidP="00312CD2">
            <w:pPr>
              <w:pStyle w:val="FigureTitle"/>
            </w:pPr>
            <w:r w:rsidRPr="00784A05">
              <w:rPr>
                <w:b w:val="0"/>
              </w:rPr>
              <w:t xml:space="preserve">Figure </w:t>
            </w:r>
            <w:r w:rsidR="00A85BAB">
              <w:rPr>
                <w:b w:val="0"/>
                <w:noProof/>
              </w:rPr>
              <w:t>7</w:t>
            </w:r>
            <w:r>
              <w:tab/>
            </w:r>
            <w:r w:rsidR="000C1ACC">
              <w:t>Parental e</w:t>
            </w:r>
            <w:r>
              <w:t>mployment status and occupation</w:t>
            </w:r>
          </w:p>
          <w:p w14:paraId="53C2EE7A" w14:textId="448E5A0D" w:rsidR="003A44D2" w:rsidRPr="00176D3F" w:rsidRDefault="003A44D2" w:rsidP="00450B26">
            <w:pPr>
              <w:pStyle w:val="Subtitle"/>
            </w:pPr>
            <w:r>
              <w:t>Proportion of Indigenous and non</w:t>
            </w:r>
            <w:r w:rsidR="003C48BA">
              <w:noBreakHyphen/>
            </w:r>
            <w:r>
              <w:t>Indigenous students (Year 5, 2014)</w:t>
            </w:r>
          </w:p>
        </w:tc>
      </w:tr>
      <w:tr w:rsidR="003A44D2" w14:paraId="01F0181E" w14:textId="77777777" w:rsidTr="00312CD2">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3A44D2" w14:paraId="4E3D16D2" w14:textId="77777777" w:rsidTr="00312CD2">
              <w:trPr>
                <w:jc w:val="center"/>
              </w:trPr>
              <w:tc>
                <w:tcPr>
                  <w:tcW w:w="5000" w:type="pct"/>
                  <w:tcBorders>
                    <w:top w:val="nil"/>
                    <w:bottom w:val="nil"/>
                  </w:tcBorders>
                </w:tcPr>
                <w:p w14:paraId="562B17CE" w14:textId="3AF2F9AE" w:rsidR="00290437" w:rsidRDefault="00290437" w:rsidP="00312CD2">
                  <w:pPr>
                    <w:pStyle w:val="Figure"/>
                    <w:spacing w:before="60" w:after="60"/>
                  </w:pPr>
                  <w:r>
                    <w:rPr>
                      <w:noProof/>
                    </w:rPr>
                    <w:drawing>
                      <wp:inline distT="0" distB="0" distL="0" distR="0" wp14:anchorId="46A5C056" wp14:editId="2FC7CC3C">
                        <wp:extent cx="5401310" cy="5401310"/>
                        <wp:effectExtent l="0" t="0" r="8890" b="8890"/>
                        <wp:docPr id="24" name="Picture 24" descr="This figure shows that Indigenous students are less likely than non-Indigenous studnets to have parents in paid work.&#10;&#10;For Indigneous students, the most common parental occupation for both mothers and fathers is machine operator. For non-Indigenous students, the most common occupation is tradesperson, clerks, sales and service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01310" cy="5401310"/>
                                </a:xfrm>
                                <a:prstGeom prst="rect">
                                  <a:avLst/>
                                </a:prstGeom>
                                <a:noFill/>
                              </pic:spPr>
                            </pic:pic>
                          </a:graphicData>
                        </a:graphic>
                      </wp:inline>
                    </w:drawing>
                  </w:r>
                </w:p>
              </w:tc>
            </w:tr>
          </w:tbl>
          <w:p w14:paraId="18A16017" w14:textId="77777777" w:rsidR="003A44D2" w:rsidRDefault="003A44D2" w:rsidP="00312CD2">
            <w:pPr>
              <w:pStyle w:val="Figure"/>
            </w:pPr>
          </w:p>
        </w:tc>
      </w:tr>
      <w:tr w:rsidR="003A44D2" w:rsidRPr="00176D3F" w14:paraId="398182ED" w14:textId="77777777" w:rsidTr="00312CD2">
        <w:tc>
          <w:tcPr>
            <w:tcW w:w="8771" w:type="dxa"/>
            <w:tcBorders>
              <w:top w:val="nil"/>
              <w:left w:val="nil"/>
              <w:bottom w:val="nil"/>
              <w:right w:val="nil"/>
            </w:tcBorders>
            <w:shd w:val="clear" w:color="auto" w:fill="auto"/>
          </w:tcPr>
          <w:p w14:paraId="53B7493D" w14:textId="067DEC80" w:rsidR="003A44D2" w:rsidRPr="00176D3F" w:rsidRDefault="001C6C2D" w:rsidP="00312CD2">
            <w:pPr>
              <w:pStyle w:val="Source"/>
            </w:pPr>
            <w:r>
              <w:rPr>
                <w:i/>
              </w:rPr>
              <w:t>S</w:t>
            </w:r>
            <w:r w:rsidRPr="00784A05">
              <w:rPr>
                <w:i/>
              </w:rPr>
              <w:t>ource</w:t>
            </w:r>
            <w:r w:rsidRPr="00176D3F">
              <w:t xml:space="preserve">: </w:t>
            </w:r>
            <w:r>
              <w:t>Commission estimates based on ACARA data (unpublished).</w:t>
            </w:r>
          </w:p>
        </w:tc>
      </w:tr>
      <w:tr w:rsidR="003A44D2" w14:paraId="68F4FDFB" w14:textId="77777777" w:rsidTr="00312CD2">
        <w:tc>
          <w:tcPr>
            <w:tcW w:w="8771" w:type="dxa"/>
            <w:tcBorders>
              <w:top w:val="nil"/>
              <w:left w:val="nil"/>
              <w:bottom w:val="single" w:sz="6" w:space="0" w:color="78A22F"/>
              <w:right w:val="nil"/>
            </w:tcBorders>
            <w:shd w:val="clear" w:color="auto" w:fill="auto"/>
          </w:tcPr>
          <w:p w14:paraId="388888CD" w14:textId="77777777" w:rsidR="003A44D2" w:rsidRDefault="003A44D2" w:rsidP="00312CD2">
            <w:pPr>
              <w:pStyle w:val="Figurespace"/>
            </w:pPr>
          </w:p>
        </w:tc>
      </w:tr>
      <w:tr w:rsidR="003A44D2" w:rsidRPr="000863A5" w14:paraId="08246A55" w14:textId="77777777" w:rsidTr="00312CD2">
        <w:tc>
          <w:tcPr>
            <w:tcW w:w="8771" w:type="dxa"/>
            <w:tcBorders>
              <w:top w:val="single" w:sz="6" w:space="0" w:color="78A22F"/>
              <w:left w:val="nil"/>
              <w:bottom w:val="nil"/>
              <w:right w:val="nil"/>
            </w:tcBorders>
          </w:tcPr>
          <w:p w14:paraId="19C07A66" w14:textId="2DBFD5DD" w:rsidR="003A44D2" w:rsidRPr="00626D32" w:rsidRDefault="003A44D2" w:rsidP="00312CD2">
            <w:pPr>
              <w:pStyle w:val="BoxSpaceBelow"/>
            </w:pPr>
          </w:p>
        </w:tc>
      </w:tr>
    </w:tbl>
    <w:p w14:paraId="44873D0D" w14:textId="77777777" w:rsidR="00D135FA" w:rsidRDefault="00D135FA" w:rsidP="00E916FC">
      <w:pPr>
        <w:pStyle w:val="BodyText"/>
        <w:rPr>
          <w:rFonts w:ascii="Arial" w:hAnsi="Arial"/>
          <w:sz w:val="26"/>
        </w:rPr>
      </w:pPr>
      <w:r>
        <w:br w:type="page"/>
      </w:r>
    </w:p>
    <w:p w14:paraId="64AA5569" w14:textId="1C3F5406" w:rsidR="00AA4ED8" w:rsidRDefault="00AA4ED8" w:rsidP="00AA4ED8">
      <w:pPr>
        <w:pStyle w:val="Heading3"/>
      </w:pPr>
      <w:r>
        <w:lastRenderedPageBreak/>
        <w:t xml:space="preserve">What </w:t>
      </w:r>
      <w:r w:rsidR="00ED546F">
        <w:t xml:space="preserve">kind of </w:t>
      </w:r>
      <w:r>
        <w:t>schools do Indigenous students attend?</w:t>
      </w:r>
    </w:p>
    <w:p w14:paraId="1219EE99" w14:textId="1F5D9AF0" w:rsidR="00597AEF" w:rsidRPr="006F1B28" w:rsidRDefault="00960E78" w:rsidP="00597AEF">
      <w:pPr>
        <w:pStyle w:val="BodyText"/>
      </w:pPr>
      <w:r w:rsidRPr="006F1B28">
        <w:t>Like their non</w:t>
      </w:r>
      <w:r w:rsidR="003C48BA">
        <w:noBreakHyphen/>
      </w:r>
      <w:r w:rsidRPr="006F1B28">
        <w:t>Indigenous counterparts, most Indigenous students attend government schools. But for Indigenous students</w:t>
      </w:r>
      <w:r w:rsidR="00281F0B" w:rsidRPr="006F1B28">
        <w:t>,</w:t>
      </w:r>
      <w:r w:rsidRPr="006F1B28">
        <w:t xml:space="preserve"> the proportion is even higher. For example, 86</w:t>
      </w:r>
      <w:r w:rsidR="00E32387">
        <w:t> per cent</w:t>
      </w:r>
      <w:r w:rsidRPr="006F1B28">
        <w:t xml:space="preserve"> of Indigenous students in Year 5 attended government schools in 2014. For non</w:t>
      </w:r>
      <w:r w:rsidR="00281F0B" w:rsidRPr="006F1B28">
        <w:noBreakHyphen/>
      </w:r>
      <w:r w:rsidRPr="006F1B28">
        <w:t>Indigenous students, the equivalent figure was 67</w:t>
      </w:r>
      <w:r w:rsidR="00E32387">
        <w:t> per cent</w:t>
      </w:r>
      <w:r w:rsidRPr="006F1B28">
        <w:t>.</w:t>
      </w:r>
    </w:p>
    <w:p w14:paraId="07E3267F" w14:textId="21567620" w:rsidR="00597AEF" w:rsidRDefault="00597AEF" w:rsidP="00597AEF">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597AEF" w14:paraId="4465F0AA" w14:textId="77777777" w:rsidTr="00850AC0">
        <w:tc>
          <w:tcPr>
            <w:tcW w:w="8771" w:type="dxa"/>
            <w:tcBorders>
              <w:top w:val="single" w:sz="6" w:space="0" w:color="78A22F"/>
              <w:left w:val="nil"/>
              <w:bottom w:val="nil"/>
              <w:right w:val="nil"/>
            </w:tcBorders>
            <w:shd w:val="clear" w:color="auto" w:fill="auto"/>
          </w:tcPr>
          <w:p w14:paraId="3048917B" w14:textId="6307FD75" w:rsidR="00597AEF" w:rsidRDefault="00597AEF" w:rsidP="00850AC0">
            <w:pPr>
              <w:pStyle w:val="FigureTitle"/>
            </w:pPr>
            <w:r w:rsidRPr="00784A05">
              <w:rPr>
                <w:b w:val="0"/>
              </w:rPr>
              <w:t xml:space="preserve">Figure </w:t>
            </w:r>
            <w:r w:rsidR="00A85BAB">
              <w:rPr>
                <w:b w:val="0"/>
                <w:noProof/>
              </w:rPr>
              <w:t>8</w:t>
            </w:r>
            <w:r>
              <w:tab/>
              <w:t>School sector</w:t>
            </w:r>
            <w:r w:rsidR="002C6BC7">
              <w:t xml:space="preserve"> for students</w:t>
            </w:r>
            <w:r w:rsidRPr="001B1394">
              <w:rPr>
                <w:rStyle w:val="NoteLabel"/>
                <w:b/>
              </w:rPr>
              <w:t>a</w:t>
            </w:r>
          </w:p>
          <w:p w14:paraId="6B01F020" w14:textId="7089ADFC" w:rsidR="00597AEF" w:rsidRPr="00176D3F" w:rsidRDefault="00597AEF" w:rsidP="0066113C">
            <w:pPr>
              <w:pStyle w:val="Subtitle"/>
            </w:pPr>
            <w:r>
              <w:t>Proportion of Indigenous and non</w:t>
            </w:r>
            <w:r w:rsidR="003C48BA">
              <w:noBreakHyphen/>
            </w:r>
            <w:r>
              <w:t>Indigenous students (</w:t>
            </w:r>
            <w:r w:rsidR="00537C28">
              <w:t xml:space="preserve">Year 5, </w:t>
            </w:r>
            <w:r>
              <w:t>2014)</w:t>
            </w:r>
          </w:p>
        </w:tc>
      </w:tr>
      <w:tr w:rsidR="00597AEF" w14:paraId="68CBD8CB" w14:textId="77777777" w:rsidTr="00850AC0">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597AEF" w14:paraId="2D03289F" w14:textId="77777777" w:rsidTr="00850AC0">
              <w:trPr>
                <w:jc w:val="center"/>
              </w:trPr>
              <w:tc>
                <w:tcPr>
                  <w:tcW w:w="5000" w:type="pct"/>
                  <w:tcBorders>
                    <w:top w:val="nil"/>
                    <w:bottom w:val="nil"/>
                  </w:tcBorders>
                </w:tcPr>
                <w:p w14:paraId="15CE78F6" w14:textId="72C1845F" w:rsidR="00597AEF" w:rsidRDefault="00F11042" w:rsidP="00850AC0">
                  <w:pPr>
                    <w:pStyle w:val="Figure"/>
                    <w:spacing w:before="60" w:after="60"/>
                  </w:pPr>
                  <w:r>
                    <w:rPr>
                      <w:noProof/>
                    </w:rPr>
                    <w:drawing>
                      <wp:inline distT="0" distB="0" distL="0" distR="0" wp14:anchorId="05001931" wp14:editId="12E10E19">
                        <wp:extent cx="5400000" cy="2632134"/>
                        <wp:effectExtent l="0" t="0" r="0" b="0"/>
                        <wp:docPr id="32" name="Picture 32" descr="This figure shows the school sector that Indigenous and non-Indigneous students are in.&#10;&#10;Far more Indigenous students go to government schools and far fewer go to indepdenent and Catholic schools compared to non-Indigenous students." title="School sector for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8.emf"/>
                                <pic:cNvPicPr/>
                              </pic:nvPicPr>
                              <pic:blipFill>
                                <a:blip r:embed="rId24">
                                  <a:extLst>
                                    <a:ext uri="{28A0092B-C50C-407E-A947-70E740481C1C}">
                                      <a14:useLocalDpi xmlns:a14="http://schemas.microsoft.com/office/drawing/2010/main" val="0"/>
                                    </a:ext>
                                  </a:extLst>
                                </a:blip>
                                <a:stretch>
                                  <a:fillRect/>
                                </a:stretch>
                              </pic:blipFill>
                              <pic:spPr>
                                <a:xfrm>
                                  <a:off x="0" y="0"/>
                                  <a:ext cx="5400000" cy="2632134"/>
                                </a:xfrm>
                                <a:prstGeom prst="rect">
                                  <a:avLst/>
                                </a:prstGeom>
                              </pic:spPr>
                            </pic:pic>
                          </a:graphicData>
                        </a:graphic>
                      </wp:inline>
                    </w:drawing>
                  </w:r>
                </w:p>
              </w:tc>
            </w:tr>
          </w:tbl>
          <w:p w14:paraId="6D3A1887" w14:textId="77777777" w:rsidR="00597AEF" w:rsidRDefault="00597AEF" w:rsidP="00850AC0">
            <w:pPr>
              <w:pStyle w:val="Figure"/>
            </w:pPr>
          </w:p>
        </w:tc>
      </w:tr>
      <w:tr w:rsidR="00597AEF" w:rsidRPr="00176D3F" w14:paraId="587508EF" w14:textId="77777777" w:rsidTr="00850AC0">
        <w:tc>
          <w:tcPr>
            <w:tcW w:w="8771" w:type="dxa"/>
            <w:tcBorders>
              <w:top w:val="nil"/>
              <w:left w:val="nil"/>
              <w:bottom w:val="nil"/>
              <w:right w:val="nil"/>
            </w:tcBorders>
            <w:shd w:val="clear" w:color="auto" w:fill="auto"/>
          </w:tcPr>
          <w:p w14:paraId="6F48D735" w14:textId="329D1482" w:rsidR="00597AEF" w:rsidRPr="00176D3F" w:rsidRDefault="00597AEF" w:rsidP="00C74D02">
            <w:pPr>
              <w:pStyle w:val="Note"/>
            </w:pPr>
            <w:proofErr w:type="spellStart"/>
            <w:r>
              <w:rPr>
                <w:rStyle w:val="NoteLabel"/>
              </w:rPr>
              <w:t>a</w:t>
            </w:r>
            <w:proofErr w:type="spellEnd"/>
            <w:r>
              <w:t xml:space="preserve"> Excludes </w:t>
            </w:r>
            <w:r w:rsidR="00A55F7F">
              <w:t>61</w:t>
            </w:r>
            <w:r>
              <w:t xml:space="preserve"> Indigenous students (0.4</w:t>
            </w:r>
            <w:r w:rsidR="00E32387">
              <w:t> per cent</w:t>
            </w:r>
            <w:r>
              <w:t xml:space="preserve">) and </w:t>
            </w:r>
            <w:r w:rsidR="00A55F7F">
              <w:t>465</w:t>
            </w:r>
            <w:r>
              <w:t xml:space="preserve"> non</w:t>
            </w:r>
            <w:r w:rsidR="003C48BA">
              <w:noBreakHyphen/>
            </w:r>
            <w:r>
              <w:t>Indigenous students (0.</w:t>
            </w:r>
            <w:r w:rsidR="00A55F7F">
              <w:t>2</w:t>
            </w:r>
            <w:r w:rsidR="00E32387">
              <w:t> per cent</w:t>
            </w:r>
            <w:r>
              <w:t>) for whom data on school sector w</w:t>
            </w:r>
            <w:r w:rsidR="00C74D02">
              <w:t>ere</w:t>
            </w:r>
            <w:r>
              <w:t xml:space="preserve"> unavailable.</w:t>
            </w:r>
          </w:p>
        </w:tc>
      </w:tr>
      <w:tr w:rsidR="00597AEF" w:rsidRPr="00176D3F" w14:paraId="094B44E1" w14:textId="77777777" w:rsidTr="00850AC0">
        <w:tc>
          <w:tcPr>
            <w:tcW w:w="8771" w:type="dxa"/>
            <w:tcBorders>
              <w:top w:val="nil"/>
              <w:left w:val="nil"/>
              <w:bottom w:val="nil"/>
              <w:right w:val="nil"/>
            </w:tcBorders>
            <w:shd w:val="clear" w:color="auto" w:fill="auto"/>
          </w:tcPr>
          <w:p w14:paraId="1CE49C42" w14:textId="77777777" w:rsidR="00597AEF" w:rsidRPr="00176D3F" w:rsidRDefault="00597AEF" w:rsidP="00850AC0">
            <w:pPr>
              <w:pStyle w:val="Source"/>
            </w:pPr>
            <w:r>
              <w:rPr>
                <w:i/>
              </w:rPr>
              <w:t>S</w:t>
            </w:r>
            <w:r w:rsidRPr="00784A05">
              <w:rPr>
                <w:i/>
              </w:rPr>
              <w:t>ource</w:t>
            </w:r>
            <w:r w:rsidRPr="00176D3F">
              <w:t xml:space="preserve">: </w:t>
            </w:r>
            <w:r>
              <w:t>Commission estimates based on ACARA data (unpublished).</w:t>
            </w:r>
          </w:p>
        </w:tc>
      </w:tr>
      <w:tr w:rsidR="00597AEF" w14:paraId="797F02DF" w14:textId="77777777" w:rsidTr="00850AC0">
        <w:tc>
          <w:tcPr>
            <w:tcW w:w="8771" w:type="dxa"/>
            <w:tcBorders>
              <w:top w:val="nil"/>
              <w:left w:val="nil"/>
              <w:bottom w:val="single" w:sz="6" w:space="0" w:color="78A22F"/>
              <w:right w:val="nil"/>
            </w:tcBorders>
            <w:shd w:val="clear" w:color="auto" w:fill="auto"/>
          </w:tcPr>
          <w:p w14:paraId="279E285B" w14:textId="77777777" w:rsidR="00597AEF" w:rsidRDefault="00597AEF" w:rsidP="00850AC0">
            <w:pPr>
              <w:pStyle w:val="Figurespace"/>
            </w:pPr>
          </w:p>
        </w:tc>
      </w:tr>
      <w:tr w:rsidR="00597AEF" w:rsidRPr="000863A5" w14:paraId="055A087E" w14:textId="77777777" w:rsidTr="00850AC0">
        <w:tc>
          <w:tcPr>
            <w:tcW w:w="8771" w:type="dxa"/>
            <w:tcBorders>
              <w:top w:val="single" w:sz="6" w:space="0" w:color="78A22F"/>
              <w:left w:val="nil"/>
              <w:bottom w:val="nil"/>
              <w:right w:val="nil"/>
            </w:tcBorders>
          </w:tcPr>
          <w:p w14:paraId="189E20B9" w14:textId="4FE00EE1" w:rsidR="00597AEF" w:rsidRPr="00626D32" w:rsidRDefault="00597AEF" w:rsidP="00850AC0">
            <w:pPr>
              <w:pStyle w:val="BoxSpaceBelow"/>
            </w:pPr>
          </w:p>
        </w:tc>
      </w:tr>
    </w:tbl>
    <w:p w14:paraId="55DBE90F" w14:textId="7E595C6F" w:rsidR="00991E26" w:rsidRPr="006F1B28" w:rsidRDefault="00163088" w:rsidP="007C2D81">
      <w:pPr>
        <w:pStyle w:val="BodyText"/>
      </w:pPr>
      <w:r w:rsidRPr="006F1B28">
        <w:t xml:space="preserve">Indigenous students tend to go to schools with </w:t>
      </w:r>
      <w:r w:rsidR="00C064CD">
        <w:t>lower student</w:t>
      </w:r>
      <w:r w:rsidR="002D1E8C">
        <w:t>–</w:t>
      </w:r>
      <w:r w:rsidR="00C064CD">
        <w:t>teacher ratios</w:t>
      </w:r>
      <w:r w:rsidR="00034552" w:rsidRPr="006F1B28">
        <w:rPr>
          <w:rStyle w:val="FootnoteReference"/>
        </w:rPr>
        <w:footnoteReference w:id="4"/>
      </w:r>
      <w:r w:rsidR="00236AD9" w:rsidRPr="006F1B28">
        <w:t xml:space="preserve"> than non</w:t>
      </w:r>
      <w:r w:rsidR="00C064CD">
        <w:noBreakHyphen/>
      </w:r>
      <w:r w:rsidR="00236AD9" w:rsidRPr="006F1B28">
        <w:t>Indigenous students</w:t>
      </w:r>
      <w:r w:rsidR="00F64EAC" w:rsidRPr="006F1B28">
        <w:t xml:space="preserve">. </w:t>
      </w:r>
      <w:r w:rsidR="00236AD9" w:rsidRPr="006F1B28">
        <w:t>In part</w:t>
      </w:r>
      <w:r w:rsidR="00F64EAC" w:rsidRPr="006F1B28">
        <w:t>,</w:t>
      </w:r>
      <w:r w:rsidR="00236AD9" w:rsidRPr="006F1B28">
        <w:t xml:space="preserve"> </w:t>
      </w:r>
      <w:r w:rsidR="000C76EA" w:rsidRPr="006F1B28">
        <w:t xml:space="preserve">this is </w:t>
      </w:r>
      <w:r w:rsidR="00236AD9" w:rsidRPr="006F1B28">
        <w:t xml:space="preserve">because Indigenous students tend to go to </w:t>
      </w:r>
      <w:r w:rsidR="005E79A5" w:rsidRPr="006F1B28">
        <w:t>schools in more remote areas</w:t>
      </w:r>
      <w:r w:rsidR="00BD2175" w:rsidRPr="006F1B28">
        <w:t xml:space="preserve"> and </w:t>
      </w:r>
      <w:r w:rsidR="00C064CD">
        <w:t>student</w:t>
      </w:r>
      <w:r w:rsidR="002D1E8C">
        <w:t>–</w:t>
      </w:r>
      <w:r w:rsidR="00C064CD">
        <w:t>teachers ratios tend to be lower</w:t>
      </w:r>
      <w:r w:rsidR="00BD2175" w:rsidRPr="006F1B28">
        <w:t xml:space="preserve"> </w:t>
      </w:r>
      <w:r w:rsidR="00C064CD">
        <w:t>at schools</w:t>
      </w:r>
      <w:r w:rsidR="00BD2175" w:rsidRPr="006F1B28">
        <w:t xml:space="preserve"> in these areas.</w:t>
      </w:r>
      <w:r w:rsidR="000C76EA" w:rsidRPr="006F1B28">
        <w:t xml:space="preserve"> </w:t>
      </w:r>
      <w:r w:rsidR="00BD2175" w:rsidRPr="006F1B28">
        <w:t>B</w:t>
      </w:r>
      <w:r w:rsidR="000C76EA" w:rsidRPr="006F1B28">
        <w:t xml:space="preserve">ut even within any given </w:t>
      </w:r>
      <w:r w:rsidR="005E79A5" w:rsidRPr="006F1B28">
        <w:t>remoteness category, Indigenous students</w:t>
      </w:r>
      <w:r w:rsidR="00A27642" w:rsidRPr="006F1B28">
        <w:t xml:space="preserve"> tend to go to schools with </w:t>
      </w:r>
      <w:r w:rsidR="00C064CD">
        <w:t>lower student</w:t>
      </w:r>
      <w:r w:rsidR="002D1E8C">
        <w:t>–</w:t>
      </w:r>
      <w:r w:rsidR="00C064CD">
        <w:t>teacher ratios</w:t>
      </w:r>
      <w:r w:rsidR="005E79A5" w:rsidRPr="006F1B28">
        <w:t>.</w:t>
      </w:r>
      <w:r w:rsidR="005C0087" w:rsidRPr="006F1B28">
        <w:t xml:space="preserve"> For example, </w:t>
      </w:r>
      <w:r w:rsidR="00960BAD" w:rsidRPr="006F1B28">
        <w:t>in very remote areas, the median non</w:t>
      </w:r>
      <w:r w:rsidR="00C064CD">
        <w:noBreakHyphen/>
      </w:r>
      <w:r w:rsidR="00960BAD" w:rsidRPr="006F1B28">
        <w:t xml:space="preserve">Indigenous Year 5 student </w:t>
      </w:r>
      <w:r w:rsidR="00021885" w:rsidRPr="006F1B28">
        <w:t>went</w:t>
      </w:r>
      <w:r w:rsidR="00960BAD" w:rsidRPr="006F1B28">
        <w:t xml:space="preserve"> to a school with 12.0</w:t>
      </w:r>
      <w:r w:rsidR="00021885" w:rsidRPr="006F1B28">
        <w:t> </w:t>
      </w:r>
      <w:r w:rsidR="00960BAD" w:rsidRPr="006F1B28">
        <w:t xml:space="preserve">students per teacher, but the median Indigenous Year 5 student </w:t>
      </w:r>
      <w:r w:rsidR="00021885" w:rsidRPr="006F1B28">
        <w:t>went</w:t>
      </w:r>
      <w:r w:rsidR="00960BAD" w:rsidRPr="006F1B28">
        <w:t xml:space="preserve"> to a school with 10.7</w:t>
      </w:r>
      <w:r w:rsidR="00021885" w:rsidRPr="006F1B28">
        <w:t> </w:t>
      </w:r>
      <w:r w:rsidR="00960BAD" w:rsidRPr="006F1B28">
        <w:t>students per teacher.</w:t>
      </w:r>
    </w:p>
    <w:p w14:paraId="7AD67FB8" w14:textId="5978FFEE" w:rsidR="005E79A5" w:rsidRDefault="005E79A5" w:rsidP="00312CD2">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5E79A5" w14:paraId="5D9ADB27" w14:textId="77777777" w:rsidTr="00312CD2">
        <w:tc>
          <w:tcPr>
            <w:tcW w:w="8771" w:type="dxa"/>
            <w:tcBorders>
              <w:top w:val="single" w:sz="6" w:space="0" w:color="78A22F"/>
              <w:left w:val="nil"/>
              <w:bottom w:val="nil"/>
              <w:right w:val="nil"/>
            </w:tcBorders>
            <w:shd w:val="clear" w:color="auto" w:fill="auto"/>
          </w:tcPr>
          <w:p w14:paraId="11EE9E12" w14:textId="253A6553" w:rsidR="005E79A5" w:rsidRDefault="005E79A5" w:rsidP="00312CD2">
            <w:pPr>
              <w:pStyle w:val="FigureTitle"/>
            </w:pPr>
            <w:r w:rsidRPr="00784A05">
              <w:rPr>
                <w:b w:val="0"/>
              </w:rPr>
              <w:t xml:space="preserve">Figure </w:t>
            </w:r>
            <w:r w:rsidR="00A85BAB">
              <w:rPr>
                <w:b w:val="0"/>
                <w:noProof/>
              </w:rPr>
              <w:t>9</w:t>
            </w:r>
            <w:r>
              <w:tab/>
            </w:r>
            <w:r w:rsidR="002C6BC7">
              <w:t>Student</w:t>
            </w:r>
            <w:r w:rsidR="00061DDC">
              <w:t>–</w:t>
            </w:r>
            <w:r w:rsidR="0066113C">
              <w:t>t</w:t>
            </w:r>
            <w:r w:rsidR="002C6BC7">
              <w:t>eacher ratios</w:t>
            </w:r>
            <w:r w:rsidR="00790904" w:rsidRPr="00790904">
              <w:rPr>
                <w:rStyle w:val="NoteLabel"/>
                <w:b/>
              </w:rPr>
              <w:t>a</w:t>
            </w:r>
          </w:p>
          <w:p w14:paraId="7640DF04" w14:textId="4F3A1D3E" w:rsidR="00BD2175" w:rsidRDefault="00BD2175" w:rsidP="00BD2175">
            <w:pPr>
              <w:pStyle w:val="Subtitle"/>
              <w:spacing w:after="0"/>
            </w:pPr>
            <w:r>
              <w:t>Number of s</w:t>
            </w:r>
            <w:r w:rsidR="005E79A5">
              <w:t>tudents per teacher</w:t>
            </w:r>
            <w:r>
              <w:t xml:space="preserve"> for the median student</w:t>
            </w:r>
            <w:r w:rsidR="005E79A5">
              <w:t>, by remoteness</w:t>
            </w:r>
          </w:p>
          <w:p w14:paraId="0A32E57E" w14:textId="0380B42F" w:rsidR="005E79A5" w:rsidRPr="00176D3F" w:rsidRDefault="005E79A5" w:rsidP="0066113C">
            <w:pPr>
              <w:pStyle w:val="Subtitle"/>
              <w:spacing w:after="0"/>
            </w:pPr>
            <w:r>
              <w:t>(</w:t>
            </w:r>
            <w:r w:rsidR="00FE1796">
              <w:t xml:space="preserve">Year 5, </w:t>
            </w:r>
            <w:r>
              <w:t>2014)</w:t>
            </w:r>
          </w:p>
        </w:tc>
      </w:tr>
      <w:tr w:rsidR="005E79A5" w14:paraId="72BEA0F8" w14:textId="77777777" w:rsidTr="00312CD2">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5E79A5" w14:paraId="7134DC9E" w14:textId="77777777" w:rsidTr="00312CD2">
              <w:trPr>
                <w:jc w:val="center"/>
              </w:trPr>
              <w:tc>
                <w:tcPr>
                  <w:tcW w:w="5000" w:type="pct"/>
                  <w:tcBorders>
                    <w:top w:val="nil"/>
                    <w:bottom w:val="nil"/>
                  </w:tcBorders>
                </w:tcPr>
                <w:p w14:paraId="18D652D8" w14:textId="4373AC85" w:rsidR="005E79A5" w:rsidRDefault="00930EF8" w:rsidP="00312CD2">
                  <w:pPr>
                    <w:pStyle w:val="Figure"/>
                    <w:spacing w:before="60" w:after="60"/>
                  </w:pPr>
                  <w:r>
                    <w:rPr>
                      <w:noProof/>
                    </w:rPr>
                    <w:drawing>
                      <wp:inline distT="0" distB="0" distL="0" distR="0" wp14:anchorId="47AE492D" wp14:editId="33AA4142">
                        <wp:extent cx="5400000" cy="2632134"/>
                        <wp:effectExtent l="0" t="0" r="0" b="0"/>
                        <wp:docPr id="33" name="Picture 33" descr="This figure shows student teacher ratios by remoteness category for Indigenous and non-Indigenous students.&#10;&#10;Student-teacher ratios tend to be slightly higher for non-Indigenous students for each remoteness category.&#10;&#10;For both Indigneous and non-Indigenous students, student-teacher ratios decline with remoteness." title="Student-teacher rat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1.emf"/>
                                <pic:cNvPicPr/>
                              </pic:nvPicPr>
                              <pic:blipFill>
                                <a:blip r:embed="rId25">
                                  <a:extLst>
                                    <a:ext uri="{28A0092B-C50C-407E-A947-70E740481C1C}">
                                      <a14:useLocalDpi xmlns:a14="http://schemas.microsoft.com/office/drawing/2010/main" val="0"/>
                                    </a:ext>
                                  </a:extLst>
                                </a:blip>
                                <a:stretch>
                                  <a:fillRect/>
                                </a:stretch>
                              </pic:blipFill>
                              <pic:spPr>
                                <a:xfrm>
                                  <a:off x="0" y="0"/>
                                  <a:ext cx="5400000" cy="2632134"/>
                                </a:xfrm>
                                <a:prstGeom prst="rect">
                                  <a:avLst/>
                                </a:prstGeom>
                              </pic:spPr>
                            </pic:pic>
                          </a:graphicData>
                        </a:graphic>
                      </wp:inline>
                    </w:drawing>
                  </w:r>
                </w:p>
              </w:tc>
            </w:tr>
          </w:tbl>
          <w:p w14:paraId="1400836D" w14:textId="77777777" w:rsidR="005E79A5" w:rsidRDefault="005E79A5" w:rsidP="00312CD2">
            <w:pPr>
              <w:pStyle w:val="Figure"/>
            </w:pPr>
          </w:p>
        </w:tc>
      </w:tr>
      <w:tr w:rsidR="005E79A5" w:rsidRPr="00176D3F" w14:paraId="2228397B" w14:textId="77777777" w:rsidTr="00312CD2">
        <w:tc>
          <w:tcPr>
            <w:tcW w:w="8771" w:type="dxa"/>
            <w:tcBorders>
              <w:top w:val="nil"/>
              <w:left w:val="nil"/>
              <w:bottom w:val="nil"/>
              <w:right w:val="nil"/>
            </w:tcBorders>
            <w:shd w:val="clear" w:color="auto" w:fill="auto"/>
          </w:tcPr>
          <w:p w14:paraId="16324906" w14:textId="2BCA5384" w:rsidR="005E79A5" w:rsidRPr="00176D3F" w:rsidRDefault="00160DDA" w:rsidP="00281F0B">
            <w:pPr>
              <w:pStyle w:val="Note"/>
            </w:pPr>
            <w:proofErr w:type="spellStart"/>
            <w:r>
              <w:rPr>
                <w:rStyle w:val="NoteLabel"/>
              </w:rPr>
              <w:t>a</w:t>
            </w:r>
            <w:proofErr w:type="spellEnd"/>
            <w:r>
              <w:t xml:space="preserve"> Excludes </w:t>
            </w:r>
            <w:r w:rsidR="00281F0B">
              <w:t xml:space="preserve">61 </w:t>
            </w:r>
            <w:r>
              <w:t>Indigenous students (0.4</w:t>
            </w:r>
            <w:r w:rsidR="00E32387">
              <w:t> per cent</w:t>
            </w:r>
            <w:r>
              <w:t xml:space="preserve">) and </w:t>
            </w:r>
            <w:r w:rsidR="00281F0B">
              <w:t xml:space="preserve">465 </w:t>
            </w:r>
            <w:r>
              <w:t>non</w:t>
            </w:r>
            <w:r w:rsidR="003C48BA">
              <w:noBreakHyphen/>
            </w:r>
            <w:r>
              <w:t>Indigenous students (0.</w:t>
            </w:r>
            <w:r w:rsidR="00281F0B">
              <w:t>2</w:t>
            </w:r>
            <w:r w:rsidR="00E32387">
              <w:t> per cent</w:t>
            </w:r>
            <w:r>
              <w:t>) who had no defined region.</w:t>
            </w:r>
          </w:p>
        </w:tc>
      </w:tr>
      <w:tr w:rsidR="005E79A5" w:rsidRPr="00176D3F" w14:paraId="23C6BBA4" w14:textId="77777777" w:rsidTr="00312CD2">
        <w:tc>
          <w:tcPr>
            <w:tcW w:w="8771" w:type="dxa"/>
            <w:tcBorders>
              <w:top w:val="nil"/>
              <w:left w:val="nil"/>
              <w:bottom w:val="nil"/>
              <w:right w:val="nil"/>
            </w:tcBorders>
            <w:shd w:val="clear" w:color="auto" w:fill="auto"/>
          </w:tcPr>
          <w:p w14:paraId="7C31F667" w14:textId="58633353" w:rsidR="005E79A5" w:rsidRPr="00176D3F" w:rsidRDefault="001C6C2D" w:rsidP="00312CD2">
            <w:pPr>
              <w:pStyle w:val="Source"/>
            </w:pPr>
            <w:r>
              <w:rPr>
                <w:i/>
              </w:rPr>
              <w:t>S</w:t>
            </w:r>
            <w:r w:rsidRPr="00784A05">
              <w:rPr>
                <w:i/>
              </w:rPr>
              <w:t>ource</w:t>
            </w:r>
            <w:r w:rsidRPr="00176D3F">
              <w:t xml:space="preserve">: </w:t>
            </w:r>
            <w:r>
              <w:t>Commission estimates based on ACARA data (unpublished).</w:t>
            </w:r>
          </w:p>
        </w:tc>
      </w:tr>
      <w:tr w:rsidR="005E79A5" w14:paraId="555AFBD3" w14:textId="77777777" w:rsidTr="00312CD2">
        <w:tc>
          <w:tcPr>
            <w:tcW w:w="8771" w:type="dxa"/>
            <w:tcBorders>
              <w:top w:val="nil"/>
              <w:left w:val="nil"/>
              <w:bottom w:val="single" w:sz="6" w:space="0" w:color="78A22F"/>
              <w:right w:val="nil"/>
            </w:tcBorders>
            <w:shd w:val="clear" w:color="auto" w:fill="auto"/>
          </w:tcPr>
          <w:p w14:paraId="1A193D8D" w14:textId="77777777" w:rsidR="005E79A5" w:rsidRDefault="005E79A5" w:rsidP="00312CD2">
            <w:pPr>
              <w:pStyle w:val="Figurespace"/>
            </w:pPr>
          </w:p>
        </w:tc>
      </w:tr>
      <w:tr w:rsidR="005E79A5" w:rsidRPr="000863A5" w14:paraId="0A3F8E27" w14:textId="77777777" w:rsidTr="00312CD2">
        <w:tc>
          <w:tcPr>
            <w:tcW w:w="8771" w:type="dxa"/>
            <w:tcBorders>
              <w:top w:val="single" w:sz="6" w:space="0" w:color="78A22F"/>
              <w:left w:val="nil"/>
              <w:bottom w:val="nil"/>
              <w:right w:val="nil"/>
            </w:tcBorders>
          </w:tcPr>
          <w:p w14:paraId="1E7BB0EF" w14:textId="72F20967" w:rsidR="005E79A5" w:rsidRPr="00626D32" w:rsidRDefault="005E79A5" w:rsidP="00312CD2">
            <w:pPr>
              <w:pStyle w:val="BoxSpaceBelow"/>
            </w:pPr>
          </w:p>
        </w:tc>
      </w:tr>
    </w:tbl>
    <w:p w14:paraId="605BEE5E" w14:textId="77777777" w:rsidR="00D135FA" w:rsidRDefault="00D135FA">
      <w:pPr>
        <w:rPr>
          <w:szCs w:val="20"/>
        </w:rPr>
      </w:pPr>
      <w:r>
        <w:br w:type="page"/>
      </w:r>
    </w:p>
    <w:p w14:paraId="16DC5663" w14:textId="7B492DAD" w:rsidR="007C2D81" w:rsidRPr="00416A9F" w:rsidRDefault="003428C6" w:rsidP="007C2D81">
      <w:pPr>
        <w:pStyle w:val="BodyText"/>
      </w:pPr>
      <w:r w:rsidRPr="006F1B28">
        <w:lastRenderedPageBreak/>
        <w:t xml:space="preserve">Half of all </w:t>
      </w:r>
      <w:r w:rsidR="007C2D81" w:rsidRPr="006F1B28">
        <w:t xml:space="preserve">Indigenous students go to schools where Indigenous students make up less than </w:t>
      </w:r>
      <w:r w:rsidR="003F2174" w:rsidRPr="006F1B28">
        <w:t>15</w:t>
      </w:r>
      <w:r w:rsidR="00E32387">
        <w:t> per cent</w:t>
      </w:r>
      <w:r w:rsidR="007C2D81" w:rsidRPr="006F1B28">
        <w:t xml:space="preserve"> of all students</w:t>
      </w:r>
      <w:r w:rsidR="009603C1" w:rsidRPr="006F1B28">
        <w:t xml:space="preserve">, but a </w:t>
      </w:r>
      <w:r w:rsidR="009905AA" w:rsidRPr="006F1B28">
        <w:t xml:space="preserve">considerable </w:t>
      </w:r>
      <w:r w:rsidR="009603C1" w:rsidRPr="006F1B28">
        <w:t>minority of Indigenous students (</w:t>
      </w:r>
      <w:r w:rsidRPr="006F1B28">
        <w:t>11</w:t>
      </w:r>
      <w:r w:rsidR="00E32387">
        <w:t> per cent</w:t>
      </w:r>
      <w:r w:rsidR="009603C1" w:rsidRPr="006F1B28">
        <w:t xml:space="preserve">) go to schools where Indigenous students make up </w:t>
      </w:r>
      <w:r w:rsidR="00EF5356" w:rsidRPr="006F1B28">
        <w:t>at least</w:t>
      </w:r>
      <w:r w:rsidR="009603C1" w:rsidRPr="006F1B28">
        <w:t xml:space="preserve"> 95</w:t>
      </w:r>
      <w:r w:rsidR="00E32387">
        <w:t> per cent</w:t>
      </w:r>
      <w:r w:rsidR="009603C1" w:rsidRPr="006F1B28">
        <w:t xml:space="preserve"> of all students.</w:t>
      </w:r>
    </w:p>
    <w:p w14:paraId="3AEAF5AF" w14:textId="3F6A33F9" w:rsidR="00631A28" w:rsidRDefault="00631A28" w:rsidP="003417D0">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631A28" w14:paraId="5BC95BFB" w14:textId="77777777" w:rsidTr="003417D0">
        <w:tc>
          <w:tcPr>
            <w:tcW w:w="8771" w:type="dxa"/>
            <w:tcBorders>
              <w:top w:val="single" w:sz="6" w:space="0" w:color="78A22F"/>
              <w:left w:val="nil"/>
              <w:bottom w:val="nil"/>
              <w:right w:val="nil"/>
            </w:tcBorders>
            <w:shd w:val="clear" w:color="auto" w:fill="auto"/>
          </w:tcPr>
          <w:p w14:paraId="62E0014E" w14:textId="7ACD97AF" w:rsidR="00631A28" w:rsidRDefault="00631A28" w:rsidP="003417D0">
            <w:pPr>
              <w:pStyle w:val="FigureTitle"/>
            </w:pPr>
            <w:r w:rsidRPr="00784A05">
              <w:rPr>
                <w:b w:val="0"/>
              </w:rPr>
              <w:t xml:space="preserve">Figure </w:t>
            </w:r>
            <w:r w:rsidR="00A85BAB">
              <w:rPr>
                <w:b w:val="0"/>
                <w:noProof/>
              </w:rPr>
              <w:t>10</w:t>
            </w:r>
            <w:r>
              <w:tab/>
              <w:t>Indigenous student enrolments</w:t>
            </w:r>
            <w:r w:rsidR="00167367" w:rsidRPr="00167367">
              <w:rPr>
                <w:rStyle w:val="NoteLabel"/>
                <w:b/>
              </w:rPr>
              <w:t>a</w:t>
            </w:r>
          </w:p>
          <w:p w14:paraId="469EF928" w14:textId="7B8D2EAF" w:rsidR="00631A28" w:rsidRPr="00176D3F" w:rsidRDefault="009603C1" w:rsidP="009603C1">
            <w:pPr>
              <w:pStyle w:val="Subtitle"/>
            </w:pPr>
            <w:r>
              <w:t>Indigenous students by Indigenous enrolment rate (Year 5, 2014)</w:t>
            </w:r>
          </w:p>
        </w:tc>
      </w:tr>
      <w:tr w:rsidR="00631A28" w14:paraId="5DB1BF36" w14:textId="77777777" w:rsidTr="003417D0">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631A28" w14:paraId="19851825" w14:textId="77777777" w:rsidTr="003417D0">
              <w:trPr>
                <w:jc w:val="center"/>
              </w:trPr>
              <w:tc>
                <w:tcPr>
                  <w:tcW w:w="5000" w:type="pct"/>
                  <w:tcBorders>
                    <w:top w:val="nil"/>
                    <w:bottom w:val="nil"/>
                  </w:tcBorders>
                </w:tcPr>
                <w:p w14:paraId="56DA8DF7" w14:textId="16904849" w:rsidR="00290437" w:rsidRDefault="00290437" w:rsidP="003417D0">
                  <w:pPr>
                    <w:pStyle w:val="Figure"/>
                    <w:spacing w:before="60" w:after="60"/>
                  </w:pPr>
                  <w:r>
                    <w:rPr>
                      <w:noProof/>
                    </w:rPr>
                    <w:drawing>
                      <wp:inline distT="0" distB="0" distL="0" distR="0" wp14:anchorId="1EB6AB1D" wp14:editId="6926CA69">
                        <wp:extent cx="5401310" cy="2633980"/>
                        <wp:effectExtent l="0" t="0" r="8890" b="0"/>
                        <wp:docPr id="29" name="Picture 29" descr="This figure show the percentage of Indigneous studnets by the Indigenous student enrolment rate at the school they attend.&#10;&#10;Most Indigneous students go to schools with Indigneous student enrolment rates below 15 per cent. &#10;&#10;A significant minority, however, go to schools with Indigenous enrolment rates of 95 per cent or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01310" cy="2633980"/>
                                </a:xfrm>
                                <a:prstGeom prst="rect">
                                  <a:avLst/>
                                </a:prstGeom>
                                <a:noFill/>
                              </pic:spPr>
                            </pic:pic>
                          </a:graphicData>
                        </a:graphic>
                      </wp:inline>
                    </w:drawing>
                  </w:r>
                </w:p>
              </w:tc>
            </w:tr>
          </w:tbl>
          <w:p w14:paraId="21FC0DFF" w14:textId="77777777" w:rsidR="00631A28" w:rsidRDefault="00631A28" w:rsidP="003417D0">
            <w:pPr>
              <w:pStyle w:val="Figure"/>
            </w:pPr>
          </w:p>
        </w:tc>
      </w:tr>
      <w:tr w:rsidR="00631A28" w:rsidRPr="00176D3F" w14:paraId="588224A4" w14:textId="77777777" w:rsidTr="003417D0">
        <w:tc>
          <w:tcPr>
            <w:tcW w:w="8771" w:type="dxa"/>
            <w:tcBorders>
              <w:top w:val="nil"/>
              <w:left w:val="nil"/>
              <w:bottom w:val="nil"/>
              <w:right w:val="nil"/>
            </w:tcBorders>
            <w:shd w:val="clear" w:color="auto" w:fill="auto"/>
          </w:tcPr>
          <w:p w14:paraId="070150B7" w14:textId="25B7CAC4" w:rsidR="00631A28" w:rsidRPr="00176D3F" w:rsidRDefault="00167367" w:rsidP="00C74D02">
            <w:pPr>
              <w:pStyle w:val="Note"/>
            </w:pPr>
            <w:proofErr w:type="spellStart"/>
            <w:r>
              <w:rPr>
                <w:rStyle w:val="NoteLabel"/>
              </w:rPr>
              <w:t>a</w:t>
            </w:r>
            <w:proofErr w:type="spellEnd"/>
            <w:r>
              <w:t xml:space="preserve"> Excludes </w:t>
            </w:r>
            <w:r w:rsidR="0039319A">
              <w:t xml:space="preserve">69 </w:t>
            </w:r>
            <w:r>
              <w:t>Indig</w:t>
            </w:r>
            <w:r w:rsidR="00365F23">
              <w:t>enous</w:t>
            </w:r>
            <w:r>
              <w:t xml:space="preserve"> students (0.</w:t>
            </w:r>
            <w:r w:rsidR="0039319A">
              <w:t>4</w:t>
            </w:r>
            <w:r w:rsidR="00E32387">
              <w:t> per cent</w:t>
            </w:r>
            <w:r>
              <w:t>) f</w:t>
            </w:r>
            <w:r w:rsidR="0004613E">
              <w:t>or whom data</w:t>
            </w:r>
            <w:r>
              <w:t xml:space="preserve"> on Indigenous enrolments</w:t>
            </w:r>
            <w:r w:rsidR="0004613E">
              <w:t xml:space="preserve"> w</w:t>
            </w:r>
            <w:r w:rsidR="00C74D02">
              <w:t>ere</w:t>
            </w:r>
            <w:r w:rsidR="0004613E">
              <w:t xml:space="preserve"> unavailable</w:t>
            </w:r>
            <w:r>
              <w:t>.</w:t>
            </w:r>
          </w:p>
        </w:tc>
      </w:tr>
      <w:tr w:rsidR="00631A28" w:rsidRPr="00176D3F" w14:paraId="76B69FBE" w14:textId="77777777" w:rsidTr="003417D0">
        <w:tc>
          <w:tcPr>
            <w:tcW w:w="8771" w:type="dxa"/>
            <w:tcBorders>
              <w:top w:val="nil"/>
              <w:left w:val="nil"/>
              <w:bottom w:val="nil"/>
              <w:right w:val="nil"/>
            </w:tcBorders>
            <w:shd w:val="clear" w:color="auto" w:fill="auto"/>
          </w:tcPr>
          <w:p w14:paraId="13C48F35" w14:textId="1EFEBA26" w:rsidR="00631A28" w:rsidRPr="00176D3F" w:rsidRDefault="001C6C2D" w:rsidP="003417D0">
            <w:pPr>
              <w:pStyle w:val="Source"/>
            </w:pPr>
            <w:r>
              <w:rPr>
                <w:i/>
              </w:rPr>
              <w:t>S</w:t>
            </w:r>
            <w:r w:rsidRPr="00784A05">
              <w:rPr>
                <w:i/>
              </w:rPr>
              <w:t>ource</w:t>
            </w:r>
            <w:r w:rsidRPr="00176D3F">
              <w:t xml:space="preserve">: </w:t>
            </w:r>
            <w:r>
              <w:t>Commission estimates based on ACARA data (unpublished).</w:t>
            </w:r>
          </w:p>
        </w:tc>
      </w:tr>
      <w:tr w:rsidR="00631A28" w14:paraId="4C2A0013" w14:textId="77777777" w:rsidTr="003417D0">
        <w:tc>
          <w:tcPr>
            <w:tcW w:w="8771" w:type="dxa"/>
            <w:tcBorders>
              <w:top w:val="nil"/>
              <w:left w:val="nil"/>
              <w:bottom w:val="single" w:sz="6" w:space="0" w:color="78A22F"/>
              <w:right w:val="nil"/>
            </w:tcBorders>
            <w:shd w:val="clear" w:color="auto" w:fill="auto"/>
          </w:tcPr>
          <w:p w14:paraId="571B44C4" w14:textId="77777777" w:rsidR="00631A28" w:rsidRDefault="00631A28" w:rsidP="003417D0">
            <w:pPr>
              <w:pStyle w:val="Figurespace"/>
            </w:pPr>
          </w:p>
        </w:tc>
      </w:tr>
      <w:tr w:rsidR="00631A28" w:rsidRPr="000863A5" w14:paraId="12D2D9BE" w14:textId="77777777" w:rsidTr="003417D0">
        <w:tc>
          <w:tcPr>
            <w:tcW w:w="8771" w:type="dxa"/>
            <w:tcBorders>
              <w:top w:val="single" w:sz="6" w:space="0" w:color="78A22F"/>
              <w:left w:val="nil"/>
              <w:bottom w:val="nil"/>
              <w:right w:val="nil"/>
            </w:tcBorders>
          </w:tcPr>
          <w:p w14:paraId="0251AFD3" w14:textId="4F6690D1" w:rsidR="00631A28" w:rsidRPr="00626D32" w:rsidRDefault="00631A28" w:rsidP="003417D0">
            <w:pPr>
              <w:pStyle w:val="BoxSpaceBelow"/>
            </w:pPr>
          </w:p>
        </w:tc>
      </w:tr>
    </w:tbl>
    <w:p w14:paraId="66599ADD" w14:textId="262D8196" w:rsidR="00021885" w:rsidRPr="006F1B28" w:rsidRDefault="00F70425" w:rsidP="007C2D81">
      <w:pPr>
        <w:pStyle w:val="BodyText"/>
      </w:pPr>
      <w:r w:rsidRPr="006F1B28">
        <w:t xml:space="preserve">Another </w:t>
      </w:r>
      <w:r w:rsidR="00515A41">
        <w:t>indicator</w:t>
      </w:r>
      <w:r w:rsidR="00515A41" w:rsidRPr="006F1B28">
        <w:t xml:space="preserve"> </w:t>
      </w:r>
      <w:r w:rsidRPr="006F1B28">
        <w:t xml:space="preserve">that would be useful to examine is student attendance rates. </w:t>
      </w:r>
      <w:r w:rsidR="00210F17">
        <w:t>Unfortunately, a</w:t>
      </w:r>
      <w:r w:rsidRPr="006F1B28">
        <w:t>ttendance rate data at the level of</w:t>
      </w:r>
      <w:r w:rsidR="00973318" w:rsidRPr="006F1B28">
        <w:t xml:space="preserve"> individual students </w:t>
      </w:r>
      <w:r w:rsidR="002C6BC7">
        <w:t xml:space="preserve">(while collected) </w:t>
      </w:r>
      <w:r w:rsidR="00973318" w:rsidRPr="006F1B28">
        <w:t>w</w:t>
      </w:r>
      <w:r w:rsidRPr="006F1B28">
        <w:t>ere</w:t>
      </w:r>
      <w:r w:rsidR="00973318" w:rsidRPr="006F1B28">
        <w:t xml:space="preserve"> unavailable</w:t>
      </w:r>
      <w:r w:rsidR="007F6119" w:rsidRPr="006F1B28">
        <w:t xml:space="preserve"> for this </w:t>
      </w:r>
      <w:r w:rsidR="00066145" w:rsidRPr="006F1B28">
        <w:t>report</w:t>
      </w:r>
      <w:r w:rsidR="007F6119" w:rsidRPr="006F1B28">
        <w:t xml:space="preserve"> (chapter</w:t>
      </w:r>
      <w:r w:rsidR="00066145" w:rsidRPr="006F1B28">
        <w:t> </w:t>
      </w:r>
      <w:r w:rsidR="007F6119" w:rsidRPr="006F1B28">
        <w:t>1)</w:t>
      </w:r>
      <w:r w:rsidR="00066145" w:rsidRPr="006F1B28">
        <w:t xml:space="preserve">. </w:t>
      </w:r>
      <w:r w:rsidRPr="006F1B28">
        <w:t>Nonetheless, school</w:t>
      </w:r>
      <w:r w:rsidR="003C48BA">
        <w:noBreakHyphen/>
      </w:r>
      <w:r w:rsidRPr="006F1B28">
        <w:t>level student attendance rates are still informative. B</w:t>
      </w:r>
      <w:r w:rsidR="00066145" w:rsidRPr="006F1B28">
        <w:t>y plotting school</w:t>
      </w:r>
      <w:r w:rsidR="003C48BA">
        <w:noBreakHyphen/>
      </w:r>
      <w:r w:rsidR="00066145" w:rsidRPr="006F1B28">
        <w:t xml:space="preserve">level student attendance rates against the proportion of Indigenous students </w:t>
      </w:r>
      <w:r w:rsidR="00021885" w:rsidRPr="006F1B28">
        <w:t xml:space="preserve">in a school </w:t>
      </w:r>
      <w:r w:rsidR="00066145" w:rsidRPr="006F1B28">
        <w:t>it is possible to get a</w:t>
      </w:r>
      <w:r w:rsidRPr="006F1B28">
        <w:t>n indirect</w:t>
      </w:r>
      <w:r w:rsidR="00066145" w:rsidRPr="006F1B28">
        <w:t xml:space="preserve"> sense of how attendance rates are related to </w:t>
      </w:r>
      <w:r w:rsidR="00590C49">
        <w:t>having an Indigenous background</w:t>
      </w:r>
      <w:r w:rsidR="00066145" w:rsidRPr="006F1B28">
        <w:t>.</w:t>
      </w:r>
    </w:p>
    <w:p w14:paraId="303E9B55" w14:textId="6D916112" w:rsidR="009603C1" w:rsidRPr="006F1B28" w:rsidRDefault="00735C96" w:rsidP="007C2D81">
      <w:pPr>
        <w:pStyle w:val="BodyText"/>
      </w:pPr>
      <w:r w:rsidRPr="006F1B28">
        <w:t>On average, s</w:t>
      </w:r>
      <w:r w:rsidR="00A01115" w:rsidRPr="006F1B28">
        <w:t xml:space="preserve">chools with a high proportion of </w:t>
      </w:r>
      <w:r w:rsidR="00AE4E2A" w:rsidRPr="006F1B28">
        <w:t xml:space="preserve">Indigenous </w:t>
      </w:r>
      <w:r w:rsidR="00A01115" w:rsidRPr="006F1B28">
        <w:t>students</w:t>
      </w:r>
      <w:r w:rsidR="00AE4E2A" w:rsidRPr="006F1B28">
        <w:t xml:space="preserve"> tend to have lower overall student attendance rates</w:t>
      </w:r>
      <w:r w:rsidR="007854CE" w:rsidRPr="006F1B28">
        <w:t>, particularly in very remote areas</w:t>
      </w:r>
      <w:r w:rsidR="00021885" w:rsidRPr="006F1B28">
        <w:t>.</w:t>
      </w:r>
      <w:r w:rsidR="003F3AB0" w:rsidRPr="006F1B28">
        <w:t xml:space="preserve"> </w:t>
      </w:r>
      <w:r w:rsidR="00021885" w:rsidRPr="006F1B28">
        <w:t>For example, in very remote areas, of schools where less than 10</w:t>
      </w:r>
      <w:r w:rsidR="00E32387">
        <w:t> per cent</w:t>
      </w:r>
      <w:r w:rsidR="00021885" w:rsidRPr="006F1B28">
        <w:t xml:space="preserve"> of students are Indigenous, the student attendance rate of the average school is 93</w:t>
      </w:r>
      <w:r w:rsidR="00E32387">
        <w:t> per cent</w:t>
      </w:r>
      <w:r w:rsidR="00021885" w:rsidRPr="006F1B28">
        <w:t>, in line with the average across all schools</w:t>
      </w:r>
      <w:r w:rsidR="00F70425" w:rsidRPr="006F1B28">
        <w:t xml:space="preserve"> in the sample</w:t>
      </w:r>
      <w:r w:rsidR="00021885" w:rsidRPr="006F1B28">
        <w:t>. By contrast, of very remote schools where greater than 90</w:t>
      </w:r>
      <w:r w:rsidR="00E32387">
        <w:t> per cent</w:t>
      </w:r>
      <w:r w:rsidR="00021885" w:rsidRPr="006F1B28">
        <w:t xml:space="preserve"> of students are Indigenous, the student attendance rate of the average school is 69</w:t>
      </w:r>
      <w:r w:rsidR="00E32387">
        <w:t> per cent</w:t>
      </w:r>
      <w:r w:rsidR="00021885" w:rsidRPr="006F1B28">
        <w:t>.</w:t>
      </w:r>
    </w:p>
    <w:p w14:paraId="0DFD97D7" w14:textId="05152920" w:rsidR="00B45608" w:rsidRDefault="00B45608" w:rsidP="003417D0">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B45608" w14:paraId="0AF9FD78" w14:textId="77777777" w:rsidTr="003417D0">
        <w:tc>
          <w:tcPr>
            <w:tcW w:w="8771" w:type="dxa"/>
            <w:tcBorders>
              <w:top w:val="single" w:sz="6" w:space="0" w:color="78A22F"/>
              <w:left w:val="nil"/>
              <w:bottom w:val="nil"/>
              <w:right w:val="nil"/>
            </w:tcBorders>
            <w:shd w:val="clear" w:color="auto" w:fill="auto"/>
          </w:tcPr>
          <w:p w14:paraId="54B6D69D" w14:textId="7CCE130E" w:rsidR="00B45608" w:rsidRDefault="00B45608" w:rsidP="003417D0">
            <w:pPr>
              <w:pStyle w:val="FigureTitle"/>
            </w:pPr>
            <w:r w:rsidRPr="00784A05">
              <w:rPr>
                <w:b w:val="0"/>
              </w:rPr>
              <w:t xml:space="preserve">Figure </w:t>
            </w:r>
            <w:r w:rsidR="00A85BAB">
              <w:rPr>
                <w:b w:val="0"/>
                <w:noProof/>
              </w:rPr>
              <w:t>11</w:t>
            </w:r>
            <w:r>
              <w:tab/>
            </w:r>
            <w:r w:rsidR="0069174B">
              <w:t>Average s</w:t>
            </w:r>
            <w:r w:rsidR="007854CE">
              <w:t>tudent attendance rates</w:t>
            </w:r>
            <w:r w:rsidR="00C57A79" w:rsidRPr="00AE503B">
              <w:rPr>
                <w:rStyle w:val="NoteLabel"/>
                <w:b/>
              </w:rPr>
              <w:t>a</w:t>
            </w:r>
          </w:p>
          <w:p w14:paraId="05543821" w14:textId="02D49677" w:rsidR="00B45608" w:rsidRPr="00176D3F" w:rsidRDefault="007854CE" w:rsidP="003417D0">
            <w:pPr>
              <w:pStyle w:val="Subtitle"/>
            </w:pPr>
            <w:r>
              <w:t>Average student attendance rate, by remoteness and rate of Indigenous student enrolment (Year 5, 2014)</w:t>
            </w:r>
          </w:p>
        </w:tc>
      </w:tr>
      <w:tr w:rsidR="00B45608" w14:paraId="3DC71DDA" w14:textId="77777777" w:rsidTr="003417D0">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B45608" w14:paraId="73066A4E" w14:textId="77777777" w:rsidTr="003417D0">
              <w:trPr>
                <w:jc w:val="center"/>
              </w:trPr>
              <w:tc>
                <w:tcPr>
                  <w:tcW w:w="5000" w:type="pct"/>
                  <w:tcBorders>
                    <w:top w:val="nil"/>
                    <w:bottom w:val="nil"/>
                  </w:tcBorders>
                </w:tcPr>
                <w:p w14:paraId="337D8FE7" w14:textId="2A0EE2C7" w:rsidR="00290437" w:rsidRDefault="00290437" w:rsidP="003417D0">
                  <w:pPr>
                    <w:pStyle w:val="Figure"/>
                    <w:spacing w:before="60" w:after="60"/>
                  </w:pPr>
                  <w:r>
                    <w:rPr>
                      <w:noProof/>
                    </w:rPr>
                    <w:drawing>
                      <wp:inline distT="0" distB="0" distL="0" distR="0" wp14:anchorId="44507479" wp14:editId="6CE397B5">
                        <wp:extent cx="5401310" cy="2633980"/>
                        <wp:effectExtent l="0" t="0" r="8890" b="0"/>
                        <wp:docPr id="30" name="Picture 30" descr="This figure show the average student attendance rate at a school by the Indigenous student enrolment rate at the school by remoteness category.&#10;&#10;In each remoteness category, the average student attendance rate at the school declines as the Indigenous student enrolment rate incre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01310" cy="2633980"/>
                                </a:xfrm>
                                <a:prstGeom prst="rect">
                                  <a:avLst/>
                                </a:prstGeom>
                                <a:noFill/>
                              </pic:spPr>
                            </pic:pic>
                          </a:graphicData>
                        </a:graphic>
                      </wp:inline>
                    </w:drawing>
                  </w:r>
                </w:p>
              </w:tc>
            </w:tr>
          </w:tbl>
          <w:p w14:paraId="582926EC" w14:textId="77777777" w:rsidR="00B45608" w:rsidRDefault="00B45608" w:rsidP="003417D0">
            <w:pPr>
              <w:pStyle w:val="Figure"/>
            </w:pPr>
          </w:p>
        </w:tc>
      </w:tr>
      <w:tr w:rsidR="00B45608" w:rsidRPr="00176D3F" w14:paraId="5F0078DD" w14:textId="77777777" w:rsidTr="003417D0">
        <w:tc>
          <w:tcPr>
            <w:tcW w:w="8771" w:type="dxa"/>
            <w:tcBorders>
              <w:top w:val="nil"/>
              <w:left w:val="nil"/>
              <w:bottom w:val="nil"/>
              <w:right w:val="nil"/>
            </w:tcBorders>
            <w:shd w:val="clear" w:color="auto" w:fill="auto"/>
          </w:tcPr>
          <w:p w14:paraId="1AD1002D" w14:textId="7CC397F2" w:rsidR="00B45608" w:rsidRPr="00176D3F" w:rsidRDefault="000375C3" w:rsidP="000375C3">
            <w:pPr>
              <w:pStyle w:val="Note"/>
            </w:pPr>
            <w:proofErr w:type="spellStart"/>
            <w:r>
              <w:rPr>
                <w:rStyle w:val="NoteLabel"/>
              </w:rPr>
              <w:t>a</w:t>
            </w:r>
            <w:proofErr w:type="spellEnd"/>
            <w:r>
              <w:t xml:space="preserve"> Excludes 225 schools (3</w:t>
            </w:r>
            <w:r w:rsidR="00E32387">
              <w:t> per cent</w:t>
            </w:r>
            <w:r>
              <w:t xml:space="preserve">) that either had no defined region, no data on student attendance, no data on Indigenous enrolment rate or </w:t>
            </w:r>
            <w:r w:rsidR="00B071D5">
              <w:t xml:space="preserve">that </w:t>
            </w:r>
            <w:r>
              <w:t>were in a grouping with less than 5 schools.</w:t>
            </w:r>
          </w:p>
        </w:tc>
      </w:tr>
      <w:tr w:rsidR="00B45608" w:rsidRPr="00176D3F" w14:paraId="4A7E9444" w14:textId="77777777" w:rsidTr="003417D0">
        <w:tc>
          <w:tcPr>
            <w:tcW w:w="8771" w:type="dxa"/>
            <w:tcBorders>
              <w:top w:val="nil"/>
              <w:left w:val="nil"/>
              <w:bottom w:val="nil"/>
              <w:right w:val="nil"/>
            </w:tcBorders>
            <w:shd w:val="clear" w:color="auto" w:fill="auto"/>
          </w:tcPr>
          <w:p w14:paraId="3029B12B" w14:textId="57A78A67" w:rsidR="00B45608" w:rsidRPr="00176D3F" w:rsidRDefault="001C6C2D" w:rsidP="003417D0">
            <w:pPr>
              <w:pStyle w:val="Source"/>
            </w:pPr>
            <w:r>
              <w:rPr>
                <w:i/>
              </w:rPr>
              <w:t>S</w:t>
            </w:r>
            <w:r w:rsidRPr="00784A05">
              <w:rPr>
                <w:i/>
              </w:rPr>
              <w:t>ource</w:t>
            </w:r>
            <w:r w:rsidRPr="00176D3F">
              <w:t xml:space="preserve">: </w:t>
            </w:r>
            <w:r>
              <w:t>Commission estimates based on ACARA data (unpublished).</w:t>
            </w:r>
          </w:p>
        </w:tc>
      </w:tr>
      <w:tr w:rsidR="00B45608" w14:paraId="386C35A5" w14:textId="77777777" w:rsidTr="003417D0">
        <w:tc>
          <w:tcPr>
            <w:tcW w:w="8771" w:type="dxa"/>
            <w:tcBorders>
              <w:top w:val="nil"/>
              <w:left w:val="nil"/>
              <w:bottom w:val="single" w:sz="6" w:space="0" w:color="78A22F"/>
              <w:right w:val="nil"/>
            </w:tcBorders>
            <w:shd w:val="clear" w:color="auto" w:fill="auto"/>
          </w:tcPr>
          <w:p w14:paraId="750ABFC7" w14:textId="77777777" w:rsidR="00B45608" w:rsidRDefault="00B45608" w:rsidP="003417D0">
            <w:pPr>
              <w:pStyle w:val="Figurespace"/>
            </w:pPr>
          </w:p>
        </w:tc>
      </w:tr>
      <w:tr w:rsidR="00B45608" w:rsidRPr="000863A5" w14:paraId="479A043E" w14:textId="77777777" w:rsidTr="003417D0">
        <w:tc>
          <w:tcPr>
            <w:tcW w:w="8771" w:type="dxa"/>
            <w:tcBorders>
              <w:top w:val="single" w:sz="6" w:space="0" w:color="78A22F"/>
              <w:left w:val="nil"/>
              <w:bottom w:val="nil"/>
              <w:right w:val="nil"/>
            </w:tcBorders>
          </w:tcPr>
          <w:p w14:paraId="2A52DAA0" w14:textId="030DAB0C" w:rsidR="00B45608" w:rsidRPr="00626D32" w:rsidRDefault="00B45608" w:rsidP="003417D0">
            <w:pPr>
              <w:pStyle w:val="BoxSpaceBelow"/>
            </w:pPr>
          </w:p>
        </w:tc>
      </w:tr>
    </w:tbl>
    <w:p w14:paraId="7B3F3633" w14:textId="10E4D12E" w:rsidR="00326DDD" w:rsidRDefault="00A85BAB" w:rsidP="00326DDD">
      <w:pPr>
        <w:pStyle w:val="Heading2"/>
      </w:pPr>
      <w:r>
        <w:rPr>
          <w:noProof/>
        </w:rPr>
        <w:t>3</w:t>
      </w:r>
      <w:r w:rsidR="00326DDD">
        <w:tab/>
        <w:t xml:space="preserve">Indigenous student </w:t>
      </w:r>
      <w:r w:rsidR="002278EF">
        <w:t>achievement</w:t>
      </w:r>
    </w:p>
    <w:p w14:paraId="243C2138" w14:textId="3114B2E4" w:rsidR="00210F17" w:rsidRDefault="0010530E" w:rsidP="004F27AE">
      <w:pPr>
        <w:pStyle w:val="BodyText"/>
      </w:pPr>
      <w:r>
        <w:t xml:space="preserve">Of the </w:t>
      </w:r>
      <w:r w:rsidR="000A6C82">
        <w:t>14 </w:t>
      </w:r>
      <w:r w:rsidR="00FF2098">
        <w:t xml:space="preserve">620 </w:t>
      </w:r>
      <w:r w:rsidR="000A6C82">
        <w:t>Indigenous students in Year 5 in 2014, 12</w:t>
      </w:r>
      <w:r w:rsidR="001935A5">
        <w:t> </w:t>
      </w:r>
      <w:r w:rsidR="00FF2098">
        <w:t xml:space="preserve">703 </w:t>
      </w:r>
      <w:r w:rsidR="000A6C82">
        <w:t>(87</w:t>
      </w:r>
      <w:r w:rsidR="00E32387">
        <w:t> per cent</w:t>
      </w:r>
      <w:r w:rsidR="000A6C82">
        <w:t xml:space="preserve">) sat the </w:t>
      </w:r>
      <w:proofErr w:type="spellStart"/>
      <w:r w:rsidR="000A6C82">
        <w:t>NAPLAN</w:t>
      </w:r>
      <w:proofErr w:type="spellEnd"/>
      <w:r w:rsidR="000A6C82">
        <w:t xml:space="preserve"> reading test. </w:t>
      </w:r>
      <w:r w:rsidR="00C34E65">
        <w:t>The remainder were either absent, exempt, withdr</w:t>
      </w:r>
      <w:r w:rsidR="00882057">
        <w:t>a</w:t>
      </w:r>
      <w:r w:rsidR="00C34E65">
        <w:t>w</w:t>
      </w:r>
      <w:r w:rsidR="00882057">
        <w:t>n</w:t>
      </w:r>
      <w:r w:rsidR="00C34E65">
        <w:t xml:space="preserve"> or </w:t>
      </w:r>
      <w:r w:rsidR="00882057">
        <w:t>were unable to</w:t>
      </w:r>
      <w:r w:rsidR="00C34E65">
        <w:t xml:space="preserve"> complete the test (box 3).</w:t>
      </w:r>
    </w:p>
    <w:p w14:paraId="12E6A2FE" w14:textId="049B7AB0" w:rsidR="00910DB6" w:rsidRDefault="00850AC0" w:rsidP="004F27AE">
      <w:pPr>
        <w:pStyle w:val="BodyText"/>
      </w:pPr>
      <w:r>
        <w:t xml:space="preserve">Figure 12 shows the distribution of </w:t>
      </w:r>
      <w:r w:rsidR="001935A5">
        <w:t xml:space="preserve">reading </w:t>
      </w:r>
      <w:r>
        <w:t>scores for Indigenous and non</w:t>
      </w:r>
      <w:r w:rsidR="003C48BA">
        <w:noBreakHyphen/>
      </w:r>
      <w:r>
        <w:t xml:space="preserve">Indigenous </w:t>
      </w:r>
      <w:r w:rsidR="001935A5">
        <w:t>students</w:t>
      </w:r>
      <w:r w:rsidR="00210F17">
        <w:t xml:space="preserve"> who did sit the test</w:t>
      </w:r>
      <w:r w:rsidR="001935A5">
        <w:t xml:space="preserve">. </w:t>
      </w:r>
      <w:r w:rsidR="004F27AE">
        <w:t>While m</w:t>
      </w:r>
      <w:r w:rsidR="001935A5">
        <w:t xml:space="preserve">any Indigenous students </w:t>
      </w:r>
      <w:r w:rsidR="004F27AE">
        <w:t>s</w:t>
      </w:r>
      <w:r w:rsidR="00910DB6">
        <w:t xml:space="preserve">core well above the </w:t>
      </w:r>
      <w:r w:rsidR="009D524A">
        <w:t>median</w:t>
      </w:r>
      <w:r w:rsidR="004F27AE">
        <w:t xml:space="preserve"> </w:t>
      </w:r>
      <w:r w:rsidR="009D524A">
        <w:t>of all Year 5 students</w:t>
      </w:r>
      <w:r w:rsidR="003C2638">
        <w:t>,</w:t>
      </w:r>
      <w:r w:rsidR="00910DB6">
        <w:t xml:space="preserve"> in general, Indigenous students tend to be both overrepresented among underachieving students and underrepresented among </w:t>
      </w:r>
      <w:r w:rsidR="00081BF6">
        <w:t>high</w:t>
      </w:r>
      <w:r w:rsidR="00081BF6">
        <w:noBreakHyphen/>
      </w:r>
      <w:r w:rsidR="00910DB6">
        <w:t>achieving students.</w:t>
      </w:r>
      <w:r w:rsidR="004F27AE">
        <w:t xml:space="preserve"> </w:t>
      </w:r>
      <w:r w:rsidR="00515A41">
        <w:t>O</w:t>
      </w:r>
      <w:r w:rsidR="00A078FB">
        <w:t xml:space="preserve">f </w:t>
      </w:r>
      <w:r w:rsidR="001048A1">
        <w:t>all Indigenous students</w:t>
      </w:r>
      <w:r w:rsidR="00515A41">
        <w:t>, 25</w:t>
      </w:r>
      <w:r w:rsidR="00E32387">
        <w:t> per cent</w:t>
      </w:r>
      <w:r w:rsidR="001048A1">
        <w:t xml:space="preserve"> had scores </w:t>
      </w:r>
      <w:r w:rsidR="00A078FB">
        <w:t>among the</w:t>
      </w:r>
      <w:r w:rsidR="001048A1">
        <w:t xml:space="preserve"> bottom </w:t>
      </w:r>
      <w:r w:rsidR="00A078FB">
        <w:t>5</w:t>
      </w:r>
      <w:r w:rsidR="00E32387">
        <w:t> per cent</w:t>
      </w:r>
      <w:r w:rsidR="001048A1">
        <w:t xml:space="preserve"> of all students.</w:t>
      </w:r>
    </w:p>
    <w:p w14:paraId="647F9157" w14:textId="6DB01599" w:rsidR="00450B26" w:rsidRDefault="00450B26">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450B26" w14:paraId="15D3D8E2" w14:textId="77777777" w:rsidTr="0095119F">
        <w:trPr>
          <w:tblHeader/>
        </w:trPr>
        <w:tc>
          <w:tcPr>
            <w:tcW w:w="8771" w:type="dxa"/>
            <w:tcBorders>
              <w:top w:val="single" w:sz="6" w:space="0" w:color="78A22F"/>
              <w:left w:val="nil"/>
              <w:bottom w:val="nil"/>
              <w:right w:val="nil"/>
            </w:tcBorders>
            <w:shd w:val="clear" w:color="auto" w:fill="F2F2F2"/>
          </w:tcPr>
          <w:p w14:paraId="0CF7B47D" w14:textId="3A554E79" w:rsidR="00450B26" w:rsidRDefault="00450B26" w:rsidP="00210F17">
            <w:pPr>
              <w:pStyle w:val="BoxTitle"/>
            </w:pPr>
            <w:r>
              <w:rPr>
                <w:b w:val="0"/>
              </w:rPr>
              <w:t xml:space="preserve">Box </w:t>
            </w:r>
            <w:bookmarkStart w:id="3" w:name="OLE_LINK5"/>
            <w:r>
              <w:rPr>
                <w:b w:val="0"/>
                <w:noProof/>
              </w:rPr>
              <w:t>3</w:t>
            </w:r>
            <w:bookmarkEnd w:id="3"/>
            <w:r>
              <w:tab/>
              <w:t>Who d</w:t>
            </w:r>
            <w:r w:rsidR="00B63976">
              <w:t>oes</w:t>
            </w:r>
            <w:r w:rsidR="00210F17">
              <w:t xml:space="preserve"> </w:t>
            </w:r>
            <w:r w:rsidR="00B63976">
              <w:t>n</w:t>
            </w:r>
            <w:r w:rsidR="00210F17">
              <w:t>o</w:t>
            </w:r>
            <w:r w:rsidR="00B63976">
              <w:t xml:space="preserve">t participate in </w:t>
            </w:r>
            <w:proofErr w:type="spellStart"/>
            <w:r w:rsidR="00B63976">
              <w:t>NAPLAN</w:t>
            </w:r>
            <w:proofErr w:type="spellEnd"/>
            <w:r>
              <w:t>?</w:t>
            </w:r>
          </w:p>
        </w:tc>
      </w:tr>
      <w:tr w:rsidR="00450B26" w14:paraId="1834CF5C" w14:textId="77777777" w:rsidTr="0095119F">
        <w:tc>
          <w:tcPr>
            <w:tcW w:w="8771" w:type="dxa"/>
            <w:tcBorders>
              <w:top w:val="nil"/>
              <w:left w:val="nil"/>
              <w:bottom w:val="nil"/>
              <w:right w:val="nil"/>
            </w:tcBorders>
            <w:shd w:val="clear" w:color="auto" w:fill="F2F2F2"/>
          </w:tcPr>
          <w:p w14:paraId="377AA179" w14:textId="3CB8AEF9" w:rsidR="00B813A7" w:rsidRDefault="007E10EA" w:rsidP="0095119F">
            <w:pPr>
              <w:pStyle w:val="Box"/>
            </w:pPr>
            <w:r>
              <w:t xml:space="preserve">Indigenous students are less likely to participate in </w:t>
            </w:r>
            <w:proofErr w:type="spellStart"/>
            <w:r w:rsidR="00B813A7">
              <w:t>NAPLAN</w:t>
            </w:r>
            <w:proofErr w:type="spellEnd"/>
            <w:r w:rsidR="00B813A7">
              <w:t xml:space="preserve"> than non</w:t>
            </w:r>
            <w:r w:rsidR="003C48BA">
              <w:noBreakHyphen/>
            </w:r>
            <w:r w:rsidR="00B813A7">
              <w:t>Indigenous students. In 2014, 13</w:t>
            </w:r>
            <w:r w:rsidR="00E32387">
              <w:t> per cent</w:t>
            </w:r>
            <w:r w:rsidR="00B813A7">
              <w:t xml:space="preserve"> of Indigenous students in Year 5 did not participate in the </w:t>
            </w:r>
            <w:proofErr w:type="spellStart"/>
            <w:r w:rsidR="00B813A7">
              <w:t>NAPLAN</w:t>
            </w:r>
            <w:proofErr w:type="spellEnd"/>
            <w:r w:rsidR="00B813A7">
              <w:t xml:space="preserve"> reading test compared with 6</w:t>
            </w:r>
            <w:r w:rsidR="00E32387">
              <w:t> per cent</w:t>
            </w:r>
            <w:r w:rsidR="00B813A7">
              <w:t xml:space="preserve"> of non</w:t>
            </w:r>
            <w:r w:rsidR="003C48BA">
              <w:noBreakHyphen/>
            </w:r>
            <w:r w:rsidR="00B813A7">
              <w:t>Indigenous students. Differences in non</w:t>
            </w:r>
            <w:r w:rsidR="003C48BA">
              <w:noBreakHyphen/>
            </w:r>
            <w:r w:rsidR="00B813A7">
              <w:t>participation rates between Indigenous and non</w:t>
            </w:r>
            <w:r w:rsidR="003C48BA">
              <w:noBreakHyphen/>
            </w:r>
            <w:r w:rsidR="00B813A7">
              <w:t>Indigenous students are similar across tests, years (2013 and 2014) and year levels (Year 3 and Year 5).</w:t>
            </w:r>
          </w:p>
          <w:p w14:paraId="4704AE13" w14:textId="790368DD" w:rsidR="00B813A7" w:rsidRDefault="00B813A7" w:rsidP="0095119F">
            <w:pPr>
              <w:pStyle w:val="Box"/>
            </w:pPr>
            <w:r>
              <w:t>Non</w:t>
            </w:r>
            <w:r w:rsidR="003C48BA">
              <w:noBreakHyphen/>
            </w:r>
            <w:r>
              <w:t>participation rates are particularly high for Indigenous students in very remote areas. In 2014, 23</w:t>
            </w:r>
            <w:r w:rsidR="00E32387">
              <w:t> per cent</w:t>
            </w:r>
            <w:r>
              <w:t xml:space="preserve"> of Indigenous Year 5 students in very remote areas did not participate in the reading test. By contrast, the non</w:t>
            </w:r>
            <w:r w:rsidR="003C48BA">
              <w:noBreakHyphen/>
            </w:r>
            <w:r>
              <w:t xml:space="preserve">participation rate for Indigenous students in metropolitan areas was </w:t>
            </w:r>
            <w:r w:rsidR="00853B9E">
              <w:t>11</w:t>
            </w:r>
            <w:r w:rsidR="00E32387">
              <w:t> per cent</w:t>
            </w:r>
            <w:r w:rsidR="00853B9E">
              <w:t xml:space="preserve"> and the non</w:t>
            </w:r>
            <w:r w:rsidR="003C48BA">
              <w:noBreakHyphen/>
            </w:r>
            <w:r w:rsidR="00853B9E">
              <w:t>participation rate for non</w:t>
            </w:r>
            <w:r w:rsidR="003C48BA">
              <w:noBreakHyphen/>
            </w:r>
            <w:r w:rsidR="00853B9E">
              <w:t>Indigenous students in very remote areas was 7</w:t>
            </w:r>
            <w:r w:rsidR="00E32387">
              <w:t> per cent</w:t>
            </w:r>
            <w:r w:rsidR="00853B9E">
              <w:t>.</w:t>
            </w:r>
          </w:p>
          <w:p w14:paraId="58C205C8" w14:textId="4B08B52D" w:rsidR="00853B9E" w:rsidRPr="00210F17" w:rsidRDefault="00853B9E" w:rsidP="0095119F">
            <w:pPr>
              <w:pStyle w:val="Box"/>
              <w:rPr>
                <w:spacing w:val="-2"/>
              </w:rPr>
            </w:pPr>
            <w:r w:rsidRPr="00210F17">
              <w:rPr>
                <w:spacing w:val="-2"/>
              </w:rPr>
              <w:t>Most Indigenous students (5</w:t>
            </w:r>
            <w:r w:rsidR="00456B0A" w:rsidRPr="00210F17">
              <w:rPr>
                <w:spacing w:val="-2"/>
              </w:rPr>
              <w:t>4</w:t>
            </w:r>
            <w:r w:rsidR="00E32387">
              <w:rPr>
                <w:spacing w:val="-2"/>
              </w:rPr>
              <w:t> per cent</w:t>
            </w:r>
            <w:r w:rsidRPr="00210F17">
              <w:rPr>
                <w:spacing w:val="-2"/>
              </w:rPr>
              <w:t>) who did not participate in the reading test were absent when the test was administered. Twenty</w:t>
            </w:r>
            <w:r w:rsidR="003C48BA">
              <w:rPr>
                <w:spacing w:val="-2"/>
              </w:rPr>
              <w:noBreakHyphen/>
            </w:r>
            <w:r w:rsidRPr="00210F17">
              <w:rPr>
                <w:spacing w:val="-2"/>
              </w:rPr>
              <w:t>three</w:t>
            </w:r>
            <w:r w:rsidR="00E32387">
              <w:rPr>
                <w:spacing w:val="-2"/>
              </w:rPr>
              <w:t> per cent</w:t>
            </w:r>
            <w:r w:rsidRPr="00210F17">
              <w:rPr>
                <w:spacing w:val="-2"/>
              </w:rPr>
              <w:t xml:space="preserve"> were withdrawn by a parent or carer, 2</w:t>
            </w:r>
            <w:r w:rsidR="00456B0A" w:rsidRPr="00210F17">
              <w:rPr>
                <w:spacing w:val="-2"/>
              </w:rPr>
              <w:t>2</w:t>
            </w:r>
            <w:r w:rsidR="00E32387">
              <w:rPr>
                <w:spacing w:val="-2"/>
              </w:rPr>
              <w:t> per cent</w:t>
            </w:r>
            <w:r w:rsidRPr="00210F17">
              <w:rPr>
                <w:spacing w:val="-2"/>
              </w:rPr>
              <w:t xml:space="preserve"> were exempt for reasons such as disability or English language proficiency, and 1</w:t>
            </w:r>
            <w:r w:rsidR="00E32387">
              <w:rPr>
                <w:spacing w:val="-2"/>
              </w:rPr>
              <w:t> per cent</w:t>
            </w:r>
            <w:r w:rsidR="005951C6" w:rsidRPr="00210F17">
              <w:rPr>
                <w:spacing w:val="-2"/>
              </w:rPr>
              <w:t xml:space="preserve"> abandoned the test due to illness or injury. By contrast, non</w:t>
            </w:r>
            <w:r w:rsidR="003C48BA">
              <w:rPr>
                <w:spacing w:val="-2"/>
              </w:rPr>
              <w:noBreakHyphen/>
            </w:r>
            <w:r w:rsidR="005951C6" w:rsidRPr="00210F17">
              <w:rPr>
                <w:spacing w:val="-2"/>
              </w:rPr>
              <w:t>Indigenous students who did not participate were less likely to be absent (3</w:t>
            </w:r>
            <w:r w:rsidR="00456B0A" w:rsidRPr="00210F17">
              <w:rPr>
                <w:spacing w:val="-2"/>
              </w:rPr>
              <w:t>4</w:t>
            </w:r>
            <w:r w:rsidR="00E32387">
              <w:rPr>
                <w:spacing w:val="-2"/>
              </w:rPr>
              <w:t> per cent</w:t>
            </w:r>
            <w:r w:rsidR="005951C6" w:rsidRPr="00210F17">
              <w:rPr>
                <w:spacing w:val="-2"/>
              </w:rPr>
              <w:t>), more likely to be withdrawn (3</w:t>
            </w:r>
            <w:r w:rsidR="00456B0A" w:rsidRPr="00210F17">
              <w:rPr>
                <w:spacing w:val="-2"/>
              </w:rPr>
              <w:t>3</w:t>
            </w:r>
            <w:r w:rsidR="00E32387">
              <w:rPr>
                <w:spacing w:val="-2"/>
              </w:rPr>
              <w:t> per cent</w:t>
            </w:r>
            <w:r w:rsidR="005951C6" w:rsidRPr="00210F17">
              <w:rPr>
                <w:spacing w:val="-2"/>
              </w:rPr>
              <w:t>) or exempt (3</w:t>
            </w:r>
            <w:r w:rsidR="00456B0A" w:rsidRPr="00210F17">
              <w:rPr>
                <w:spacing w:val="-2"/>
              </w:rPr>
              <w:t>2</w:t>
            </w:r>
            <w:r w:rsidR="00E32387">
              <w:rPr>
                <w:spacing w:val="-2"/>
              </w:rPr>
              <w:t> per cent</w:t>
            </w:r>
            <w:r w:rsidR="005951C6" w:rsidRPr="00210F17">
              <w:rPr>
                <w:spacing w:val="-2"/>
              </w:rPr>
              <w:t>) and about as likely to abandon the test (</w:t>
            </w:r>
            <w:r w:rsidR="00210F17" w:rsidRPr="00210F17">
              <w:rPr>
                <w:spacing w:val="-2"/>
              </w:rPr>
              <w:t xml:space="preserve">less than </w:t>
            </w:r>
            <w:r w:rsidR="005951C6" w:rsidRPr="00210F17">
              <w:rPr>
                <w:spacing w:val="-2"/>
              </w:rPr>
              <w:t>1</w:t>
            </w:r>
            <w:r w:rsidR="00E32387">
              <w:rPr>
                <w:spacing w:val="-2"/>
              </w:rPr>
              <w:t> per cent</w:t>
            </w:r>
            <w:r w:rsidR="005951C6" w:rsidRPr="00210F17">
              <w:rPr>
                <w:spacing w:val="-2"/>
              </w:rPr>
              <w:t>).</w:t>
            </w:r>
          </w:p>
          <w:p w14:paraId="58849AA9" w14:textId="3C11CB2C" w:rsidR="00456B0A" w:rsidRDefault="003E7D33" w:rsidP="0095119F">
            <w:pPr>
              <w:pStyle w:val="Box"/>
            </w:pPr>
            <w:r>
              <w:t>In very remote areas, Indigenous students who did not participate were much more likely to be absent and much less likely to be withdrawn or exempt.</w:t>
            </w:r>
          </w:p>
          <w:p w14:paraId="7B3415CA" w14:textId="369387EC" w:rsidR="00290437" w:rsidRDefault="00290437" w:rsidP="0095119F">
            <w:pPr>
              <w:pStyle w:val="Box"/>
            </w:pPr>
            <w:r>
              <w:rPr>
                <w:noProof/>
              </w:rPr>
              <w:drawing>
                <wp:inline distT="0" distB="0" distL="0" distR="0" wp14:anchorId="0ADC3A84" wp14:editId="22C3A265">
                  <wp:extent cx="5401310" cy="4017645"/>
                  <wp:effectExtent l="0" t="0" r="8890" b="1905"/>
                  <wp:docPr id="34" name="Picture 34" descr="This figure show non-participation rates by remoteness cateogry and reasons for not participating by remoteness category for Indigenous and non-Indigneous students.&#10;&#10;For non-Indigenous students, non-participations rates do not change much by remoteness category, but for Indigenous students non-participation rates increase steeply with remoteness category.&#10;&#10;Reasons for non-participation are mostly similar across remoteness categories and across Indigenous and non-Indigenous students. But in remote and very remote areas the ratio of absent students to student who are exempt or withdrawn is much higher, especially for Indigenous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01310" cy="4017645"/>
                          </a:xfrm>
                          <a:prstGeom prst="rect">
                            <a:avLst/>
                          </a:prstGeom>
                          <a:noFill/>
                        </pic:spPr>
                      </pic:pic>
                    </a:graphicData>
                  </a:graphic>
                </wp:inline>
              </w:drawing>
            </w:r>
          </w:p>
        </w:tc>
      </w:tr>
      <w:tr w:rsidR="00450B26" w14:paraId="5442FC69" w14:textId="77777777" w:rsidTr="0095119F">
        <w:tc>
          <w:tcPr>
            <w:tcW w:w="8771" w:type="dxa"/>
            <w:tcBorders>
              <w:top w:val="nil"/>
              <w:left w:val="nil"/>
              <w:bottom w:val="nil"/>
              <w:right w:val="nil"/>
            </w:tcBorders>
            <w:shd w:val="clear" w:color="auto" w:fill="F2F2F2"/>
          </w:tcPr>
          <w:p w14:paraId="3D03C255" w14:textId="7D2C2AA1" w:rsidR="00450B26" w:rsidRDefault="00450B26" w:rsidP="0095119F">
            <w:pPr>
              <w:pStyle w:val="BoxSource"/>
            </w:pPr>
            <w:r>
              <w:rPr>
                <w:i/>
              </w:rPr>
              <w:t>Source</w:t>
            </w:r>
            <w:r w:rsidR="008747F0" w:rsidRPr="003C48BA">
              <w:t>:</w:t>
            </w:r>
            <w:r w:rsidR="008747F0">
              <w:rPr>
                <w:i/>
              </w:rPr>
              <w:t xml:space="preserve"> </w:t>
            </w:r>
            <w:r w:rsidR="008747F0">
              <w:t>Commission estimates based on ACARA data (unpublished).</w:t>
            </w:r>
          </w:p>
        </w:tc>
      </w:tr>
      <w:tr w:rsidR="00450B26" w14:paraId="56926CF9" w14:textId="77777777" w:rsidTr="0095119F">
        <w:tc>
          <w:tcPr>
            <w:tcW w:w="8771" w:type="dxa"/>
            <w:tcBorders>
              <w:top w:val="nil"/>
              <w:left w:val="nil"/>
              <w:bottom w:val="single" w:sz="6" w:space="0" w:color="78A22F"/>
              <w:right w:val="nil"/>
            </w:tcBorders>
            <w:shd w:val="clear" w:color="auto" w:fill="F2F2F2"/>
          </w:tcPr>
          <w:p w14:paraId="28DA3791" w14:textId="77777777" w:rsidR="00450B26" w:rsidRDefault="00450B26">
            <w:pPr>
              <w:pStyle w:val="Box"/>
              <w:spacing w:before="0" w:line="120" w:lineRule="exact"/>
            </w:pPr>
          </w:p>
        </w:tc>
      </w:tr>
      <w:tr w:rsidR="00450B26" w:rsidRPr="000863A5" w14:paraId="158AFFEC" w14:textId="77777777" w:rsidTr="0095119F">
        <w:tc>
          <w:tcPr>
            <w:tcW w:w="8771" w:type="dxa"/>
            <w:tcBorders>
              <w:top w:val="single" w:sz="6" w:space="0" w:color="78A22F"/>
              <w:left w:val="nil"/>
              <w:bottom w:val="nil"/>
              <w:right w:val="nil"/>
            </w:tcBorders>
          </w:tcPr>
          <w:p w14:paraId="4A6B683E" w14:textId="39296062" w:rsidR="00450B26" w:rsidRPr="00626D32" w:rsidRDefault="00450B26" w:rsidP="0095119F">
            <w:pPr>
              <w:pStyle w:val="BoxSpaceBelow"/>
            </w:pPr>
          </w:p>
        </w:tc>
      </w:tr>
    </w:tbl>
    <w:p w14:paraId="00235965" w14:textId="77777777" w:rsidR="00450B26" w:rsidRDefault="00450B26" w:rsidP="004F27AE">
      <w:pPr>
        <w:pStyle w:val="BodyText"/>
      </w:pPr>
    </w:p>
    <w:p w14:paraId="059D591B" w14:textId="28AE9C10" w:rsidR="00530239" w:rsidRDefault="00530239" w:rsidP="00850AC0">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530239" w14:paraId="06060DBA" w14:textId="77777777" w:rsidTr="00850AC0">
        <w:tc>
          <w:tcPr>
            <w:tcW w:w="8771" w:type="dxa"/>
            <w:tcBorders>
              <w:top w:val="single" w:sz="6" w:space="0" w:color="78A22F"/>
              <w:left w:val="nil"/>
              <w:bottom w:val="nil"/>
              <w:right w:val="nil"/>
            </w:tcBorders>
            <w:shd w:val="clear" w:color="auto" w:fill="auto"/>
          </w:tcPr>
          <w:p w14:paraId="00701809" w14:textId="32262A43" w:rsidR="00530239" w:rsidRDefault="00530239" w:rsidP="00850AC0">
            <w:pPr>
              <w:pStyle w:val="FigureTitle"/>
            </w:pPr>
            <w:r w:rsidRPr="00784A05">
              <w:rPr>
                <w:b w:val="0"/>
              </w:rPr>
              <w:t xml:space="preserve">Figure </w:t>
            </w:r>
            <w:bookmarkStart w:id="4" w:name="OLE_LINK3"/>
            <w:r w:rsidR="00A85BAB">
              <w:rPr>
                <w:b w:val="0"/>
                <w:noProof/>
              </w:rPr>
              <w:t>12</w:t>
            </w:r>
            <w:bookmarkEnd w:id="4"/>
            <w:r>
              <w:tab/>
              <w:t>Distribution of reading test scores</w:t>
            </w:r>
          </w:p>
          <w:p w14:paraId="6756BFB9" w14:textId="40BC23BE" w:rsidR="00530239" w:rsidRPr="00176D3F" w:rsidRDefault="000E4C75" w:rsidP="0095119F">
            <w:pPr>
              <w:pStyle w:val="Subtitle"/>
            </w:pPr>
            <w:r>
              <w:t>Histogram</w:t>
            </w:r>
            <w:r w:rsidR="001840AB">
              <w:t>s</w:t>
            </w:r>
            <w:r>
              <w:t xml:space="preserve"> for Indigenous and non</w:t>
            </w:r>
            <w:r w:rsidR="003C48BA">
              <w:noBreakHyphen/>
            </w:r>
            <w:r>
              <w:t>Indigenous students (Year 5, 2014)</w:t>
            </w:r>
          </w:p>
        </w:tc>
      </w:tr>
      <w:tr w:rsidR="00530239" w14:paraId="7FD6CA1E" w14:textId="77777777" w:rsidTr="00850AC0">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530239" w14:paraId="66C019F5" w14:textId="77777777" w:rsidTr="00850AC0">
              <w:trPr>
                <w:jc w:val="center"/>
              </w:trPr>
              <w:tc>
                <w:tcPr>
                  <w:tcW w:w="5000" w:type="pct"/>
                  <w:tcBorders>
                    <w:top w:val="nil"/>
                    <w:bottom w:val="nil"/>
                  </w:tcBorders>
                </w:tcPr>
                <w:p w14:paraId="2F415A74" w14:textId="261F48B3" w:rsidR="003901F5" w:rsidRPr="001D49FE" w:rsidRDefault="000E4C75" w:rsidP="000E0A09">
                  <w:pPr>
                    <w:pStyle w:val="Figure"/>
                    <w:spacing w:before="0" w:after="0" w:line="280" w:lineRule="exact"/>
                    <w:ind w:left="2325"/>
                    <w:rPr>
                      <w:rFonts w:asciiTheme="minorHAnsi" w:hAnsiTheme="minorHAnsi"/>
                      <w:sz w:val="18"/>
                    </w:rPr>
                  </w:pPr>
                  <w:r>
                    <w:rPr>
                      <w:rFonts w:asciiTheme="minorHAnsi" w:hAnsiTheme="minorHAnsi" w:cstheme="minorHAnsi"/>
                      <w:sz w:val="18"/>
                      <w:szCs w:val="18"/>
                    </w:rPr>
                    <w:t>P</w:t>
                  </w:r>
                  <w:r w:rsidR="003901F5" w:rsidRPr="001D49FE">
                    <w:rPr>
                      <w:rFonts w:asciiTheme="minorHAnsi" w:hAnsiTheme="minorHAnsi"/>
                      <w:sz w:val="18"/>
                    </w:rPr>
                    <w:t>ercentiles</w:t>
                  </w:r>
                  <w:r>
                    <w:rPr>
                      <w:rFonts w:asciiTheme="minorHAnsi" w:hAnsiTheme="minorHAnsi" w:cstheme="minorHAnsi"/>
                      <w:sz w:val="18"/>
                      <w:szCs w:val="18"/>
                    </w:rPr>
                    <w:t xml:space="preserve"> for </w:t>
                  </w:r>
                  <w:r w:rsidR="004F27AE">
                    <w:rPr>
                      <w:rFonts w:asciiTheme="minorHAnsi" w:hAnsiTheme="minorHAnsi" w:cstheme="minorHAnsi"/>
                      <w:sz w:val="18"/>
                      <w:szCs w:val="18"/>
                    </w:rPr>
                    <w:t>all students</w:t>
                  </w:r>
                  <w:r w:rsidR="004C72E3">
                    <w:rPr>
                      <w:rStyle w:val="NoteLabel"/>
                    </w:rPr>
                    <w:t>a</w:t>
                  </w:r>
                </w:p>
                <w:p w14:paraId="6DAFF6D5" w14:textId="2C53FE02" w:rsidR="00652613" w:rsidRDefault="003901F5" w:rsidP="000E0A09">
                  <w:pPr>
                    <w:pStyle w:val="Figure"/>
                    <w:spacing w:before="0" w:after="0" w:line="280" w:lineRule="exact"/>
                    <w:ind w:left="2325"/>
                    <w:rPr>
                      <w:szCs w:val="24"/>
                    </w:rPr>
                  </w:pPr>
                  <w:r w:rsidRPr="003901F5">
                    <w:rPr>
                      <w:noProof/>
                    </w:rPr>
                    <mc:AlternateContent>
                      <mc:Choice Requires="wps">
                        <w:drawing>
                          <wp:inline distT="0" distB="0" distL="0" distR="0" wp14:anchorId="728F12DA" wp14:editId="1D0D59BD">
                            <wp:extent cx="122240" cy="1535430"/>
                            <wp:effectExtent l="0" t="1905" r="28575" b="28575"/>
                            <wp:docPr id="58" name="Left Brace 58" descr="Figure 12: Bracket to group percentiles."/>
                            <wp:cNvGraphicFramePr/>
                            <a:graphic xmlns:a="http://schemas.openxmlformats.org/drawingml/2006/main">
                              <a:graphicData uri="http://schemas.microsoft.com/office/word/2010/wordprocessingShape">
                                <wps:wsp>
                                  <wps:cNvSpPr/>
                                  <wps:spPr>
                                    <a:xfrm rot="5400000">
                                      <a:off x="0" y="0"/>
                                      <a:ext cx="122240" cy="1535430"/>
                                    </a:xfrm>
                                    <a:prstGeom prst="leftBrace">
                                      <a:avLst>
                                        <a:gd name="adj1" fmla="val 67887"/>
                                        <a:gd name="adj2" fmla="val 4751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58" o:spid="_x0000_s1026" type="#_x0000_t87" alt="Figure 12: Bracket to group percentiles." style="width:9.65pt;height:120.9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" adj="1167,10264" strokecolor="black [3213]">
                            <w10:anchorlock/>
                          </v:shape>
                        </w:pict>
                      </mc:Fallback>
                    </mc:AlternateContent>
                  </w:r>
                </w:p>
                <w:p w14:paraId="31495EA1" w14:textId="2E3C395C" w:rsidR="00290437" w:rsidRDefault="00290437" w:rsidP="00690EBF">
                  <w:pPr>
                    <w:pStyle w:val="Figure"/>
                    <w:spacing w:before="0" w:after="60" w:line="240" w:lineRule="auto"/>
                  </w:pPr>
                  <w:r>
                    <w:rPr>
                      <w:noProof/>
                    </w:rPr>
                    <w:drawing>
                      <wp:inline distT="0" distB="0" distL="0" distR="0" wp14:anchorId="4D291CF0" wp14:editId="2EE71B75">
                        <wp:extent cx="5401310" cy="4017645"/>
                        <wp:effectExtent l="0" t="0" r="8890" b="1905"/>
                        <wp:docPr id="35" name="Picture 35" descr="This figures show the distribution of reading test scores for Indigenous and non-Indigenous students.&#10;&#10;The distribution of Indigenous students is shifted leftwards relative to the distribution of non-Indigenous students. This means there are far fewer high achieving Indigenous students and far more underachieving Indigenous students in proportional te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01310" cy="4017645"/>
                                </a:xfrm>
                                <a:prstGeom prst="rect">
                                  <a:avLst/>
                                </a:prstGeom>
                                <a:noFill/>
                              </pic:spPr>
                            </pic:pic>
                          </a:graphicData>
                        </a:graphic>
                      </wp:inline>
                    </w:drawing>
                  </w:r>
                </w:p>
              </w:tc>
            </w:tr>
          </w:tbl>
          <w:p w14:paraId="72B0B32D" w14:textId="77777777" w:rsidR="00530239" w:rsidRDefault="00530239" w:rsidP="00850AC0">
            <w:pPr>
              <w:pStyle w:val="Figure"/>
            </w:pPr>
          </w:p>
        </w:tc>
      </w:tr>
      <w:tr w:rsidR="004C72E3" w:rsidRPr="00176D3F" w14:paraId="0AE6DFA9" w14:textId="77777777" w:rsidTr="00850AC0">
        <w:tc>
          <w:tcPr>
            <w:tcW w:w="8771" w:type="dxa"/>
            <w:tcBorders>
              <w:top w:val="nil"/>
              <w:left w:val="nil"/>
              <w:bottom w:val="nil"/>
              <w:right w:val="nil"/>
            </w:tcBorders>
            <w:shd w:val="clear" w:color="auto" w:fill="auto"/>
          </w:tcPr>
          <w:p w14:paraId="5BF2C11A" w14:textId="3DE8388F" w:rsidR="004C72E3" w:rsidRDefault="004C72E3" w:rsidP="004C72E3">
            <w:pPr>
              <w:pStyle w:val="Source"/>
              <w:rPr>
                <w:i/>
              </w:rPr>
            </w:pPr>
            <w:proofErr w:type="spellStart"/>
            <w:r>
              <w:rPr>
                <w:rStyle w:val="NoteLabel"/>
              </w:rPr>
              <w:t>a</w:t>
            </w:r>
            <w:proofErr w:type="spellEnd"/>
            <w:r>
              <w:t xml:space="preserve"> The p</w:t>
            </w:r>
            <w:r w:rsidRPr="004C72E3">
              <w:t xml:space="preserve">ercentiles define the percentage proportion of scores in </w:t>
            </w:r>
            <w:r>
              <w:t xml:space="preserve">the </w:t>
            </w:r>
            <w:r w:rsidRPr="004C72E3">
              <w:t xml:space="preserve">distribution </w:t>
            </w:r>
            <w:r>
              <w:t xml:space="preserve">of all students </w:t>
            </w:r>
            <w:r w:rsidRPr="004C72E3">
              <w:t>that a specific score is greater than or equal to.</w:t>
            </w:r>
          </w:p>
        </w:tc>
      </w:tr>
      <w:tr w:rsidR="00530239" w:rsidRPr="00176D3F" w14:paraId="1AE3ED15" w14:textId="77777777" w:rsidTr="00850AC0">
        <w:tc>
          <w:tcPr>
            <w:tcW w:w="8771" w:type="dxa"/>
            <w:tcBorders>
              <w:top w:val="nil"/>
              <w:left w:val="nil"/>
              <w:bottom w:val="nil"/>
              <w:right w:val="nil"/>
            </w:tcBorders>
            <w:shd w:val="clear" w:color="auto" w:fill="auto"/>
          </w:tcPr>
          <w:p w14:paraId="581E3BAB" w14:textId="04B96A4F" w:rsidR="00530239" w:rsidRPr="00176D3F" w:rsidRDefault="009D2BD1" w:rsidP="00850AC0">
            <w:pPr>
              <w:pStyle w:val="Source"/>
            </w:pPr>
            <w:r>
              <w:rPr>
                <w:i/>
              </w:rPr>
              <w:t>S</w:t>
            </w:r>
            <w:r w:rsidRPr="00784A05">
              <w:rPr>
                <w:i/>
              </w:rPr>
              <w:t>ource</w:t>
            </w:r>
            <w:r w:rsidRPr="00176D3F">
              <w:t xml:space="preserve">: </w:t>
            </w:r>
            <w:r>
              <w:t>Commission estimates based on ACARA data (unpublished).</w:t>
            </w:r>
          </w:p>
        </w:tc>
      </w:tr>
      <w:tr w:rsidR="00530239" w14:paraId="046ED403" w14:textId="77777777" w:rsidTr="00850AC0">
        <w:tc>
          <w:tcPr>
            <w:tcW w:w="8771" w:type="dxa"/>
            <w:tcBorders>
              <w:top w:val="nil"/>
              <w:left w:val="nil"/>
              <w:bottom w:val="single" w:sz="6" w:space="0" w:color="78A22F"/>
              <w:right w:val="nil"/>
            </w:tcBorders>
            <w:shd w:val="clear" w:color="auto" w:fill="auto"/>
          </w:tcPr>
          <w:p w14:paraId="350B0FED" w14:textId="77777777" w:rsidR="00530239" w:rsidRDefault="00530239" w:rsidP="00850AC0">
            <w:pPr>
              <w:pStyle w:val="Figurespace"/>
            </w:pPr>
          </w:p>
        </w:tc>
      </w:tr>
      <w:tr w:rsidR="00530239" w:rsidRPr="000863A5" w14:paraId="5D6EBED4" w14:textId="77777777" w:rsidTr="00850AC0">
        <w:tc>
          <w:tcPr>
            <w:tcW w:w="8771" w:type="dxa"/>
            <w:tcBorders>
              <w:top w:val="single" w:sz="6" w:space="0" w:color="78A22F"/>
              <w:left w:val="nil"/>
              <w:bottom w:val="nil"/>
              <w:right w:val="nil"/>
            </w:tcBorders>
          </w:tcPr>
          <w:p w14:paraId="2AC8338F" w14:textId="2017C349" w:rsidR="00530239" w:rsidRPr="00626D32" w:rsidRDefault="00530239" w:rsidP="00850AC0">
            <w:pPr>
              <w:pStyle w:val="BoxSpaceBelow"/>
            </w:pPr>
          </w:p>
        </w:tc>
      </w:tr>
    </w:tbl>
    <w:p w14:paraId="533717FB" w14:textId="310989FA" w:rsidR="00E51DAE" w:rsidRDefault="00C5165C" w:rsidP="00891E3D">
      <w:pPr>
        <w:pStyle w:val="BodyText"/>
      </w:pPr>
      <w:r w:rsidRPr="001935A5">
        <w:t xml:space="preserve">This section explores how Indigenous student </w:t>
      </w:r>
      <w:r w:rsidR="002278EF">
        <w:t>achievement</w:t>
      </w:r>
      <w:r w:rsidR="002278EF" w:rsidRPr="001935A5">
        <w:t xml:space="preserve"> </w:t>
      </w:r>
      <w:r w:rsidRPr="001935A5">
        <w:t xml:space="preserve">varies by location, family background and the characteristics of the schools </w:t>
      </w:r>
      <w:r w:rsidR="008D49C1" w:rsidRPr="001935A5">
        <w:t xml:space="preserve">that </w:t>
      </w:r>
      <w:r w:rsidRPr="001935A5">
        <w:t>students attend.</w:t>
      </w:r>
      <w:r w:rsidR="00CB7DD8">
        <w:t xml:space="preserve"> </w:t>
      </w:r>
      <w:r w:rsidR="00511990" w:rsidRPr="001935A5">
        <w:t>Th</w:t>
      </w:r>
      <w:r w:rsidR="00511990">
        <w:t>e</w:t>
      </w:r>
      <w:r w:rsidR="00511990" w:rsidRPr="001935A5">
        <w:t xml:space="preserve"> </w:t>
      </w:r>
      <w:r w:rsidR="00F758F5" w:rsidRPr="001935A5">
        <w:t xml:space="preserve">information presented </w:t>
      </w:r>
      <w:r w:rsidR="00511990">
        <w:t xml:space="preserve">in this section is intended </w:t>
      </w:r>
      <w:r w:rsidR="002278EF">
        <w:t>to be descriptive</w:t>
      </w:r>
      <w:r w:rsidR="00F758F5" w:rsidRPr="001935A5">
        <w:t xml:space="preserve">. The </w:t>
      </w:r>
      <w:r w:rsidR="00204F23">
        <w:t>indicators</w:t>
      </w:r>
      <w:r w:rsidR="00204F23" w:rsidRPr="001935A5">
        <w:t xml:space="preserve"> </w:t>
      </w:r>
      <w:r w:rsidR="00F758F5" w:rsidRPr="001935A5">
        <w:t>discussed do not necessarily represent causal factors that can explain differences in student scores.</w:t>
      </w:r>
    </w:p>
    <w:p w14:paraId="23C2B67E" w14:textId="2516DCE9" w:rsidR="0030361E" w:rsidRDefault="008A6B94" w:rsidP="00BE2DC7">
      <w:pPr>
        <w:pStyle w:val="BodyText"/>
      </w:pPr>
      <w:r w:rsidRPr="0030361E">
        <w:t>A common chart format is used throughout th</w:t>
      </w:r>
      <w:r w:rsidR="00691B9E" w:rsidRPr="0030361E">
        <w:t>is</w:t>
      </w:r>
      <w:r w:rsidRPr="0030361E">
        <w:t xml:space="preserve"> section</w:t>
      </w:r>
      <w:r w:rsidR="0030361E" w:rsidRPr="0030361E">
        <w:t>. Each chart shows the median reading test score (the middle score when students are sorted by score) for Indigenous and non</w:t>
      </w:r>
      <w:r w:rsidR="0030361E" w:rsidRPr="0030361E">
        <w:noBreakHyphen/>
        <w:t xml:space="preserve">Indigenous students in Year 5 in 2014. For reference, each chart also includes lines </w:t>
      </w:r>
      <w:r w:rsidR="00236439">
        <w:t>that</w:t>
      </w:r>
      <w:r w:rsidR="0030361E" w:rsidRPr="0030361E">
        <w:t xml:space="preserve"> indicate the reading scores at given percentiles for </w:t>
      </w:r>
      <w:r w:rsidR="0030361E" w:rsidRPr="001A6B08">
        <w:rPr>
          <w:i/>
        </w:rPr>
        <w:t>all</w:t>
      </w:r>
      <w:r w:rsidR="0030361E" w:rsidRPr="0030361E">
        <w:t xml:space="preserve"> Year 5 students in 2014. Percentiles define the percentage of scores in a distribution that a specific score is greater than or equal to.</w:t>
      </w:r>
    </w:p>
    <w:p w14:paraId="45A71C01" w14:textId="77777777" w:rsidR="0030361E" w:rsidRDefault="0030361E" w:rsidP="0030361E">
      <w:pPr>
        <w:pStyle w:val="Heading3"/>
      </w:pPr>
      <w:r>
        <w:lastRenderedPageBreak/>
        <w:t>How does reading achievement vary by location?</w:t>
      </w:r>
    </w:p>
    <w:p w14:paraId="0B4C3E3A" w14:textId="3302A88B" w:rsidR="00BE2DC7" w:rsidRPr="006F1B28" w:rsidRDefault="007F6AD3" w:rsidP="0030361E">
      <w:pPr>
        <w:pStyle w:val="BodyText"/>
      </w:pPr>
      <w:r w:rsidRPr="006F1B28">
        <w:t xml:space="preserve">Median reading scores for </w:t>
      </w:r>
      <w:r w:rsidR="00BE2DC7" w:rsidRPr="006F1B28">
        <w:t xml:space="preserve">Indigenous students </w:t>
      </w:r>
      <w:r w:rsidR="00941C65" w:rsidRPr="006F1B28">
        <w:t xml:space="preserve">vary substantially by state. </w:t>
      </w:r>
      <w:r w:rsidRPr="006F1B28">
        <w:t xml:space="preserve">Indigenous students </w:t>
      </w:r>
      <w:r w:rsidR="00941C65" w:rsidRPr="006F1B28">
        <w:t>perform least well in the Northern Territory</w:t>
      </w:r>
      <w:r w:rsidR="001479DC" w:rsidRPr="006F1B28">
        <w:t xml:space="preserve"> — </w:t>
      </w:r>
      <w:r w:rsidR="002B2ED8" w:rsidRPr="006F1B28">
        <w:t xml:space="preserve">more than </w:t>
      </w:r>
      <w:r w:rsidR="001479DC" w:rsidRPr="006F1B28">
        <w:t xml:space="preserve">half of all Indigenous students in the Northern Territory have scores </w:t>
      </w:r>
      <w:r w:rsidR="00CE4B49" w:rsidRPr="006F1B28">
        <w:t>among the bottom 5</w:t>
      </w:r>
      <w:r w:rsidR="00E32387">
        <w:t> per cent</w:t>
      </w:r>
      <w:r w:rsidR="00CE4B49" w:rsidRPr="006F1B28">
        <w:t xml:space="preserve"> of</w:t>
      </w:r>
      <w:r w:rsidR="001C6C2D" w:rsidRPr="006F1B28">
        <w:t xml:space="preserve"> all students</w:t>
      </w:r>
      <w:r w:rsidR="00941C65" w:rsidRPr="006F1B28">
        <w:t>. But even in the best performing states</w:t>
      </w:r>
      <w:r w:rsidR="00F113C0" w:rsidRPr="006F1B28">
        <w:t xml:space="preserve"> (</w:t>
      </w:r>
      <w:r w:rsidR="001C6C2D" w:rsidRPr="006F1B28">
        <w:t>ACT, Victoria and New South Wales</w:t>
      </w:r>
      <w:r w:rsidR="00F113C0" w:rsidRPr="006F1B28">
        <w:t xml:space="preserve">), </w:t>
      </w:r>
      <w:r w:rsidR="002B2ED8" w:rsidRPr="006F1B28">
        <w:t>almost</w:t>
      </w:r>
      <w:r w:rsidR="00CE4B49" w:rsidRPr="006F1B28">
        <w:t xml:space="preserve"> half of</w:t>
      </w:r>
      <w:r w:rsidR="00941C65" w:rsidRPr="006F1B28">
        <w:t xml:space="preserve"> </w:t>
      </w:r>
      <w:r w:rsidR="00197980" w:rsidRPr="006F1B28">
        <w:t xml:space="preserve">all </w:t>
      </w:r>
      <w:r w:rsidR="00941C65" w:rsidRPr="006F1B28">
        <w:t xml:space="preserve">Indigenous students </w:t>
      </w:r>
      <w:r w:rsidR="00CE4B49" w:rsidRPr="006F1B28">
        <w:t>have scores in the bottom 25</w:t>
      </w:r>
      <w:r w:rsidR="00E32387">
        <w:t> per cent</w:t>
      </w:r>
      <w:r w:rsidR="00CE4B49" w:rsidRPr="006F1B28">
        <w:t xml:space="preserve"> of all students</w:t>
      </w:r>
      <w:r w:rsidR="00941C65" w:rsidRPr="006F1B28">
        <w:t>.</w:t>
      </w:r>
    </w:p>
    <w:p w14:paraId="051CEF99" w14:textId="6E721789" w:rsidR="00347497" w:rsidRDefault="00347497" w:rsidP="003417D0">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347497" w14:paraId="30BD1F0F" w14:textId="77777777" w:rsidTr="003417D0">
        <w:tc>
          <w:tcPr>
            <w:tcW w:w="8771" w:type="dxa"/>
            <w:tcBorders>
              <w:top w:val="single" w:sz="6" w:space="0" w:color="78A22F"/>
              <w:left w:val="nil"/>
              <w:bottom w:val="nil"/>
              <w:right w:val="nil"/>
            </w:tcBorders>
            <w:shd w:val="clear" w:color="auto" w:fill="auto"/>
          </w:tcPr>
          <w:p w14:paraId="42207734" w14:textId="26AA345B" w:rsidR="00347497" w:rsidRDefault="00347497" w:rsidP="003417D0">
            <w:pPr>
              <w:pStyle w:val="FigureTitle"/>
            </w:pPr>
            <w:r w:rsidRPr="00784A05">
              <w:rPr>
                <w:b w:val="0"/>
              </w:rPr>
              <w:t xml:space="preserve">Figure </w:t>
            </w:r>
            <w:r w:rsidR="00A85BAB">
              <w:rPr>
                <w:b w:val="0"/>
                <w:noProof/>
              </w:rPr>
              <w:t>13</w:t>
            </w:r>
            <w:r>
              <w:tab/>
            </w:r>
            <w:r w:rsidR="00020D8E">
              <w:t>Reading scores by state</w:t>
            </w:r>
          </w:p>
          <w:p w14:paraId="7289EFB0" w14:textId="0DA121F9" w:rsidR="00347497" w:rsidRPr="00176D3F" w:rsidRDefault="00020D8E" w:rsidP="0095119F">
            <w:pPr>
              <w:pStyle w:val="Subtitle"/>
            </w:pPr>
            <w:r>
              <w:t>Median scores of Indigenous and non</w:t>
            </w:r>
            <w:r w:rsidR="003C48BA">
              <w:noBreakHyphen/>
            </w:r>
            <w:r>
              <w:t>Indigenous students (Year 5, 2014)</w:t>
            </w:r>
          </w:p>
        </w:tc>
      </w:tr>
      <w:tr w:rsidR="00347497" w14:paraId="73C96466" w14:textId="77777777" w:rsidTr="003417D0">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347497" w14:paraId="334B4D50" w14:textId="77777777" w:rsidTr="003417D0">
              <w:trPr>
                <w:jc w:val="center"/>
              </w:trPr>
              <w:tc>
                <w:tcPr>
                  <w:tcW w:w="5000" w:type="pct"/>
                  <w:tcBorders>
                    <w:top w:val="nil"/>
                    <w:bottom w:val="nil"/>
                  </w:tcBorders>
                </w:tcPr>
                <w:p w14:paraId="625D607C" w14:textId="3773D01A" w:rsidR="00290437" w:rsidRDefault="00290437" w:rsidP="003417D0">
                  <w:pPr>
                    <w:pStyle w:val="Figure"/>
                    <w:spacing w:before="60" w:after="60"/>
                  </w:pPr>
                  <w:r>
                    <w:rPr>
                      <w:noProof/>
                    </w:rPr>
                    <w:drawing>
                      <wp:inline distT="0" distB="0" distL="0" distR="0" wp14:anchorId="478AC017" wp14:editId="25114BB2">
                        <wp:extent cx="5401310" cy="2633980"/>
                        <wp:effectExtent l="0" t="0" r="8890" b="0"/>
                        <wp:docPr id="37" name="Picture 37" descr="This figure shows the median reading scores of Indigenous and non-Indigenous students in year 5 in 2014 by state.&#10;&#10;In all states, the median score is lower for Indigenous students than non-Indigenous students. In most cases, around the 25th to 10th percentile for all students.&#10;&#10;The median score for Indigenous students is lowest in Northern Territory where the media score for Indigenous students is below the 5th percentile for all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01310" cy="2633980"/>
                                </a:xfrm>
                                <a:prstGeom prst="rect">
                                  <a:avLst/>
                                </a:prstGeom>
                                <a:noFill/>
                              </pic:spPr>
                            </pic:pic>
                          </a:graphicData>
                        </a:graphic>
                      </wp:inline>
                    </w:drawing>
                  </w:r>
                </w:p>
              </w:tc>
            </w:tr>
          </w:tbl>
          <w:p w14:paraId="6AE1CEDA" w14:textId="77777777" w:rsidR="00347497" w:rsidRDefault="00347497" w:rsidP="003417D0">
            <w:pPr>
              <w:pStyle w:val="Figure"/>
            </w:pPr>
          </w:p>
        </w:tc>
      </w:tr>
      <w:tr w:rsidR="00347497" w:rsidRPr="00176D3F" w14:paraId="13C7D310" w14:textId="77777777" w:rsidTr="003417D0">
        <w:tc>
          <w:tcPr>
            <w:tcW w:w="8771" w:type="dxa"/>
            <w:tcBorders>
              <w:top w:val="nil"/>
              <w:left w:val="nil"/>
              <w:bottom w:val="nil"/>
              <w:right w:val="nil"/>
            </w:tcBorders>
            <w:shd w:val="clear" w:color="auto" w:fill="auto"/>
          </w:tcPr>
          <w:p w14:paraId="78EC13FD" w14:textId="272CA32F" w:rsidR="00347497" w:rsidRPr="00176D3F" w:rsidRDefault="00223C79" w:rsidP="003417D0">
            <w:pPr>
              <w:pStyle w:val="Source"/>
            </w:pPr>
            <w:r>
              <w:rPr>
                <w:i/>
              </w:rPr>
              <w:t>S</w:t>
            </w:r>
            <w:r w:rsidRPr="00784A05">
              <w:rPr>
                <w:i/>
              </w:rPr>
              <w:t>ource</w:t>
            </w:r>
            <w:r w:rsidRPr="00176D3F">
              <w:t xml:space="preserve">: </w:t>
            </w:r>
            <w:r>
              <w:t>Commission estimates based on ACARA data (unpublished).</w:t>
            </w:r>
          </w:p>
        </w:tc>
      </w:tr>
      <w:tr w:rsidR="00347497" w14:paraId="2BE6C6AC" w14:textId="77777777" w:rsidTr="003417D0">
        <w:tc>
          <w:tcPr>
            <w:tcW w:w="8771" w:type="dxa"/>
            <w:tcBorders>
              <w:top w:val="nil"/>
              <w:left w:val="nil"/>
              <w:bottom w:val="single" w:sz="6" w:space="0" w:color="78A22F"/>
              <w:right w:val="nil"/>
            </w:tcBorders>
            <w:shd w:val="clear" w:color="auto" w:fill="auto"/>
          </w:tcPr>
          <w:p w14:paraId="73F8D3EB" w14:textId="77777777" w:rsidR="00347497" w:rsidRDefault="00347497" w:rsidP="003417D0">
            <w:pPr>
              <w:pStyle w:val="Figurespace"/>
            </w:pPr>
          </w:p>
        </w:tc>
      </w:tr>
      <w:tr w:rsidR="00347497" w:rsidRPr="000863A5" w14:paraId="455AE22C" w14:textId="77777777" w:rsidTr="003417D0">
        <w:tc>
          <w:tcPr>
            <w:tcW w:w="8771" w:type="dxa"/>
            <w:tcBorders>
              <w:top w:val="single" w:sz="6" w:space="0" w:color="78A22F"/>
              <w:left w:val="nil"/>
              <w:bottom w:val="nil"/>
              <w:right w:val="nil"/>
            </w:tcBorders>
          </w:tcPr>
          <w:p w14:paraId="4F608854" w14:textId="22FCAD84" w:rsidR="00347497" w:rsidRPr="00626D32" w:rsidRDefault="00347497" w:rsidP="003417D0">
            <w:pPr>
              <w:pStyle w:val="BoxSpaceBelow"/>
            </w:pPr>
          </w:p>
        </w:tc>
      </w:tr>
    </w:tbl>
    <w:p w14:paraId="3BBC77BC" w14:textId="15189230" w:rsidR="00BE2DC7" w:rsidRPr="006F1B28" w:rsidRDefault="00941C65" w:rsidP="00BE2DC7">
      <w:pPr>
        <w:pStyle w:val="BodyText"/>
      </w:pPr>
      <w:r w:rsidRPr="006F1B28">
        <w:t>Median</w:t>
      </w:r>
      <w:r w:rsidR="007F6AD3" w:rsidRPr="006F1B28">
        <w:t xml:space="preserve"> </w:t>
      </w:r>
      <w:r w:rsidR="00EE37EF" w:rsidRPr="006F1B28">
        <w:t xml:space="preserve">reading </w:t>
      </w:r>
      <w:r w:rsidR="007F6AD3" w:rsidRPr="006F1B28">
        <w:t xml:space="preserve">scores </w:t>
      </w:r>
      <w:r w:rsidRPr="006F1B28">
        <w:t xml:space="preserve">for Indigenous students </w:t>
      </w:r>
      <w:r w:rsidR="007F6AD3" w:rsidRPr="006F1B28">
        <w:t xml:space="preserve">also tend to be very </w:t>
      </w:r>
      <w:r w:rsidRPr="006F1B28">
        <w:t xml:space="preserve">low in very </w:t>
      </w:r>
      <w:r w:rsidR="007F6AD3" w:rsidRPr="006F1B28">
        <w:t xml:space="preserve">remote </w:t>
      </w:r>
      <w:r w:rsidRPr="006F1B28">
        <w:t>regions</w:t>
      </w:r>
      <w:r w:rsidR="007F6AD3" w:rsidRPr="006F1B28">
        <w:t xml:space="preserve">, but again, </w:t>
      </w:r>
      <w:r w:rsidR="00E2423B">
        <w:t>low achievement</w:t>
      </w:r>
      <w:r w:rsidR="00E2423B" w:rsidRPr="006F1B28">
        <w:t xml:space="preserve"> </w:t>
      </w:r>
      <w:r w:rsidR="007F6AD3" w:rsidRPr="006F1B28">
        <w:t>relative to non</w:t>
      </w:r>
      <w:r w:rsidR="003C48BA">
        <w:noBreakHyphen/>
      </w:r>
      <w:r w:rsidR="007F6AD3" w:rsidRPr="006F1B28">
        <w:t>Indigenous student</w:t>
      </w:r>
      <w:r w:rsidR="00D37E5B">
        <w:t>s</w:t>
      </w:r>
      <w:r w:rsidR="007F6AD3" w:rsidRPr="006F1B28">
        <w:t xml:space="preserve"> occurs across all categories of remoteness.</w:t>
      </w:r>
      <w:r w:rsidR="00343227" w:rsidRPr="006F1B28">
        <w:t xml:space="preserve"> Even in metropolitan areas, </w:t>
      </w:r>
      <w:r w:rsidR="002B2ED8" w:rsidRPr="006F1B28">
        <w:t>half of all</w:t>
      </w:r>
      <w:r w:rsidRPr="006F1B28">
        <w:t xml:space="preserve"> </w:t>
      </w:r>
      <w:r w:rsidR="00343227" w:rsidRPr="006F1B28">
        <w:t>Indigenous student</w:t>
      </w:r>
      <w:r w:rsidRPr="006F1B28">
        <w:t>s</w:t>
      </w:r>
      <w:r w:rsidR="00343227" w:rsidRPr="006F1B28">
        <w:t xml:space="preserve"> in </w:t>
      </w:r>
      <w:r w:rsidR="00A319DB" w:rsidRPr="006F1B28">
        <w:t>Year</w:t>
      </w:r>
      <w:r w:rsidR="00343227" w:rsidRPr="006F1B28">
        <w:t xml:space="preserve"> 5 </w:t>
      </w:r>
      <w:r w:rsidR="002B2ED8" w:rsidRPr="006F1B28">
        <w:t>have scores among the bottom quarter of</w:t>
      </w:r>
      <w:r w:rsidR="00343227" w:rsidRPr="006F1B28">
        <w:t xml:space="preserve"> </w:t>
      </w:r>
      <w:r w:rsidRPr="006F1B28">
        <w:t>all students</w:t>
      </w:r>
      <w:r w:rsidR="00343227" w:rsidRPr="006F1B28">
        <w:t>.</w:t>
      </w:r>
    </w:p>
    <w:p w14:paraId="5D38E4AB" w14:textId="49FCEEE9" w:rsidR="00F050D0" w:rsidRDefault="00F050D0" w:rsidP="00E916FC">
      <w:pPr>
        <w:pStyle w:val="BoxSpaceAbove"/>
        <w:spacing w:before="120"/>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F050D0" w14:paraId="26F84E59" w14:textId="77777777" w:rsidTr="003417D0">
        <w:tc>
          <w:tcPr>
            <w:tcW w:w="8771" w:type="dxa"/>
            <w:tcBorders>
              <w:top w:val="single" w:sz="6" w:space="0" w:color="78A22F"/>
              <w:left w:val="nil"/>
              <w:bottom w:val="nil"/>
              <w:right w:val="nil"/>
            </w:tcBorders>
            <w:shd w:val="clear" w:color="auto" w:fill="auto"/>
          </w:tcPr>
          <w:p w14:paraId="6AA9603E" w14:textId="4C09C807" w:rsidR="00F050D0" w:rsidRDefault="00F050D0" w:rsidP="003417D0">
            <w:pPr>
              <w:pStyle w:val="FigureTitle"/>
            </w:pPr>
            <w:r w:rsidRPr="00784A05">
              <w:rPr>
                <w:b w:val="0"/>
              </w:rPr>
              <w:t xml:space="preserve">Figure </w:t>
            </w:r>
            <w:r w:rsidR="00A85BAB">
              <w:rPr>
                <w:b w:val="0"/>
                <w:noProof/>
              </w:rPr>
              <w:t>14</w:t>
            </w:r>
            <w:r>
              <w:tab/>
              <w:t xml:space="preserve">Reading scores by </w:t>
            </w:r>
            <w:r w:rsidR="007F6AD3">
              <w:t>remoteness</w:t>
            </w:r>
            <w:r w:rsidR="00116689" w:rsidRPr="00697C0E">
              <w:rPr>
                <w:rStyle w:val="NoteLabel"/>
                <w:b/>
              </w:rPr>
              <w:t>a</w:t>
            </w:r>
          </w:p>
          <w:p w14:paraId="7EDE087B" w14:textId="7618BE51" w:rsidR="00F050D0" w:rsidRPr="00176D3F" w:rsidRDefault="00F050D0" w:rsidP="0095119F">
            <w:pPr>
              <w:pStyle w:val="Subtitle"/>
            </w:pPr>
            <w:r>
              <w:t>Median scores of Indigenous and non</w:t>
            </w:r>
            <w:r w:rsidR="003C48BA">
              <w:noBreakHyphen/>
            </w:r>
            <w:r>
              <w:t>Indigenous students (Year 5, 2014)</w:t>
            </w:r>
          </w:p>
        </w:tc>
      </w:tr>
      <w:tr w:rsidR="00F050D0" w14:paraId="0194FB3D" w14:textId="77777777" w:rsidTr="003417D0">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F050D0" w14:paraId="6DFB1470" w14:textId="77777777" w:rsidTr="003417D0">
              <w:trPr>
                <w:jc w:val="center"/>
              </w:trPr>
              <w:tc>
                <w:tcPr>
                  <w:tcW w:w="5000" w:type="pct"/>
                  <w:tcBorders>
                    <w:top w:val="nil"/>
                    <w:bottom w:val="nil"/>
                  </w:tcBorders>
                </w:tcPr>
                <w:p w14:paraId="1EE262F5" w14:textId="6C1C14C8" w:rsidR="00290437" w:rsidRDefault="00290437" w:rsidP="003417D0">
                  <w:pPr>
                    <w:pStyle w:val="Figure"/>
                    <w:spacing w:before="60" w:after="60"/>
                  </w:pPr>
                  <w:r>
                    <w:rPr>
                      <w:noProof/>
                    </w:rPr>
                    <w:drawing>
                      <wp:inline distT="0" distB="0" distL="0" distR="0" wp14:anchorId="3EF60C45" wp14:editId="5F28269B">
                        <wp:extent cx="5401310" cy="2633980"/>
                        <wp:effectExtent l="0" t="0" r="8890" b="0"/>
                        <wp:docPr id="38" name="Picture 38" descr="This figure shows the median reading scores of Indigenous and non-Indigenous students in year 5 in 2014 by remoteness category.&#10;&#10;In all remoteness categories, the median score is lower for Indigenous students than non-Indigenous students. In metropolitan areas, the median reading score for Indigenous students is around the 25th percentile and then declines with remoteness.&#10;&#10;In very remote areas the median reading score for Indigenous students is below the 5th percentile for all students.&#10;&#10;The median score for Indigenous students is lowest in Northern Territory where the media score for Indigenous students is below the 5th percentile for all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01310" cy="2633980"/>
                                </a:xfrm>
                                <a:prstGeom prst="rect">
                                  <a:avLst/>
                                </a:prstGeom>
                                <a:noFill/>
                              </pic:spPr>
                            </pic:pic>
                          </a:graphicData>
                        </a:graphic>
                      </wp:inline>
                    </w:drawing>
                  </w:r>
                </w:p>
              </w:tc>
            </w:tr>
          </w:tbl>
          <w:p w14:paraId="544BF8CF" w14:textId="77777777" w:rsidR="00F050D0" w:rsidRDefault="00F050D0" w:rsidP="003417D0">
            <w:pPr>
              <w:pStyle w:val="Figure"/>
            </w:pPr>
          </w:p>
        </w:tc>
      </w:tr>
      <w:tr w:rsidR="00F050D0" w:rsidRPr="00176D3F" w14:paraId="300A0F9B" w14:textId="77777777" w:rsidTr="003417D0">
        <w:tc>
          <w:tcPr>
            <w:tcW w:w="8771" w:type="dxa"/>
            <w:tcBorders>
              <w:top w:val="nil"/>
              <w:left w:val="nil"/>
              <w:bottom w:val="nil"/>
              <w:right w:val="nil"/>
            </w:tcBorders>
            <w:shd w:val="clear" w:color="auto" w:fill="auto"/>
          </w:tcPr>
          <w:p w14:paraId="4B770510" w14:textId="0F3C4AA8" w:rsidR="00F050D0" w:rsidRPr="00176D3F" w:rsidRDefault="00116689" w:rsidP="00411E09">
            <w:pPr>
              <w:pStyle w:val="Note"/>
            </w:pPr>
            <w:proofErr w:type="spellStart"/>
            <w:r>
              <w:rPr>
                <w:rStyle w:val="NoteLabel"/>
              </w:rPr>
              <w:t>a</w:t>
            </w:r>
            <w:proofErr w:type="spellEnd"/>
            <w:r>
              <w:t xml:space="preserve"> Excludes </w:t>
            </w:r>
            <w:r w:rsidR="00411E09">
              <w:t xml:space="preserve">58 </w:t>
            </w:r>
            <w:r>
              <w:t>Indigenous students (0.</w:t>
            </w:r>
            <w:r w:rsidR="00065165">
              <w:t>5</w:t>
            </w:r>
            <w:r w:rsidR="00E32387">
              <w:t> per cent</w:t>
            </w:r>
            <w:r>
              <w:t xml:space="preserve">) and </w:t>
            </w:r>
            <w:r w:rsidR="00411E09">
              <w:t xml:space="preserve">246 </w:t>
            </w:r>
            <w:r>
              <w:t>non</w:t>
            </w:r>
            <w:r w:rsidR="003C48BA">
              <w:noBreakHyphen/>
            </w:r>
            <w:r>
              <w:t>Indigenous students (0.</w:t>
            </w:r>
            <w:r w:rsidR="00411E09">
              <w:t>1</w:t>
            </w:r>
            <w:r w:rsidR="00E32387">
              <w:t> per cent</w:t>
            </w:r>
            <w:r>
              <w:t>) who had no defined region.</w:t>
            </w:r>
          </w:p>
        </w:tc>
      </w:tr>
      <w:tr w:rsidR="00F050D0" w:rsidRPr="00176D3F" w14:paraId="257DECBE" w14:textId="77777777" w:rsidTr="003417D0">
        <w:tc>
          <w:tcPr>
            <w:tcW w:w="8771" w:type="dxa"/>
            <w:tcBorders>
              <w:top w:val="nil"/>
              <w:left w:val="nil"/>
              <w:bottom w:val="nil"/>
              <w:right w:val="nil"/>
            </w:tcBorders>
            <w:shd w:val="clear" w:color="auto" w:fill="auto"/>
          </w:tcPr>
          <w:p w14:paraId="0D05759E" w14:textId="0EB1F2EF" w:rsidR="00F050D0" w:rsidRPr="00176D3F" w:rsidRDefault="00223C79" w:rsidP="003417D0">
            <w:pPr>
              <w:pStyle w:val="Source"/>
            </w:pPr>
            <w:r>
              <w:rPr>
                <w:i/>
              </w:rPr>
              <w:t>S</w:t>
            </w:r>
            <w:r w:rsidRPr="00784A05">
              <w:rPr>
                <w:i/>
              </w:rPr>
              <w:t>ource</w:t>
            </w:r>
            <w:r w:rsidRPr="00176D3F">
              <w:t xml:space="preserve">: </w:t>
            </w:r>
            <w:r>
              <w:t>Commission estimates based on ACARA data (unpublished).</w:t>
            </w:r>
          </w:p>
        </w:tc>
      </w:tr>
      <w:tr w:rsidR="00F050D0" w14:paraId="116F3FE6" w14:textId="77777777" w:rsidTr="003417D0">
        <w:tc>
          <w:tcPr>
            <w:tcW w:w="8771" w:type="dxa"/>
            <w:tcBorders>
              <w:top w:val="nil"/>
              <w:left w:val="nil"/>
              <w:bottom w:val="single" w:sz="6" w:space="0" w:color="78A22F"/>
              <w:right w:val="nil"/>
            </w:tcBorders>
            <w:shd w:val="clear" w:color="auto" w:fill="auto"/>
          </w:tcPr>
          <w:p w14:paraId="6AEFED4B" w14:textId="77777777" w:rsidR="00F050D0" w:rsidRDefault="00F050D0" w:rsidP="003417D0">
            <w:pPr>
              <w:pStyle w:val="Figurespace"/>
            </w:pPr>
          </w:p>
        </w:tc>
      </w:tr>
      <w:tr w:rsidR="00F050D0" w:rsidRPr="000863A5" w14:paraId="4F14D314" w14:textId="77777777" w:rsidTr="003417D0">
        <w:tc>
          <w:tcPr>
            <w:tcW w:w="8771" w:type="dxa"/>
            <w:tcBorders>
              <w:top w:val="single" w:sz="6" w:space="0" w:color="78A22F"/>
              <w:left w:val="nil"/>
              <w:bottom w:val="nil"/>
              <w:right w:val="nil"/>
            </w:tcBorders>
          </w:tcPr>
          <w:p w14:paraId="73F31260" w14:textId="0D81F777" w:rsidR="00F050D0" w:rsidRPr="00626D32" w:rsidRDefault="00F050D0" w:rsidP="003417D0">
            <w:pPr>
              <w:pStyle w:val="BoxSpaceBelow"/>
            </w:pPr>
          </w:p>
        </w:tc>
      </w:tr>
    </w:tbl>
    <w:p w14:paraId="14BB1249" w14:textId="25EF13EE" w:rsidR="00F050D0" w:rsidRDefault="00124BA7" w:rsidP="00F050D0">
      <w:pPr>
        <w:pStyle w:val="Heading3"/>
      </w:pPr>
      <w:r>
        <w:t>How do</w:t>
      </w:r>
      <w:r w:rsidR="002278EF">
        <w:t>es</w:t>
      </w:r>
      <w:r>
        <w:t xml:space="preserve"> </w:t>
      </w:r>
      <w:r w:rsidR="003236E2">
        <w:t>reading</w:t>
      </w:r>
      <w:r>
        <w:t xml:space="preserve"> </w:t>
      </w:r>
      <w:r w:rsidR="002278EF">
        <w:t xml:space="preserve">achievement </w:t>
      </w:r>
      <w:r>
        <w:t>vary by family background?</w:t>
      </w:r>
    </w:p>
    <w:p w14:paraId="4E1E860E" w14:textId="788595A0" w:rsidR="003666A5" w:rsidRPr="006F1B28" w:rsidRDefault="001C0699" w:rsidP="00F050D0">
      <w:pPr>
        <w:pStyle w:val="BodyText"/>
      </w:pPr>
      <w:r w:rsidRPr="006F1B28">
        <w:t>S</w:t>
      </w:r>
      <w:r w:rsidR="00E62087" w:rsidRPr="006F1B28">
        <w:t xml:space="preserve">tudents with an English language background tend to perform better on </w:t>
      </w:r>
      <w:r w:rsidR="00552E30" w:rsidRPr="006F1B28">
        <w:t xml:space="preserve">the </w:t>
      </w:r>
      <w:proofErr w:type="spellStart"/>
      <w:r w:rsidR="00C56300" w:rsidRPr="006F1B28">
        <w:t>NAPLAN</w:t>
      </w:r>
      <w:proofErr w:type="spellEnd"/>
      <w:r w:rsidR="00C56300" w:rsidRPr="006F1B28">
        <w:t xml:space="preserve"> </w:t>
      </w:r>
      <w:r w:rsidR="00E62087" w:rsidRPr="006F1B28">
        <w:t xml:space="preserve">reading test than </w:t>
      </w:r>
      <w:r w:rsidRPr="006F1B28">
        <w:t>those</w:t>
      </w:r>
      <w:r w:rsidR="00E62087" w:rsidRPr="006F1B28">
        <w:t xml:space="preserve"> with a </w:t>
      </w:r>
      <w:proofErr w:type="spellStart"/>
      <w:r w:rsidR="00D37E5B">
        <w:t>LBOTE</w:t>
      </w:r>
      <w:proofErr w:type="spellEnd"/>
      <w:r w:rsidR="00E62087" w:rsidRPr="006F1B28">
        <w:t>.</w:t>
      </w:r>
      <w:r w:rsidR="0095119F">
        <w:rPr>
          <w:rStyle w:val="FootnoteReference"/>
        </w:rPr>
        <w:footnoteReference w:id="5"/>
      </w:r>
      <w:r w:rsidR="00E62087" w:rsidRPr="006F1B28">
        <w:t xml:space="preserve"> </w:t>
      </w:r>
      <w:r w:rsidR="00552E30" w:rsidRPr="006F1B28">
        <w:t>However, the difference in scores between English and non</w:t>
      </w:r>
      <w:r w:rsidR="003C48BA">
        <w:noBreakHyphen/>
      </w:r>
      <w:r w:rsidR="00552E30" w:rsidRPr="006F1B28">
        <w:t xml:space="preserve">English background students is larger for </w:t>
      </w:r>
      <w:r w:rsidRPr="006F1B28">
        <w:t>Indigenous students than non</w:t>
      </w:r>
      <w:r w:rsidR="003C48BA">
        <w:noBreakHyphen/>
      </w:r>
      <w:r w:rsidRPr="006F1B28">
        <w:t>Indigenous students</w:t>
      </w:r>
      <w:r w:rsidR="00552E30" w:rsidRPr="006F1B28">
        <w:t>.</w:t>
      </w:r>
    </w:p>
    <w:p w14:paraId="4C014878" w14:textId="01B1C96D" w:rsidR="0058515E" w:rsidRPr="006F1B28" w:rsidRDefault="003666A5" w:rsidP="00F050D0">
      <w:pPr>
        <w:pStyle w:val="BodyText"/>
      </w:pPr>
      <w:r w:rsidRPr="006F1B28">
        <w:t xml:space="preserve">In part, this is because a larger proportion of Indigenous students </w:t>
      </w:r>
      <w:r w:rsidR="00E80EF7">
        <w:t>go to school</w:t>
      </w:r>
      <w:r w:rsidR="00E80EF7" w:rsidRPr="006F1B28">
        <w:t xml:space="preserve"> </w:t>
      </w:r>
      <w:r w:rsidRPr="006F1B28">
        <w:t>in remote and very remote regions where the difference in scores between English background and non</w:t>
      </w:r>
      <w:r w:rsidRPr="006F1B28">
        <w:noBreakHyphen/>
        <w:t>English background students is largest. However, across all regions, the difference between English and non</w:t>
      </w:r>
      <w:r w:rsidR="003C48BA">
        <w:noBreakHyphen/>
      </w:r>
      <w:r w:rsidRPr="006F1B28">
        <w:t>English background Indigenous students is larger than the difference between English and non</w:t>
      </w:r>
      <w:r w:rsidR="003C48BA">
        <w:noBreakHyphen/>
      </w:r>
      <w:r w:rsidRPr="006F1B28">
        <w:t>English background non</w:t>
      </w:r>
      <w:r w:rsidR="003C48BA">
        <w:noBreakHyphen/>
      </w:r>
      <w:r w:rsidRPr="006F1B28">
        <w:t>Indigenous students.</w:t>
      </w:r>
      <w:r w:rsidR="008E5B67" w:rsidRPr="006F1B28">
        <w:t xml:space="preserve"> For example, in metropolitan regions, the difference in scores between English and non</w:t>
      </w:r>
      <w:r w:rsidR="008E5B67" w:rsidRPr="006F1B28">
        <w:noBreakHyphen/>
        <w:t>English background Indigenous students was 21 points. The equivalent figure for non</w:t>
      </w:r>
      <w:r w:rsidR="008E5B67" w:rsidRPr="006F1B28">
        <w:noBreakHyphen/>
        <w:t>Indigenous students was 11 points.</w:t>
      </w:r>
    </w:p>
    <w:p w14:paraId="3352D584" w14:textId="4DE58A1F" w:rsidR="003236E2" w:rsidRDefault="003236E2" w:rsidP="003417D0">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3236E2" w14:paraId="4102176F" w14:textId="77777777" w:rsidTr="003417D0">
        <w:tc>
          <w:tcPr>
            <w:tcW w:w="8771" w:type="dxa"/>
            <w:tcBorders>
              <w:top w:val="single" w:sz="6" w:space="0" w:color="78A22F"/>
              <w:left w:val="nil"/>
              <w:bottom w:val="nil"/>
              <w:right w:val="nil"/>
            </w:tcBorders>
            <w:shd w:val="clear" w:color="auto" w:fill="auto"/>
          </w:tcPr>
          <w:p w14:paraId="0BD6056B" w14:textId="41ECC2B9" w:rsidR="003236E2" w:rsidRDefault="003236E2" w:rsidP="003417D0">
            <w:pPr>
              <w:pStyle w:val="FigureTitle"/>
            </w:pPr>
            <w:r w:rsidRPr="00784A05">
              <w:rPr>
                <w:b w:val="0"/>
              </w:rPr>
              <w:t xml:space="preserve">Figure </w:t>
            </w:r>
            <w:r w:rsidR="00A85BAB">
              <w:rPr>
                <w:b w:val="0"/>
                <w:noProof/>
              </w:rPr>
              <w:t>15</w:t>
            </w:r>
            <w:r>
              <w:tab/>
              <w:t>Reading scores by language background</w:t>
            </w:r>
            <w:r w:rsidR="005B259A">
              <w:t xml:space="preserve"> and re</w:t>
            </w:r>
            <w:r w:rsidR="00D06921">
              <w:t>moteness</w:t>
            </w:r>
            <w:r w:rsidR="00697C0E" w:rsidRPr="00697C0E">
              <w:rPr>
                <w:rStyle w:val="NoteLabel"/>
                <w:b/>
              </w:rPr>
              <w:t>a</w:t>
            </w:r>
          </w:p>
          <w:p w14:paraId="2C9A92E5" w14:textId="63C12CAC" w:rsidR="003236E2" w:rsidRPr="00176D3F" w:rsidRDefault="007B08D9" w:rsidP="0095119F">
            <w:pPr>
              <w:pStyle w:val="Subtitle"/>
            </w:pPr>
            <w:r>
              <w:t>Median scores of Indigenous and non</w:t>
            </w:r>
            <w:r w:rsidR="003C48BA">
              <w:noBreakHyphen/>
            </w:r>
            <w:r>
              <w:t>Indigenous students (Year 5, 2014)</w:t>
            </w:r>
          </w:p>
        </w:tc>
      </w:tr>
      <w:tr w:rsidR="003236E2" w14:paraId="414B837A" w14:textId="77777777" w:rsidTr="003417D0">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3236E2" w14:paraId="1409B559" w14:textId="77777777" w:rsidTr="003417D0">
              <w:trPr>
                <w:jc w:val="center"/>
              </w:trPr>
              <w:tc>
                <w:tcPr>
                  <w:tcW w:w="5000" w:type="pct"/>
                  <w:tcBorders>
                    <w:top w:val="nil"/>
                    <w:bottom w:val="nil"/>
                  </w:tcBorders>
                </w:tcPr>
                <w:p w14:paraId="0849D8AA" w14:textId="2E360C1E" w:rsidR="00290437" w:rsidRDefault="00290437" w:rsidP="003417D0">
                  <w:pPr>
                    <w:pStyle w:val="Figure"/>
                    <w:spacing w:before="60" w:after="60"/>
                  </w:pPr>
                  <w:r>
                    <w:rPr>
                      <w:noProof/>
                    </w:rPr>
                    <w:drawing>
                      <wp:inline distT="0" distB="0" distL="0" distR="0" wp14:anchorId="33E52CDF" wp14:editId="26E8874D">
                        <wp:extent cx="5401310" cy="2633980"/>
                        <wp:effectExtent l="0" t="0" r="8890" b="0"/>
                        <wp:docPr id="39" name="Picture 39" descr="This figure shows the median reading scores are lower for both Indigneous and non-Indigenous students who speak a language other than English at home. This is true across remoteness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01310" cy="2633980"/>
                                </a:xfrm>
                                <a:prstGeom prst="rect">
                                  <a:avLst/>
                                </a:prstGeom>
                                <a:noFill/>
                              </pic:spPr>
                            </pic:pic>
                          </a:graphicData>
                        </a:graphic>
                      </wp:inline>
                    </w:drawing>
                  </w:r>
                </w:p>
              </w:tc>
            </w:tr>
          </w:tbl>
          <w:p w14:paraId="537EC4AA" w14:textId="77777777" w:rsidR="003236E2" w:rsidRDefault="003236E2" w:rsidP="003417D0">
            <w:pPr>
              <w:pStyle w:val="Figure"/>
            </w:pPr>
          </w:p>
        </w:tc>
      </w:tr>
      <w:tr w:rsidR="003236E2" w:rsidRPr="00176D3F" w14:paraId="54443904" w14:textId="77777777" w:rsidTr="003417D0">
        <w:tc>
          <w:tcPr>
            <w:tcW w:w="8771" w:type="dxa"/>
            <w:tcBorders>
              <w:top w:val="nil"/>
              <w:left w:val="nil"/>
              <w:bottom w:val="nil"/>
              <w:right w:val="nil"/>
            </w:tcBorders>
            <w:shd w:val="clear" w:color="auto" w:fill="auto"/>
          </w:tcPr>
          <w:p w14:paraId="08FFB15F" w14:textId="18E648C5" w:rsidR="003236E2" w:rsidRPr="00176D3F" w:rsidRDefault="004418B4" w:rsidP="00F963E1">
            <w:pPr>
              <w:pStyle w:val="Note"/>
            </w:pPr>
            <w:proofErr w:type="spellStart"/>
            <w:r>
              <w:rPr>
                <w:rStyle w:val="NoteLabel"/>
              </w:rPr>
              <w:t>a</w:t>
            </w:r>
            <w:proofErr w:type="spellEnd"/>
            <w:r>
              <w:t xml:space="preserve"> Excludes </w:t>
            </w:r>
            <w:r w:rsidR="00F963E1">
              <w:t>684</w:t>
            </w:r>
            <w:r w:rsidR="00522ABB">
              <w:t xml:space="preserve"> </w:t>
            </w:r>
            <w:r>
              <w:t>Indigenous students (</w:t>
            </w:r>
            <w:r w:rsidR="00F963E1">
              <w:t>5</w:t>
            </w:r>
            <w:r w:rsidR="00E32387">
              <w:t> per cent</w:t>
            </w:r>
            <w:r>
              <w:t xml:space="preserve">) and </w:t>
            </w:r>
            <w:r w:rsidR="00F963E1">
              <w:t>7412</w:t>
            </w:r>
            <w:r w:rsidR="00522ABB">
              <w:t xml:space="preserve"> </w:t>
            </w:r>
            <w:r>
              <w:t>non</w:t>
            </w:r>
            <w:r w:rsidR="003C48BA">
              <w:noBreakHyphen/>
            </w:r>
            <w:r>
              <w:t>Indigenous students (3</w:t>
            </w:r>
            <w:r w:rsidR="00E32387">
              <w:t> per cent</w:t>
            </w:r>
            <w:r>
              <w:t>) who did not state their language background</w:t>
            </w:r>
            <w:r w:rsidR="007F333F">
              <w:t xml:space="preserve"> or had no defined region</w:t>
            </w:r>
            <w:r>
              <w:t>.</w:t>
            </w:r>
          </w:p>
        </w:tc>
      </w:tr>
      <w:tr w:rsidR="003236E2" w:rsidRPr="00176D3F" w14:paraId="7D9E4C4F" w14:textId="77777777" w:rsidTr="003417D0">
        <w:tc>
          <w:tcPr>
            <w:tcW w:w="8771" w:type="dxa"/>
            <w:tcBorders>
              <w:top w:val="nil"/>
              <w:left w:val="nil"/>
              <w:bottom w:val="nil"/>
              <w:right w:val="nil"/>
            </w:tcBorders>
            <w:shd w:val="clear" w:color="auto" w:fill="auto"/>
          </w:tcPr>
          <w:p w14:paraId="584C2E6F" w14:textId="0A7A5746" w:rsidR="003236E2" w:rsidRPr="00176D3F" w:rsidRDefault="00223C79" w:rsidP="003417D0">
            <w:pPr>
              <w:pStyle w:val="Source"/>
            </w:pPr>
            <w:r>
              <w:rPr>
                <w:i/>
              </w:rPr>
              <w:t>S</w:t>
            </w:r>
            <w:r w:rsidRPr="00784A05">
              <w:rPr>
                <w:i/>
              </w:rPr>
              <w:t>ource</w:t>
            </w:r>
            <w:r w:rsidRPr="00176D3F">
              <w:t xml:space="preserve">: </w:t>
            </w:r>
            <w:r>
              <w:t>Commission estimates based on ACARA data (unpublished).</w:t>
            </w:r>
          </w:p>
        </w:tc>
      </w:tr>
      <w:tr w:rsidR="003236E2" w14:paraId="57674DC4" w14:textId="77777777" w:rsidTr="003417D0">
        <w:tc>
          <w:tcPr>
            <w:tcW w:w="8771" w:type="dxa"/>
            <w:tcBorders>
              <w:top w:val="nil"/>
              <w:left w:val="nil"/>
              <w:bottom w:val="single" w:sz="6" w:space="0" w:color="78A22F"/>
              <w:right w:val="nil"/>
            </w:tcBorders>
            <w:shd w:val="clear" w:color="auto" w:fill="auto"/>
          </w:tcPr>
          <w:p w14:paraId="3CE279CC" w14:textId="77777777" w:rsidR="003236E2" w:rsidRDefault="003236E2" w:rsidP="003417D0">
            <w:pPr>
              <w:pStyle w:val="Figurespace"/>
            </w:pPr>
          </w:p>
        </w:tc>
      </w:tr>
      <w:tr w:rsidR="003236E2" w:rsidRPr="000863A5" w14:paraId="16762EA9" w14:textId="77777777" w:rsidTr="003417D0">
        <w:tc>
          <w:tcPr>
            <w:tcW w:w="8771" w:type="dxa"/>
            <w:tcBorders>
              <w:top w:val="single" w:sz="6" w:space="0" w:color="78A22F"/>
              <w:left w:val="nil"/>
              <w:bottom w:val="nil"/>
              <w:right w:val="nil"/>
            </w:tcBorders>
          </w:tcPr>
          <w:p w14:paraId="311F3D0F" w14:textId="2BE18EF3" w:rsidR="003236E2" w:rsidRPr="00626D32" w:rsidRDefault="003236E2" w:rsidP="003417D0">
            <w:pPr>
              <w:pStyle w:val="BoxSpaceBelow"/>
            </w:pPr>
          </w:p>
        </w:tc>
      </w:tr>
    </w:tbl>
    <w:p w14:paraId="1CED78C9" w14:textId="5F934BC1" w:rsidR="00D135FA" w:rsidRPr="006F1B28" w:rsidRDefault="00D135FA" w:rsidP="00D135FA">
      <w:pPr>
        <w:pStyle w:val="BodyText"/>
      </w:pPr>
      <w:r w:rsidRPr="006F1B28">
        <w:t>Students (both Indigenous and non</w:t>
      </w:r>
      <w:r w:rsidRPr="006F1B28">
        <w:noBreakHyphen/>
        <w:t>Indigenous) who have parents with more formal education tend to perform substantially better on reading tests than those who have parents with little formal education. For example, Indigenous Year 5 students with mothers who have a university degree had a median score on the reading test 83 points above Indigenous students who had mothers who completed year 9 or below only. This is the difference between a median score at the 10th percentile of all students and a median score at the 45</w:t>
      </w:r>
      <w:r w:rsidRPr="00E11441">
        <w:rPr>
          <w:vertAlign w:val="superscript"/>
        </w:rPr>
        <w:t>th</w:t>
      </w:r>
      <w:r w:rsidR="00E11441">
        <w:t> </w:t>
      </w:r>
      <w:r w:rsidRPr="006F1B28">
        <w:t xml:space="preserve">percentile of all students. (The </w:t>
      </w:r>
      <w:r>
        <w:t>difference is similar for father’s education</w:t>
      </w:r>
      <w:r w:rsidRPr="006F1B28">
        <w:t>.)</w:t>
      </w:r>
    </w:p>
    <w:p w14:paraId="72D23664" w14:textId="77777777" w:rsidR="00D135FA" w:rsidRDefault="00D135FA">
      <w:pPr>
        <w:rPr>
          <w:szCs w:val="20"/>
        </w:rPr>
      </w:pPr>
      <w:r>
        <w:br w:type="page"/>
      </w:r>
    </w:p>
    <w:p w14:paraId="3A9ABBFD" w14:textId="066CEDB0" w:rsidR="00D135FA" w:rsidRPr="006F1B28" w:rsidRDefault="00D135FA" w:rsidP="00D135FA">
      <w:pPr>
        <w:pStyle w:val="BodyText"/>
      </w:pPr>
      <w:r w:rsidRPr="006F1B28">
        <w:lastRenderedPageBreak/>
        <w:t>Unlike previous figures, the figure below includes scores for students who did not state or did not know their mother’s highest level of formal education. This group accounted for a large proportion of all Indigenous students (23</w:t>
      </w:r>
      <w:r w:rsidR="00E32387">
        <w:t> per cent</w:t>
      </w:r>
      <w:r w:rsidRPr="006F1B28">
        <w:t xml:space="preserve">) and these students tended to </w:t>
      </w:r>
      <w:r w:rsidR="001D2FF0">
        <w:t>achieve particularly low scores</w:t>
      </w:r>
      <w:r w:rsidRPr="006F1B28">
        <w:t xml:space="preserve"> on the reading test.</w:t>
      </w:r>
    </w:p>
    <w:p w14:paraId="5B0C1F5A" w14:textId="74BB5C15" w:rsidR="004C50FA" w:rsidRDefault="004C50FA" w:rsidP="00117259">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C50FA" w14:paraId="346C65FA" w14:textId="77777777" w:rsidTr="00117259">
        <w:tc>
          <w:tcPr>
            <w:tcW w:w="8771" w:type="dxa"/>
            <w:tcBorders>
              <w:top w:val="single" w:sz="6" w:space="0" w:color="78A22F"/>
              <w:left w:val="nil"/>
              <w:bottom w:val="nil"/>
              <w:right w:val="nil"/>
            </w:tcBorders>
            <w:shd w:val="clear" w:color="auto" w:fill="auto"/>
          </w:tcPr>
          <w:p w14:paraId="7B1BA213" w14:textId="61823FBA" w:rsidR="004C50FA" w:rsidRDefault="004C50FA" w:rsidP="00117259">
            <w:pPr>
              <w:pStyle w:val="FigureTitle"/>
            </w:pPr>
            <w:r w:rsidRPr="00784A05">
              <w:rPr>
                <w:b w:val="0"/>
              </w:rPr>
              <w:t xml:space="preserve">Figure </w:t>
            </w:r>
            <w:r w:rsidR="00A85BAB">
              <w:rPr>
                <w:b w:val="0"/>
                <w:noProof/>
              </w:rPr>
              <w:t>16</w:t>
            </w:r>
            <w:r>
              <w:tab/>
              <w:t xml:space="preserve">Reading scores by </w:t>
            </w:r>
            <w:r w:rsidR="00575D1C">
              <w:t>mother’s</w:t>
            </w:r>
            <w:r>
              <w:t xml:space="preserve"> </w:t>
            </w:r>
            <w:r w:rsidR="00575D1C">
              <w:t xml:space="preserve">formal </w:t>
            </w:r>
            <w:r>
              <w:t>education</w:t>
            </w:r>
          </w:p>
          <w:p w14:paraId="6E259FB2" w14:textId="00294FAC" w:rsidR="004C50FA" w:rsidRPr="00176D3F" w:rsidRDefault="00575D1C" w:rsidP="000238FF">
            <w:pPr>
              <w:pStyle w:val="Subtitle"/>
            </w:pPr>
            <w:r>
              <w:t>Median scores of Indigenous and non</w:t>
            </w:r>
            <w:r w:rsidR="003C48BA">
              <w:noBreakHyphen/>
            </w:r>
            <w:r>
              <w:t xml:space="preserve">Indigenous students by mother’s </w:t>
            </w:r>
            <w:r w:rsidR="000B104F">
              <w:t xml:space="preserve">highest level of formal </w:t>
            </w:r>
            <w:r>
              <w:t>education (Year 5, 2014)</w:t>
            </w:r>
          </w:p>
        </w:tc>
      </w:tr>
      <w:tr w:rsidR="004C50FA" w14:paraId="60FB3882" w14:textId="77777777" w:rsidTr="00117259">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4C50FA" w14:paraId="7DE58E7A" w14:textId="77777777" w:rsidTr="00117259">
              <w:trPr>
                <w:jc w:val="center"/>
              </w:trPr>
              <w:tc>
                <w:tcPr>
                  <w:tcW w:w="5000" w:type="pct"/>
                  <w:tcBorders>
                    <w:top w:val="nil"/>
                    <w:bottom w:val="nil"/>
                  </w:tcBorders>
                </w:tcPr>
                <w:p w14:paraId="3D90FA77" w14:textId="1BA5D838" w:rsidR="00290437" w:rsidRDefault="00290437" w:rsidP="00117259">
                  <w:pPr>
                    <w:pStyle w:val="Figure"/>
                    <w:spacing w:before="60" w:after="60"/>
                  </w:pPr>
                  <w:r>
                    <w:rPr>
                      <w:noProof/>
                    </w:rPr>
                    <w:drawing>
                      <wp:inline distT="0" distB="0" distL="0" distR="0" wp14:anchorId="78D800DE" wp14:editId="60A38052">
                        <wp:extent cx="5401310" cy="2633980"/>
                        <wp:effectExtent l="0" t="0" r="8890" b="0"/>
                        <wp:docPr id="40" name="Picture 40" descr="This figure show that the median score of Indigenous and non-Indigneous students is higher for students whose mothers have higher levels of formal education. This is true for both Indigenous and non-Indigenous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01310" cy="2633980"/>
                                </a:xfrm>
                                <a:prstGeom prst="rect">
                                  <a:avLst/>
                                </a:prstGeom>
                                <a:noFill/>
                              </pic:spPr>
                            </pic:pic>
                          </a:graphicData>
                        </a:graphic>
                      </wp:inline>
                    </w:drawing>
                  </w:r>
                </w:p>
              </w:tc>
            </w:tr>
          </w:tbl>
          <w:p w14:paraId="6A97EA0F" w14:textId="77777777" w:rsidR="004C50FA" w:rsidRDefault="004C50FA" w:rsidP="00117259">
            <w:pPr>
              <w:pStyle w:val="Figure"/>
            </w:pPr>
          </w:p>
        </w:tc>
      </w:tr>
      <w:tr w:rsidR="004C50FA" w:rsidRPr="00176D3F" w14:paraId="6C987605" w14:textId="77777777" w:rsidTr="00117259">
        <w:tc>
          <w:tcPr>
            <w:tcW w:w="8771" w:type="dxa"/>
            <w:tcBorders>
              <w:top w:val="nil"/>
              <w:left w:val="nil"/>
              <w:bottom w:val="nil"/>
              <w:right w:val="nil"/>
            </w:tcBorders>
            <w:shd w:val="clear" w:color="auto" w:fill="auto"/>
          </w:tcPr>
          <w:p w14:paraId="64A6C31F" w14:textId="2504841C" w:rsidR="004C50FA" w:rsidRPr="00176D3F" w:rsidRDefault="00223C79" w:rsidP="00117259">
            <w:pPr>
              <w:pStyle w:val="Source"/>
            </w:pPr>
            <w:r>
              <w:rPr>
                <w:i/>
              </w:rPr>
              <w:t>S</w:t>
            </w:r>
            <w:r w:rsidRPr="00784A05">
              <w:rPr>
                <w:i/>
              </w:rPr>
              <w:t>ource</w:t>
            </w:r>
            <w:r w:rsidRPr="00176D3F">
              <w:t xml:space="preserve">: </w:t>
            </w:r>
            <w:r>
              <w:t>Commission estimates based on ACARA data (unpublished).</w:t>
            </w:r>
          </w:p>
        </w:tc>
      </w:tr>
      <w:tr w:rsidR="004C50FA" w14:paraId="51938EB6" w14:textId="77777777" w:rsidTr="00117259">
        <w:tc>
          <w:tcPr>
            <w:tcW w:w="8771" w:type="dxa"/>
            <w:tcBorders>
              <w:top w:val="nil"/>
              <w:left w:val="nil"/>
              <w:bottom w:val="single" w:sz="6" w:space="0" w:color="78A22F"/>
              <w:right w:val="nil"/>
            </w:tcBorders>
            <w:shd w:val="clear" w:color="auto" w:fill="auto"/>
          </w:tcPr>
          <w:p w14:paraId="2FF47E07" w14:textId="77777777" w:rsidR="004C50FA" w:rsidRDefault="004C50FA" w:rsidP="00117259">
            <w:pPr>
              <w:pStyle w:val="Figurespace"/>
            </w:pPr>
          </w:p>
        </w:tc>
      </w:tr>
      <w:tr w:rsidR="004C50FA" w:rsidRPr="000863A5" w14:paraId="5B3D731D" w14:textId="77777777" w:rsidTr="00117259">
        <w:tc>
          <w:tcPr>
            <w:tcW w:w="8771" w:type="dxa"/>
            <w:tcBorders>
              <w:top w:val="single" w:sz="6" w:space="0" w:color="78A22F"/>
              <w:left w:val="nil"/>
              <w:bottom w:val="nil"/>
              <w:right w:val="nil"/>
            </w:tcBorders>
          </w:tcPr>
          <w:p w14:paraId="24D6B07D" w14:textId="349A374C" w:rsidR="004C50FA" w:rsidRPr="00626D32" w:rsidRDefault="004C50FA" w:rsidP="00117259">
            <w:pPr>
              <w:pStyle w:val="BoxSpaceBelow"/>
            </w:pPr>
          </w:p>
        </w:tc>
      </w:tr>
    </w:tbl>
    <w:p w14:paraId="6DAB7911" w14:textId="1D2F69A9" w:rsidR="00E854AB" w:rsidRPr="006F1B28" w:rsidRDefault="00136CC5" w:rsidP="00E854AB">
      <w:pPr>
        <w:pStyle w:val="BodyText"/>
      </w:pPr>
      <w:r w:rsidRPr="006F1B28">
        <w:t>Students</w:t>
      </w:r>
      <w:r w:rsidR="00E854AB" w:rsidRPr="006F1B28">
        <w:t xml:space="preserve"> (both Indigenous and non</w:t>
      </w:r>
      <w:r w:rsidR="003C48BA">
        <w:noBreakHyphen/>
      </w:r>
      <w:r w:rsidR="00E854AB" w:rsidRPr="006F1B28">
        <w:t>Indigenous)</w:t>
      </w:r>
      <w:r w:rsidRPr="006F1B28">
        <w:t xml:space="preserve"> </w:t>
      </w:r>
      <w:r w:rsidR="00E854AB" w:rsidRPr="006F1B28">
        <w:t>with</w:t>
      </w:r>
      <w:r w:rsidRPr="006F1B28">
        <w:t xml:space="preserve"> parents </w:t>
      </w:r>
      <w:r w:rsidR="00E854AB" w:rsidRPr="006F1B28">
        <w:t>in more skilled occupations</w:t>
      </w:r>
      <w:r w:rsidRPr="006F1B28">
        <w:t xml:space="preserve"> </w:t>
      </w:r>
      <w:r w:rsidR="00E854AB" w:rsidRPr="006F1B28">
        <w:t xml:space="preserve">also </w:t>
      </w:r>
      <w:r w:rsidRPr="006F1B28">
        <w:t xml:space="preserve">tend to do substantially better on </w:t>
      </w:r>
      <w:r w:rsidR="00C56300" w:rsidRPr="006F1B28">
        <w:t xml:space="preserve">the </w:t>
      </w:r>
      <w:r w:rsidRPr="006F1B28">
        <w:t xml:space="preserve">reading test than those who have parents </w:t>
      </w:r>
      <w:r w:rsidR="00E854AB" w:rsidRPr="006F1B28">
        <w:t xml:space="preserve">in </w:t>
      </w:r>
      <w:r w:rsidR="00F40DC4">
        <w:t>less</w:t>
      </w:r>
      <w:r w:rsidR="00F40DC4">
        <w:noBreakHyphen/>
        <w:t>skilled</w:t>
      </w:r>
      <w:r w:rsidR="00E854AB" w:rsidRPr="006F1B28">
        <w:t xml:space="preserve"> occupations or who are not in paid work</w:t>
      </w:r>
      <w:r w:rsidRPr="006F1B28">
        <w:t>.</w:t>
      </w:r>
      <w:r w:rsidR="001D5A78" w:rsidRPr="006F1B28">
        <w:t xml:space="preserve"> </w:t>
      </w:r>
      <w:r w:rsidR="00C41EC0" w:rsidRPr="006F1B28">
        <w:t xml:space="preserve">For example, Indigenous Year 5 students with fathers employed in senior management had a median score on the reading test </w:t>
      </w:r>
      <w:r w:rsidR="00022F81">
        <w:t>72 </w:t>
      </w:r>
      <w:r w:rsidR="00C41EC0" w:rsidRPr="006F1B28">
        <w:t xml:space="preserve">points above Indigenous students who had </w:t>
      </w:r>
      <w:r w:rsidR="00C56300" w:rsidRPr="006F1B28">
        <w:t xml:space="preserve">a </w:t>
      </w:r>
      <w:r w:rsidR="00314028" w:rsidRPr="006F1B28">
        <w:t>father</w:t>
      </w:r>
      <w:r w:rsidR="00C41EC0" w:rsidRPr="006F1B28">
        <w:t xml:space="preserve"> who </w:t>
      </w:r>
      <w:r w:rsidR="00314028" w:rsidRPr="006F1B28">
        <w:t>was not in paid work</w:t>
      </w:r>
      <w:r w:rsidR="00C41EC0" w:rsidRPr="006F1B28">
        <w:t>.</w:t>
      </w:r>
      <w:r w:rsidR="00D872E7" w:rsidRPr="006F1B28">
        <w:t xml:space="preserve"> (The </w:t>
      </w:r>
      <w:r w:rsidR="00286EF5">
        <w:t>difference</w:t>
      </w:r>
      <w:r w:rsidR="00D872E7" w:rsidRPr="006F1B28">
        <w:t xml:space="preserve"> is similar</w:t>
      </w:r>
      <w:r w:rsidR="00286EF5">
        <w:t xml:space="preserve"> for mother’s occupation</w:t>
      </w:r>
      <w:r w:rsidR="00D872E7" w:rsidRPr="006F1B28">
        <w:t>.)</w:t>
      </w:r>
    </w:p>
    <w:p w14:paraId="3C10DDB6" w14:textId="0FB3A3C5" w:rsidR="00314028" w:rsidRPr="006F1B28" w:rsidRDefault="000367BA" w:rsidP="00E854AB">
      <w:pPr>
        <w:pStyle w:val="BodyText"/>
      </w:pPr>
      <w:r>
        <w:t>T</w:t>
      </w:r>
      <w:r w:rsidR="00314028" w:rsidRPr="006F1B28">
        <w:t xml:space="preserve">he figure below </w:t>
      </w:r>
      <w:r>
        <w:t xml:space="preserve">also </w:t>
      </w:r>
      <w:r w:rsidR="00314028" w:rsidRPr="006F1B28">
        <w:t xml:space="preserve">includes scores for students who did not state or did not know their father’s occupation. This group accounted for </w:t>
      </w:r>
      <w:r w:rsidR="00D847DD" w:rsidRPr="006F1B28">
        <w:t>the majority</w:t>
      </w:r>
      <w:r w:rsidR="00314028" w:rsidRPr="006F1B28">
        <w:t xml:space="preserve"> of all Indigenous students (</w:t>
      </w:r>
      <w:r w:rsidR="00D847DD" w:rsidRPr="006F1B28">
        <w:t>56</w:t>
      </w:r>
      <w:r w:rsidR="00E32387">
        <w:t> per cent</w:t>
      </w:r>
      <w:r w:rsidR="00314028" w:rsidRPr="006F1B28">
        <w:t>).</w:t>
      </w:r>
      <w:r w:rsidR="00D847DD" w:rsidRPr="006F1B28">
        <w:t xml:space="preserve"> The median score for this group was similar to that of Indigenous students with fathers who were not in paid work.</w:t>
      </w:r>
    </w:p>
    <w:p w14:paraId="7E24A372" w14:textId="21BF17B1" w:rsidR="004C50FA" w:rsidRDefault="004C50FA" w:rsidP="00117259">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C50FA" w14:paraId="39DD5C27" w14:textId="77777777" w:rsidTr="00117259">
        <w:tc>
          <w:tcPr>
            <w:tcW w:w="8771" w:type="dxa"/>
            <w:tcBorders>
              <w:top w:val="single" w:sz="6" w:space="0" w:color="78A22F"/>
              <w:left w:val="nil"/>
              <w:bottom w:val="nil"/>
              <w:right w:val="nil"/>
            </w:tcBorders>
            <w:shd w:val="clear" w:color="auto" w:fill="auto"/>
          </w:tcPr>
          <w:p w14:paraId="5E9F39F5" w14:textId="200E8E62" w:rsidR="004C50FA" w:rsidRDefault="004C50FA" w:rsidP="00117259">
            <w:pPr>
              <w:pStyle w:val="FigureTitle"/>
            </w:pPr>
            <w:r w:rsidRPr="00784A05">
              <w:rPr>
                <w:b w:val="0"/>
              </w:rPr>
              <w:t xml:space="preserve">Figure </w:t>
            </w:r>
            <w:r w:rsidR="00A85BAB">
              <w:rPr>
                <w:b w:val="0"/>
                <w:noProof/>
              </w:rPr>
              <w:t>17</w:t>
            </w:r>
            <w:r>
              <w:tab/>
              <w:t>R</w:t>
            </w:r>
            <w:r w:rsidR="00B058AC">
              <w:t xml:space="preserve">eading </w:t>
            </w:r>
            <w:r>
              <w:t xml:space="preserve">scores by </w:t>
            </w:r>
            <w:r w:rsidR="001D5A78">
              <w:t xml:space="preserve">father’s </w:t>
            </w:r>
            <w:r w:rsidR="00B058AC">
              <w:t>occupation</w:t>
            </w:r>
          </w:p>
          <w:p w14:paraId="1D7F5B46" w14:textId="0778B152" w:rsidR="004C50FA" w:rsidRPr="00176D3F" w:rsidRDefault="00866B44" w:rsidP="0095119F">
            <w:pPr>
              <w:pStyle w:val="Subtitle"/>
            </w:pPr>
            <w:r>
              <w:t>Median scores of Indigenous and non</w:t>
            </w:r>
            <w:r w:rsidR="003C48BA">
              <w:noBreakHyphen/>
            </w:r>
            <w:r>
              <w:t>Indigenous students (Year 5, 2014)</w:t>
            </w:r>
          </w:p>
        </w:tc>
      </w:tr>
      <w:tr w:rsidR="004C50FA" w14:paraId="5688FD37" w14:textId="77777777" w:rsidTr="00117259">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4C50FA" w14:paraId="3883F2D0" w14:textId="77777777" w:rsidTr="00117259">
              <w:trPr>
                <w:jc w:val="center"/>
              </w:trPr>
              <w:tc>
                <w:tcPr>
                  <w:tcW w:w="5000" w:type="pct"/>
                  <w:tcBorders>
                    <w:top w:val="nil"/>
                    <w:bottom w:val="nil"/>
                  </w:tcBorders>
                </w:tcPr>
                <w:p w14:paraId="7C252832" w14:textId="3468A3F6" w:rsidR="00290437" w:rsidRDefault="00290437" w:rsidP="00117259">
                  <w:pPr>
                    <w:pStyle w:val="Figure"/>
                    <w:spacing w:before="60" w:after="60"/>
                  </w:pPr>
                  <w:r>
                    <w:rPr>
                      <w:noProof/>
                    </w:rPr>
                    <w:drawing>
                      <wp:inline distT="0" distB="0" distL="0" distR="0" wp14:anchorId="2BB9FAB6" wp14:editId="6FC66793">
                        <wp:extent cx="5401310" cy="2633980"/>
                        <wp:effectExtent l="0" t="0" r="8890" b="0"/>
                        <wp:docPr id="41" name="Picture 41" descr="This figure shows the median reading score for Indigenous and non-Indigenous students categorised by their father's occupation.&#10;&#10;For both Indigenous and non-Indigenous students, the median score is higher for students whose fathers are managers or senior managers rather than tradespeople or machine opera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01310" cy="2633980"/>
                                </a:xfrm>
                                <a:prstGeom prst="rect">
                                  <a:avLst/>
                                </a:prstGeom>
                                <a:noFill/>
                              </pic:spPr>
                            </pic:pic>
                          </a:graphicData>
                        </a:graphic>
                      </wp:inline>
                    </w:drawing>
                  </w:r>
                </w:p>
              </w:tc>
            </w:tr>
          </w:tbl>
          <w:p w14:paraId="3906D793" w14:textId="77777777" w:rsidR="004C50FA" w:rsidRDefault="004C50FA" w:rsidP="00117259">
            <w:pPr>
              <w:pStyle w:val="Figure"/>
            </w:pPr>
          </w:p>
        </w:tc>
      </w:tr>
      <w:tr w:rsidR="004C50FA" w:rsidRPr="00176D3F" w14:paraId="30921F30" w14:textId="77777777" w:rsidTr="00117259">
        <w:tc>
          <w:tcPr>
            <w:tcW w:w="8771" w:type="dxa"/>
            <w:tcBorders>
              <w:top w:val="nil"/>
              <w:left w:val="nil"/>
              <w:bottom w:val="nil"/>
              <w:right w:val="nil"/>
            </w:tcBorders>
            <w:shd w:val="clear" w:color="auto" w:fill="auto"/>
          </w:tcPr>
          <w:p w14:paraId="05E4AB73" w14:textId="2A32BA84" w:rsidR="004C50FA" w:rsidRPr="00176D3F" w:rsidRDefault="00223C79" w:rsidP="00117259">
            <w:pPr>
              <w:pStyle w:val="Source"/>
            </w:pPr>
            <w:r>
              <w:rPr>
                <w:i/>
              </w:rPr>
              <w:t>S</w:t>
            </w:r>
            <w:r w:rsidRPr="00784A05">
              <w:rPr>
                <w:i/>
              </w:rPr>
              <w:t>ource</w:t>
            </w:r>
            <w:r w:rsidRPr="00176D3F">
              <w:t xml:space="preserve">: </w:t>
            </w:r>
            <w:r>
              <w:t>Commission estimates based on ACARA data (unpublished).</w:t>
            </w:r>
          </w:p>
        </w:tc>
      </w:tr>
      <w:tr w:rsidR="004C50FA" w14:paraId="0EB03634" w14:textId="77777777" w:rsidTr="00117259">
        <w:tc>
          <w:tcPr>
            <w:tcW w:w="8771" w:type="dxa"/>
            <w:tcBorders>
              <w:top w:val="nil"/>
              <w:left w:val="nil"/>
              <w:bottom w:val="single" w:sz="6" w:space="0" w:color="78A22F"/>
              <w:right w:val="nil"/>
            </w:tcBorders>
            <w:shd w:val="clear" w:color="auto" w:fill="auto"/>
          </w:tcPr>
          <w:p w14:paraId="70C3480E" w14:textId="77777777" w:rsidR="004C50FA" w:rsidRDefault="004C50FA" w:rsidP="00117259">
            <w:pPr>
              <w:pStyle w:val="Figurespace"/>
            </w:pPr>
          </w:p>
        </w:tc>
      </w:tr>
      <w:tr w:rsidR="004C50FA" w:rsidRPr="000863A5" w14:paraId="65EF1A07" w14:textId="77777777" w:rsidTr="00117259">
        <w:tc>
          <w:tcPr>
            <w:tcW w:w="8771" w:type="dxa"/>
            <w:tcBorders>
              <w:top w:val="single" w:sz="6" w:space="0" w:color="78A22F"/>
              <w:left w:val="nil"/>
              <w:bottom w:val="nil"/>
              <w:right w:val="nil"/>
            </w:tcBorders>
          </w:tcPr>
          <w:p w14:paraId="191C18C6" w14:textId="5DFC1ABB" w:rsidR="004C50FA" w:rsidRPr="00626D32" w:rsidRDefault="004C50FA" w:rsidP="00117259">
            <w:pPr>
              <w:pStyle w:val="BoxSpaceBelow"/>
            </w:pPr>
          </w:p>
        </w:tc>
      </w:tr>
    </w:tbl>
    <w:p w14:paraId="25561FFF" w14:textId="30069A1B" w:rsidR="00ED546F" w:rsidRDefault="00ED546F" w:rsidP="00E854AB">
      <w:pPr>
        <w:pStyle w:val="Heading3"/>
      </w:pPr>
      <w:r>
        <w:t>How do</w:t>
      </w:r>
      <w:r w:rsidR="002278EF">
        <w:t>es</w:t>
      </w:r>
      <w:r>
        <w:t xml:space="preserve"> </w:t>
      </w:r>
      <w:r w:rsidR="00541C0C">
        <w:t>reading</w:t>
      </w:r>
      <w:r>
        <w:t xml:space="preserve"> </w:t>
      </w:r>
      <w:r w:rsidR="002278EF">
        <w:t xml:space="preserve">achievement </w:t>
      </w:r>
      <w:r>
        <w:t xml:space="preserve">vary by </w:t>
      </w:r>
      <w:r w:rsidR="008F717E">
        <w:t xml:space="preserve">type of </w:t>
      </w:r>
      <w:r>
        <w:t>school attended?</w:t>
      </w:r>
    </w:p>
    <w:p w14:paraId="0952D475" w14:textId="2E513F93" w:rsidR="00FC001C" w:rsidRDefault="009630E5" w:rsidP="009E332D">
      <w:pPr>
        <w:pStyle w:val="BodyText"/>
      </w:pPr>
      <w:r w:rsidRPr="006F1B28">
        <w:t xml:space="preserve">In metropolitan and provincial regions, </w:t>
      </w:r>
      <w:r w:rsidR="003275F4" w:rsidRPr="006F1B28">
        <w:t xml:space="preserve">Indigenous students tend to perform better </w:t>
      </w:r>
      <w:r w:rsidR="00574EC7" w:rsidRPr="006F1B28">
        <w:t xml:space="preserve">on reading tests </w:t>
      </w:r>
      <w:r w:rsidR="003275F4" w:rsidRPr="006F1B28">
        <w:t xml:space="preserve">in schools with </w:t>
      </w:r>
      <w:r w:rsidR="000C1454">
        <w:t>higher student</w:t>
      </w:r>
      <w:r w:rsidR="000367BA">
        <w:t>–</w:t>
      </w:r>
      <w:r w:rsidR="000C1454">
        <w:t>teacher ratios</w:t>
      </w:r>
      <w:r w:rsidR="003275F4" w:rsidRPr="006F1B28">
        <w:t xml:space="preserve"> (more students per teacher</w:t>
      </w:r>
      <w:r w:rsidRPr="006F1B28">
        <w:t xml:space="preserve">). But </w:t>
      </w:r>
      <w:r w:rsidR="00917229">
        <w:t>this does not hold</w:t>
      </w:r>
      <w:r w:rsidR="003275F4" w:rsidRPr="006F1B28">
        <w:t xml:space="preserve"> for non</w:t>
      </w:r>
      <w:r w:rsidR="00574EC7" w:rsidRPr="006F1B28">
        <w:noBreakHyphen/>
      </w:r>
      <w:r w:rsidR="003275F4" w:rsidRPr="006F1B28">
        <w:t>Indigenous students</w:t>
      </w:r>
      <w:r w:rsidR="001B424B" w:rsidRPr="006F1B28">
        <w:t xml:space="preserve"> or for Indigenous students in remote or very remote areas</w:t>
      </w:r>
      <w:r w:rsidR="003275F4" w:rsidRPr="006F1B28">
        <w:t>.</w:t>
      </w:r>
      <w:r w:rsidR="0030696E" w:rsidRPr="006F1B28">
        <w:t xml:space="preserve"> </w:t>
      </w:r>
      <w:r w:rsidR="001B424B" w:rsidRPr="006F1B28">
        <w:t>In metropolitan and provincial regions, t</w:t>
      </w:r>
      <w:r w:rsidR="0030696E" w:rsidRPr="006F1B28">
        <w:t xml:space="preserve">he gap in </w:t>
      </w:r>
      <w:r w:rsidR="00E2423B">
        <w:t>achievement</w:t>
      </w:r>
      <w:r w:rsidR="0030696E" w:rsidRPr="006F1B28">
        <w:t xml:space="preserve"> between Indigenous and non</w:t>
      </w:r>
      <w:r w:rsidR="003C48BA">
        <w:noBreakHyphen/>
      </w:r>
      <w:r w:rsidR="0030696E" w:rsidRPr="006F1B28">
        <w:t xml:space="preserve">Indigenous students reduces as </w:t>
      </w:r>
      <w:r w:rsidR="000C1454">
        <w:t>the student</w:t>
      </w:r>
      <w:r w:rsidR="000367BA">
        <w:t>–</w:t>
      </w:r>
      <w:r w:rsidR="000C1454">
        <w:t>teacher ratio</w:t>
      </w:r>
      <w:r w:rsidR="0030696E" w:rsidRPr="006F1B28">
        <w:t xml:space="preserve"> increases.</w:t>
      </w:r>
    </w:p>
    <w:p w14:paraId="16AA1FF6" w14:textId="6117EF55" w:rsidR="009E332D" w:rsidRDefault="009E332D" w:rsidP="00117259">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9E332D" w14:paraId="48277D8B" w14:textId="77777777" w:rsidTr="00117259">
        <w:tc>
          <w:tcPr>
            <w:tcW w:w="8771" w:type="dxa"/>
            <w:tcBorders>
              <w:top w:val="single" w:sz="6" w:space="0" w:color="78A22F"/>
              <w:left w:val="nil"/>
              <w:bottom w:val="nil"/>
              <w:right w:val="nil"/>
            </w:tcBorders>
            <w:shd w:val="clear" w:color="auto" w:fill="auto"/>
          </w:tcPr>
          <w:p w14:paraId="1798D26C" w14:textId="53D8CEBB" w:rsidR="009E332D" w:rsidRDefault="009E332D" w:rsidP="00117259">
            <w:pPr>
              <w:pStyle w:val="FigureTitle"/>
            </w:pPr>
            <w:r w:rsidRPr="00784A05">
              <w:rPr>
                <w:b w:val="0"/>
              </w:rPr>
              <w:t xml:space="preserve">Figure </w:t>
            </w:r>
            <w:r w:rsidR="00A85BAB">
              <w:rPr>
                <w:b w:val="0"/>
                <w:noProof/>
              </w:rPr>
              <w:t>18</w:t>
            </w:r>
            <w:r>
              <w:tab/>
              <w:t xml:space="preserve">Reading scores by </w:t>
            </w:r>
            <w:r w:rsidR="000C1454">
              <w:t>student</w:t>
            </w:r>
            <w:r w:rsidR="003C48BA">
              <w:t>–</w:t>
            </w:r>
            <w:r w:rsidR="000C1454">
              <w:t>teacher ratio</w:t>
            </w:r>
            <w:r w:rsidR="00D06921">
              <w:t xml:space="preserve"> and remoteness</w:t>
            </w:r>
            <w:r w:rsidR="00D67378" w:rsidRPr="00D67378">
              <w:rPr>
                <w:rStyle w:val="NoteLabel"/>
                <w:b/>
              </w:rPr>
              <w:t>a</w:t>
            </w:r>
          </w:p>
          <w:p w14:paraId="5CCD3999" w14:textId="0D5273E0" w:rsidR="009E332D" w:rsidRPr="00176D3F" w:rsidRDefault="000238FF" w:rsidP="0095119F">
            <w:pPr>
              <w:pStyle w:val="Subtitle"/>
            </w:pPr>
            <w:r>
              <w:t>Median scores of Indigenous and non</w:t>
            </w:r>
            <w:r w:rsidR="00804684">
              <w:noBreakHyphen/>
            </w:r>
            <w:r>
              <w:t>Indigenous students (Year 5, 2014)</w:t>
            </w:r>
          </w:p>
        </w:tc>
      </w:tr>
      <w:tr w:rsidR="009E332D" w14:paraId="328CF568" w14:textId="77777777" w:rsidTr="00117259">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9E332D" w14:paraId="0A652E09" w14:textId="77777777" w:rsidTr="00117259">
              <w:trPr>
                <w:jc w:val="center"/>
              </w:trPr>
              <w:tc>
                <w:tcPr>
                  <w:tcW w:w="5000" w:type="pct"/>
                  <w:tcBorders>
                    <w:top w:val="nil"/>
                    <w:bottom w:val="nil"/>
                  </w:tcBorders>
                </w:tcPr>
                <w:p w14:paraId="2E082AF8" w14:textId="353A7853" w:rsidR="00290437" w:rsidRDefault="00290437" w:rsidP="00117259">
                  <w:pPr>
                    <w:pStyle w:val="Figure"/>
                    <w:spacing w:before="60" w:after="60"/>
                  </w:pPr>
                  <w:r>
                    <w:rPr>
                      <w:noProof/>
                    </w:rPr>
                    <w:drawing>
                      <wp:inline distT="0" distB="0" distL="0" distR="0" wp14:anchorId="5B53A07D" wp14:editId="30F8079D">
                        <wp:extent cx="5401310" cy="2633980"/>
                        <wp:effectExtent l="0" t="0" r="8890" b="0"/>
                        <wp:docPr id="42" name="Picture 42" descr="This figure shows that, particularly for Indigenous students, in metropolitan and provincial areas median reading scores are higher at schools where the student teacher ratio is higher.&#10;&#10;No such relationship exists for either Indigenous or non-Indigenous students at remote or very remote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01310" cy="2633980"/>
                                </a:xfrm>
                                <a:prstGeom prst="rect">
                                  <a:avLst/>
                                </a:prstGeom>
                                <a:noFill/>
                              </pic:spPr>
                            </pic:pic>
                          </a:graphicData>
                        </a:graphic>
                      </wp:inline>
                    </w:drawing>
                  </w:r>
                </w:p>
              </w:tc>
            </w:tr>
          </w:tbl>
          <w:p w14:paraId="66A3BCC0" w14:textId="77777777" w:rsidR="009E332D" w:rsidRDefault="009E332D" w:rsidP="00117259">
            <w:pPr>
              <w:pStyle w:val="Figure"/>
            </w:pPr>
          </w:p>
        </w:tc>
      </w:tr>
      <w:tr w:rsidR="009E332D" w:rsidRPr="00176D3F" w14:paraId="3719311C" w14:textId="77777777" w:rsidTr="00117259">
        <w:tc>
          <w:tcPr>
            <w:tcW w:w="8771" w:type="dxa"/>
            <w:tcBorders>
              <w:top w:val="nil"/>
              <w:left w:val="nil"/>
              <w:bottom w:val="nil"/>
              <w:right w:val="nil"/>
            </w:tcBorders>
            <w:shd w:val="clear" w:color="auto" w:fill="auto"/>
          </w:tcPr>
          <w:p w14:paraId="64AF6095" w14:textId="37630228" w:rsidR="009E332D" w:rsidRPr="00176D3F" w:rsidRDefault="005A0E99" w:rsidP="00C74D02">
            <w:pPr>
              <w:pStyle w:val="Note"/>
            </w:pPr>
            <w:proofErr w:type="spellStart"/>
            <w:r>
              <w:rPr>
                <w:rStyle w:val="NoteLabel"/>
              </w:rPr>
              <w:t>a</w:t>
            </w:r>
            <w:proofErr w:type="spellEnd"/>
            <w:r>
              <w:t xml:space="preserve"> Excludes </w:t>
            </w:r>
            <w:r w:rsidR="002C12C9">
              <w:t xml:space="preserve">144 </w:t>
            </w:r>
            <w:r>
              <w:t>Indigenous students (1</w:t>
            </w:r>
            <w:r w:rsidR="00E32387">
              <w:t> per cent</w:t>
            </w:r>
            <w:r>
              <w:t xml:space="preserve">) and </w:t>
            </w:r>
            <w:r w:rsidR="002C12C9">
              <w:t xml:space="preserve">408 </w:t>
            </w:r>
            <w:r>
              <w:t>non</w:t>
            </w:r>
            <w:r w:rsidR="003C48BA">
              <w:noBreakHyphen/>
            </w:r>
            <w:r>
              <w:t>Indigenous students (0.</w:t>
            </w:r>
            <w:r w:rsidR="002C12C9">
              <w:t>2</w:t>
            </w:r>
            <w:r w:rsidR="00E32387">
              <w:t> per cent</w:t>
            </w:r>
            <w:r>
              <w:t xml:space="preserve">) for whom data on </w:t>
            </w:r>
            <w:r w:rsidR="003D17DA">
              <w:t>student</w:t>
            </w:r>
            <w:r w:rsidR="003C48BA">
              <w:t>–</w:t>
            </w:r>
            <w:r w:rsidR="003D17DA">
              <w:t>teacher ratio</w:t>
            </w:r>
            <w:r>
              <w:t xml:space="preserve"> </w:t>
            </w:r>
            <w:r w:rsidR="002C12C9">
              <w:t xml:space="preserve">and/or remoteness </w:t>
            </w:r>
            <w:r>
              <w:t>w</w:t>
            </w:r>
            <w:r w:rsidR="00C74D02">
              <w:t>ere</w:t>
            </w:r>
            <w:r>
              <w:t xml:space="preserve"> unavailable.</w:t>
            </w:r>
          </w:p>
        </w:tc>
      </w:tr>
      <w:tr w:rsidR="009E332D" w:rsidRPr="00176D3F" w14:paraId="62D89B50" w14:textId="77777777" w:rsidTr="00117259">
        <w:tc>
          <w:tcPr>
            <w:tcW w:w="8771" w:type="dxa"/>
            <w:tcBorders>
              <w:top w:val="nil"/>
              <w:left w:val="nil"/>
              <w:bottom w:val="nil"/>
              <w:right w:val="nil"/>
            </w:tcBorders>
            <w:shd w:val="clear" w:color="auto" w:fill="auto"/>
          </w:tcPr>
          <w:p w14:paraId="5C7DD81C" w14:textId="712A582F" w:rsidR="009E332D" w:rsidRPr="00176D3F" w:rsidRDefault="00223C79" w:rsidP="00117259">
            <w:pPr>
              <w:pStyle w:val="Source"/>
            </w:pPr>
            <w:r>
              <w:rPr>
                <w:i/>
              </w:rPr>
              <w:t>S</w:t>
            </w:r>
            <w:r w:rsidRPr="00784A05">
              <w:rPr>
                <w:i/>
              </w:rPr>
              <w:t>ource</w:t>
            </w:r>
            <w:r w:rsidRPr="00176D3F">
              <w:t xml:space="preserve">: </w:t>
            </w:r>
            <w:r>
              <w:t>Commission estimates based on ACARA data (unpublished).</w:t>
            </w:r>
          </w:p>
        </w:tc>
      </w:tr>
      <w:tr w:rsidR="009E332D" w14:paraId="50120E3A" w14:textId="77777777" w:rsidTr="00117259">
        <w:tc>
          <w:tcPr>
            <w:tcW w:w="8771" w:type="dxa"/>
            <w:tcBorders>
              <w:top w:val="nil"/>
              <w:left w:val="nil"/>
              <w:bottom w:val="single" w:sz="6" w:space="0" w:color="78A22F"/>
              <w:right w:val="nil"/>
            </w:tcBorders>
            <w:shd w:val="clear" w:color="auto" w:fill="auto"/>
          </w:tcPr>
          <w:p w14:paraId="2ACB308B" w14:textId="77777777" w:rsidR="009E332D" w:rsidRDefault="009E332D" w:rsidP="00117259">
            <w:pPr>
              <w:pStyle w:val="Figurespace"/>
            </w:pPr>
          </w:p>
        </w:tc>
      </w:tr>
      <w:tr w:rsidR="009E332D" w:rsidRPr="000863A5" w14:paraId="477AEDE8" w14:textId="77777777" w:rsidTr="00117259">
        <w:tc>
          <w:tcPr>
            <w:tcW w:w="8771" w:type="dxa"/>
            <w:tcBorders>
              <w:top w:val="single" w:sz="6" w:space="0" w:color="78A22F"/>
              <w:left w:val="nil"/>
              <w:bottom w:val="nil"/>
              <w:right w:val="nil"/>
            </w:tcBorders>
          </w:tcPr>
          <w:p w14:paraId="5FB896B8" w14:textId="69DB1162" w:rsidR="009E332D" w:rsidRPr="00626D32" w:rsidRDefault="009E332D" w:rsidP="00117259">
            <w:pPr>
              <w:pStyle w:val="BoxSpaceBelow"/>
            </w:pPr>
          </w:p>
        </w:tc>
      </w:tr>
    </w:tbl>
    <w:p w14:paraId="5123A55C" w14:textId="1EB84CF0" w:rsidR="0058515E" w:rsidRDefault="0058515E" w:rsidP="0058515E">
      <w:pPr>
        <w:pStyle w:val="BodyText"/>
      </w:pPr>
      <w:r w:rsidRPr="006F1B28">
        <w:t xml:space="preserve">Across all remoteness categories, Indigenous students tend to perform better at schools where Indigenous students are a relatively small proportion of the total student population. The </w:t>
      </w:r>
      <w:r>
        <w:t>achievement</w:t>
      </w:r>
      <w:r w:rsidRPr="006F1B28">
        <w:t xml:space="preserve"> of non</w:t>
      </w:r>
      <w:r w:rsidR="003C48BA">
        <w:noBreakHyphen/>
      </w:r>
      <w:r w:rsidRPr="006F1B28">
        <w:t xml:space="preserve">Indigenous students also tends to be </w:t>
      </w:r>
      <w:r>
        <w:t>higher</w:t>
      </w:r>
      <w:r w:rsidRPr="006F1B28">
        <w:t xml:space="preserve"> at schools with a small proportion of Indigenous students.</w:t>
      </w:r>
    </w:p>
    <w:p w14:paraId="2BD65FF2" w14:textId="77777777" w:rsidR="0058515E" w:rsidRDefault="0058515E">
      <w:pPr>
        <w:rPr>
          <w:szCs w:val="20"/>
        </w:rPr>
      </w:pPr>
      <w:r>
        <w:br w:type="page"/>
      </w:r>
    </w:p>
    <w:p w14:paraId="30D06F37" w14:textId="687FFC0A" w:rsidR="00574EC7" w:rsidRDefault="00574EC7" w:rsidP="00574EC7">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574EC7" w14:paraId="43DDFDED" w14:textId="77777777" w:rsidTr="00117259">
        <w:tc>
          <w:tcPr>
            <w:tcW w:w="8771" w:type="dxa"/>
            <w:tcBorders>
              <w:top w:val="single" w:sz="6" w:space="0" w:color="78A22F"/>
              <w:left w:val="nil"/>
              <w:bottom w:val="nil"/>
              <w:right w:val="nil"/>
            </w:tcBorders>
            <w:shd w:val="clear" w:color="auto" w:fill="auto"/>
          </w:tcPr>
          <w:p w14:paraId="474763DA" w14:textId="0ECC40C1" w:rsidR="00574EC7" w:rsidRDefault="00574EC7" w:rsidP="00117259">
            <w:pPr>
              <w:pStyle w:val="FigureTitle"/>
            </w:pPr>
            <w:r w:rsidRPr="00784A05">
              <w:rPr>
                <w:b w:val="0"/>
              </w:rPr>
              <w:t xml:space="preserve">Figure </w:t>
            </w:r>
            <w:r w:rsidR="00A85BAB">
              <w:rPr>
                <w:b w:val="0"/>
                <w:noProof/>
              </w:rPr>
              <w:t>19</w:t>
            </w:r>
            <w:r>
              <w:tab/>
              <w:t>Reading scores by Indigenous enrolment</w:t>
            </w:r>
            <w:r w:rsidR="00FE1796">
              <w:t xml:space="preserve"> and remoteness</w:t>
            </w:r>
            <w:r w:rsidR="00D67378" w:rsidRPr="00D67378">
              <w:rPr>
                <w:rStyle w:val="NoteLabel"/>
                <w:b/>
              </w:rPr>
              <w:t>a</w:t>
            </w:r>
          </w:p>
          <w:p w14:paraId="18CE77FE" w14:textId="4DCEADBB" w:rsidR="00574EC7" w:rsidRPr="00176D3F" w:rsidRDefault="000238FF" w:rsidP="0095119F">
            <w:pPr>
              <w:pStyle w:val="Subtitle"/>
            </w:pPr>
            <w:r>
              <w:t xml:space="preserve">Median scores of Indigenous students </w:t>
            </w:r>
            <w:r w:rsidR="00FE1796">
              <w:t>and non</w:t>
            </w:r>
            <w:r w:rsidR="003C48BA">
              <w:noBreakHyphen/>
            </w:r>
            <w:r w:rsidR="00FE1796">
              <w:t xml:space="preserve">Indigenous students </w:t>
            </w:r>
            <w:r>
              <w:t>(</w:t>
            </w:r>
            <w:r w:rsidR="00FE1796">
              <w:t>Year </w:t>
            </w:r>
            <w:r>
              <w:t>5</w:t>
            </w:r>
            <w:r w:rsidR="00FE1796">
              <w:t>, </w:t>
            </w:r>
            <w:r>
              <w:t>2014)</w:t>
            </w:r>
          </w:p>
        </w:tc>
      </w:tr>
      <w:tr w:rsidR="00574EC7" w14:paraId="49274863" w14:textId="77777777" w:rsidTr="00117259">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574EC7" w14:paraId="186EC4D4" w14:textId="77777777" w:rsidTr="00117259">
              <w:trPr>
                <w:jc w:val="center"/>
              </w:trPr>
              <w:tc>
                <w:tcPr>
                  <w:tcW w:w="5000" w:type="pct"/>
                  <w:tcBorders>
                    <w:top w:val="nil"/>
                    <w:bottom w:val="nil"/>
                  </w:tcBorders>
                </w:tcPr>
                <w:p w14:paraId="36633ED8" w14:textId="592DE6B7" w:rsidR="00290437" w:rsidRDefault="00290437" w:rsidP="00117259">
                  <w:pPr>
                    <w:pStyle w:val="Figure"/>
                    <w:spacing w:before="60" w:after="60"/>
                  </w:pPr>
                  <w:r>
                    <w:rPr>
                      <w:noProof/>
                    </w:rPr>
                    <w:drawing>
                      <wp:inline distT="0" distB="0" distL="0" distR="0" wp14:anchorId="52F77879" wp14:editId="77FB5CAB">
                        <wp:extent cx="5401310" cy="2341245"/>
                        <wp:effectExtent l="0" t="0" r="8890" b="1905"/>
                        <wp:docPr id="43" name="Picture 43" descr="This figure shows that across remoteness categories, median reading scores, particularly for Indigneous students, tend to be lower when the proportion of Indigneous students at the school is hig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01310" cy="2341245"/>
                                </a:xfrm>
                                <a:prstGeom prst="rect">
                                  <a:avLst/>
                                </a:prstGeom>
                                <a:noFill/>
                              </pic:spPr>
                            </pic:pic>
                          </a:graphicData>
                        </a:graphic>
                      </wp:inline>
                    </w:drawing>
                  </w:r>
                </w:p>
              </w:tc>
            </w:tr>
          </w:tbl>
          <w:p w14:paraId="6C81C31E" w14:textId="77777777" w:rsidR="00574EC7" w:rsidRDefault="00574EC7" w:rsidP="00117259">
            <w:pPr>
              <w:pStyle w:val="Figure"/>
            </w:pPr>
          </w:p>
        </w:tc>
      </w:tr>
      <w:tr w:rsidR="00574EC7" w:rsidRPr="00176D3F" w14:paraId="3B58A74C" w14:textId="77777777" w:rsidTr="00117259">
        <w:tc>
          <w:tcPr>
            <w:tcW w:w="8771" w:type="dxa"/>
            <w:tcBorders>
              <w:top w:val="nil"/>
              <w:left w:val="nil"/>
              <w:bottom w:val="nil"/>
              <w:right w:val="nil"/>
            </w:tcBorders>
            <w:shd w:val="clear" w:color="auto" w:fill="auto"/>
          </w:tcPr>
          <w:p w14:paraId="0310ECCA" w14:textId="32CF4BCA" w:rsidR="00574EC7" w:rsidRPr="00176D3F" w:rsidRDefault="000375C3" w:rsidP="00C74D02">
            <w:pPr>
              <w:pStyle w:val="Note"/>
            </w:pPr>
            <w:proofErr w:type="spellStart"/>
            <w:r>
              <w:rPr>
                <w:rStyle w:val="NoteLabel"/>
              </w:rPr>
              <w:t>a</w:t>
            </w:r>
            <w:proofErr w:type="spellEnd"/>
            <w:r>
              <w:t xml:space="preserve"> Excludes </w:t>
            </w:r>
            <w:r w:rsidR="000F71EE">
              <w:t>139</w:t>
            </w:r>
            <w:r>
              <w:t xml:space="preserve"> Indigenous students (1</w:t>
            </w:r>
            <w:r w:rsidR="00E32387">
              <w:t> per cent</w:t>
            </w:r>
            <w:r>
              <w:t xml:space="preserve">) </w:t>
            </w:r>
            <w:r w:rsidR="00EE42CB">
              <w:t xml:space="preserve">who </w:t>
            </w:r>
            <w:r>
              <w:t xml:space="preserve">were </w:t>
            </w:r>
            <w:r w:rsidR="00EE42CB">
              <w:t>part of</w:t>
            </w:r>
            <w:r>
              <w:t xml:space="preserve"> grouping</w:t>
            </w:r>
            <w:r w:rsidR="00EE42CB">
              <w:t>s</w:t>
            </w:r>
            <w:r>
              <w:t xml:space="preserve"> with less than 30 students</w:t>
            </w:r>
            <w:r w:rsidR="00EE42CB">
              <w:t xml:space="preserve"> or for whom data on Indigenous enrolment or remoteness w</w:t>
            </w:r>
            <w:r w:rsidR="00C74D02">
              <w:t>ere</w:t>
            </w:r>
            <w:r w:rsidR="00882057">
              <w:t xml:space="preserve"> unavailable.</w:t>
            </w:r>
          </w:p>
        </w:tc>
      </w:tr>
      <w:tr w:rsidR="00574EC7" w:rsidRPr="00176D3F" w14:paraId="305C3267" w14:textId="77777777" w:rsidTr="00117259">
        <w:tc>
          <w:tcPr>
            <w:tcW w:w="8771" w:type="dxa"/>
            <w:tcBorders>
              <w:top w:val="nil"/>
              <w:left w:val="nil"/>
              <w:bottom w:val="nil"/>
              <w:right w:val="nil"/>
            </w:tcBorders>
            <w:shd w:val="clear" w:color="auto" w:fill="auto"/>
          </w:tcPr>
          <w:p w14:paraId="5316E501" w14:textId="55A5EED6" w:rsidR="00574EC7" w:rsidRPr="00176D3F" w:rsidRDefault="00223C79" w:rsidP="00117259">
            <w:pPr>
              <w:pStyle w:val="Source"/>
            </w:pPr>
            <w:r>
              <w:rPr>
                <w:i/>
              </w:rPr>
              <w:t>S</w:t>
            </w:r>
            <w:r w:rsidRPr="00784A05">
              <w:rPr>
                <w:i/>
              </w:rPr>
              <w:t>ource</w:t>
            </w:r>
            <w:r w:rsidRPr="00176D3F">
              <w:t xml:space="preserve">: </w:t>
            </w:r>
            <w:r>
              <w:t>Commission estimates based on ACARA data (unpublished).</w:t>
            </w:r>
          </w:p>
        </w:tc>
      </w:tr>
      <w:tr w:rsidR="00574EC7" w14:paraId="7CBD30F3" w14:textId="77777777" w:rsidTr="00117259">
        <w:tc>
          <w:tcPr>
            <w:tcW w:w="8771" w:type="dxa"/>
            <w:tcBorders>
              <w:top w:val="nil"/>
              <w:left w:val="nil"/>
              <w:bottom w:val="single" w:sz="6" w:space="0" w:color="78A22F"/>
              <w:right w:val="nil"/>
            </w:tcBorders>
            <w:shd w:val="clear" w:color="auto" w:fill="auto"/>
          </w:tcPr>
          <w:p w14:paraId="5C06677E" w14:textId="77777777" w:rsidR="00574EC7" w:rsidRDefault="00574EC7" w:rsidP="00117259">
            <w:pPr>
              <w:pStyle w:val="Figurespace"/>
            </w:pPr>
          </w:p>
        </w:tc>
      </w:tr>
      <w:tr w:rsidR="00574EC7" w:rsidRPr="000863A5" w14:paraId="3DF1DC0E" w14:textId="77777777" w:rsidTr="00117259">
        <w:tc>
          <w:tcPr>
            <w:tcW w:w="8771" w:type="dxa"/>
            <w:tcBorders>
              <w:top w:val="single" w:sz="6" w:space="0" w:color="78A22F"/>
              <w:left w:val="nil"/>
              <w:bottom w:val="nil"/>
              <w:right w:val="nil"/>
            </w:tcBorders>
          </w:tcPr>
          <w:p w14:paraId="010BD4DD" w14:textId="1EE4FA08" w:rsidR="00574EC7" w:rsidRPr="00626D32" w:rsidRDefault="00574EC7" w:rsidP="00117259">
            <w:pPr>
              <w:pStyle w:val="BoxSpaceBelow"/>
            </w:pPr>
          </w:p>
        </w:tc>
      </w:tr>
    </w:tbl>
    <w:p w14:paraId="1A11C635" w14:textId="12DF230C" w:rsidR="00793CDC" w:rsidRPr="006F1B28" w:rsidRDefault="00793CDC" w:rsidP="00793CDC">
      <w:pPr>
        <w:pStyle w:val="BodyText"/>
      </w:pPr>
      <w:r w:rsidRPr="006F1B28">
        <w:t>Across all regions, both Indigenous students and non</w:t>
      </w:r>
      <w:r w:rsidR="003C48BA">
        <w:noBreakHyphen/>
      </w:r>
      <w:r w:rsidRPr="006F1B28">
        <w:t>Indigenous students tend to perform better in schools where school attendance rates are higher.</w:t>
      </w:r>
    </w:p>
    <w:p w14:paraId="0705FEC8" w14:textId="4EE49B7B" w:rsidR="009E332D" w:rsidRDefault="009E332D" w:rsidP="00365F23">
      <w:pPr>
        <w:pStyle w:val="BoxSpaceAbove"/>
        <w:spacing w:before="240"/>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9E332D" w14:paraId="102145F1" w14:textId="77777777" w:rsidTr="00117259">
        <w:tc>
          <w:tcPr>
            <w:tcW w:w="8771" w:type="dxa"/>
            <w:tcBorders>
              <w:top w:val="single" w:sz="6" w:space="0" w:color="78A22F"/>
              <w:left w:val="nil"/>
              <w:bottom w:val="nil"/>
              <w:right w:val="nil"/>
            </w:tcBorders>
            <w:shd w:val="clear" w:color="auto" w:fill="auto"/>
          </w:tcPr>
          <w:p w14:paraId="0C0BE58C" w14:textId="0496F206" w:rsidR="009E332D" w:rsidRDefault="009E332D" w:rsidP="00117259">
            <w:pPr>
              <w:pStyle w:val="FigureTitle"/>
            </w:pPr>
            <w:r w:rsidRPr="00784A05">
              <w:rPr>
                <w:b w:val="0"/>
              </w:rPr>
              <w:t xml:space="preserve">Figure </w:t>
            </w:r>
            <w:r w:rsidR="00A85BAB">
              <w:rPr>
                <w:b w:val="0"/>
                <w:noProof/>
              </w:rPr>
              <w:t>20</w:t>
            </w:r>
            <w:r>
              <w:tab/>
              <w:t>Reading scores by school attendance</w:t>
            </w:r>
            <w:r w:rsidR="00FE1796">
              <w:t xml:space="preserve"> and remoteness</w:t>
            </w:r>
            <w:r w:rsidR="00101018" w:rsidRPr="00101018">
              <w:rPr>
                <w:rStyle w:val="NoteLabel"/>
                <w:b/>
              </w:rPr>
              <w:t>a</w:t>
            </w:r>
          </w:p>
          <w:p w14:paraId="3F71E9C0" w14:textId="209F4D31" w:rsidR="009E332D" w:rsidRPr="00176D3F" w:rsidRDefault="00CF13DE" w:rsidP="0095119F">
            <w:pPr>
              <w:pStyle w:val="Subtitle"/>
            </w:pPr>
            <w:r>
              <w:t>Median score</w:t>
            </w:r>
            <w:r w:rsidR="00FE1796">
              <w:t>s of Indigenous and non</w:t>
            </w:r>
            <w:r w:rsidR="003C48BA">
              <w:noBreakHyphen/>
            </w:r>
            <w:r w:rsidR="00FE1796">
              <w:t>Indigenous students</w:t>
            </w:r>
            <w:r>
              <w:t xml:space="preserve"> (Year 5, 2014)</w:t>
            </w:r>
          </w:p>
        </w:tc>
      </w:tr>
      <w:tr w:rsidR="009E332D" w14:paraId="2BC5339E" w14:textId="77777777" w:rsidTr="00117259">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9E332D" w14:paraId="70335476" w14:textId="77777777" w:rsidTr="00117259">
              <w:trPr>
                <w:jc w:val="center"/>
              </w:trPr>
              <w:tc>
                <w:tcPr>
                  <w:tcW w:w="5000" w:type="pct"/>
                  <w:tcBorders>
                    <w:top w:val="nil"/>
                    <w:bottom w:val="nil"/>
                  </w:tcBorders>
                </w:tcPr>
                <w:p w14:paraId="6784E433" w14:textId="3A8F9B7E" w:rsidR="00290437" w:rsidRDefault="00290437" w:rsidP="00117259">
                  <w:pPr>
                    <w:pStyle w:val="Figure"/>
                    <w:spacing w:before="60" w:after="60"/>
                  </w:pPr>
                  <w:r>
                    <w:rPr>
                      <w:noProof/>
                    </w:rPr>
                    <w:drawing>
                      <wp:inline distT="0" distB="0" distL="0" distR="0" wp14:anchorId="1EE4028E" wp14:editId="4EBCF04E">
                        <wp:extent cx="5401310" cy="2341245"/>
                        <wp:effectExtent l="0" t="0" r="8890" b="1905"/>
                        <wp:docPr id="44" name="Picture 44" descr="This figure shows that median scores of both Indigneous and non-Indigenous students tend to be higher at schools where the average school attendance rate is higher. This is true across remoteness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01310" cy="2341245"/>
                                </a:xfrm>
                                <a:prstGeom prst="rect">
                                  <a:avLst/>
                                </a:prstGeom>
                                <a:noFill/>
                              </pic:spPr>
                            </pic:pic>
                          </a:graphicData>
                        </a:graphic>
                      </wp:inline>
                    </w:drawing>
                  </w:r>
                </w:p>
              </w:tc>
            </w:tr>
          </w:tbl>
          <w:p w14:paraId="7C3C2E32" w14:textId="77777777" w:rsidR="009E332D" w:rsidRDefault="009E332D" w:rsidP="00117259">
            <w:pPr>
              <w:pStyle w:val="Figure"/>
            </w:pPr>
          </w:p>
        </w:tc>
      </w:tr>
      <w:tr w:rsidR="009E332D" w:rsidRPr="00176D3F" w14:paraId="64B8CDA4" w14:textId="77777777" w:rsidTr="00117259">
        <w:tc>
          <w:tcPr>
            <w:tcW w:w="8771" w:type="dxa"/>
            <w:tcBorders>
              <w:top w:val="nil"/>
              <w:left w:val="nil"/>
              <w:bottom w:val="nil"/>
              <w:right w:val="nil"/>
            </w:tcBorders>
            <w:shd w:val="clear" w:color="auto" w:fill="auto"/>
          </w:tcPr>
          <w:p w14:paraId="475A0D30" w14:textId="2E33FB21" w:rsidR="009E332D" w:rsidRPr="00176D3F" w:rsidRDefault="00D67378" w:rsidP="007E55BB">
            <w:pPr>
              <w:pStyle w:val="Note"/>
            </w:pPr>
            <w:proofErr w:type="spellStart"/>
            <w:r>
              <w:rPr>
                <w:rStyle w:val="NoteLabel"/>
              </w:rPr>
              <w:t>a</w:t>
            </w:r>
            <w:proofErr w:type="spellEnd"/>
            <w:r>
              <w:t xml:space="preserve"> Excludes </w:t>
            </w:r>
            <w:r w:rsidR="007E55BB">
              <w:t xml:space="preserve">176 </w:t>
            </w:r>
            <w:r>
              <w:t>Indigenous students (1</w:t>
            </w:r>
            <w:r w:rsidR="00E32387">
              <w:t> per cent</w:t>
            </w:r>
            <w:r>
              <w:t xml:space="preserve">) and </w:t>
            </w:r>
            <w:r w:rsidR="007E55BB">
              <w:t xml:space="preserve">3325 </w:t>
            </w:r>
            <w:r>
              <w:t>non</w:t>
            </w:r>
            <w:r w:rsidR="003C48BA">
              <w:noBreakHyphen/>
            </w:r>
            <w:r>
              <w:t>Indigenous students (1</w:t>
            </w:r>
            <w:r w:rsidR="00E32387">
              <w:t> per cent</w:t>
            </w:r>
            <w:r>
              <w:t>) who either had no defined region</w:t>
            </w:r>
            <w:r w:rsidR="007E55BB">
              <w:t>, no information on school attendance rate</w:t>
            </w:r>
            <w:r>
              <w:t xml:space="preserve"> or were in a grouping with less than 30 students.</w:t>
            </w:r>
          </w:p>
        </w:tc>
      </w:tr>
      <w:tr w:rsidR="009E332D" w:rsidRPr="00176D3F" w14:paraId="0029C7F5" w14:textId="77777777" w:rsidTr="00117259">
        <w:tc>
          <w:tcPr>
            <w:tcW w:w="8771" w:type="dxa"/>
            <w:tcBorders>
              <w:top w:val="nil"/>
              <w:left w:val="nil"/>
              <w:bottom w:val="nil"/>
              <w:right w:val="nil"/>
            </w:tcBorders>
            <w:shd w:val="clear" w:color="auto" w:fill="auto"/>
          </w:tcPr>
          <w:p w14:paraId="20B5F94D" w14:textId="2EEB5378" w:rsidR="009E332D" w:rsidRPr="00176D3F" w:rsidRDefault="00223C79" w:rsidP="00117259">
            <w:pPr>
              <w:pStyle w:val="Source"/>
            </w:pPr>
            <w:r>
              <w:rPr>
                <w:i/>
              </w:rPr>
              <w:t>S</w:t>
            </w:r>
            <w:r w:rsidRPr="00784A05">
              <w:rPr>
                <w:i/>
              </w:rPr>
              <w:t>ource</w:t>
            </w:r>
            <w:r w:rsidRPr="00176D3F">
              <w:t xml:space="preserve">: </w:t>
            </w:r>
            <w:r>
              <w:t>Commission estimates based on ACARA data (unpublished).</w:t>
            </w:r>
          </w:p>
        </w:tc>
      </w:tr>
      <w:tr w:rsidR="009E332D" w14:paraId="430E46CA" w14:textId="77777777" w:rsidTr="00117259">
        <w:tc>
          <w:tcPr>
            <w:tcW w:w="8771" w:type="dxa"/>
            <w:tcBorders>
              <w:top w:val="nil"/>
              <w:left w:val="nil"/>
              <w:bottom w:val="single" w:sz="6" w:space="0" w:color="78A22F"/>
              <w:right w:val="nil"/>
            </w:tcBorders>
            <w:shd w:val="clear" w:color="auto" w:fill="auto"/>
          </w:tcPr>
          <w:p w14:paraId="5DE8B255" w14:textId="77777777" w:rsidR="009E332D" w:rsidRDefault="009E332D" w:rsidP="00117259">
            <w:pPr>
              <w:pStyle w:val="Figurespace"/>
            </w:pPr>
          </w:p>
        </w:tc>
      </w:tr>
      <w:tr w:rsidR="009E332D" w:rsidRPr="000863A5" w14:paraId="49849DA8" w14:textId="77777777" w:rsidTr="00117259">
        <w:tc>
          <w:tcPr>
            <w:tcW w:w="8771" w:type="dxa"/>
            <w:tcBorders>
              <w:top w:val="single" w:sz="6" w:space="0" w:color="78A22F"/>
              <w:left w:val="nil"/>
              <w:bottom w:val="nil"/>
              <w:right w:val="nil"/>
            </w:tcBorders>
          </w:tcPr>
          <w:p w14:paraId="15BE886E" w14:textId="22CF3C55" w:rsidR="009E332D" w:rsidRPr="00626D32" w:rsidRDefault="009E332D" w:rsidP="00117259">
            <w:pPr>
              <w:pStyle w:val="BoxSpaceBelow"/>
            </w:pPr>
          </w:p>
        </w:tc>
      </w:tr>
    </w:tbl>
    <w:p w14:paraId="486E094F" w14:textId="452AD6DC" w:rsidR="00EF7A2C" w:rsidRDefault="00B5165C" w:rsidP="00675A67">
      <w:pPr>
        <w:pStyle w:val="Heading2"/>
      </w:pPr>
      <w:r>
        <w:lastRenderedPageBreak/>
        <w:t>References</w:t>
      </w:r>
    </w:p>
    <w:p w14:paraId="610422DA" w14:textId="1781A1BF" w:rsidR="00B9549B" w:rsidRPr="00B9549B" w:rsidRDefault="00B9549B" w:rsidP="00C86AB5">
      <w:pPr>
        <w:pStyle w:val="Reference"/>
        <w:spacing w:before="480"/>
      </w:pPr>
      <w:r w:rsidRPr="00B9549B">
        <w:t xml:space="preserve">ACARA (Australian Curriculum, Assessment and Reporting Authority) 2015, </w:t>
      </w:r>
      <w:r w:rsidRPr="00B9549B">
        <w:rPr>
          <w:i/>
          <w:iCs/>
        </w:rPr>
        <w:t>2015 National Protocols for Test Administration</w:t>
      </w:r>
      <w:r w:rsidR="001E1EF8">
        <w:t xml:space="preserve">, </w:t>
      </w:r>
      <w:proofErr w:type="spellStart"/>
      <w:r w:rsidRPr="00B9549B">
        <w:t>www.nap.edu.au</w:t>
      </w:r>
      <w:proofErr w:type="spellEnd"/>
      <w:r w:rsidRPr="00B9549B">
        <w:t>/</w:t>
      </w:r>
      <w:r w:rsidR="00784EB8">
        <w:t xml:space="preserve"> </w:t>
      </w:r>
      <w:r w:rsidRPr="00B9549B">
        <w:t>verve/_resources/National_protocols_for_test_administration_2015_-_web</w:t>
      </w:r>
      <w:r w:rsidR="009250F6">
        <w:br/>
      </w:r>
      <w:r w:rsidRPr="00B9549B">
        <w:t>_</w:t>
      </w:r>
      <w:proofErr w:type="spellStart"/>
      <w:r w:rsidR="00784EB8">
        <w:t>version.PDF</w:t>
      </w:r>
      <w:proofErr w:type="spellEnd"/>
      <w:r w:rsidRPr="00B9549B">
        <w:t xml:space="preserve"> (accessed 16</w:t>
      </w:r>
      <w:r w:rsidR="00A9261F">
        <w:t> </w:t>
      </w:r>
      <w:r w:rsidRPr="00B9549B">
        <w:t>November 2015).</w:t>
      </w:r>
    </w:p>
    <w:p w14:paraId="76B9E9BF" w14:textId="3CFFB3D6" w:rsidR="00B9549B" w:rsidRPr="00B9549B" w:rsidRDefault="00B9549B" w:rsidP="00204CED">
      <w:pPr>
        <w:pStyle w:val="Reference"/>
      </w:pPr>
      <w:proofErr w:type="spellStart"/>
      <w:r w:rsidRPr="00B9549B">
        <w:t>APMRC</w:t>
      </w:r>
      <w:proofErr w:type="spellEnd"/>
      <w:r w:rsidRPr="00B9549B">
        <w:t xml:space="preserve"> (Australian Population and Migration Research Centre) 2015, </w:t>
      </w:r>
      <w:r w:rsidRPr="00B9549B">
        <w:rPr>
          <w:i/>
          <w:iCs/>
        </w:rPr>
        <w:t>ARIA (Accessibility/Remoteness Index of Australia)</w:t>
      </w:r>
      <w:r w:rsidR="001E1EF8">
        <w:t xml:space="preserve">, </w:t>
      </w:r>
      <w:proofErr w:type="spellStart"/>
      <w:r w:rsidRPr="00B9549B">
        <w:t>www.adelaide.edu.au</w:t>
      </w:r>
      <w:proofErr w:type="spellEnd"/>
      <w:r w:rsidRPr="00B9549B">
        <w:t>/</w:t>
      </w:r>
      <w:proofErr w:type="spellStart"/>
      <w:r w:rsidRPr="00B9549B">
        <w:t>apmrc</w:t>
      </w:r>
      <w:proofErr w:type="spellEnd"/>
      <w:r w:rsidRPr="00B9549B">
        <w:t>/research/</w:t>
      </w:r>
      <w:r w:rsidR="00784EB8">
        <w:t xml:space="preserve"> </w:t>
      </w:r>
      <w:r w:rsidRPr="00B9549B">
        <w:t>projects/category/</w:t>
      </w:r>
      <w:proofErr w:type="spellStart"/>
      <w:r w:rsidRPr="00B9549B">
        <w:t>about_aria.html</w:t>
      </w:r>
      <w:proofErr w:type="spellEnd"/>
      <w:r w:rsidRPr="00B9549B">
        <w:t xml:space="preserve"> (accessed 17</w:t>
      </w:r>
      <w:r w:rsidR="00A9261F">
        <w:t> </w:t>
      </w:r>
      <w:r w:rsidRPr="00B9549B">
        <w:t>February 2016).</w:t>
      </w:r>
    </w:p>
    <w:p w14:paraId="55493B72" w14:textId="6E711522" w:rsidR="00B9549B" w:rsidRPr="00B9549B" w:rsidRDefault="00B9549B" w:rsidP="00204CED">
      <w:pPr>
        <w:pStyle w:val="Reference"/>
      </w:pPr>
      <w:r w:rsidRPr="00B9549B">
        <w:t xml:space="preserve">Dockery, </w:t>
      </w:r>
      <w:proofErr w:type="spellStart"/>
      <w:r w:rsidRPr="00B9549B">
        <w:t>A.M.</w:t>
      </w:r>
      <w:proofErr w:type="spellEnd"/>
      <w:r w:rsidRPr="00B9549B">
        <w:t xml:space="preserve"> and Colquhoun, S. 2012, ‘Mobility of Aboriginal and Torres Strait Islander people: A literature review’, </w:t>
      </w:r>
      <w:r w:rsidRPr="00B9549B">
        <w:rPr>
          <w:i/>
          <w:iCs/>
        </w:rPr>
        <w:t xml:space="preserve">CRC-REP Working Paper </w:t>
      </w:r>
      <w:proofErr w:type="spellStart"/>
      <w:r w:rsidRPr="00B9549B">
        <w:rPr>
          <w:i/>
          <w:iCs/>
        </w:rPr>
        <w:t>CW004</w:t>
      </w:r>
      <w:proofErr w:type="spellEnd"/>
      <w:r w:rsidRPr="00B9549B">
        <w:rPr>
          <w:i/>
          <w:iCs/>
        </w:rPr>
        <w:t xml:space="preserve"> Alice Springs: </w:t>
      </w:r>
      <w:proofErr w:type="spellStart"/>
      <w:r w:rsidRPr="00B9549B">
        <w:rPr>
          <w:i/>
          <w:iCs/>
        </w:rPr>
        <w:t>Ninti</w:t>
      </w:r>
      <w:proofErr w:type="spellEnd"/>
      <w:r w:rsidRPr="00B9549B">
        <w:rPr>
          <w:i/>
          <w:iCs/>
        </w:rPr>
        <w:t xml:space="preserve"> O</w:t>
      </w:r>
      <w:bookmarkStart w:id="5" w:name="_GoBack"/>
      <w:bookmarkEnd w:id="5"/>
      <w:r w:rsidRPr="00B9549B">
        <w:rPr>
          <w:i/>
          <w:iCs/>
        </w:rPr>
        <w:t>ne Limited</w:t>
      </w:r>
      <w:r w:rsidRPr="00B9549B">
        <w:t xml:space="preserve">, </w:t>
      </w:r>
      <w:proofErr w:type="spellStart"/>
      <w:r w:rsidRPr="00B9549B">
        <w:t>www.crc-rep.com.au</w:t>
      </w:r>
      <w:proofErr w:type="spellEnd"/>
      <w:r w:rsidRPr="00B9549B">
        <w:t>/resource/</w:t>
      </w:r>
      <w:proofErr w:type="spellStart"/>
      <w:r w:rsidRPr="00B9549B">
        <w:t>CW004_MobilityOfAboriginalandTorres</w:t>
      </w:r>
      <w:proofErr w:type="spellEnd"/>
      <w:r w:rsidR="00784EB8">
        <w:t xml:space="preserve"> </w:t>
      </w:r>
      <w:proofErr w:type="spellStart"/>
      <w:r w:rsidRPr="00B9549B">
        <w:t>StraitIslanderPeople_ALiteratureReview.pdf</w:t>
      </w:r>
      <w:proofErr w:type="spellEnd"/>
      <w:r w:rsidRPr="00B9549B">
        <w:t xml:space="preserve"> (accessed 20</w:t>
      </w:r>
      <w:r w:rsidR="00A9261F">
        <w:t> </w:t>
      </w:r>
      <w:r w:rsidRPr="00B9549B">
        <w:t>April 2016).</w:t>
      </w:r>
    </w:p>
    <w:p w14:paraId="757A7661" w14:textId="77777777" w:rsidR="00B9549B" w:rsidRPr="00B9549B" w:rsidRDefault="00B9549B" w:rsidP="00204CED">
      <w:pPr>
        <w:pStyle w:val="Reference"/>
      </w:pPr>
      <w:r w:rsidRPr="00B9549B">
        <w:t xml:space="preserve">Doyle, T. and </w:t>
      </w:r>
      <w:proofErr w:type="spellStart"/>
      <w:r w:rsidRPr="00B9549B">
        <w:t>Prout</w:t>
      </w:r>
      <w:proofErr w:type="spellEnd"/>
      <w:r w:rsidRPr="00B9549B">
        <w:t xml:space="preserve">, S. 2012, ‘Indigenous student mobility, performance and achievement: Issues of positioning and traceability’, </w:t>
      </w:r>
      <w:r w:rsidRPr="00B9549B">
        <w:rPr>
          <w:i/>
          <w:iCs/>
        </w:rPr>
        <w:t>International Journal of Educational Research</w:t>
      </w:r>
      <w:r w:rsidRPr="00B9549B">
        <w:t>, vol. 54, pp. 41–49.</w:t>
      </w:r>
    </w:p>
    <w:p w14:paraId="761C4BA4" w14:textId="605CEC6E" w:rsidR="00B9549B" w:rsidRPr="00B9549B" w:rsidRDefault="00B9549B" w:rsidP="00204CED">
      <w:pPr>
        <w:pStyle w:val="Reference"/>
      </w:pPr>
      <w:r w:rsidRPr="00B9549B">
        <w:t xml:space="preserve">Holmes-Smith, P. 2012, </w:t>
      </w:r>
      <w:r w:rsidRPr="00B9549B">
        <w:rPr>
          <w:i/>
          <w:iCs/>
        </w:rPr>
        <w:t xml:space="preserve">Using </w:t>
      </w:r>
      <w:proofErr w:type="spellStart"/>
      <w:r w:rsidRPr="00B9549B">
        <w:rPr>
          <w:i/>
          <w:iCs/>
        </w:rPr>
        <w:t>NAPLAN</w:t>
      </w:r>
      <w:proofErr w:type="spellEnd"/>
      <w:r w:rsidRPr="00B9549B">
        <w:rPr>
          <w:i/>
          <w:iCs/>
        </w:rPr>
        <w:t xml:space="preserve"> </w:t>
      </w:r>
      <w:r w:rsidR="000D41C8">
        <w:rPr>
          <w:i/>
          <w:iCs/>
        </w:rPr>
        <w:t>S</w:t>
      </w:r>
      <w:r w:rsidRPr="00B9549B">
        <w:rPr>
          <w:i/>
          <w:iCs/>
        </w:rPr>
        <w:t xml:space="preserve">ummative </w:t>
      </w:r>
      <w:r w:rsidR="000D41C8">
        <w:rPr>
          <w:i/>
          <w:iCs/>
        </w:rPr>
        <w:t>D</w:t>
      </w:r>
      <w:r w:rsidRPr="00B9549B">
        <w:rPr>
          <w:i/>
          <w:iCs/>
        </w:rPr>
        <w:t xml:space="preserve">ata to </w:t>
      </w:r>
      <w:r w:rsidR="000D41C8">
        <w:rPr>
          <w:i/>
          <w:iCs/>
        </w:rPr>
        <w:t>I</w:t>
      </w:r>
      <w:r w:rsidRPr="00B9549B">
        <w:rPr>
          <w:i/>
          <w:iCs/>
        </w:rPr>
        <w:t xml:space="preserve">dentify </w:t>
      </w:r>
      <w:r w:rsidR="000D41C8">
        <w:rPr>
          <w:i/>
          <w:iCs/>
        </w:rPr>
        <w:t>I</w:t>
      </w:r>
      <w:r w:rsidRPr="00B9549B">
        <w:rPr>
          <w:i/>
          <w:iCs/>
        </w:rPr>
        <w:t xml:space="preserve">nstructional </w:t>
      </w:r>
      <w:r w:rsidR="000D41C8">
        <w:rPr>
          <w:i/>
          <w:iCs/>
        </w:rPr>
        <w:t>S</w:t>
      </w:r>
      <w:r w:rsidRPr="00B9549B">
        <w:rPr>
          <w:i/>
          <w:iCs/>
        </w:rPr>
        <w:t xml:space="preserve">uccesses and </w:t>
      </w:r>
      <w:r w:rsidR="000D41C8">
        <w:rPr>
          <w:i/>
          <w:iCs/>
        </w:rPr>
        <w:t>C</w:t>
      </w:r>
      <w:r w:rsidRPr="00B9549B">
        <w:rPr>
          <w:i/>
          <w:iCs/>
        </w:rPr>
        <w:t>hallenges</w:t>
      </w:r>
      <w:r w:rsidRPr="00B9549B">
        <w:t xml:space="preserve">, School Research Evaluation and Measurement Services, </w:t>
      </w:r>
      <w:proofErr w:type="spellStart"/>
      <w:r w:rsidRPr="00B9549B">
        <w:t>www.sreams.com.au</w:t>
      </w:r>
      <w:proofErr w:type="spellEnd"/>
      <w:r w:rsidRPr="00B9549B">
        <w:t>/</w:t>
      </w:r>
      <w:proofErr w:type="spellStart"/>
      <w:r w:rsidRPr="00B9549B">
        <w:t>naplan.html</w:t>
      </w:r>
      <w:proofErr w:type="spellEnd"/>
      <w:r w:rsidRPr="00B9549B">
        <w:t xml:space="preserve"> (accessed 16</w:t>
      </w:r>
      <w:r w:rsidR="00A9261F">
        <w:t> </w:t>
      </w:r>
      <w:r w:rsidRPr="00B9549B">
        <w:t>November 2015).</w:t>
      </w:r>
    </w:p>
    <w:p w14:paraId="368EBBB4" w14:textId="182FBF2C" w:rsidR="00B9549B" w:rsidRPr="00B9549B" w:rsidRDefault="00B9549B" w:rsidP="00204CED">
      <w:pPr>
        <w:pStyle w:val="Reference"/>
      </w:pPr>
      <w:r w:rsidRPr="00B9549B">
        <w:t xml:space="preserve">Jones, R. 2004, </w:t>
      </w:r>
      <w:r w:rsidRPr="00B9549B">
        <w:rPr>
          <w:i/>
          <w:iCs/>
        </w:rPr>
        <w:t>Geolocation Questions and Coding Index</w:t>
      </w:r>
      <w:r w:rsidRPr="00B9549B">
        <w:t xml:space="preserve">, A technical report submitted to the Performance Measurement and Reporting Taskforce of the Ministerial Council on Education, Employment, Training and Youth Affairs, Quantitative Evaluation and Design, </w:t>
      </w:r>
      <w:proofErr w:type="spellStart"/>
      <w:r w:rsidRPr="00B9549B">
        <w:t>www.scseec.edu.au</w:t>
      </w:r>
      <w:proofErr w:type="spellEnd"/>
      <w:r w:rsidRPr="00B9549B">
        <w:t xml:space="preserve"> (accessed 17</w:t>
      </w:r>
      <w:r w:rsidR="00A9261F">
        <w:t> </w:t>
      </w:r>
      <w:r w:rsidRPr="00B9549B">
        <w:t>February 2016).</w:t>
      </w:r>
    </w:p>
    <w:p w14:paraId="0EEB05F2" w14:textId="7834E06C" w:rsidR="00B6548C" w:rsidRPr="00B6548C" w:rsidRDefault="00B9549B" w:rsidP="00801491">
      <w:pPr>
        <w:pStyle w:val="Reference"/>
      </w:pPr>
      <w:r w:rsidRPr="00B9549B">
        <w:t xml:space="preserve">Malcolm, I. 2000, </w:t>
      </w:r>
      <w:r w:rsidRPr="00B9549B">
        <w:rPr>
          <w:i/>
          <w:iCs/>
        </w:rPr>
        <w:t>A Submission on Aboriginal English and Urban Dwelling Aboriginal and Torres Strait Islander People</w:t>
      </w:r>
      <w:r w:rsidRPr="00B9549B">
        <w:t>, Report to the Inquiry into the Needs of Urban Dwelling Aboriginal and Torres Strait Islander Peoples conducted by the House of Representatives Standing Committee on Aboriginal and Torres Strait Islander Affairs, Submission no. 31.</w:t>
      </w:r>
    </w:p>
    <w:sectPr w:rsidR="00B6548C" w:rsidRPr="00B6548C" w:rsidSect="00C86AB5">
      <w:headerReference w:type="even" r:id="rId38"/>
      <w:headerReference w:type="default" r:id="rId39"/>
      <w:footerReference w:type="even" r:id="rId40"/>
      <w:footerReference w:type="default" r:id="rId41"/>
      <w:pgSz w:w="11907" w:h="16840" w:code="9"/>
      <w:pgMar w:top="1985" w:right="1304" w:bottom="1191" w:left="1814" w:header="1701" w:footer="397" w:gutter="0"/>
      <w:pgNumType w:start="1"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F498A5" w14:textId="77777777" w:rsidR="00057B1E" w:rsidRDefault="00057B1E">
      <w:r>
        <w:separator/>
      </w:r>
    </w:p>
  </w:endnote>
  <w:endnote w:type="continuationSeparator" w:id="0">
    <w:p w14:paraId="717874B1" w14:textId="77777777" w:rsidR="00057B1E" w:rsidRDefault="00057B1E">
      <w:r>
        <w:continuationSeparator/>
      </w:r>
    </w:p>
  </w:endnote>
  <w:endnote w:type="continuationNotice" w:id="1">
    <w:p w14:paraId="6360F908" w14:textId="77777777" w:rsidR="00057B1E" w:rsidRDefault="00057B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057B1E" w14:paraId="6D344FAC" w14:textId="77777777" w:rsidTr="005F48ED">
      <w:trPr>
        <w:trHeight w:hRule="exact" w:val="567"/>
      </w:trPr>
      <w:tc>
        <w:tcPr>
          <w:tcW w:w="510" w:type="dxa"/>
        </w:tcPr>
        <w:p w14:paraId="53DE0D21" w14:textId="77777777" w:rsidR="00057B1E" w:rsidRPr="00A24443" w:rsidRDefault="00057B1E"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290437">
            <w:rPr>
              <w:rStyle w:val="PageNumber"/>
              <w:caps w:val="0"/>
              <w:noProof/>
            </w:rPr>
            <w:t>24</w:t>
          </w:r>
          <w:r w:rsidRPr="00A24443">
            <w:rPr>
              <w:rStyle w:val="PageNumber"/>
              <w:caps w:val="0"/>
            </w:rPr>
            <w:fldChar w:fldCharType="end"/>
          </w:r>
        </w:p>
      </w:tc>
      <w:tc>
        <w:tcPr>
          <w:tcW w:w="7767" w:type="dxa"/>
        </w:tcPr>
        <w:p w14:paraId="08AA8A13" w14:textId="4C27C6FB" w:rsidR="00057B1E" w:rsidRPr="0013739A" w:rsidRDefault="00057B1E" w:rsidP="0084443D">
          <w:pPr>
            <w:pStyle w:val="Footer"/>
            <w:rPr>
              <w:rFonts w:cs="Arial"/>
            </w:rPr>
          </w:pPr>
          <w:bookmarkStart w:id="6" w:name="DraftReportEven"/>
          <w:bookmarkEnd w:id="6"/>
          <w:r>
            <w:rPr>
              <w:rFonts w:cs="Arial"/>
            </w:rPr>
            <w:t xml:space="preserve">INDIGENOUS </w:t>
          </w:r>
          <w:r w:rsidR="0084443D">
            <w:rPr>
              <w:rFonts w:cs="Arial"/>
            </w:rPr>
            <w:t>PRIMARY SCHOOL</w:t>
          </w:r>
          <w:r>
            <w:rPr>
              <w:rFonts w:cs="Arial"/>
            </w:rPr>
            <w:t xml:space="preserve"> ACHIEVEMENT</w:t>
          </w:r>
        </w:p>
      </w:tc>
      <w:tc>
        <w:tcPr>
          <w:tcW w:w="510" w:type="dxa"/>
        </w:tcPr>
        <w:p w14:paraId="117FC1A3" w14:textId="77777777" w:rsidR="00057B1E" w:rsidRDefault="00057B1E" w:rsidP="0019293B">
          <w:pPr>
            <w:pStyle w:val="Footer"/>
          </w:pPr>
        </w:p>
      </w:tc>
    </w:tr>
  </w:tbl>
  <w:p w14:paraId="0AE161F0" w14:textId="77777777" w:rsidR="00057B1E" w:rsidRDefault="00057B1E"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057B1E" w14:paraId="4476039A" w14:textId="77777777" w:rsidTr="005F48ED">
      <w:trPr>
        <w:trHeight w:hRule="exact" w:val="567"/>
      </w:trPr>
      <w:tc>
        <w:tcPr>
          <w:tcW w:w="510" w:type="dxa"/>
        </w:tcPr>
        <w:p w14:paraId="04D2E8BA" w14:textId="77777777" w:rsidR="00057B1E" w:rsidRDefault="00057B1E">
          <w:pPr>
            <w:pStyle w:val="Footer"/>
            <w:ind w:right="360" w:firstLine="360"/>
          </w:pPr>
        </w:p>
      </w:tc>
      <w:tc>
        <w:tcPr>
          <w:tcW w:w="7767" w:type="dxa"/>
        </w:tcPr>
        <w:p w14:paraId="2A36CBC3" w14:textId="1EFFA7C7" w:rsidR="00057B1E" w:rsidRPr="00BA5B14" w:rsidRDefault="00057B1E" w:rsidP="0013739A">
          <w:pPr>
            <w:pStyle w:val="Footer"/>
            <w:jc w:val="right"/>
            <w:rPr>
              <w:rFonts w:cs="Arial"/>
            </w:rPr>
          </w:pPr>
          <w:bookmarkStart w:id="7" w:name="DraftReportOdd"/>
          <w:bookmarkEnd w:id="7"/>
          <w:r>
            <w:rPr>
              <w:rFonts w:cs="Arial"/>
            </w:rPr>
            <w:t>ABOUT INDIGENOUS AUSTRALIAN STUDENTS</w:t>
          </w:r>
        </w:p>
      </w:tc>
      <w:tc>
        <w:tcPr>
          <w:tcW w:w="510" w:type="dxa"/>
        </w:tcPr>
        <w:p w14:paraId="1333C76B" w14:textId="77777777" w:rsidR="00057B1E" w:rsidRPr="00A24443" w:rsidRDefault="00057B1E">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290437">
            <w:rPr>
              <w:rStyle w:val="PageNumber"/>
              <w:caps w:val="0"/>
              <w:noProof/>
            </w:rPr>
            <w:t>25</w:t>
          </w:r>
          <w:r w:rsidRPr="00A24443">
            <w:rPr>
              <w:rStyle w:val="PageNumber"/>
              <w:caps w:val="0"/>
            </w:rPr>
            <w:fldChar w:fldCharType="end"/>
          </w:r>
        </w:p>
      </w:tc>
    </w:tr>
  </w:tbl>
  <w:p w14:paraId="7E74F977" w14:textId="77777777" w:rsidR="00057B1E" w:rsidRDefault="00057B1E">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5C2267" w14:textId="77777777" w:rsidR="00057B1E" w:rsidRDefault="00057B1E">
      <w:r>
        <w:separator/>
      </w:r>
    </w:p>
  </w:footnote>
  <w:footnote w:type="continuationSeparator" w:id="0">
    <w:p w14:paraId="5C158F32" w14:textId="77777777" w:rsidR="00057B1E" w:rsidRDefault="00057B1E">
      <w:r>
        <w:continuationSeparator/>
      </w:r>
    </w:p>
  </w:footnote>
  <w:footnote w:type="continuationNotice" w:id="1">
    <w:p w14:paraId="618DB9AD" w14:textId="77777777" w:rsidR="00057B1E" w:rsidRPr="00C86AB5" w:rsidRDefault="00057B1E" w:rsidP="00C86AB5">
      <w:pPr>
        <w:spacing w:line="100" w:lineRule="exact"/>
        <w:rPr>
          <w:sz w:val="12"/>
          <w:szCs w:val="12"/>
        </w:rPr>
      </w:pPr>
    </w:p>
  </w:footnote>
  <w:footnote w:id="2">
    <w:p w14:paraId="540FD79C" w14:textId="13CD795A" w:rsidR="00057B1E" w:rsidRDefault="00057B1E">
      <w:pPr>
        <w:pStyle w:val="FootnoteText"/>
      </w:pPr>
      <w:r>
        <w:rPr>
          <w:rStyle w:val="FootnoteReference"/>
        </w:rPr>
        <w:footnoteRef/>
      </w:r>
      <w:r>
        <w:tab/>
        <w:t>Throughout this paper, references to ‘schools’ refer to primary schools and references to ‘students’ refer to primary school students.</w:t>
      </w:r>
    </w:p>
  </w:footnote>
  <w:footnote w:id="3">
    <w:p w14:paraId="4B864409" w14:textId="38CC4936" w:rsidR="00057B1E" w:rsidRDefault="00057B1E">
      <w:pPr>
        <w:pStyle w:val="FootnoteText"/>
      </w:pPr>
      <w:r w:rsidRPr="00686D97">
        <w:rPr>
          <w:rStyle w:val="FootnoteReference"/>
        </w:rPr>
        <w:footnoteRef/>
      </w:r>
      <w:r>
        <w:tab/>
        <w:t xml:space="preserve">These data do not distinguish between Standard Australian English and Aboriginal English. Aboriginal English is a dialect of English that ‘is widely spoken by Indigenous Australians, and which differs from [Standard] Australian English in pronunciation, vocabulary, idiom and in the ways in which it is used’ </w:t>
      </w:r>
      <w:r w:rsidRPr="002D43B3">
        <w:rPr>
          <w:szCs w:val="24"/>
        </w:rPr>
        <w:t>(Malcolm 2000, p. 1)</w:t>
      </w:r>
      <w:r>
        <w:t xml:space="preserve">. Many Indigenous students, including those in metropolitan areas, learn Standard Australian English as a second dialect. This may have implications for </w:t>
      </w:r>
      <w:proofErr w:type="spellStart"/>
      <w:r>
        <w:t>NAPLAN</w:t>
      </w:r>
      <w:proofErr w:type="spellEnd"/>
      <w:r>
        <w:t xml:space="preserve"> achievement.</w:t>
      </w:r>
    </w:p>
  </w:footnote>
  <w:footnote w:id="4">
    <w:p w14:paraId="62B0F71B" w14:textId="62B54C6D" w:rsidR="00057B1E" w:rsidRDefault="00057B1E">
      <w:pPr>
        <w:pStyle w:val="FootnoteText"/>
      </w:pPr>
      <w:r>
        <w:rPr>
          <w:rStyle w:val="FootnoteReference"/>
        </w:rPr>
        <w:footnoteRef/>
      </w:r>
      <w:r>
        <w:tab/>
        <w:t xml:space="preserve">Calculated based on the ratio of full-time equivalent teachers to full-time equivalent students. </w:t>
      </w:r>
    </w:p>
  </w:footnote>
  <w:footnote w:id="5">
    <w:p w14:paraId="4BA23EB2" w14:textId="0AC9032E" w:rsidR="00057B1E" w:rsidRDefault="00057B1E">
      <w:pPr>
        <w:pStyle w:val="FootnoteText"/>
      </w:pPr>
      <w:r>
        <w:rPr>
          <w:rStyle w:val="FootnoteReference"/>
        </w:rPr>
        <w:footnoteRef/>
      </w:r>
      <w:r>
        <w:tab/>
        <w:t>This is one finding that does not hold across tests for non-Indigenous students. On the numeracy test, non</w:t>
      </w:r>
      <w:r>
        <w:noBreakHyphen/>
        <w:t>Indigenous students with an English background score about the same as non-Indigenous students with a non-English background. However, for Indigenous students, the gap between English and non</w:t>
      </w:r>
      <w:r>
        <w:noBreakHyphen/>
        <w:t>English background students is about the same across tests.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057B1E" w14:paraId="5147CC1D" w14:textId="77777777">
      <w:tc>
        <w:tcPr>
          <w:tcW w:w="2155" w:type="dxa"/>
          <w:tcBorders>
            <w:top w:val="single" w:sz="24" w:space="0" w:color="auto"/>
          </w:tcBorders>
        </w:tcPr>
        <w:p w14:paraId="0F682A60" w14:textId="77777777" w:rsidR="00057B1E" w:rsidRDefault="00057B1E" w:rsidP="0019293B">
          <w:pPr>
            <w:pStyle w:val="HeaderEven"/>
          </w:pPr>
        </w:p>
      </w:tc>
      <w:tc>
        <w:tcPr>
          <w:tcW w:w="6634" w:type="dxa"/>
          <w:tcBorders>
            <w:top w:val="single" w:sz="6" w:space="0" w:color="auto"/>
          </w:tcBorders>
        </w:tcPr>
        <w:p w14:paraId="2A2E6790" w14:textId="5966550F" w:rsidR="00057B1E" w:rsidRDefault="00057B1E" w:rsidP="00E916FC">
          <w:pPr>
            <w:pStyle w:val="HeaderOdd"/>
          </w:pPr>
        </w:p>
      </w:tc>
    </w:tr>
  </w:tbl>
  <w:p w14:paraId="4A6E5558" w14:textId="77777777" w:rsidR="00057B1E" w:rsidRDefault="00057B1E"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057B1E" w14:paraId="2A592864" w14:textId="77777777">
      <w:tc>
        <w:tcPr>
          <w:tcW w:w="6634" w:type="dxa"/>
          <w:tcBorders>
            <w:top w:val="single" w:sz="6" w:space="0" w:color="auto"/>
          </w:tcBorders>
        </w:tcPr>
        <w:p w14:paraId="1F816E15" w14:textId="77777777" w:rsidR="00057B1E" w:rsidRDefault="00057B1E" w:rsidP="00E669E2">
          <w:pPr>
            <w:pStyle w:val="HeaderOdd"/>
          </w:pPr>
        </w:p>
      </w:tc>
      <w:tc>
        <w:tcPr>
          <w:tcW w:w="2155" w:type="dxa"/>
          <w:tcBorders>
            <w:top w:val="single" w:sz="24" w:space="0" w:color="auto"/>
          </w:tcBorders>
        </w:tcPr>
        <w:p w14:paraId="4368E655" w14:textId="77777777" w:rsidR="00057B1E" w:rsidRDefault="00057B1E" w:rsidP="00E669E2">
          <w:pPr>
            <w:pStyle w:val="HeaderOdd"/>
          </w:pPr>
        </w:p>
      </w:tc>
    </w:tr>
  </w:tbl>
  <w:p w14:paraId="396F522E" w14:textId="77777777" w:rsidR="00057B1E" w:rsidRDefault="00057B1E"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nsid w:val="FFFFFF88"/>
    <w:multiLevelType w:val="singleLevel"/>
    <w:tmpl w:val="0B5AF1CA"/>
    <w:lvl w:ilvl="0">
      <w:start w:val="1"/>
      <w:numFmt w:val="decimal"/>
      <w:lvlText w:val="%1."/>
      <w:lvlJc w:val="left"/>
      <w:pPr>
        <w:tabs>
          <w:tab w:val="num" w:pos="360"/>
        </w:tabs>
        <w:ind w:left="360" w:hanging="360"/>
      </w:pPr>
    </w:lvl>
  </w:abstractNum>
  <w:abstractNum w:abstractNumId="2">
    <w:nsid w:val="FFFFFFFE"/>
    <w:multiLevelType w:val="singleLevel"/>
    <w:tmpl w:val="FFFFFFFF"/>
    <w:lvl w:ilvl="0">
      <w:numFmt w:val="decimal"/>
      <w:lvlText w:val="*"/>
      <w:lvlJc w:val="left"/>
    </w:lvl>
  </w:abstractNum>
  <w:abstractNum w:abstractNumId="3">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5">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6">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9">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1">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3">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5">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6">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7">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1">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2"/>
  </w:num>
  <w:num w:numId="2">
    <w:abstractNumId w:val="3"/>
  </w:num>
  <w:num w:numId="3">
    <w:abstractNumId w:val="14"/>
  </w:num>
  <w:num w:numId="4">
    <w:abstractNumId w:val="4"/>
  </w:num>
  <w:num w:numId="5">
    <w:abstractNumId w:val="19"/>
  </w:num>
  <w:num w:numId="6">
    <w:abstractNumId w:val="16"/>
  </w:num>
  <w:num w:numId="7">
    <w:abstractNumId w:val="8"/>
  </w:num>
  <w:num w:numId="8">
    <w:abstractNumId w:val="15"/>
  </w:num>
  <w:num w:numId="9">
    <w:abstractNumId w:val="7"/>
  </w:num>
  <w:num w:numId="10">
    <w:abstractNumId w:val="6"/>
  </w:num>
  <w:num w:numId="11">
    <w:abstractNumId w:val="10"/>
  </w:num>
  <w:num w:numId="12">
    <w:abstractNumId w:val="11"/>
  </w:num>
  <w:num w:numId="13">
    <w:abstractNumId w:val="5"/>
  </w:num>
  <w:num w:numId="14">
    <w:abstractNumId w:val="17"/>
  </w:num>
  <w:num w:numId="15">
    <w:abstractNumId w:val="20"/>
  </w:num>
  <w:num w:numId="16">
    <w:abstractNumId w:val="13"/>
  </w:num>
  <w:num w:numId="17">
    <w:abstractNumId w:val="21"/>
  </w:num>
  <w:num w:numId="18">
    <w:abstractNumId w:val="0"/>
  </w:num>
  <w:num w:numId="19">
    <w:abstractNumId w:val="2"/>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8"/>
  </w:num>
  <w:num w:numId="21">
    <w:abstractNumId w:val="9"/>
  </w:num>
  <w:num w:numId="22">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Chapter"/>
    <w:docVar w:name="ShortReportTitle" w:val="Report"/>
  </w:docVars>
  <w:rsids>
    <w:rsidRoot w:val="00002976"/>
    <w:rsid w:val="00002976"/>
    <w:rsid w:val="00002F62"/>
    <w:rsid w:val="00003477"/>
    <w:rsid w:val="00010A0A"/>
    <w:rsid w:val="00013400"/>
    <w:rsid w:val="00014D34"/>
    <w:rsid w:val="000155B9"/>
    <w:rsid w:val="00020D8E"/>
    <w:rsid w:val="00021885"/>
    <w:rsid w:val="000227D5"/>
    <w:rsid w:val="00022F81"/>
    <w:rsid w:val="000238FF"/>
    <w:rsid w:val="00023B06"/>
    <w:rsid w:val="00023FE1"/>
    <w:rsid w:val="000245AA"/>
    <w:rsid w:val="000255A8"/>
    <w:rsid w:val="0003302B"/>
    <w:rsid w:val="000331CD"/>
    <w:rsid w:val="00034552"/>
    <w:rsid w:val="00035354"/>
    <w:rsid w:val="0003664B"/>
    <w:rsid w:val="000367BA"/>
    <w:rsid w:val="000375C3"/>
    <w:rsid w:val="000400A9"/>
    <w:rsid w:val="0004014F"/>
    <w:rsid w:val="0004111F"/>
    <w:rsid w:val="00043FCA"/>
    <w:rsid w:val="0004613E"/>
    <w:rsid w:val="00051646"/>
    <w:rsid w:val="0005164A"/>
    <w:rsid w:val="00051AEA"/>
    <w:rsid w:val="000536B1"/>
    <w:rsid w:val="00054921"/>
    <w:rsid w:val="00055077"/>
    <w:rsid w:val="000556BE"/>
    <w:rsid w:val="000565B3"/>
    <w:rsid w:val="00057B1E"/>
    <w:rsid w:val="00061DDC"/>
    <w:rsid w:val="000650AA"/>
    <w:rsid w:val="00065165"/>
    <w:rsid w:val="00066145"/>
    <w:rsid w:val="00067F47"/>
    <w:rsid w:val="0007150B"/>
    <w:rsid w:val="000730E7"/>
    <w:rsid w:val="00081BF6"/>
    <w:rsid w:val="0008264D"/>
    <w:rsid w:val="000834CD"/>
    <w:rsid w:val="00083ECE"/>
    <w:rsid w:val="00087DB0"/>
    <w:rsid w:val="00091D53"/>
    <w:rsid w:val="00092B98"/>
    <w:rsid w:val="000938F5"/>
    <w:rsid w:val="00095663"/>
    <w:rsid w:val="00096E02"/>
    <w:rsid w:val="00096E55"/>
    <w:rsid w:val="000971F5"/>
    <w:rsid w:val="00097284"/>
    <w:rsid w:val="0009783E"/>
    <w:rsid w:val="000A6C82"/>
    <w:rsid w:val="000B1022"/>
    <w:rsid w:val="000B104F"/>
    <w:rsid w:val="000B1EB0"/>
    <w:rsid w:val="000B601B"/>
    <w:rsid w:val="000B7322"/>
    <w:rsid w:val="000B7B0A"/>
    <w:rsid w:val="000B7DAF"/>
    <w:rsid w:val="000C1454"/>
    <w:rsid w:val="000C1ACC"/>
    <w:rsid w:val="000C1E2E"/>
    <w:rsid w:val="000C207E"/>
    <w:rsid w:val="000C5694"/>
    <w:rsid w:val="000C5E7F"/>
    <w:rsid w:val="000C6D11"/>
    <w:rsid w:val="000C76EA"/>
    <w:rsid w:val="000C7744"/>
    <w:rsid w:val="000D35D4"/>
    <w:rsid w:val="000D41C8"/>
    <w:rsid w:val="000D41E9"/>
    <w:rsid w:val="000D6278"/>
    <w:rsid w:val="000D63DF"/>
    <w:rsid w:val="000E0A09"/>
    <w:rsid w:val="000E0FE7"/>
    <w:rsid w:val="000E142B"/>
    <w:rsid w:val="000E1827"/>
    <w:rsid w:val="000E4C75"/>
    <w:rsid w:val="000F0035"/>
    <w:rsid w:val="000F04E7"/>
    <w:rsid w:val="000F060A"/>
    <w:rsid w:val="000F0FCE"/>
    <w:rsid w:val="000F1F32"/>
    <w:rsid w:val="000F3C33"/>
    <w:rsid w:val="000F420B"/>
    <w:rsid w:val="000F4219"/>
    <w:rsid w:val="000F71EE"/>
    <w:rsid w:val="00100989"/>
    <w:rsid w:val="00101018"/>
    <w:rsid w:val="00103273"/>
    <w:rsid w:val="00103B75"/>
    <w:rsid w:val="001048A1"/>
    <w:rsid w:val="0010530E"/>
    <w:rsid w:val="0010690D"/>
    <w:rsid w:val="00110116"/>
    <w:rsid w:val="00111ABE"/>
    <w:rsid w:val="00111CD4"/>
    <w:rsid w:val="00111E93"/>
    <w:rsid w:val="001133D2"/>
    <w:rsid w:val="00113CCF"/>
    <w:rsid w:val="00116689"/>
    <w:rsid w:val="00117259"/>
    <w:rsid w:val="00120072"/>
    <w:rsid w:val="00121F57"/>
    <w:rsid w:val="001224C3"/>
    <w:rsid w:val="001238D4"/>
    <w:rsid w:val="00124BA7"/>
    <w:rsid w:val="00124EDF"/>
    <w:rsid w:val="001269D9"/>
    <w:rsid w:val="00126EB8"/>
    <w:rsid w:val="001274D4"/>
    <w:rsid w:val="001309D3"/>
    <w:rsid w:val="00132540"/>
    <w:rsid w:val="0013295B"/>
    <w:rsid w:val="00135A45"/>
    <w:rsid w:val="001363AA"/>
    <w:rsid w:val="00136CC5"/>
    <w:rsid w:val="0013739A"/>
    <w:rsid w:val="00141F45"/>
    <w:rsid w:val="00142165"/>
    <w:rsid w:val="00142E94"/>
    <w:rsid w:val="00143B3E"/>
    <w:rsid w:val="00144A5A"/>
    <w:rsid w:val="00146496"/>
    <w:rsid w:val="0014772D"/>
    <w:rsid w:val="001479DC"/>
    <w:rsid w:val="00151F8A"/>
    <w:rsid w:val="001557C1"/>
    <w:rsid w:val="0015603D"/>
    <w:rsid w:val="001609A5"/>
    <w:rsid w:val="00160DDA"/>
    <w:rsid w:val="00162434"/>
    <w:rsid w:val="00163088"/>
    <w:rsid w:val="00163C44"/>
    <w:rsid w:val="0016574E"/>
    <w:rsid w:val="00167367"/>
    <w:rsid w:val="00167B6A"/>
    <w:rsid w:val="00171C76"/>
    <w:rsid w:val="00172D80"/>
    <w:rsid w:val="00174F15"/>
    <w:rsid w:val="0018210B"/>
    <w:rsid w:val="00182511"/>
    <w:rsid w:val="0018312E"/>
    <w:rsid w:val="00183E82"/>
    <w:rsid w:val="001840AB"/>
    <w:rsid w:val="00186133"/>
    <w:rsid w:val="001878BB"/>
    <w:rsid w:val="00190CE6"/>
    <w:rsid w:val="00191AE0"/>
    <w:rsid w:val="0019293B"/>
    <w:rsid w:val="00192C76"/>
    <w:rsid w:val="00192DEC"/>
    <w:rsid w:val="001935A5"/>
    <w:rsid w:val="0019426B"/>
    <w:rsid w:val="001944DD"/>
    <w:rsid w:val="00194FE0"/>
    <w:rsid w:val="00197980"/>
    <w:rsid w:val="001A0D26"/>
    <w:rsid w:val="001A43A9"/>
    <w:rsid w:val="001A4CC8"/>
    <w:rsid w:val="001A4FBE"/>
    <w:rsid w:val="001A6A4B"/>
    <w:rsid w:val="001A6B08"/>
    <w:rsid w:val="001A7836"/>
    <w:rsid w:val="001B1394"/>
    <w:rsid w:val="001B2FE9"/>
    <w:rsid w:val="001B424B"/>
    <w:rsid w:val="001C0175"/>
    <w:rsid w:val="001C0699"/>
    <w:rsid w:val="001C0865"/>
    <w:rsid w:val="001C0AED"/>
    <w:rsid w:val="001C0C8B"/>
    <w:rsid w:val="001C3ABA"/>
    <w:rsid w:val="001C3B71"/>
    <w:rsid w:val="001C47DA"/>
    <w:rsid w:val="001C5111"/>
    <w:rsid w:val="001C6335"/>
    <w:rsid w:val="001C6C2D"/>
    <w:rsid w:val="001D2FF0"/>
    <w:rsid w:val="001D3F22"/>
    <w:rsid w:val="001D49FE"/>
    <w:rsid w:val="001D4A71"/>
    <w:rsid w:val="001D4C12"/>
    <w:rsid w:val="001D5273"/>
    <w:rsid w:val="001D5A78"/>
    <w:rsid w:val="001D5FE3"/>
    <w:rsid w:val="001E05EF"/>
    <w:rsid w:val="001E0DE1"/>
    <w:rsid w:val="001E1EF8"/>
    <w:rsid w:val="001E228C"/>
    <w:rsid w:val="001E5407"/>
    <w:rsid w:val="001E720C"/>
    <w:rsid w:val="001E7BE8"/>
    <w:rsid w:val="001F0248"/>
    <w:rsid w:val="001F08E6"/>
    <w:rsid w:val="001F3EB3"/>
    <w:rsid w:val="001F4438"/>
    <w:rsid w:val="001F4F86"/>
    <w:rsid w:val="001F6EB8"/>
    <w:rsid w:val="002002F4"/>
    <w:rsid w:val="00200E44"/>
    <w:rsid w:val="00202C2C"/>
    <w:rsid w:val="00203050"/>
    <w:rsid w:val="00204CED"/>
    <w:rsid w:val="00204F23"/>
    <w:rsid w:val="00210F17"/>
    <w:rsid w:val="0021265A"/>
    <w:rsid w:val="00212B93"/>
    <w:rsid w:val="00213180"/>
    <w:rsid w:val="002135AB"/>
    <w:rsid w:val="00213831"/>
    <w:rsid w:val="00213B5C"/>
    <w:rsid w:val="002144BE"/>
    <w:rsid w:val="00220C38"/>
    <w:rsid w:val="002213AE"/>
    <w:rsid w:val="00223865"/>
    <w:rsid w:val="00223C79"/>
    <w:rsid w:val="0022753C"/>
    <w:rsid w:val="002278EF"/>
    <w:rsid w:val="00232DC2"/>
    <w:rsid w:val="00234507"/>
    <w:rsid w:val="0023452C"/>
    <w:rsid w:val="00236439"/>
    <w:rsid w:val="00236AD9"/>
    <w:rsid w:val="00241672"/>
    <w:rsid w:val="00241D13"/>
    <w:rsid w:val="00242279"/>
    <w:rsid w:val="00243719"/>
    <w:rsid w:val="00243997"/>
    <w:rsid w:val="0024512B"/>
    <w:rsid w:val="0024516C"/>
    <w:rsid w:val="00245C82"/>
    <w:rsid w:val="00245EBE"/>
    <w:rsid w:val="002505FF"/>
    <w:rsid w:val="00250BFD"/>
    <w:rsid w:val="002627F6"/>
    <w:rsid w:val="0026529C"/>
    <w:rsid w:val="002665F7"/>
    <w:rsid w:val="002671B5"/>
    <w:rsid w:val="0027052F"/>
    <w:rsid w:val="002724BA"/>
    <w:rsid w:val="00274256"/>
    <w:rsid w:val="00281F0B"/>
    <w:rsid w:val="00282D27"/>
    <w:rsid w:val="00286EF5"/>
    <w:rsid w:val="00290437"/>
    <w:rsid w:val="00291B40"/>
    <w:rsid w:val="00292714"/>
    <w:rsid w:val="002947A4"/>
    <w:rsid w:val="00294B2E"/>
    <w:rsid w:val="00294D89"/>
    <w:rsid w:val="00295D52"/>
    <w:rsid w:val="00295DD1"/>
    <w:rsid w:val="00295FCE"/>
    <w:rsid w:val="002976FE"/>
    <w:rsid w:val="002A24CD"/>
    <w:rsid w:val="002A5EC0"/>
    <w:rsid w:val="002A6948"/>
    <w:rsid w:val="002B2289"/>
    <w:rsid w:val="002B2820"/>
    <w:rsid w:val="002B29A6"/>
    <w:rsid w:val="002B2ED8"/>
    <w:rsid w:val="002B2EDB"/>
    <w:rsid w:val="002B4008"/>
    <w:rsid w:val="002B49E3"/>
    <w:rsid w:val="002B50D5"/>
    <w:rsid w:val="002B7249"/>
    <w:rsid w:val="002B73C5"/>
    <w:rsid w:val="002C12C9"/>
    <w:rsid w:val="002C161D"/>
    <w:rsid w:val="002C439F"/>
    <w:rsid w:val="002C6BC7"/>
    <w:rsid w:val="002D0031"/>
    <w:rsid w:val="002D084D"/>
    <w:rsid w:val="002D0C42"/>
    <w:rsid w:val="002D0E8E"/>
    <w:rsid w:val="002D1E8C"/>
    <w:rsid w:val="002D43B3"/>
    <w:rsid w:val="002D479E"/>
    <w:rsid w:val="002D519A"/>
    <w:rsid w:val="002E016B"/>
    <w:rsid w:val="002E31C6"/>
    <w:rsid w:val="002E426B"/>
    <w:rsid w:val="002E4B2C"/>
    <w:rsid w:val="002F19AC"/>
    <w:rsid w:val="002F4924"/>
    <w:rsid w:val="002F6232"/>
    <w:rsid w:val="00300780"/>
    <w:rsid w:val="00301189"/>
    <w:rsid w:val="003011ED"/>
    <w:rsid w:val="00301E4A"/>
    <w:rsid w:val="0030361E"/>
    <w:rsid w:val="003054AF"/>
    <w:rsid w:val="0030696E"/>
    <w:rsid w:val="0030727A"/>
    <w:rsid w:val="00307830"/>
    <w:rsid w:val="00312CD2"/>
    <w:rsid w:val="0031326C"/>
    <w:rsid w:val="00313F5C"/>
    <w:rsid w:val="00314028"/>
    <w:rsid w:val="003168B8"/>
    <w:rsid w:val="00322D64"/>
    <w:rsid w:val="003236E2"/>
    <w:rsid w:val="00323E09"/>
    <w:rsid w:val="0032685F"/>
    <w:rsid w:val="00326C62"/>
    <w:rsid w:val="00326DDD"/>
    <w:rsid w:val="003275F4"/>
    <w:rsid w:val="0033119F"/>
    <w:rsid w:val="00333932"/>
    <w:rsid w:val="003365F0"/>
    <w:rsid w:val="00337857"/>
    <w:rsid w:val="00337B0E"/>
    <w:rsid w:val="00340217"/>
    <w:rsid w:val="003417D0"/>
    <w:rsid w:val="003428C6"/>
    <w:rsid w:val="00342B66"/>
    <w:rsid w:val="00343227"/>
    <w:rsid w:val="00344C80"/>
    <w:rsid w:val="003472BC"/>
    <w:rsid w:val="00347497"/>
    <w:rsid w:val="003503DE"/>
    <w:rsid w:val="00350846"/>
    <w:rsid w:val="003518AA"/>
    <w:rsid w:val="00352165"/>
    <w:rsid w:val="00352D4E"/>
    <w:rsid w:val="00353182"/>
    <w:rsid w:val="003565D9"/>
    <w:rsid w:val="003602E1"/>
    <w:rsid w:val="003619C3"/>
    <w:rsid w:val="0036572C"/>
    <w:rsid w:val="00365B89"/>
    <w:rsid w:val="00365F23"/>
    <w:rsid w:val="00365F66"/>
    <w:rsid w:val="003666A5"/>
    <w:rsid w:val="0037026F"/>
    <w:rsid w:val="00371124"/>
    <w:rsid w:val="00371240"/>
    <w:rsid w:val="00373847"/>
    <w:rsid w:val="0037399B"/>
    <w:rsid w:val="00373B7E"/>
    <w:rsid w:val="00374731"/>
    <w:rsid w:val="00376E59"/>
    <w:rsid w:val="00377EC1"/>
    <w:rsid w:val="00377FC7"/>
    <w:rsid w:val="00380340"/>
    <w:rsid w:val="00380B58"/>
    <w:rsid w:val="00383E69"/>
    <w:rsid w:val="003901F5"/>
    <w:rsid w:val="003919F9"/>
    <w:rsid w:val="00392097"/>
    <w:rsid w:val="003920CF"/>
    <w:rsid w:val="0039319A"/>
    <w:rsid w:val="00395082"/>
    <w:rsid w:val="00396625"/>
    <w:rsid w:val="00396A53"/>
    <w:rsid w:val="003A2DD8"/>
    <w:rsid w:val="003A2F0C"/>
    <w:rsid w:val="003A44D2"/>
    <w:rsid w:val="003A712A"/>
    <w:rsid w:val="003B17D4"/>
    <w:rsid w:val="003B23C2"/>
    <w:rsid w:val="003B4B29"/>
    <w:rsid w:val="003B54A2"/>
    <w:rsid w:val="003B6015"/>
    <w:rsid w:val="003B6603"/>
    <w:rsid w:val="003C2638"/>
    <w:rsid w:val="003C38B5"/>
    <w:rsid w:val="003C48BA"/>
    <w:rsid w:val="003C4BFD"/>
    <w:rsid w:val="003C5195"/>
    <w:rsid w:val="003C5D99"/>
    <w:rsid w:val="003C673C"/>
    <w:rsid w:val="003C732B"/>
    <w:rsid w:val="003D1087"/>
    <w:rsid w:val="003D17DA"/>
    <w:rsid w:val="003D1AB1"/>
    <w:rsid w:val="003D304B"/>
    <w:rsid w:val="003E1434"/>
    <w:rsid w:val="003E2F59"/>
    <w:rsid w:val="003E3A2B"/>
    <w:rsid w:val="003E41B1"/>
    <w:rsid w:val="003E4240"/>
    <w:rsid w:val="003E4695"/>
    <w:rsid w:val="003E746B"/>
    <w:rsid w:val="003E7D33"/>
    <w:rsid w:val="003F0789"/>
    <w:rsid w:val="003F18A9"/>
    <w:rsid w:val="003F2174"/>
    <w:rsid w:val="003F3AB0"/>
    <w:rsid w:val="003F45DA"/>
    <w:rsid w:val="003F4891"/>
    <w:rsid w:val="003F4B1C"/>
    <w:rsid w:val="003F5650"/>
    <w:rsid w:val="003F5ABF"/>
    <w:rsid w:val="00401882"/>
    <w:rsid w:val="00401F26"/>
    <w:rsid w:val="00405200"/>
    <w:rsid w:val="004100C8"/>
    <w:rsid w:val="00410D6E"/>
    <w:rsid w:val="00410FD1"/>
    <w:rsid w:val="00411DBD"/>
    <w:rsid w:val="00411E09"/>
    <w:rsid w:val="00412ACE"/>
    <w:rsid w:val="004145D2"/>
    <w:rsid w:val="00416A9F"/>
    <w:rsid w:val="00421C21"/>
    <w:rsid w:val="00425389"/>
    <w:rsid w:val="00425DFF"/>
    <w:rsid w:val="00425F6C"/>
    <w:rsid w:val="0042614A"/>
    <w:rsid w:val="00426CB4"/>
    <w:rsid w:val="004309B9"/>
    <w:rsid w:val="00431249"/>
    <w:rsid w:val="004323B9"/>
    <w:rsid w:val="00433275"/>
    <w:rsid w:val="00434630"/>
    <w:rsid w:val="00434C19"/>
    <w:rsid w:val="00435BF6"/>
    <w:rsid w:val="004363D4"/>
    <w:rsid w:val="004416C4"/>
    <w:rsid w:val="004416FC"/>
    <w:rsid w:val="004418B4"/>
    <w:rsid w:val="00446CC0"/>
    <w:rsid w:val="00446EB6"/>
    <w:rsid w:val="00450810"/>
    <w:rsid w:val="00450B26"/>
    <w:rsid w:val="00453AD3"/>
    <w:rsid w:val="00454E33"/>
    <w:rsid w:val="004563C9"/>
    <w:rsid w:val="00456791"/>
    <w:rsid w:val="00456B0A"/>
    <w:rsid w:val="004604A4"/>
    <w:rsid w:val="00462C59"/>
    <w:rsid w:val="0046316D"/>
    <w:rsid w:val="004666FD"/>
    <w:rsid w:val="00470737"/>
    <w:rsid w:val="00474154"/>
    <w:rsid w:val="004743EA"/>
    <w:rsid w:val="00476A8E"/>
    <w:rsid w:val="00477144"/>
    <w:rsid w:val="00477234"/>
    <w:rsid w:val="00480389"/>
    <w:rsid w:val="00481B7C"/>
    <w:rsid w:val="00481DAA"/>
    <w:rsid w:val="00482A39"/>
    <w:rsid w:val="00483047"/>
    <w:rsid w:val="00487E2F"/>
    <w:rsid w:val="00490D72"/>
    <w:rsid w:val="00491380"/>
    <w:rsid w:val="0049459F"/>
    <w:rsid w:val="00496B4F"/>
    <w:rsid w:val="004A0F2D"/>
    <w:rsid w:val="004A1635"/>
    <w:rsid w:val="004A38DD"/>
    <w:rsid w:val="004A47A5"/>
    <w:rsid w:val="004A4DFF"/>
    <w:rsid w:val="004A5F89"/>
    <w:rsid w:val="004A7A2B"/>
    <w:rsid w:val="004B08CF"/>
    <w:rsid w:val="004B16F6"/>
    <w:rsid w:val="004B28AA"/>
    <w:rsid w:val="004B43AE"/>
    <w:rsid w:val="004B7873"/>
    <w:rsid w:val="004B78FB"/>
    <w:rsid w:val="004B79D0"/>
    <w:rsid w:val="004C2776"/>
    <w:rsid w:val="004C2DFD"/>
    <w:rsid w:val="004C30ED"/>
    <w:rsid w:val="004C50FA"/>
    <w:rsid w:val="004C641E"/>
    <w:rsid w:val="004C72E3"/>
    <w:rsid w:val="004D289C"/>
    <w:rsid w:val="004D5675"/>
    <w:rsid w:val="004D5BDA"/>
    <w:rsid w:val="004D777F"/>
    <w:rsid w:val="004E2561"/>
    <w:rsid w:val="004E3345"/>
    <w:rsid w:val="004E37CE"/>
    <w:rsid w:val="004E7FDC"/>
    <w:rsid w:val="004F0C29"/>
    <w:rsid w:val="004F27AE"/>
    <w:rsid w:val="004F2F2D"/>
    <w:rsid w:val="004F4C3E"/>
    <w:rsid w:val="004F5B66"/>
    <w:rsid w:val="005037BD"/>
    <w:rsid w:val="00504361"/>
    <w:rsid w:val="00511990"/>
    <w:rsid w:val="00511A5D"/>
    <w:rsid w:val="00512CE7"/>
    <w:rsid w:val="005134B8"/>
    <w:rsid w:val="00514B98"/>
    <w:rsid w:val="00515A41"/>
    <w:rsid w:val="00517795"/>
    <w:rsid w:val="0052062F"/>
    <w:rsid w:val="00520DFC"/>
    <w:rsid w:val="00521DCB"/>
    <w:rsid w:val="0052243B"/>
    <w:rsid w:val="00522ABB"/>
    <w:rsid w:val="00523639"/>
    <w:rsid w:val="00524A4B"/>
    <w:rsid w:val="00530239"/>
    <w:rsid w:val="00530BE5"/>
    <w:rsid w:val="00531FE5"/>
    <w:rsid w:val="00537C28"/>
    <w:rsid w:val="005402FA"/>
    <w:rsid w:val="00541C0C"/>
    <w:rsid w:val="00543E4D"/>
    <w:rsid w:val="00544B07"/>
    <w:rsid w:val="005470B1"/>
    <w:rsid w:val="00552E30"/>
    <w:rsid w:val="0055445A"/>
    <w:rsid w:val="00556656"/>
    <w:rsid w:val="00557274"/>
    <w:rsid w:val="0055727B"/>
    <w:rsid w:val="005621C5"/>
    <w:rsid w:val="00565BE0"/>
    <w:rsid w:val="005671E3"/>
    <w:rsid w:val="00570042"/>
    <w:rsid w:val="005719E2"/>
    <w:rsid w:val="005729BD"/>
    <w:rsid w:val="00573CBD"/>
    <w:rsid w:val="00574902"/>
    <w:rsid w:val="00574EC7"/>
    <w:rsid w:val="00575981"/>
    <w:rsid w:val="00575D1C"/>
    <w:rsid w:val="00577CC8"/>
    <w:rsid w:val="00577F4F"/>
    <w:rsid w:val="00580154"/>
    <w:rsid w:val="005811FE"/>
    <w:rsid w:val="00583C39"/>
    <w:rsid w:val="0058515E"/>
    <w:rsid w:val="00586A90"/>
    <w:rsid w:val="005878E5"/>
    <w:rsid w:val="00587D98"/>
    <w:rsid w:val="00587F28"/>
    <w:rsid w:val="005909CF"/>
    <w:rsid w:val="00590C49"/>
    <w:rsid w:val="00591490"/>
    <w:rsid w:val="00591E71"/>
    <w:rsid w:val="00593B4D"/>
    <w:rsid w:val="0059405C"/>
    <w:rsid w:val="005951C6"/>
    <w:rsid w:val="00597AEF"/>
    <w:rsid w:val="005A0D41"/>
    <w:rsid w:val="005A0E99"/>
    <w:rsid w:val="005A67DC"/>
    <w:rsid w:val="005A714D"/>
    <w:rsid w:val="005B259A"/>
    <w:rsid w:val="005B7680"/>
    <w:rsid w:val="005C0087"/>
    <w:rsid w:val="005C2A9F"/>
    <w:rsid w:val="005C2CD1"/>
    <w:rsid w:val="005C3BD1"/>
    <w:rsid w:val="005C4351"/>
    <w:rsid w:val="005C5C32"/>
    <w:rsid w:val="005D1259"/>
    <w:rsid w:val="005D15C0"/>
    <w:rsid w:val="005D2BBE"/>
    <w:rsid w:val="005D329F"/>
    <w:rsid w:val="005E2353"/>
    <w:rsid w:val="005E6C2A"/>
    <w:rsid w:val="005E79A5"/>
    <w:rsid w:val="005E7C63"/>
    <w:rsid w:val="005E7F77"/>
    <w:rsid w:val="005F343A"/>
    <w:rsid w:val="005F48ED"/>
    <w:rsid w:val="005F4E6E"/>
    <w:rsid w:val="005F5F1E"/>
    <w:rsid w:val="005F60F8"/>
    <w:rsid w:val="005F7FF7"/>
    <w:rsid w:val="00600797"/>
    <w:rsid w:val="006011CE"/>
    <w:rsid w:val="00606E78"/>
    <w:rsid w:val="00607BF1"/>
    <w:rsid w:val="006104BC"/>
    <w:rsid w:val="00611F3E"/>
    <w:rsid w:val="00613827"/>
    <w:rsid w:val="00617F22"/>
    <w:rsid w:val="00625F63"/>
    <w:rsid w:val="00627FE0"/>
    <w:rsid w:val="00630D4D"/>
    <w:rsid w:val="00631A28"/>
    <w:rsid w:val="00632A74"/>
    <w:rsid w:val="006379B2"/>
    <w:rsid w:val="00646B43"/>
    <w:rsid w:val="00651940"/>
    <w:rsid w:val="00652613"/>
    <w:rsid w:val="00653A6E"/>
    <w:rsid w:val="00654668"/>
    <w:rsid w:val="00654D42"/>
    <w:rsid w:val="00656160"/>
    <w:rsid w:val="00656759"/>
    <w:rsid w:val="00656E47"/>
    <w:rsid w:val="00657C4F"/>
    <w:rsid w:val="0066113C"/>
    <w:rsid w:val="00661E8D"/>
    <w:rsid w:val="00662398"/>
    <w:rsid w:val="00663542"/>
    <w:rsid w:val="00663FF3"/>
    <w:rsid w:val="00664842"/>
    <w:rsid w:val="00666361"/>
    <w:rsid w:val="00666E02"/>
    <w:rsid w:val="00670070"/>
    <w:rsid w:val="006708BE"/>
    <w:rsid w:val="00670D47"/>
    <w:rsid w:val="006716B0"/>
    <w:rsid w:val="00675A67"/>
    <w:rsid w:val="00676E93"/>
    <w:rsid w:val="00676EBF"/>
    <w:rsid w:val="00686D97"/>
    <w:rsid w:val="00690EBF"/>
    <w:rsid w:val="0069174B"/>
    <w:rsid w:val="00691B9E"/>
    <w:rsid w:val="00692259"/>
    <w:rsid w:val="00692A4B"/>
    <w:rsid w:val="00695F63"/>
    <w:rsid w:val="0069649E"/>
    <w:rsid w:val="00697C0E"/>
    <w:rsid w:val="006A00DC"/>
    <w:rsid w:val="006A05B9"/>
    <w:rsid w:val="006A32C3"/>
    <w:rsid w:val="006A4655"/>
    <w:rsid w:val="006A6128"/>
    <w:rsid w:val="006A68DC"/>
    <w:rsid w:val="006A75E4"/>
    <w:rsid w:val="006B0E26"/>
    <w:rsid w:val="006B101E"/>
    <w:rsid w:val="006B2B3C"/>
    <w:rsid w:val="006B4623"/>
    <w:rsid w:val="006B5434"/>
    <w:rsid w:val="006B5CFA"/>
    <w:rsid w:val="006B6320"/>
    <w:rsid w:val="006B6F45"/>
    <w:rsid w:val="006C1D81"/>
    <w:rsid w:val="006C3279"/>
    <w:rsid w:val="006C7038"/>
    <w:rsid w:val="006D25F8"/>
    <w:rsid w:val="006D3503"/>
    <w:rsid w:val="006D4A3B"/>
    <w:rsid w:val="006D5D9E"/>
    <w:rsid w:val="006D6817"/>
    <w:rsid w:val="006D6FD7"/>
    <w:rsid w:val="006D7DAF"/>
    <w:rsid w:val="006E145D"/>
    <w:rsid w:val="006E309D"/>
    <w:rsid w:val="006E48FE"/>
    <w:rsid w:val="006E6701"/>
    <w:rsid w:val="006E73EF"/>
    <w:rsid w:val="006E762C"/>
    <w:rsid w:val="006E76F4"/>
    <w:rsid w:val="006F1B28"/>
    <w:rsid w:val="006F1EE4"/>
    <w:rsid w:val="006F2DC0"/>
    <w:rsid w:val="006F47E3"/>
    <w:rsid w:val="006F498B"/>
    <w:rsid w:val="006F5114"/>
    <w:rsid w:val="006F53C0"/>
    <w:rsid w:val="006F644A"/>
    <w:rsid w:val="006F64CA"/>
    <w:rsid w:val="006F6BFB"/>
    <w:rsid w:val="006F6E67"/>
    <w:rsid w:val="007033B9"/>
    <w:rsid w:val="00703575"/>
    <w:rsid w:val="00707402"/>
    <w:rsid w:val="007077EB"/>
    <w:rsid w:val="007079C9"/>
    <w:rsid w:val="0071284E"/>
    <w:rsid w:val="00712B10"/>
    <w:rsid w:val="00714D4D"/>
    <w:rsid w:val="00717976"/>
    <w:rsid w:val="0072279C"/>
    <w:rsid w:val="007236ED"/>
    <w:rsid w:val="00725BA5"/>
    <w:rsid w:val="00725BF0"/>
    <w:rsid w:val="007266D3"/>
    <w:rsid w:val="00727E34"/>
    <w:rsid w:val="0073102C"/>
    <w:rsid w:val="00731B66"/>
    <w:rsid w:val="00732029"/>
    <w:rsid w:val="0073276E"/>
    <w:rsid w:val="00735C96"/>
    <w:rsid w:val="00742621"/>
    <w:rsid w:val="00756326"/>
    <w:rsid w:val="007604BB"/>
    <w:rsid w:val="007624A2"/>
    <w:rsid w:val="00763923"/>
    <w:rsid w:val="00764BF4"/>
    <w:rsid w:val="00765A4B"/>
    <w:rsid w:val="00765CEE"/>
    <w:rsid w:val="0077098F"/>
    <w:rsid w:val="0077239B"/>
    <w:rsid w:val="00772909"/>
    <w:rsid w:val="00774F8A"/>
    <w:rsid w:val="00780F5E"/>
    <w:rsid w:val="00782FCC"/>
    <w:rsid w:val="0078345F"/>
    <w:rsid w:val="00784EB8"/>
    <w:rsid w:val="00785232"/>
    <w:rsid w:val="007854CE"/>
    <w:rsid w:val="00785960"/>
    <w:rsid w:val="00785DD8"/>
    <w:rsid w:val="00790904"/>
    <w:rsid w:val="00790EE6"/>
    <w:rsid w:val="00791387"/>
    <w:rsid w:val="00793CDC"/>
    <w:rsid w:val="00793E1F"/>
    <w:rsid w:val="0079481C"/>
    <w:rsid w:val="0079701E"/>
    <w:rsid w:val="007A201D"/>
    <w:rsid w:val="007A21EB"/>
    <w:rsid w:val="007A221D"/>
    <w:rsid w:val="007A3BF2"/>
    <w:rsid w:val="007A4C01"/>
    <w:rsid w:val="007A5370"/>
    <w:rsid w:val="007A6FC0"/>
    <w:rsid w:val="007A7E75"/>
    <w:rsid w:val="007B08D9"/>
    <w:rsid w:val="007B1A93"/>
    <w:rsid w:val="007B1D16"/>
    <w:rsid w:val="007B6784"/>
    <w:rsid w:val="007C0656"/>
    <w:rsid w:val="007C185E"/>
    <w:rsid w:val="007C2D81"/>
    <w:rsid w:val="007C331D"/>
    <w:rsid w:val="007C35CC"/>
    <w:rsid w:val="007C36C9"/>
    <w:rsid w:val="007C3EDB"/>
    <w:rsid w:val="007C48D9"/>
    <w:rsid w:val="007D14B5"/>
    <w:rsid w:val="007D2D62"/>
    <w:rsid w:val="007D36D2"/>
    <w:rsid w:val="007D52C6"/>
    <w:rsid w:val="007D6401"/>
    <w:rsid w:val="007D73CE"/>
    <w:rsid w:val="007E01E4"/>
    <w:rsid w:val="007E0D60"/>
    <w:rsid w:val="007E0EF2"/>
    <w:rsid w:val="007E10EA"/>
    <w:rsid w:val="007E4FAD"/>
    <w:rsid w:val="007E55BB"/>
    <w:rsid w:val="007E5FE8"/>
    <w:rsid w:val="007E7A12"/>
    <w:rsid w:val="007F3018"/>
    <w:rsid w:val="007F333F"/>
    <w:rsid w:val="007F5732"/>
    <w:rsid w:val="007F6119"/>
    <w:rsid w:val="007F6AD3"/>
    <w:rsid w:val="007F7107"/>
    <w:rsid w:val="00800D4C"/>
    <w:rsid w:val="008013EC"/>
    <w:rsid w:val="00801491"/>
    <w:rsid w:val="00802F56"/>
    <w:rsid w:val="0080305F"/>
    <w:rsid w:val="0080318B"/>
    <w:rsid w:val="00804684"/>
    <w:rsid w:val="00805273"/>
    <w:rsid w:val="00805279"/>
    <w:rsid w:val="00807B18"/>
    <w:rsid w:val="0081030F"/>
    <w:rsid w:val="00811D63"/>
    <w:rsid w:val="00812F4A"/>
    <w:rsid w:val="0081397B"/>
    <w:rsid w:val="008141CF"/>
    <w:rsid w:val="00815401"/>
    <w:rsid w:val="00817C3D"/>
    <w:rsid w:val="0082087D"/>
    <w:rsid w:val="008235E5"/>
    <w:rsid w:val="00825A73"/>
    <w:rsid w:val="00826792"/>
    <w:rsid w:val="00833700"/>
    <w:rsid w:val="00835042"/>
    <w:rsid w:val="00835771"/>
    <w:rsid w:val="00835D1C"/>
    <w:rsid w:val="0083668A"/>
    <w:rsid w:val="00841590"/>
    <w:rsid w:val="00841AC5"/>
    <w:rsid w:val="00842933"/>
    <w:rsid w:val="0084399D"/>
    <w:rsid w:val="0084443D"/>
    <w:rsid w:val="00850AC0"/>
    <w:rsid w:val="008519D8"/>
    <w:rsid w:val="0085379A"/>
    <w:rsid w:val="00853B9E"/>
    <w:rsid w:val="00854BEF"/>
    <w:rsid w:val="00855516"/>
    <w:rsid w:val="00855961"/>
    <w:rsid w:val="00856542"/>
    <w:rsid w:val="0085709B"/>
    <w:rsid w:val="008604B7"/>
    <w:rsid w:val="0086082C"/>
    <w:rsid w:val="00861E6A"/>
    <w:rsid w:val="00864ADC"/>
    <w:rsid w:val="00865C22"/>
    <w:rsid w:val="0086602C"/>
    <w:rsid w:val="00866B44"/>
    <w:rsid w:val="00866BEA"/>
    <w:rsid w:val="008747F0"/>
    <w:rsid w:val="00874D05"/>
    <w:rsid w:val="00880153"/>
    <w:rsid w:val="00880F97"/>
    <w:rsid w:val="0088133A"/>
    <w:rsid w:val="00882057"/>
    <w:rsid w:val="0088622E"/>
    <w:rsid w:val="0089118B"/>
    <w:rsid w:val="00891C47"/>
    <w:rsid w:val="00891E3D"/>
    <w:rsid w:val="0089285E"/>
    <w:rsid w:val="0089373D"/>
    <w:rsid w:val="008941FC"/>
    <w:rsid w:val="0089436C"/>
    <w:rsid w:val="00895E17"/>
    <w:rsid w:val="00897AC9"/>
    <w:rsid w:val="00897F22"/>
    <w:rsid w:val="008A05B2"/>
    <w:rsid w:val="008A5D1C"/>
    <w:rsid w:val="008A6B94"/>
    <w:rsid w:val="008B136A"/>
    <w:rsid w:val="008B406F"/>
    <w:rsid w:val="008B40DD"/>
    <w:rsid w:val="008B47AB"/>
    <w:rsid w:val="008B7164"/>
    <w:rsid w:val="008B7867"/>
    <w:rsid w:val="008B7DC5"/>
    <w:rsid w:val="008C1601"/>
    <w:rsid w:val="008C25AD"/>
    <w:rsid w:val="008C2EE0"/>
    <w:rsid w:val="008C6213"/>
    <w:rsid w:val="008C6F6F"/>
    <w:rsid w:val="008C6FFB"/>
    <w:rsid w:val="008D365C"/>
    <w:rsid w:val="008D49C1"/>
    <w:rsid w:val="008D4ED3"/>
    <w:rsid w:val="008D53D5"/>
    <w:rsid w:val="008D7622"/>
    <w:rsid w:val="008E3C81"/>
    <w:rsid w:val="008E439F"/>
    <w:rsid w:val="008E515C"/>
    <w:rsid w:val="008E5B67"/>
    <w:rsid w:val="008E6893"/>
    <w:rsid w:val="008F0C19"/>
    <w:rsid w:val="008F278E"/>
    <w:rsid w:val="008F659B"/>
    <w:rsid w:val="008F717E"/>
    <w:rsid w:val="009021A6"/>
    <w:rsid w:val="009030BF"/>
    <w:rsid w:val="00903B52"/>
    <w:rsid w:val="00906849"/>
    <w:rsid w:val="00907F89"/>
    <w:rsid w:val="0091032F"/>
    <w:rsid w:val="00910DB6"/>
    <w:rsid w:val="00910F1C"/>
    <w:rsid w:val="00911246"/>
    <w:rsid w:val="009114FF"/>
    <w:rsid w:val="009116E0"/>
    <w:rsid w:val="00911991"/>
    <w:rsid w:val="00912E64"/>
    <w:rsid w:val="00912EC6"/>
    <w:rsid w:val="00914368"/>
    <w:rsid w:val="00917229"/>
    <w:rsid w:val="00922012"/>
    <w:rsid w:val="00922BE5"/>
    <w:rsid w:val="00923732"/>
    <w:rsid w:val="00925007"/>
    <w:rsid w:val="009250F6"/>
    <w:rsid w:val="009306D4"/>
    <w:rsid w:val="00930EF8"/>
    <w:rsid w:val="00931076"/>
    <w:rsid w:val="009312F6"/>
    <w:rsid w:val="009345D9"/>
    <w:rsid w:val="009348E8"/>
    <w:rsid w:val="00934B15"/>
    <w:rsid w:val="009358D5"/>
    <w:rsid w:val="00935A34"/>
    <w:rsid w:val="009375F4"/>
    <w:rsid w:val="00937D99"/>
    <w:rsid w:val="00937E89"/>
    <w:rsid w:val="00940778"/>
    <w:rsid w:val="00940C87"/>
    <w:rsid w:val="00941C65"/>
    <w:rsid w:val="00942B62"/>
    <w:rsid w:val="00943112"/>
    <w:rsid w:val="009436A5"/>
    <w:rsid w:val="0094458A"/>
    <w:rsid w:val="00947497"/>
    <w:rsid w:val="00950A3A"/>
    <w:rsid w:val="0095119F"/>
    <w:rsid w:val="00951200"/>
    <w:rsid w:val="00951D6E"/>
    <w:rsid w:val="00952C95"/>
    <w:rsid w:val="0095323B"/>
    <w:rsid w:val="0095331E"/>
    <w:rsid w:val="00953809"/>
    <w:rsid w:val="00954306"/>
    <w:rsid w:val="009558CA"/>
    <w:rsid w:val="00955BA6"/>
    <w:rsid w:val="00956449"/>
    <w:rsid w:val="00956A0C"/>
    <w:rsid w:val="00956BD9"/>
    <w:rsid w:val="009603C1"/>
    <w:rsid w:val="00960BAD"/>
    <w:rsid w:val="00960E78"/>
    <w:rsid w:val="00962489"/>
    <w:rsid w:val="00962FFD"/>
    <w:rsid w:val="009630E5"/>
    <w:rsid w:val="00963674"/>
    <w:rsid w:val="009644A4"/>
    <w:rsid w:val="00964DDF"/>
    <w:rsid w:val="00964E4B"/>
    <w:rsid w:val="00967566"/>
    <w:rsid w:val="00967CD3"/>
    <w:rsid w:val="009702A3"/>
    <w:rsid w:val="00970A17"/>
    <w:rsid w:val="00971519"/>
    <w:rsid w:val="00971929"/>
    <w:rsid w:val="009731FE"/>
    <w:rsid w:val="00973318"/>
    <w:rsid w:val="00973DC0"/>
    <w:rsid w:val="00975B96"/>
    <w:rsid w:val="00976654"/>
    <w:rsid w:val="00977134"/>
    <w:rsid w:val="009777DD"/>
    <w:rsid w:val="0098136A"/>
    <w:rsid w:val="009861DA"/>
    <w:rsid w:val="009905A1"/>
    <w:rsid w:val="009905AA"/>
    <w:rsid w:val="00990C2C"/>
    <w:rsid w:val="00991BF7"/>
    <w:rsid w:val="00991E26"/>
    <w:rsid w:val="0099286E"/>
    <w:rsid w:val="009961F4"/>
    <w:rsid w:val="009A0731"/>
    <w:rsid w:val="009A216D"/>
    <w:rsid w:val="009A5171"/>
    <w:rsid w:val="009A60F4"/>
    <w:rsid w:val="009A6FC9"/>
    <w:rsid w:val="009B05D0"/>
    <w:rsid w:val="009B3259"/>
    <w:rsid w:val="009B7025"/>
    <w:rsid w:val="009B752C"/>
    <w:rsid w:val="009C0F12"/>
    <w:rsid w:val="009D1BFA"/>
    <w:rsid w:val="009D22BC"/>
    <w:rsid w:val="009D23C0"/>
    <w:rsid w:val="009D250E"/>
    <w:rsid w:val="009D2BD1"/>
    <w:rsid w:val="009D2E54"/>
    <w:rsid w:val="009D524A"/>
    <w:rsid w:val="009D6E71"/>
    <w:rsid w:val="009E0569"/>
    <w:rsid w:val="009E1844"/>
    <w:rsid w:val="009E332D"/>
    <w:rsid w:val="009E3FB1"/>
    <w:rsid w:val="009E4E80"/>
    <w:rsid w:val="009E672D"/>
    <w:rsid w:val="009E767B"/>
    <w:rsid w:val="009F075D"/>
    <w:rsid w:val="009F0AEE"/>
    <w:rsid w:val="009F0D1B"/>
    <w:rsid w:val="009F5439"/>
    <w:rsid w:val="009F5BBD"/>
    <w:rsid w:val="009F696D"/>
    <w:rsid w:val="009F6B7C"/>
    <w:rsid w:val="009F6BC6"/>
    <w:rsid w:val="009F74EF"/>
    <w:rsid w:val="009F76C3"/>
    <w:rsid w:val="00A0053E"/>
    <w:rsid w:val="00A00D0D"/>
    <w:rsid w:val="00A01115"/>
    <w:rsid w:val="00A0168E"/>
    <w:rsid w:val="00A0254A"/>
    <w:rsid w:val="00A02826"/>
    <w:rsid w:val="00A02B3D"/>
    <w:rsid w:val="00A055CD"/>
    <w:rsid w:val="00A05D0F"/>
    <w:rsid w:val="00A05E5B"/>
    <w:rsid w:val="00A061C6"/>
    <w:rsid w:val="00A078FB"/>
    <w:rsid w:val="00A07E27"/>
    <w:rsid w:val="00A100A4"/>
    <w:rsid w:val="00A13D3C"/>
    <w:rsid w:val="00A1437B"/>
    <w:rsid w:val="00A1572A"/>
    <w:rsid w:val="00A15D5A"/>
    <w:rsid w:val="00A17081"/>
    <w:rsid w:val="00A17328"/>
    <w:rsid w:val="00A2390A"/>
    <w:rsid w:val="00A23A20"/>
    <w:rsid w:val="00A23A48"/>
    <w:rsid w:val="00A24443"/>
    <w:rsid w:val="00A25434"/>
    <w:rsid w:val="00A254D3"/>
    <w:rsid w:val="00A268B9"/>
    <w:rsid w:val="00A2703A"/>
    <w:rsid w:val="00A2704D"/>
    <w:rsid w:val="00A27642"/>
    <w:rsid w:val="00A27819"/>
    <w:rsid w:val="00A27A38"/>
    <w:rsid w:val="00A30F29"/>
    <w:rsid w:val="00A319DB"/>
    <w:rsid w:val="00A33328"/>
    <w:rsid w:val="00A33DFF"/>
    <w:rsid w:val="00A35115"/>
    <w:rsid w:val="00A360D7"/>
    <w:rsid w:val="00A36D9A"/>
    <w:rsid w:val="00A37076"/>
    <w:rsid w:val="00A41BB4"/>
    <w:rsid w:val="00A41D0E"/>
    <w:rsid w:val="00A451DC"/>
    <w:rsid w:val="00A47D77"/>
    <w:rsid w:val="00A514CC"/>
    <w:rsid w:val="00A5409D"/>
    <w:rsid w:val="00A554AB"/>
    <w:rsid w:val="00A55C0C"/>
    <w:rsid w:val="00A55F7F"/>
    <w:rsid w:val="00A57062"/>
    <w:rsid w:val="00A615C5"/>
    <w:rsid w:val="00A61945"/>
    <w:rsid w:val="00A62DC9"/>
    <w:rsid w:val="00A63ACE"/>
    <w:rsid w:val="00A63F0C"/>
    <w:rsid w:val="00A64C3D"/>
    <w:rsid w:val="00A67781"/>
    <w:rsid w:val="00A71D88"/>
    <w:rsid w:val="00A7202C"/>
    <w:rsid w:val="00A761F9"/>
    <w:rsid w:val="00A82D68"/>
    <w:rsid w:val="00A835BD"/>
    <w:rsid w:val="00A85BAB"/>
    <w:rsid w:val="00A87F20"/>
    <w:rsid w:val="00A904D8"/>
    <w:rsid w:val="00A910D0"/>
    <w:rsid w:val="00A919E0"/>
    <w:rsid w:val="00A91BD5"/>
    <w:rsid w:val="00A91BF3"/>
    <w:rsid w:val="00A9261F"/>
    <w:rsid w:val="00A92B53"/>
    <w:rsid w:val="00A94FA6"/>
    <w:rsid w:val="00A97790"/>
    <w:rsid w:val="00AA0B74"/>
    <w:rsid w:val="00AA25D1"/>
    <w:rsid w:val="00AA2E42"/>
    <w:rsid w:val="00AA3A9D"/>
    <w:rsid w:val="00AA49A0"/>
    <w:rsid w:val="00AA4ED8"/>
    <w:rsid w:val="00AA651F"/>
    <w:rsid w:val="00AA6710"/>
    <w:rsid w:val="00AA7868"/>
    <w:rsid w:val="00AA7E4B"/>
    <w:rsid w:val="00AB0681"/>
    <w:rsid w:val="00AB17E2"/>
    <w:rsid w:val="00AB20F2"/>
    <w:rsid w:val="00AB54D9"/>
    <w:rsid w:val="00AB58F3"/>
    <w:rsid w:val="00AB6EA6"/>
    <w:rsid w:val="00AC0585"/>
    <w:rsid w:val="00AC189D"/>
    <w:rsid w:val="00AC1A7D"/>
    <w:rsid w:val="00AC3A15"/>
    <w:rsid w:val="00AC44CD"/>
    <w:rsid w:val="00AC528B"/>
    <w:rsid w:val="00AC57C4"/>
    <w:rsid w:val="00AC6C2B"/>
    <w:rsid w:val="00AD0D75"/>
    <w:rsid w:val="00AD0EAD"/>
    <w:rsid w:val="00AD22A0"/>
    <w:rsid w:val="00AD520B"/>
    <w:rsid w:val="00AD7D87"/>
    <w:rsid w:val="00AE230B"/>
    <w:rsid w:val="00AE2DB1"/>
    <w:rsid w:val="00AE3083"/>
    <w:rsid w:val="00AE3BCC"/>
    <w:rsid w:val="00AE4E2A"/>
    <w:rsid w:val="00AE503B"/>
    <w:rsid w:val="00AE606F"/>
    <w:rsid w:val="00AE6128"/>
    <w:rsid w:val="00AF1091"/>
    <w:rsid w:val="00AF1B17"/>
    <w:rsid w:val="00AF3817"/>
    <w:rsid w:val="00AF505C"/>
    <w:rsid w:val="00AF5D18"/>
    <w:rsid w:val="00B04770"/>
    <w:rsid w:val="00B05299"/>
    <w:rsid w:val="00B05869"/>
    <w:rsid w:val="00B058AC"/>
    <w:rsid w:val="00B071D5"/>
    <w:rsid w:val="00B10543"/>
    <w:rsid w:val="00B1179B"/>
    <w:rsid w:val="00B11814"/>
    <w:rsid w:val="00B14CEE"/>
    <w:rsid w:val="00B14E33"/>
    <w:rsid w:val="00B22AC7"/>
    <w:rsid w:val="00B23A99"/>
    <w:rsid w:val="00B24DB3"/>
    <w:rsid w:val="00B260B0"/>
    <w:rsid w:val="00B31E94"/>
    <w:rsid w:val="00B35BC4"/>
    <w:rsid w:val="00B40C92"/>
    <w:rsid w:val="00B425C3"/>
    <w:rsid w:val="00B42FE9"/>
    <w:rsid w:val="00B440AD"/>
    <w:rsid w:val="00B44360"/>
    <w:rsid w:val="00B45608"/>
    <w:rsid w:val="00B45D88"/>
    <w:rsid w:val="00B45E06"/>
    <w:rsid w:val="00B479BB"/>
    <w:rsid w:val="00B5025B"/>
    <w:rsid w:val="00B5052A"/>
    <w:rsid w:val="00B5147C"/>
    <w:rsid w:val="00B5165C"/>
    <w:rsid w:val="00B519EF"/>
    <w:rsid w:val="00B51F58"/>
    <w:rsid w:val="00B52895"/>
    <w:rsid w:val="00B5351B"/>
    <w:rsid w:val="00B53E7E"/>
    <w:rsid w:val="00B54C4A"/>
    <w:rsid w:val="00B576E3"/>
    <w:rsid w:val="00B614E0"/>
    <w:rsid w:val="00B61AB1"/>
    <w:rsid w:val="00B6342E"/>
    <w:rsid w:val="00B63592"/>
    <w:rsid w:val="00B63976"/>
    <w:rsid w:val="00B647ED"/>
    <w:rsid w:val="00B6548C"/>
    <w:rsid w:val="00B67A70"/>
    <w:rsid w:val="00B67EC9"/>
    <w:rsid w:val="00B7025A"/>
    <w:rsid w:val="00B7113F"/>
    <w:rsid w:val="00B72652"/>
    <w:rsid w:val="00B75161"/>
    <w:rsid w:val="00B77C8C"/>
    <w:rsid w:val="00B813A7"/>
    <w:rsid w:val="00B81C87"/>
    <w:rsid w:val="00B83A28"/>
    <w:rsid w:val="00B83EDA"/>
    <w:rsid w:val="00B85AB0"/>
    <w:rsid w:val="00B9478D"/>
    <w:rsid w:val="00B9549B"/>
    <w:rsid w:val="00B967E7"/>
    <w:rsid w:val="00B96EA0"/>
    <w:rsid w:val="00B97A11"/>
    <w:rsid w:val="00BA17B3"/>
    <w:rsid w:val="00BA2BCF"/>
    <w:rsid w:val="00BA385A"/>
    <w:rsid w:val="00BA4417"/>
    <w:rsid w:val="00BA5B14"/>
    <w:rsid w:val="00BA5D24"/>
    <w:rsid w:val="00BA73B6"/>
    <w:rsid w:val="00BA7E27"/>
    <w:rsid w:val="00BB0A06"/>
    <w:rsid w:val="00BB2603"/>
    <w:rsid w:val="00BB28CF"/>
    <w:rsid w:val="00BB2D85"/>
    <w:rsid w:val="00BB4645"/>
    <w:rsid w:val="00BB4FCD"/>
    <w:rsid w:val="00BB6CBF"/>
    <w:rsid w:val="00BB6F7D"/>
    <w:rsid w:val="00BC04E9"/>
    <w:rsid w:val="00BC2021"/>
    <w:rsid w:val="00BC2A95"/>
    <w:rsid w:val="00BC4048"/>
    <w:rsid w:val="00BC6F06"/>
    <w:rsid w:val="00BC7643"/>
    <w:rsid w:val="00BD1295"/>
    <w:rsid w:val="00BD13EA"/>
    <w:rsid w:val="00BD2175"/>
    <w:rsid w:val="00BD3A21"/>
    <w:rsid w:val="00BD4177"/>
    <w:rsid w:val="00BD4F24"/>
    <w:rsid w:val="00BE0460"/>
    <w:rsid w:val="00BE12C3"/>
    <w:rsid w:val="00BE2DC7"/>
    <w:rsid w:val="00BE3808"/>
    <w:rsid w:val="00BE3E7C"/>
    <w:rsid w:val="00BE6B7B"/>
    <w:rsid w:val="00BF0979"/>
    <w:rsid w:val="00BF2E4D"/>
    <w:rsid w:val="00BF56C8"/>
    <w:rsid w:val="00BF65DF"/>
    <w:rsid w:val="00BF6F75"/>
    <w:rsid w:val="00BF74C1"/>
    <w:rsid w:val="00C010B2"/>
    <w:rsid w:val="00C022F6"/>
    <w:rsid w:val="00C03B88"/>
    <w:rsid w:val="00C04B1D"/>
    <w:rsid w:val="00C062E9"/>
    <w:rsid w:val="00C064CD"/>
    <w:rsid w:val="00C07B64"/>
    <w:rsid w:val="00C13519"/>
    <w:rsid w:val="00C13721"/>
    <w:rsid w:val="00C14FE4"/>
    <w:rsid w:val="00C1625E"/>
    <w:rsid w:val="00C176FD"/>
    <w:rsid w:val="00C200A6"/>
    <w:rsid w:val="00C21209"/>
    <w:rsid w:val="00C26C73"/>
    <w:rsid w:val="00C275DD"/>
    <w:rsid w:val="00C3066D"/>
    <w:rsid w:val="00C333E7"/>
    <w:rsid w:val="00C34E65"/>
    <w:rsid w:val="00C3575B"/>
    <w:rsid w:val="00C37D3C"/>
    <w:rsid w:val="00C40945"/>
    <w:rsid w:val="00C41EC0"/>
    <w:rsid w:val="00C42B3D"/>
    <w:rsid w:val="00C4328E"/>
    <w:rsid w:val="00C44DBA"/>
    <w:rsid w:val="00C47490"/>
    <w:rsid w:val="00C504C2"/>
    <w:rsid w:val="00C5132B"/>
    <w:rsid w:val="00C5165C"/>
    <w:rsid w:val="00C52416"/>
    <w:rsid w:val="00C543F4"/>
    <w:rsid w:val="00C55B9C"/>
    <w:rsid w:val="00C56300"/>
    <w:rsid w:val="00C56D53"/>
    <w:rsid w:val="00C57A79"/>
    <w:rsid w:val="00C6291C"/>
    <w:rsid w:val="00C632A3"/>
    <w:rsid w:val="00C633CB"/>
    <w:rsid w:val="00C6411E"/>
    <w:rsid w:val="00C6458D"/>
    <w:rsid w:val="00C651D5"/>
    <w:rsid w:val="00C664CD"/>
    <w:rsid w:val="00C70A34"/>
    <w:rsid w:val="00C736B7"/>
    <w:rsid w:val="00C74D02"/>
    <w:rsid w:val="00C81825"/>
    <w:rsid w:val="00C81D4A"/>
    <w:rsid w:val="00C84D48"/>
    <w:rsid w:val="00C859D2"/>
    <w:rsid w:val="00C86AB5"/>
    <w:rsid w:val="00C8762C"/>
    <w:rsid w:val="00C90107"/>
    <w:rsid w:val="00C9275F"/>
    <w:rsid w:val="00C964DF"/>
    <w:rsid w:val="00C97D09"/>
    <w:rsid w:val="00C97DD5"/>
    <w:rsid w:val="00CA00F9"/>
    <w:rsid w:val="00CA106F"/>
    <w:rsid w:val="00CA1117"/>
    <w:rsid w:val="00CA2961"/>
    <w:rsid w:val="00CA4ECE"/>
    <w:rsid w:val="00CA79A7"/>
    <w:rsid w:val="00CB0FEE"/>
    <w:rsid w:val="00CB10ED"/>
    <w:rsid w:val="00CB2885"/>
    <w:rsid w:val="00CB50D7"/>
    <w:rsid w:val="00CB5672"/>
    <w:rsid w:val="00CB631F"/>
    <w:rsid w:val="00CB6BF4"/>
    <w:rsid w:val="00CB7177"/>
    <w:rsid w:val="00CB7CED"/>
    <w:rsid w:val="00CB7DD8"/>
    <w:rsid w:val="00CC070F"/>
    <w:rsid w:val="00CC1998"/>
    <w:rsid w:val="00CC2381"/>
    <w:rsid w:val="00CC2CBD"/>
    <w:rsid w:val="00CC33DC"/>
    <w:rsid w:val="00CC3A74"/>
    <w:rsid w:val="00CC4946"/>
    <w:rsid w:val="00CC5D4A"/>
    <w:rsid w:val="00CC64A1"/>
    <w:rsid w:val="00CD08C8"/>
    <w:rsid w:val="00CD1B2C"/>
    <w:rsid w:val="00CD1CE3"/>
    <w:rsid w:val="00CD2187"/>
    <w:rsid w:val="00CD38F1"/>
    <w:rsid w:val="00CD5360"/>
    <w:rsid w:val="00CE0859"/>
    <w:rsid w:val="00CE30B2"/>
    <w:rsid w:val="00CE4B49"/>
    <w:rsid w:val="00CE759C"/>
    <w:rsid w:val="00CF0E1E"/>
    <w:rsid w:val="00CF13DE"/>
    <w:rsid w:val="00CF28E9"/>
    <w:rsid w:val="00CF2BB4"/>
    <w:rsid w:val="00CF3B11"/>
    <w:rsid w:val="00CF500D"/>
    <w:rsid w:val="00D001C4"/>
    <w:rsid w:val="00D00AB5"/>
    <w:rsid w:val="00D01AFD"/>
    <w:rsid w:val="00D054F1"/>
    <w:rsid w:val="00D06858"/>
    <w:rsid w:val="00D06921"/>
    <w:rsid w:val="00D06E9B"/>
    <w:rsid w:val="00D07D67"/>
    <w:rsid w:val="00D11308"/>
    <w:rsid w:val="00D135FA"/>
    <w:rsid w:val="00D1413F"/>
    <w:rsid w:val="00D167EE"/>
    <w:rsid w:val="00D20AEF"/>
    <w:rsid w:val="00D21313"/>
    <w:rsid w:val="00D21CBA"/>
    <w:rsid w:val="00D260CA"/>
    <w:rsid w:val="00D270A4"/>
    <w:rsid w:val="00D31404"/>
    <w:rsid w:val="00D31FE9"/>
    <w:rsid w:val="00D322AE"/>
    <w:rsid w:val="00D34E1B"/>
    <w:rsid w:val="00D3571A"/>
    <w:rsid w:val="00D376BA"/>
    <w:rsid w:val="00D37E5B"/>
    <w:rsid w:val="00D434A0"/>
    <w:rsid w:val="00D45634"/>
    <w:rsid w:val="00D47E6B"/>
    <w:rsid w:val="00D502CD"/>
    <w:rsid w:val="00D507EF"/>
    <w:rsid w:val="00D51F7E"/>
    <w:rsid w:val="00D52A39"/>
    <w:rsid w:val="00D53841"/>
    <w:rsid w:val="00D55088"/>
    <w:rsid w:val="00D5568A"/>
    <w:rsid w:val="00D56588"/>
    <w:rsid w:val="00D57CC6"/>
    <w:rsid w:val="00D600DB"/>
    <w:rsid w:val="00D63D73"/>
    <w:rsid w:val="00D64452"/>
    <w:rsid w:val="00D66752"/>
    <w:rsid w:val="00D66E1E"/>
    <w:rsid w:val="00D67378"/>
    <w:rsid w:val="00D70696"/>
    <w:rsid w:val="00D70BED"/>
    <w:rsid w:val="00D74C33"/>
    <w:rsid w:val="00D75722"/>
    <w:rsid w:val="00D76A85"/>
    <w:rsid w:val="00D80250"/>
    <w:rsid w:val="00D80803"/>
    <w:rsid w:val="00D80CF5"/>
    <w:rsid w:val="00D813EA"/>
    <w:rsid w:val="00D81C20"/>
    <w:rsid w:val="00D82CEE"/>
    <w:rsid w:val="00D847DD"/>
    <w:rsid w:val="00D872E7"/>
    <w:rsid w:val="00D9208D"/>
    <w:rsid w:val="00D9734A"/>
    <w:rsid w:val="00D975F0"/>
    <w:rsid w:val="00DA19F6"/>
    <w:rsid w:val="00DA1CBE"/>
    <w:rsid w:val="00DA1D06"/>
    <w:rsid w:val="00DA2C5D"/>
    <w:rsid w:val="00DA4257"/>
    <w:rsid w:val="00DA5BBA"/>
    <w:rsid w:val="00DA6B34"/>
    <w:rsid w:val="00DA6F7D"/>
    <w:rsid w:val="00DB1290"/>
    <w:rsid w:val="00DB2479"/>
    <w:rsid w:val="00DB26D2"/>
    <w:rsid w:val="00DB54AB"/>
    <w:rsid w:val="00DB67C9"/>
    <w:rsid w:val="00DC0C95"/>
    <w:rsid w:val="00DC1E20"/>
    <w:rsid w:val="00DC1E6B"/>
    <w:rsid w:val="00DC4F0B"/>
    <w:rsid w:val="00DC586B"/>
    <w:rsid w:val="00DC5AF6"/>
    <w:rsid w:val="00DD041A"/>
    <w:rsid w:val="00DD1ACD"/>
    <w:rsid w:val="00DD6580"/>
    <w:rsid w:val="00DD74E8"/>
    <w:rsid w:val="00DE05D0"/>
    <w:rsid w:val="00DE06E8"/>
    <w:rsid w:val="00DE2714"/>
    <w:rsid w:val="00DF098C"/>
    <w:rsid w:val="00DF1550"/>
    <w:rsid w:val="00DF66BC"/>
    <w:rsid w:val="00E01A65"/>
    <w:rsid w:val="00E01D7F"/>
    <w:rsid w:val="00E028FC"/>
    <w:rsid w:val="00E050A1"/>
    <w:rsid w:val="00E0587D"/>
    <w:rsid w:val="00E05BA1"/>
    <w:rsid w:val="00E05C03"/>
    <w:rsid w:val="00E06DED"/>
    <w:rsid w:val="00E11441"/>
    <w:rsid w:val="00E11568"/>
    <w:rsid w:val="00E115F5"/>
    <w:rsid w:val="00E14479"/>
    <w:rsid w:val="00E1598A"/>
    <w:rsid w:val="00E17C72"/>
    <w:rsid w:val="00E21FC6"/>
    <w:rsid w:val="00E22F90"/>
    <w:rsid w:val="00E23417"/>
    <w:rsid w:val="00E2423B"/>
    <w:rsid w:val="00E26C10"/>
    <w:rsid w:val="00E26DA5"/>
    <w:rsid w:val="00E32387"/>
    <w:rsid w:val="00E323EF"/>
    <w:rsid w:val="00E32AAD"/>
    <w:rsid w:val="00E3416B"/>
    <w:rsid w:val="00E41BD7"/>
    <w:rsid w:val="00E431A9"/>
    <w:rsid w:val="00E44FE2"/>
    <w:rsid w:val="00E45C2E"/>
    <w:rsid w:val="00E4645E"/>
    <w:rsid w:val="00E469DA"/>
    <w:rsid w:val="00E46FCB"/>
    <w:rsid w:val="00E5042C"/>
    <w:rsid w:val="00E51DAE"/>
    <w:rsid w:val="00E52C41"/>
    <w:rsid w:val="00E533E5"/>
    <w:rsid w:val="00E56598"/>
    <w:rsid w:val="00E60D41"/>
    <w:rsid w:val="00E60D91"/>
    <w:rsid w:val="00E61887"/>
    <w:rsid w:val="00E62087"/>
    <w:rsid w:val="00E649A1"/>
    <w:rsid w:val="00E64C09"/>
    <w:rsid w:val="00E669E2"/>
    <w:rsid w:val="00E67EAB"/>
    <w:rsid w:val="00E72887"/>
    <w:rsid w:val="00E7602C"/>
    <w:rsid w:val="00E760A3"/>
    <w:rsid w:val="00E76135"/>
    <w:rsid w:val="00E80EF7"/>
    <w:rsid w:val="00E82F4F"/>
    <w:rsid w:val="00E854AB"/>
    <w:rsid w:val="00E864DF"/>
    <w:rsid w:val="00E87C58"/>
    <w:rsid w:val="00E902D5"/>
    <w:rsid w:val="00E915C3"/>
    <w:rsid w:val="00E916FC"/>
    <w:rsid w:val="00E921E5"/>
    <w:rsid w:val="00E971A9"/>
    <w:rsid w:val="00E97547"/>
    <w:rsid w:val="00EA1EFE"/>
    <w:rsid w:val="00EA7DC8"/>
    <w:rsid w:val="00EB1C0C"/>
    <w:rsid w:val="00EB2701"/>
    <w:rsid w:val="00EB272F"/>
    <w:rsid w:val="00EB2777"/>
    <w:rsid w:val="00EB2CC3"/>
    <w:rsid w:val="00EB642E"/>
    <w:rsid w:val="00EC005B"/>
    <w:rsid w:val="00EC1ADA"/>
    <w:rsid w:val="00EC2844"/>
    <w:rsid w:val="00EC5500"/>
    <w:rsid w:val="00EC75D9"/>
    <w:rsid w:val="00ED18F8"/>
    <w:rsid w:val="00ED2873"/>
    <w:rsid w:val="00ED411A"/>
    <w:rsid w:val="00ED546F"/>
    <w:rsid w:val="00ED60F6"/>
    <w:rsid w:val="00ED798B"/>
    <w:rsid w:val="00EE2A5A"/>
    <w:rsid w:val="00EE37EF"/>
    <w:rsid w:val="00EE3B05"/>
    <w:rsid w:val="00EE405E"/>
    <w:rsid w:val="00EE42CB"/>
    <w:rsid w:val="00EE60D4"/>
    <w:rsid w:val="00EE6EDA"/>
    <w:rsid w:val="00EE778E"/>
    <w:rsid w:val="00EF093D"/>
    <w:rsid w:val="00EF5356"/>
    <w:rsid w:val="00EF6719"/>
    <w:rsid w:val="00EF6838"/>
    <w:rsid w:val="00EF6C6C"/>
    <w:rsid w:val="00EF77F7"/>
    <w:rsid w:val="00EF7A2C"/>
    <w:rsid w:val="00F00D0A"/>
    <w:rsid w:val="00F015E5"/>
    <w:rsid w:val="00F050D0"/>
    <w:rsid w:val="00F056FC"/>
    <w:rsid w:val="00F05B25"/>
    <w:rsid w:val="00F0632F"/>
    <w:rsid w:val="00F067F7"/>
    <w:rsid w:val="00F069AE"/>
    <w:rsid w:val="00F07816"/>
    <w:rsid w:val="00F10476"/>
    <w:rsid w:val="00F11042"/>
    <w:rsid w:val="00F113C0"/>
    <w:rsid w:val="00F135D8"/>
    <w:rsid w:val="00F14D2A"/>
    <w:rsid w:val="00F151C1"/>
    <w:rsid w:val="00F17C70"/>
    <w:rsid w:val="00F23055"/>
    <w:rsid w:val="00F247E5"/>
    <w:rsid w:val="00F27945"/>
    <w:rsid w:val="00F27AF9"/>
    <w:rsid w:val="00F31299"/>
    <w:rsid w:val="00F3214E"/>
    <w:rsid w:val="00F32912"/>
    <w:rsid w:val="00F3534A"/>
    <w:rsid w:val="00F35BFB"/>
    <w:rsid w:val="00F36ACC"/>
    <w:rsid w:val="00F4091C"/>
    <w:rsid w:val="00F40DC4"/>
    <w:rsid w:val="00F43863"/>
    <w:rsid w:val="00F43B72"/>
    <w:rsid w:val="00F44859"/>
    <w:rsid w:val="00F47B12"/>
    <w:rsid w:val="00F50C2A"/>
    <w:rsid w:val="00F51609"/>
    <w:rsid w:val="00F52914"/>
    <w:rsid w:val="00F55C25"/>
    <w:rsid w:val="00F5791D"/>
    <w:rsid w:val="00F616F6"/>
    <w:rsid w:val="00F64EAC"/>
    <w:rsid w:val="00F65DB1"/>
    <w:rsid w:val="00F70425"/>
    <w:rsid w:val="00F70434"/>
    <w:rsid w:val="00F70461"/>
    <w:rsid w:val="00F723FA"/>
    <w:rsid w:val="00F73727"/>
    <w:rsid w:val="00F758F5"/>
    <w:rsid w:val="00F766A7"/>
    <w:rsid w:val="00F768F3"/>
    <w:rsid w:val="00F81006"/>
    <w:rsid w:val="00F84258"/>
    <w:rsid w:val="00F85325"/>
    <w:rsid w:val="00F91805"/>
    <w:rsid w:val="00F91A7F"/>
    <w:rsid w:val="00F9504F"/>
    <w:rsid w:val="00F963E1"/>
    <w:rsid w:val="00F97C4C"/>
    <w:rsid w:val="00FA093B"/>
    <w:rsid w:val="00FA127F"/>
    <w:rsid w:val="00FA1D51"/>
    <w:rsid w:val="00FA22A1"/>
    <w:rsid w:val="00FA337D"/>
    <w:rsid w:val="00FA630A"/>
    <w:rsid w:val="00FA7610"/>
    <w:rsid w:val="00FB04BA"/>
    <w:rsid w:val="00FB15B3"/>
    <w:rsid w:val="00FB1769"/>
    <w:rsid w:val="00FB216B"/>
    <w:rsid w:val="00FB3DED"/>
    <w:rsid w:val="00FB3F66"/>
    <w:rsid w:val="00FB4057"/>
    <w:rsid w:val="00FB6748"/>
    <w:rsid w:val="00FC001C"/>
    <w:rsid w:val="00FC52B9"/>
    <w:rsid w:val="00FC58DD"/>
    <w:rsid w:val="00FD22B1"/>
    <w:rsid w:val="00FD32F6"/>
    <w:rsid w:val="00FD33F1"/>
    <w:rsid w:val="00FD3566"/>
    <w:rsid w:val="00FD5AC8"/>
    <w:rsid w:val="00FD7457"/>
    <w:rsid w:val="00FE0D8E"/>
    <w:rsid w:val="00FE1796"/>
    <w:rsid w:val="00FE1867"/>
    <w:rsid w:val="00FE236D"/>
    <w:rsid w:val="00FE39A0"/>
    <w:rsid w:val="00FE5397"/>
    <w:rsid w:val="00FE56E3"/>
    <w:rsid w:val="00FE6167"/>
    <w:rsid w:val="00FE664C"/>
    <w:rsid w:val="00FE7DB2"/>
    <w:rsid w:val="00FF00DB"/>
    <w:rsid w:val="00FF2098"/>
    <w:rsid w:val="00FF7BC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ocId w14:val="4DD17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Default Paragraph Font" w:uiPriority="1"/>
    <w:lsdException w:name="Body Text" w:qFormat="1"/>
    <w:lsdException w:name="Subtitle"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A02826"/>
    <w:rPr>
      <w:sz w:val="24"/>
      <w:szCs w:val="24"/>
    </w:rPr>
  </w:style>
  <w:style w:type="paragraph" w:styleId="Heading1">
    <w:name w:val="heading 1"/>
    <w:basedOn w:val="BodyText"/>
    <w:next w:val="BodyText"/>
    <w:link w:val="Heading1Char"/>
    <w:qForma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5E2353"/>
    <w:pPr>
      <w:spacing w:before="0" w:line="240" w:lineRule="auto"/>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5E2353"/>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semiHidden/>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F73727"/>
    <w:rPr>
      <w:rFonts w:ascii="Arial" w:hAnsi="Arial"/>
      <w:b/>
      <w:sz w:val="26"/>
      <w:szCs w:val="26"/>
      <w:lang w:eastAsia="en-US"/>
    </w:rPr>
  </w:style>
  <w:style w:type="paragraph" w:customStyle="1" w:styleId="BoxSpaceAboveElement">
    <w:name w:val="Box Space Above Element"/>
    <w:basedOn w:val="BoxSpaceAbove"/>
    <w:link w:val="BoxSpaceAboveElementChar"/>
    <w:qFormat/>
    <w:rsid w:val="00002976"/>
    <w:pPr>
      <w:spacing w:before="240"/>
    </w:pPr>
    <w:rPr>
      <w:b/>
      <w:vanish/>
      <w:color w:val="FF00FF"/>
      <w:sz w:val="14"/>
    </w:rPr>
  </w:style>
  <w:style w:type="character" w:customStyle="1" w:styleId="BoxSpaceAboveElementChar">
    <w:name w:val="Box Space Above Element Char"/>
    <w:basedOn w:val="DefaultParagraphFont"/>
    <w:link w:val="BoxSpaceAboveElement"/>
    <w:rsid w:val="00002976"/>
    <w:rPr>
      <w:b/>
      <w:vanish/>
      <w:color w:val="FF00FF"/>
      <w:sz w:val="14"/>
    </w:rPr>
  </w:style>
  <w:style w:type="paragraph" w:styleId="CommentSubject">
    <w:name w:val="annotation subject"/>
    <w:basedOn w:val="CommentText"/>
    <w:next w:val="CommentText"/>
    <w:link w:val="CommentSubjectChar"/>
    <w:rsid w:val="00B1179B"/>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B1179B"/>
    <w:rPr>
      <w:szCs w:val="24"/>
    </w:rPr>
  </w:style>
  <w:style w:type="character" w:customStyle="1" w:styleId="CommentSubjectChar">
    <w:name w:val="Comment Subject Char"/>
    <w:basedOn w:val="CommentTextChar"/>
    <w:link w:val="CommentSubject"/>
    <w:rsid w:val="00B1179B"/>
    <w:rPr>
      <w:b/>
      <w:bCs/>
      <w:szCs w:val="24"/>
    </w:rPr>
  </w:style>
  <w:style w:type="paragraph" w:styleId="Bibliography">
    <w:name w:val="Bibliography"/>
    <w:basedOn w:val="Normal"/>
    <w:next w:val="Normal"/>
    <w:uiPriority w:val="37"/>
    <w:unhideWhenUsed/>
    <w:rsid w:val="00B5165C"/>
    <w:pPr>
      <w:spacing w:after="240"/>
      <w:ind w:left="720" w:hanging="720"/>
    </w:pPr>
  </w:style>
  <w:style w:type="paragraph" w:styleId="Revision">
    <w:name w:val="Revision"/>
    <w:hidden/>
    <w:uiPriority w:val="99"/>
    <w:semiHidden/>
    <w:rsid w:val="00213180"/>
    <w:rPr>
      <w:sz w:val="24"/>
      <w:szCs w:val="24"/>
    </w:rPr>
  </w:style>
  <w:style w:type="character" w:styleId="EndnoteReference">
    <w:name w:val="endnote reference"/>
    <w:basedOn w:val="DefaultParagraphFont"/>
    <w:rsid w:val="00686D97"/>
    <w:rPr>
      <w:vertAlign w:val="superscript"/>
    </w:rPr>
  </w:style>
  <w:style w:type="character" w:customStyle="1" w:styleId="Heading1Char">
    <w:name w:val="Heading 1 Char"/>
    <w:basedOn w:val="DefaultParagraphFont"/>
    <w:link w:val="Heading1"/>
    <w:rsid w:val="00A64C3D"/>
    <w:rPr>
      <w:sz w:val="52"/>
    </w:rPr>
  </w:style>
  <w:style w:type="character" w:customStyle="1" w:styleId="Heading3Char">
    <w:name w:val="Heading 3 Char"/>
    <w:basedOn w:val="DefaultParagraphFont"/>
    <w:link w:val="Heading3"/>
    <w:rsid w:val="00A64C3D"/>
    <w:rPr>
      <w:rFonts w:ascii="Arial" w:hAnsi="Arial"/>
      <w:b/>
      <w:sz w:val="26"/>
    </w:rPr>
  </w:style>
  <w:style w:type="character" w:styleId="Hyperlink">
    <w:name w:val="Hyperlink"/>
    <w:basedOn w:val="DefaultParagraphFont"/>
    <w:rsid w:val="001E1EF8"/>
    <w:rPr>
      <w:color w:val="78A22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Default Paragraph Font" w:uiPriority="1"/>
    <w:lsdException w:name="Body Text" w:qFormat="1"/>
    <w:lsdException w:name="Subtitle"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A02826"/>
    <w:rPr>
      <w:sz w:val="24"/>
      <w:szCs w:val="24"/>
    </w:rPr>
  </w:style>
  <w:style w:type="paragraph" w:styleId="Heading1">
    <w:name w:val="heading 1"/>
    <w:basedOn w:val="BodyText"/>
    <w:next w:val="BodyText"/>
    <w:link w:val="Heading1Char"/>
    <w:qForma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5E2353"/>
    <w:pPr>
      <w:spacing w:before="0" w:line="240" w:lineRule="auto"/>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5E2353"/>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semiHidden/>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F73727"/>
    <w:rPr>
      <w:rFonts w:ascii="Arial" w:hAnsi="Arial"/>
      <w:b/>
      <w:sz w:val="26"/>
      <w:szCs w:val="26"/>
      <w:lang w:eastAsia="en-US"/>
    </w:rPr>
  </w:style>
  <w:style w:type="paragraph" w:customStyle="1" w:styleId="BoxSpaceAboveElement">
    <w:name w:val="Box Space Above Element"/>
    <w:basedOn w:val="BoxSpaceAbove"/>
    <w:link w:val="BoxSpaceAboveElementChar"/>
    <w:qFormat/>
    <w:rsid w:val="00002976"/>
    <w:pPr>
      <w:spacing w:before="240"/>
    </w:pPr>
    <w:rPr>
      <w:b/>
      <w:vanish/>
      <w:color w:val="FF00FF"/>
      <w:sz w:val="14"/>
    </w:rPr>
  </w:style>
  <w:style w:type="character" w:customStyle="1" w:styleId="BoxSpaceAboveElementChar">
    <w:name w:val="Box Space Above Element Char"/>
    <w:basedOn w:val="DefaultParagraphFont"/>
    <w:link w:val="BoxSpaceAboveElement"/>
    <w:rsid w:val="00002976"/>
    <w:rPr>
      <w:b/>
      <w:vanish/>
      <w:color w:val="FF00FF"/>
      <w:sz w:val="14"/>
    </w:rPr>
  </w:style>
  <w:style w:type="paragraph" w:styleId="CommentSubject">
    <w:name w:val="annotation subject"/>
    <w:basedOn w:val="CommentText"/>
    <w:next w:val="CommentText"/>
    <w:link w:val="CommentSubjectChar"/>
    <w:rsid w:val="00B1179B"/>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B1179B"/>
    <w:rPr>
      <w:szCs w:val="24"/>
    </w:rPr>
  </w:style>
  <w:style w:type="character" w:customStyle="1" w:styleId="CommentSubjectChar">
    <w:name w:val="Comment Subject Char"/>
    <w:basedOn w:val="CommentTextChar"/>
    <w:link w:val="CommentSubject"/>
    <w:rsid w:val="00B1179B"/>
    <w:rPr>
      <w:b/>
      <w:bCs/>
      <w:szCs w:val="24"/>
    </w:rPr>
  </w:style>
  <w:style w:type="paragraph" w:styleId="Bibliography">
    <w:name w:val="Bibliography"/>
    <w:basedOn w:val="Normal"/>
    <w:next w:val="Normal"/>
    <w:uiPriority w:val="37"/>
    <w:unhideWhenUsed/>
    <w:rsid w:val="00B5165C"/>
    <w:pPr>
      <w:spacing w:after="240"/>
      <w:ind w:left="720" w:hanging="720"/>
    </w:pPr>
  </w:style>
  <w:style w:type="paragraph" w:styleId="Revision">
    <w:name w:val="Revision"/>
    <w:hidden/>
    <w:uiPriority w:val="99"/>
    <w:semiHidden/>
    <w:rsid w:val="00213180"/>
    <w:rPr>
      <w:sz w:val="24"/>
      <w:szCs w:val="24"/>
    </w:rPr>
  </w:style>
  <w:style w:type="character" w:styleId="EndnoteReference">
    <w:name w:val="endnote reference"/>
    <w:basedOn w:val="DefaultParagraphFont"/>
    <w:rsid w:val="00686D97"/>
    <w:rPr>
      <w:vertAlign w:val="superscript"/>
    </w:rPr>
  </w:style>
  <w:style w:type="character" w:customStyle="1" w:styleId="Heading1Char">
    <w:name w:val="Heading 1 Char"/>
    <w:basedOn w:val="DefaultParagraphFont"/>
    <w:link w:val="Heading1"/>
    <w:rsid w:val="00A64C3D"/>
    <w:rPr>
      <w:sz w:val="52"/>
    </w:rPr>
  </w:style>
  <w:style w:type="character" w:customStyle="1" w:styleId="Heading3Char">
    <w:name w:val="Heading 3 Char"/>
    <w:basedOn w:val="DefaultParagraphFont"/>
    <w:link w:val="Heading3"/>
    <w:rsid w:val="00A64C3D"/>
    <w:rPr>
      <w:rFonts w:ascii="Arial" w:hAnsi="Arial"/>
      <w:b/>
      <w:sz w:val="26"/>
    </w:rPr>
  </w:style>
  <w:style w:type="character" w:styleId="Hyperlink">
    <w:name w:val="Hyperlink"/>
    <w:basedOn w:val="DefaultParagraphFont"/>
    <w:rsid w:val="001E1EF8"/>
    <w:rPr>
      <w:color w:val="78A22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image" Target="media/image20.png"/><Relationship Id="rId42"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openxmlformats.org/officeDocument/2006/relationships/image" Target="media/image11.emf"/><Relationship Id="rId33" Type="http://schemas.openxmlformats.org/officeDocument/2006/relationships/image" Target="media/image19.png"/><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6.emf"/><Relationship Id="rId29" Type="http://schemas.openxmlformats.org/officeDocument/2006/relationships/image" Target="media/image15.pn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10.emf"/><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10" Type="http://schemas.microsoft.com/office/2007/relationships/stylesWithEffects" Target="stylesWithEffects.xml"/><Relationship Id="rId19" Type="http://schemas.openxmlformats.org/officeDocument/2006/relationships/image" Target="media/image5.png"/><Relationship Id="rId31" Type="http://schemas.openxmlformats.org/officeDocument/2006/relationships/image" Target="media/image17.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image" Target="media/image8.emf"/><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chapter.dotm" TargetMode="External"/></Relationship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Reports" ma:contentTypeID="0x0101007916246811615643A710C6FEAFF56A87110400DBC7ECAB68A998498DFE07E95102C01A" ma:contentTypeVersion="1" ma:contentTypeDescription="" ma:contentTypeScope="" ma:versionID="2decd990a8cee7725552276228075a1e">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7aca885acd44eb65f7e76dfed9c2ec04"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Archive" ma:index="17" nillable="true" ma:displayName="Archive" ma:default="0" ma:internalName="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Suppor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0da5c63-8548-4ac8-9616-83b0f373280e" ContentTypeId="0x0101007916246811615643A710C6FEAFF56A871104" PreviousValue="false"/>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Final Report - Published</TermName>
          <TermId xmlns="http://schemas.microsoft.com/office/infopath/2007/PartnerControls">a1d04cd7-50ed-4857-88c9-ef88580b169b</TermId>
        </TermInfo>
      </Terms>
    </p7a0baa8c88445a78b6f55906390ba17>
    <TaxCatchAll xmlns="3f4bcce7-ac1a-4c9d-aa3e-7e77695652db">
      <Value>2589</Value>
      <Value>2958</Value>
      <Value>2628</Value>
      <Value>2627</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A7845-031B-4B48-9213-73F383967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190DF6-738A-4F07-A08C-0A258D8651EF}">
  <ds:schemaRefs>
    <ds:schemaRef ds:uri="Microsoft.SharePoint.Taxonomy.ContentTypeSync"/>
  </ds:schemaRefs>
</ds:datastoreItem>
</file>

<file path=customXml/itemProps3.xml><?xml version="1.0" encoding="utf-8"?>
<ds:datastoreItem xmlns:ds="http://schemas.openxmlformats.org/officeDocument/2006/customXml" ds:itemID="{65D5D16F-AACD-4729-AC4A-D9D4083D1D7C}">
  <ds:schemaRefs>
    <ds:schemaRef ds:uri="http://schemas.microsoft.com/office/2006/metadata/properties"/>
    <ds:schemaRef ds:uri="http://purl.org/dc/elements/1.1/"/>
    <ds:schemaRef ds:uri="http://purl.org/dc/terms/"/>
    <ds:schemaRef ds:uri="http://schemas.microsoft.com/office/2006/documentManagement/types"/>
    <ds:schemaRef ds:uri="8044c801-d84b-4ee1-a77e-678f8dcdee17"/>
    <ds:schemaRef ds:uri="http://schemas.openxmlformats.org/package/2006/metadata/core-properties"/>
    <ds:schemaRef ds:uri="http://www.w3.org/XML/1998/namespace"/>
    <ds:schemaRef ds:uri="http://schemas.microsoft.com/office/infopath/2007/PartnerControls"/>
    <ds:schemaRef ds:uri="3f4bcce7-ac1a-4c9d-aa3e-7e77695652db"/>
    <ds:schemaRef ds:uri="http://purl.org/dc/dcmitype/"/>
  </ds:schemaRefs>
</ds:datastoreItem>
</file>

<file path=customXml/itemProps4.xml><?xml version="1.0" encoding="utf-8"?>
<ds:datastoreItem xmlns:ds="http://schemas.openxmlformats.org/officeDocument/2006/customXml" ds:itemID="{7CFCBD41-4E60-45BA-9434-416E57698F41}">
  <ds:schemaRefs>
    <ds:schemaRef ds:uri="http://schemas.microsoft.com/sharepoint/v3/contenttype/forms"/>
  </ds:schemaRefs>
</ds:datastoreItem>
</file>

<file path=customXml/itemProps5.xml><?xml version="1.0" encoding="utf-8"?>
<ds:datastoreItem xmlns:ds="http://schemas.openxmlformats.org/officeDocument/2006/customXml" ds:itemID="{890DDC4E-46BB-4CE0-AB64-931D1CB2CF3E}">
  <ds:schemaRefs>
    <ds:schemaRef ds:uri="http://schemas.microsoft.com/office/2006/metadata/customXsn"/>
  </ds:schemaRefs>
</ds:datastoreItem>
</file>

<file path=customXml/itemProps6.xml><?xml version="1.0" encoding="utf-8"?>
<ds:datastoreItem xmlns:ds="http://schemas.openxmlformats.org/officeDocument/2006/customXml" ds:itemID="{901F7AC7-D12C-4DF2-B544-8E2DEDBC4EE0}">
  <ds:schemaRefs>
    <ds:schemaRef ds:uri="http://schemas.microsoft.com/sharepoint/events"/>
  </ds:schemaRefs>
</ds:datastoreItem>
</file>

<file path=customXml/itemProps7.xml><?xml version="1.0" encoding="utf-8"?>
<ds:datastoreItem xmlns:ds="http://schemas.openxmlformats.org/officeDocument/2006/customXml" ds:itemID="{BB2E0CE7-80A4-4ADC-A47D-6D4C1AB1A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83</TotalTime>
  <Pages>25</Pages>
  <Words>4644</Words>
  <Characters>26357</Characters>
  <Application>Microsoft Office Word</Application>
  <DocSecurity>0</DocSecurity>
  <Lines>712</Lines>
  <Paragraphs>543</Paragraphs>
  <ScaleCrop>false</ScaleCrop>
  <HeadingPairs>
    <vt:vector size="2" baseType="variant">
      <vt:variant>
        <vt:lpstr>Title</vt:lpstr>
      </vt:variant>
      <vt:variant>
        <vt:i4>1</vt:i4>
      </vt:variant>
    </vt:vector>
  </HeadingPairs>
  <TitlesOfParts>
    <vt:vector size="1" baseType="lpstr">
      <vt:lpstr>Background paper 1: About Indigenous Australian Studens</vt:lpstr>
    </vt:vector>
  </TitlesOfParts>
  <Company>Productivity Commission</Company>
  <LinksUpToDate>false</LinksUpToDate>
  <CharactersWithSpaces>30458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paper 1: About Indigenous Australian Students</dc:title>
  <dc:subject>Report</dc:subject>
  <dc:creator>Productivity Commission</dc:creator>
  <cp:keywords/>
  <dc:description>1.</dc:description>
  <cp:lastModifiedBy>Michelle Cross</cp:lastModifiedBy>
  <cp:revision>17</cp:revision>
  <cp:lastPrinted>2016-02-02T04:25:00Z</cp:lastPrinted>
  <dcterms:created xsi:type="dcterms:W3CDTF">2016-06-02T00:53:00Z</dcterms:created>
  <dcterms:modified xsi:type="dcterms:W3CDTF">2016-06-07T06:12:00Z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0x0101007916246811615643A710C6FEAFF56A87110400DBC7ECAB68A998498DFE07E95102C01A</vt:lpwstr>
  </property>
  <property fmtid="{D5CDD505-2E9C-101B-9397-08002B2CF9AE}" pid="3" name="TaxKeyword">
    <vt:lpwstr>2589;#background paper|af0658e5-f455-475f-a847-6bd2e8a1f0b1;#2628;#outline|e4806db1-5cb4-4baa-b6f8-eb2b9a3c0ca4;#2627;#indigenous student profile|b690727d-013f-4024-885e-30f6224c2f25</vt:lpwstr>
  </property>
  <property fmtid="{D5CDD505-2E9C-101B-9397-08002B2CF9AE}" pid="4" name="Record_x0020_Tag">
    <vt:lpwstr>2626;#Final Report|996ecc71-db22-4305-95f3-0408f9871446</vt:lpwstr>
  </property>
  <property fmtid="{D5CDD505-2E9C-101B-9397-08002B2CF9AE}" pid="5" name="Record Tag">
    <vt:lpwstr>2958;#Final Report - Published|a1d04cd7-50ed-4857-88c9-ef88580b169b</vt:lpwstr>
  </property>
  <property fmtid="{D5CDD505-2E9C-101B-9397-08002B2CF9AE}" pid="6" name="ZOTERO_PREF_1">
    <vt:lpwstr>&lt;data data-version="3" zotero-version="4.0.20"&gt;&lt;session id="ICGL65rW"/&gt;&lt;style id="http://www.zotero.org/styles/unisa-harvard" hasBibliography="1" bibliographyStyleHasBeenSet="1"/&gt;&lt;prefs&gt;&lt;pref name="fieldType" value="Field"/&gt;&lt;pref name="storeReferences" va</vt:lpwstr>
  </property>
  <property fmtid="{D5CDD505-2E9C-101B-9397-08002B2CF9AE}" pid="7" name="ZOTERO_PREF_2">
    <vt:lpwstr>lue="true"/&gt;&lt;pref name="automaticJournalAbbreviations" value="true"/&gt;&lt;pref name="noteType" value="0"/&gt;&lt;/prefs&gt;&lt;/data&gt;</vt:lpwstr>
  </property>
</Properties>
</file>