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6FA" w:rsidRPr="002A5E9D" w:rsidRDefault="00DC29A3" w:rsidP="003C308C">
      <w:pPr>
        <w:keepNext/>
        <w:rPr>
          <w:rFonts w:cs="Arial"/>
        </w:rPr>
      </w:pPr>
      <w:bookmarkStart w:id="0" w:name="_GoBack"/>
      <w:bookmarkEnd w:id="0"/>
      <w:r w:rsidRPr="002A5E9D">
        <w:rPr>
          <w:rFonts w:cs="Arial"/>
          <w:noProof/>
          <w:lang w:eastAsia="en-AU"/>
        </w:rPr>
        <w:drawing>
          <wp:anchor distT="0" distB="0" distL="114300" distR="114300" simplePos="0" relativeHeight="251656704" behindDoc="1" locked="0" layoutInCell="1" allowOverlap="1" wp14:anchorId="6BD7A14C" wp14:editId="4A53DE30">
            <wp:simplePos x="0" y="0"/>
            <wp:positionH relativeFrom="column">
              <wp:posOffset>-613410</wp:posOffset>
            </wp:positionH>
            <wp:positionV relativeFrom="paragraph">
              <wp:posOffset>-609600</wp:posOffset>
            </wp:positionV>
            <wp:extent cx="6724650" cy="9443720"/>
            <wp:effectExtent l="0" t="0" r="0" b="5080"/>
            <wp:wrapNone/>
            <wp:docPr id="37" name="Picture 37" descr="1316_SubCover_H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316_SubCover_HI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24650" cy="9443720"/>
                    </a:xfrm>
                    <a:prstGeom prst="rect">
                      <a:avLst/>
                    </a:prstGeom>
                    <a:noFill/>
                    <a:ln>
                      <a:noFill/>
                    </a:ln>
                  </pic:spPr>
                </pic:pic>
              </a:graphicData>
            </a:graphic>
            <wp14:sizeRelH relativeFrom="page">
              <wp14:pctWidth>0</wp14:pctWidth>
            </wp14:sizeRelH>
            <wp14:sizeRelV relativeFrom="page">
              <wp14:pctHeight>0</wp14:pctHeight>
            </wp14:sizeRelV>
          </wp:anchor>
        </w:drawing>
      </w:r>
    </w:p>
    <w:bookmarkStart w:id="1" w:name="_Toc162234252"/>
    <w:bookmarkStart w:id="2" w:name="_Toc174237846"/>
    <w:p w:rsidR="00AD3888" w:rsidRPr="002A5E9D" w:rsidRDefault="00DC29A3" w:rsidP="003C308C">
      <w:pPr>
        <w:keepNext/>
        <w:jc w:val="both"/>
        <w:rPr>
          <w:rFonts w:cs="Arial"/>
        </w:rPr>
      </w:pPr>
      <w:r w:rsidRPr="002A5E9D">
        <w:rPr>
          <w:rFonts w:cs="Arial"/>
          <w:noProof/>
          <w:lang w:eastAsia="en-AU"/>
        </w:rPr>
        <mc:AlternateContent>
          <mc:Choice Requires="wps">
            <w:drawing>
              <wp:anchor distT="0" distB="0" distL="114300" distR="114300" simplePos="0" relativeHeight="251657728" behindDoc="0" locked="0" layoutInCell="1" allowOverlap="1" wp14:anchorId="0E7FC1C4" wp14:editId="56392603">
                <wp:simplePos x="0" y="0"/>
                <wp:positionH relativeFrom="column">
                  <wp:posOffset>-114300</wp:posOffset>
                </wp:positionH>
                <wp:positionV relativeFrom="paragraph">
                  <wp:posOffset>5985510</wp:posOffset>
                </wp:positionV>
                <wp:extent cx="5829300" cy="2099310"/>
                <wp:effectExtent l="0" t="0" r="1905" b="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099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39A" w:rsidRDefault="006A439A" w:rsidP="00E406FA">
                            <w:pPr>
                              <w:rPr>
                                <w:noProof/>
                                <w:color w:val="FFFFFF"/>
                              </w:rPr>
                            </w:pPr>
                            <w:r w:rsidRPr="00846E79">
                              <w:rPr>
                                <w:noProof/>
                                <w:color w:val="FFFFFF"/>
                              </w:rPr>
                              <w:t>to</w:t>
                            </w:r>
                            <w:r>
                              <w:rPr>
                                <w:noProof/>
                                <w:color w:val="FFFFFF"/>
                              </w:rPr>
                              <w:t xml:space="preserve"> the</w:t>
                            </w:r>
                          </w:p>
                          <w:p w:rsidR="006A439A" w:rsidRDefault="006A439A" w:rsidP="00E406FA">
                            <w:pPr>
                              <w:rPr>
                                <w:noProof/>
                                <w:color w:val="FFFFFF"/>
                              </w:rPr>
                            </w:pPr>
                          </w:p>
                          <w:p w:rsidR="006A439A" w:rsidRPr="00D61EC2" w:rsidRDefault="006A439A" w:rsidP="00D61EC2">
                            <w:pPr>
                              <w:rPr>
                                <w:b/>
                                <w:noProof/>
                                <w:color w:val="FFFFFF"/>
                                <w:sz w:val="36"/>
                                <w:szCs w:val="36"/>
                              </w:rPr>
                            </w:pPr>
                            <w:r>
                              <w:rPr>
                                <w:b/>
                                <w:noProof/>
                                <w:color w:val="FFFFFF"/>
                                <w:sz w:val="36"/>
                                <w:szCs w:val="36"/>
                              </w:rPr>
                              <w:t>Productivity Commission</w:t>
                            </w:r>
                          </w:p>
                          <w:p w:rsidR="006A439A" w:rsidRDefault="006A439A" w:rsidP="00E406FA">
                            <w:pPr>
                              <w:rPr>
                                <w:noProof/>
                                <w:color w:val="FFFFFF"/>
                              </w:rPr>
                            </w:pPr>
                          </w:p>
                          <w:p w:rsidR="006A439A" w:rsidRDefault="006A439A" w:rsidP="00E406FA">
                            <w:pPr>
                              <w:rPr>
                                <w:noProof/>
                                <w:color w:val="FFFFFF"/>
                              </w:rPr>
                            </w:pPr>
                            <w:r w:rsidRPr="00846E79">
                              <w:rPr>
                                <w:noProof/>
                                <w:color w:val="FFFFFF"/>
                              </w:rPr>
                              <w:t>on the</w:t>
                            </w:r>
                          </w:p>
                          <w:p w:rsidR="006A439A" w:rsidRDefault="006A439A" w:rsidP="00E406FA">
                            <w:pPr>
                              <w:rPr>
                                <w:noProof/>
                                <w:color w:val="FFFFFF"/>
                              </w:rPr>
                            </w:pPr>
                          </w:p>
                          <w:p w:rsidR="006A439A" w:rsidRDefault="006A439A" w:rsidP="00E406FA">
                            <w:pPr>
                              <w:rPr>
                                <w:rFonts w:cs="Arial"/>
                                <w:b/>
                                <w:bCs/>
                                <w:color w:val="FFFFFF"/>
                                <w:kern w:val="32"/>
                                <w:sz w:val="36"/>
                                <w:szCs w:val="32"/>
                              </w:rPr>
                            </w:pPr>
                            <w:r>
                              <w:rPr>
                                <w:rFonts w:cs="Arial"/>
                                <w:b/>
                                <w:bCs/>
                                <w:color w:val="FFFFFF"/>
                                <w:kern w:val="32"/>
                                <w:sz w:val="36"/>
                                <w:szCs w:val="32"/>
                              </w:rPr>
                              <w:t>Mutual Recognition Scheme Issues Paper</w:t>
                            </w:r>
                          </w:p>
                          <w:p w:rsidR="006A439A" w:rsidRDefault="006A439A" w:rsidP="00E406FA">
                            <w:pPr>
                              <w:rPr>
                                <w:b/>
                                <w:noProof/>
                                <w:color w:val="FFFFFF"/>
                              </w:rPr>
                            </w:pPr>
                          </w:p>
                          <w:p w:rsidR="00073E67" w:rsidRDefault="00754A95" w:rsidP="00E406FA">
                            <w:pPr>
                              <w:rPr>
                                <w:b/>
                                <w:noProof/>
                                <w:color w:val="FFFFFF"/>
                              </w:rPr>
                            </w:pPr>
                            <w:r>
                              <w:rPr>
                                <w:b/>
                                <w:noProof/>
                                <w:color w:val="FFFFFF"/>
                              </w:rPr>
                              <w:t>3</w:t>
                            </w:r>
                            <w:r w:rsidR="00073E67">
                              <w:rPr>
                                <w:b/>
                                <w:noProof/>
                                <w:color w:val="FFFFFF"/>
                              </w:rPr>
                              <w:t xml:space="preserve"> March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9pt;margin-top:471.3pt;width:459pt;height:16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xitg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" filled="f" stroked="f">
                <v:textbox>
                  <w:txbxContent>
                    <w:p w:rsidR="006A439A" w:rsidRDefault="006A439A" w:rsidP="00E406FA">
                      <w:pPr>
                        <w:rPr>
                          <w:noProof/>
                          <w:color w:val="FFFFFF"/>
                        </w:rPr>
                      </w:pPr>
                      <w:r w:rsidRPr="00846E79">
                        <w:rPr>
                          <w:noProof/>
                          <w:color w:val="FFFFFF"/>
                        </w:rPr>
                        <w:t>to</w:t>
                      </w:r>
                      <w:r>
                        <w:rPr>
                          <w:noProof/>
                          <w:color w:val="FFFFFF"/>
                        </w:rPr>
                        <w:t xml:space="preserve"> the</w:t>
                      </w:r>
                    </w:p>
                    <w:p w:rsidR="006A439A" w:rsidRDefault="006A439A" w:rsidP="00E406FA">
                      <w:pPr>
                        <w:rPr>
                          <w:noProof/>
                          <w:color w:val="FFFFFF"/>
                        </w:rPr>
                      </w:pPr>
                    </w:p>
                    <w:p w:rsidR="006A439A" w:rsidRPr="00D61EC2" w:rsidRDefault="006A439A" w:rsidP="00D61EC2">
                      <w:pPr>
                        <w:rPr>
                          <w:b/>
                          <w:noProof/>
                          <w:color w:val="FFFFFF"/>
                          <w:sz w:val="36"/>
                          <w:szCs w:val="36"/>
                        </w:rPr>
                      </w:pPr>
                      <w:r>
                        <w:rPr>
                          <w:b/>
                          <w:noProof/>
                          <w:color w:val="FFFFFF"/>
                          <w:sz w:val="36"/>
                          <w:szCs w:val="36"/>
                        </w:rPr>
                        <w:t>Productivity Commission</w:t>
                      </w:r>
                    </w:p>
                    <w:p w:rsidR="006A439A" w:rsidRDefault="006A439A" w:rsidP="00E406FA">
                      <w:pPr>
                        <w:rPr>
                          <w:noProof/>
                          <w:color w:val="FFFFFF"/>
                        </w:rPr>
                      </w:pPr>
                    </w:p>
                    <w:p w:rsidR="006A439A" w:rsidRDefault="006A439A" w:rsidP="00E406FA">
                      <w:pPr>
                        <w:rPr>
                          <w:noProof/>
                          <w:color w:val="FFFFFF"/>
                        </w:rPr>
                      </w:pPr>
                      <w:r w:rsidRPr="00846E79">
                        <w:rPr>
                          <w:noProof/>
                          <w:color w:val="FFFFFF"/>
                        </w:rPr>
                        <w:t>on the</w:t>
                      </w:r>
                    </w:p>
                    <w:p w:rsidR="006A439A" w:rsidRDefault="006A439A" w:rsidP="00E406FA">
                      <w:pPr>
                        <w:rPr>
                          <w:noProof/>
                          <w:color w:val="FFFFFF"/>
                        </w:rPr>
                      </w:pPr>
                    </w:p>
                    <w:p w:rsidR="006A439A" w:rsidRDefault="006A439A" w:rsidP="00E406FA">
                      <w:pPr>
                        <w:rPr>
                          <w:rFonts w:cs="Arial"/>
                          <w:b/>
                          <w:bCs/>
                          <w:color w:val="FFFFFF"/>
                          <w:kern w:val="32"/>
                          <w:sz w:val="36"/>
                          <w:szCs w:val="32"/>
                        </w:rPr>
                      </w:pPr>
                      <w:r>
                        <w:rPr>
                          <w:rFonts w:cs="Arial"/>
                          <w:b/>
                          <w:bCs/>
                          <w:color w:val="FFFFFF"/>
                          <w:kern w:val="32"/>
                          <w:sz w:val="36"/>
                          <w:szCs w:val="32"/>
                        </w:rPr>
                        <w:t>Mutual Recognition Scheme Issues Paper</w:t>
                      </w:r>
                    </w:p>
                    <w:p w:rsidR="006A439A" w:rsidRDefault="006A439A" w:rsidP="00E406FA">
                      <w:pPr>
                        <w:rPr>
                          <w:b/>
                          <w:noProof/>
                          <w:color w:val="FFFFFF"/>
                        </w:rPr>
                      </w:pPr>
                    </w:p>
                    <w:p w:rsidR="00073E67" w:rsidRDefault="00754A95" w:rsidP="00E406FA">
                      <w:pPr>
                        <w:rPr>
                          <w:b/>
                          <w:noProof/>
                          <w:color w:val="FFFFFF"/>
                        </w:rPr>
                      </w:pPr>
                      <w:r>
                        <w:rPr>
                          <w:b/>
                          <w:noProof/>
                          <w:color w:val="FFFFFF"/>
                        </w:rPr>
                        <w:t>3</w:t>
                      </w:r>
                      <w:bookmarkStart w:id="3" w:name="_GoBack"/>
                      <w:bookmarkEnd w:id="3"/>
                      <w:r w:rsidR="00073E67">
                        <w:rPr>
                          <w:b/>
                          <w:noProof/>
                          <w:color w:val="FFFFFF"/>
                        </w:rPr>
                        <w:t xml:space="preserve"> March 2015</w:t>
                      </w:r>
                    </w:p>
                  </w:txbxContent>
                </v:textbox>
                <w10:wrap type="square"/>
              </v:shape>
            </w:pict>
          </mc:Fallback>
        </mc:AlternateContent>
      </w:r>
      <w:bookmarkEnd w:id="1"/>
      <w:bookmarkEnd w:id="2"/>
      <w:r w:rsidR="00E406FA" w:rsidRPr="002A5E9D">
        <w:rPr>
          <w:rFonts w:cs="Arial"/>
        </w:rPr>
        <w:br w:type="page"/>
      </w:r>
      <w:bookmarkStart w:id="3" w:name="_Toc174237847"/>
    </w:p>
    <w:p w:rsidR="00AD3888" w:rsidRPr="002A5E9D" w:rsidRDefault="00AD3888" w:rsidP="003C308C">
      <w:pPr>
        <w:keepNext/>
        <w:jc w:val="both"/>
        <w:rPr>
          <w:rFonts w:cs="Arial"/>
        </w:rPr>
      </w:pPr>
    </w:p>
    <w:p w:rsidR="00AD3888" w:rsidRPr="002A5E9D" w:rsidRDefault="00AD3888" w:rsidP="003C308C">
      <w:pPr>
        <w:keepNext/>
        <w:jc w:val="both"/>
        <w:rPr>
          <w:rFonts w:cs="Arial"/>
        </w:rPr>
      </w:pPr>
    </w:p>
    <w:p w:rsidR="00AD3888" w:rsidRPr="002A5E9D" w:rsidRDefault="00AD3888" w:rsidP="003C308C">
      <w:pPr>
        <w:keepNext/>
        <w:jc w:val="both"/>
        <w:rPr>
          <w:rFonts w:cs="Arial"/>
        </w:rPr>
      </w:pPr>
    </w:p>
    <w:p w:rsidR="00AD3888" w:rsidRPr="002A5E9D" w:rsidRDefault="00DC29A3" w:rsidP="003C308C">
      <w:pPr>
        <w:keepNext/>
        <w:jc w:val="both"/>
        <w:rPr>
          <w:rFonts w:cs="Arial"/>
        </w:rPr>
      </w:pPr>
      <w:r w:rsidRPr="002A5E9D">
        <w:rPr>
          <w:rFonts w:cs="Arial"/>
          <w:noProof/>
          <w:lang w:eastAsia="en-AU"/>
        </w:rPr>
        <w:drawing>
          <wp:anchor distT="0" distB="0" distL="114300" distR="114300" simplePos="0" relativeHeight="251655680" behindDoc="1" locked="0" layoutInCell="1" allowOverlap="1" wp14:anchorId="69742890" wp14:editId="28451699">
            <wp:simplePos x="0" y="0"/>
            <wp:positionH relativeFrom="column">
              <wp:posOffset>-612140</wp:posOffset>
            </wp:positionH>
            <wp:positionV relativeFrom="margin">
              <wp:posOffset>-219075</wp:posOffset>
            </wp:positionV>
            <wp:extent cx="6629400" cy="9315450"/>
            <wp:effectExtent l="0" t="0" r="0" b="0"/>
            <wp:wrapNone/>
            <wp:docPr id="27" name="Picture 27" descr="content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ontents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29400" cy="931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3888" w:rsidRPr="002A5E9D" w:rsidRDefault="00AD3888" w:rsidP="003C308C">
      <w:pPr>
        <w:keepNext/>
        <w:jc w:val="both"/>
        <w:rPr>
          <w:rFonts w:cs="Arial"/>
        </w:rPr>
      </w:pPr>
    </w:p>
    <w:p w:rsidR="00AD3888" w:rsidRPr="002A5E9D" w:rsidRDefault="00AD3888" w:rsidP="003C308C">
      <w:pPr>
        <w:keepNext/>
        <w:jc w:val="both"/>
        <w:rPr>
          <w:rFonts w:cs="Arial"/>
        </w:rPr>
      </w:pPr>
    </w:p>
    <w:p w:rsidR="00AD3888" w:rsidRPr="002A5E9D" w:rsidRDefault="00AD3888" w:rsidP="003C308C">
      <w:pPr>
        <w:keepNext/>
        <w:jc w:val="both"/>
        <w:rPr>
          <w:rFonts w:cs="Arial"/>
        </w:rPr>
      </w:pPr>
    </w:p>
    <w:p w:rsidR="00AD3888" w:rsidRPr="002A5E9D" w:rsidRDefault="00AD3888" w:rsidP="003C308C">
      <w:pPr>
        <w:keepNext/>
        <w:jc w:val="both"/>
        <w:rPr>
          <w:rFonts w:cs="Arial"/>
        </w:rPr>
      </w:pPr>
    </w:p>
    <w:p w:rsidR="00AD3888" w:rsidRPr="002A5E9D" w:rsidRDefault="00AD3888" w:rsidP="003C308C">
      <w:pPr>
        <w:keepNext/>
        <w:jc w:val="both"/>
        <w:rPr>
          <w:rFonts w:cs="Arial"/>
        </w:rPr>
      </w:pPr>
    </w:p>
    <w:p w:rsidR="00AD3888" w:rsidRPr="002A5E9D" w:rsidRDefault="00AD3888" w:rsidP="003C308C">
      <w:pPr>
        <w:keepNext/>
        <w:jc w:val="both"/>
        <w:rPr>
          <w:rFonts w:cs="Arial"/>
        </w:rPr>
      </w:pPr>
    </w:p>
    <w:bookmarkEnd w:id="3"/>
    <w:p w:rsidR="00C72DDD" w:rsidRDefault="001C3D80">
      <w:pPr>
        <w:pStyle w:val="TOC1"/>
        <w:rPr>
          <w:rFonts w:asciiTheme="minorHAnsi" w:eastAsiaTheme="minorEastAsia" w:hAnsiTheme="minorHAnsi" w:cstheme="minorBidi"/>
          <w:b w:val="0"/>
          <w:noProof/>
          <w:sz w:val="22"/>
          <w:szCs w:val="22"/>
          <w:lang w:eastAsia="en-AU"/>
        </w:rPr>
      </w:pPr>
      <w:r w:rsidRPr="002A5E9D">
        <w:rPr>
          <w:rFonts w:cs="Arial"/>
        </w:rPr>
        <w:fldChar w:fldCharType="begin"/>
      </w:r>
      <w:r w:rsidRPr="002A5E9D">
        <w:rPr>
          <w:rFonts w:cs="Arial"/>
        </w:rPr>
        <w:instrText xml:space="preserve"> TOC \o "1-1" \h \z \u </w:instrText>
      </w:r>
      <w:r w:rsidRPr="002A5E9D">
        <w:rPr>
          <w:rFonts w:cs="Arial"/>
        </w:rPr>
        <w:fldChar w:fldCharType="separate"/>
      </w:r>
      <w:hyperlink w:anchor="_Toc413165657" w:history="1">
        <w:r w:rsidR="00C72DDD" w:rsidRPr="00F22A14">
          <w:rPr>
            <w:rStyle w:val="Hyperlink"/>
            <w:noProof/>
          </w:rPr>
          <w:t>1.</w:t>
        </w:r>
        <w:r w:rsidR="00C72DDD">
          <w:rPr>
            <w:rFonts w:asciiTheme="minorHAnsi" w:eastAsiaTheme="minorEastAsia" w:hAnsiTheme="minorHAnsi" w:cstheme="minorBidi"/>
            <w:b w:val="0"/>
            <w:noProof/>
            <w:sz w:val="22"/>
            <w:szCs w:val="22"/>
            <w:lang w:eastAsia="en-AU"/>
          </w:rPr>
          <w:tab/>
        </w:r>
        <w:r w:rsidR="00C72DDD" w:rsidRPr="00F22A14">
          <w:rPr>
            <w:rStyle w:val="Hyperlink"/>
            <w:noProof/>
          </w:rPr>
          <w:t>Introduction</w:t>
        </w:r>
        <w:r w:rsidR="00C72DDD">
          <w:rPr>
            <w:noProof/>
            <w:webHidden/>
          </w:rPr>
          <w:tab/>
        </w:r>
        <w:r w:rsidR="00C72DDD">
          <w:rPr>
            <w:noProof/>
            <w:webHidden/>
          </w:rPr>
          <w:fldChar w:fldCharType="begin"/>
        </w:r>
        <w:r w:rsidR="00C72DDD">
          <w:rPr>
            <w:noProof/>
            <w:webHidden/>
          </w:rPr>
          <w:instrText xml:space="preserve"> PAGEREF _Toc413165657 \h </w:instrText>
        </w:r>
        <w:r w:rsidR="00C72DDD">
          <w:rPr>
            <w:noProof/>
            <w:webHidden/>
          </w:rPr>
        </w:r>
        <w:r w:rsidR="00C72DDD">
          <w:rPr>
            <w:noProof/>
            <w:webHidden/>
          </w:rPr>
          <w:fldChar w:fldCharType="separate"/>
        </w:r>
        <w:r w:rsidR="00C72DDD">
          <w:rPr>
            <w:noProof/>
            <w:webHidden/>
          </w:rPr>
          <w:t>4</w:t>
        </w:r>
        <w:r w:rsidR="00C72DDD">
          <w:rPr>
            <w:noProof/>
            <w:webHidden/>
          </w:rPr>
          <w:fldChar w:fldCharType="end"/>
        </w:r>
      </w:hyperlink>
    </w:p>
    <w:p w:rsidR="00C72DDD" w:rsidRDefault="00E01A20">
      <w:pPr>
        <w:pStyle w:val="TOC1"/>
        <w:rPr>
          <w:rFonts w:asciiTheme="minorHAnsi" w:eastAsiaTheme="minorEastAsia" w:hAnsiTheme="minorHAnsi" w:cstheme="minorBidi"/>
          <w:b w:val="0"/>
          <w:noProof/>
          <w:sz w:val="22"/>
          <w:szCs w:val="22"/>
          <w:lang w:eastAsia="en-AU"/>
        </w:rPr>
      </w:pPr>
      <w:hyperlink w:anchor="_Toc413165658" w:history="1">
        <w:r w:rsidR="00C72DDD" w:rsidRPr="00F22A14">
          <w:rPr>
            <w:rStyle w:val="Hyperlink"/>
            <w:noProof/>
          </w:rPr>
          <w:t>2.</w:t>
        </w:r>
        <w:r w:rsidR="00C72DDD">
          <w:rPr>
            <w:rFonts w:asciiTheme="minorHAnsi" w:eastAsiaTheme="minorEastAsia" w:hAnsiTheme="minorHAnsi" w:cstheme="minorBidi"/>
            <w:b w:val="0"/>
            <w:noProof/>
            <w:sz w:val="22"/>
            <w:szCs w:val="22"/>
            <w:lang w:eastAsia="en-AU"/>
          </w:rPr>
          <w:tab/>
        </w:r>
        <w:r w:rsidR="00C72DDD" w:rsidRPr="00F22A14">
          <w:rPr>
            <w:rStyle w:val="Hyperlink"/>
            <w:noProof/>
          </w:rPr>
          <w:t>General Comments on Mutual Recognition</w:t>
        </w:r>
        <w:r w:rsidR="00C72DDD">
          <w:rPr>
            <w:noProof/>
            <w:webHidden/>
          </w:rPr>
          <w:tab/>
        </w:r>
        <w:r w:rsidR="00C72DDD">
          <w:rPr>
            <w:noProof/>
            <w:webHidden/>
          </w:rPr>
          <w:fldChar w:fldCharType="begin"/>
        </w:r>
        <w:r w:rsidR="00C72DDD">
          <w:rPr>
            <w:noProof/>
            <w:webHidden/>
          </w:rPr>
          <w:instrText xml:space="preserve"> PAGEREF _Toc413165658 \h </w:instrText>
        </w:r>
        <w:r w:rsidR="00C72DDD">
          <w:rPr>
            <w:noProof/>
            <w:webHidden/>
          </w:rPr>
        </w:r>
        <w:r w:rsidR="00C72DDD">
          <w:rPr>
            <w:noProof/>
            <w:webHidden/>
          </w:rPr>
          <w:fldChar w:fldCharType="separate"/>
        </w:r>
        <w:r w:rsidR="00C72DDD">
          <w:rPr>
            <w:noProof/>
            <w:webHidden/>
          </w:rPr>
          <w:t>4</w:t>
        </w:r>
        <w:r w:rsidR="00C72DDD">
          <w:rPr>
            <w:noProof/>
            <w:webHidden/>
          </w:rPr>
          <w:fldChar w:fldCharType="end"/>
        </w:r>
      </w:hyperlink>
    </w:p>
    <w:p w:rsidR="00C72DDD" w:rsidRDefault="00E01A20">
      <w:pPr>
        <w:pStyle w:val="TOC1"/>
        <w:rPr>
          <w:rFonts w:asciiTheme="minorHAnsi" w:eastAsiaTheme="minorEastAsia" w:hAnsiTheme="minorHAnsi" w:cstheme="minorBidi"/>
          <w:b w:val="0"/>
          <w:noProof/>
          <w:sz w:val="22"/>
          <w:szCs w:val="22"/>
          <w:lang w:eastAsia="en-AU"/>
        </w:rPr>
      </w:pPr>
      <w:hyperlink w:anchor="_Toc413165659" w:history="1">
        <w:r w:rsidR="00C72DDD" w:rsidRPr="00F22A14">
          <w:rPr>
            <w:rStyle w:val="Hyperlink"/>
            <w:noProof/>
          </w:rPr>
          <w:t>3.</w:t>
        </w:r>
        <w:r w:rsidR="00C72DDD">
          <w:rPr>
            <w:rFonts w:asciiTheme="minorHAnsi" w:eastAsiaTheme="minorEastAsia" w:hAnsiTheme="minorHAnsi" w:cstheme="minorBidi"/>
            <w:b w:val="0"/>
            <w:noProof/>
            <w:sz w:val="22"/>
            <w:szCs w:val="22"/>
            <w:lang w:eastAsia="en-AU"/>
          </w:rPr>
          <w:tab/>
        </w:r>
        <w:r w:rsidR="00C72DDD" w:rsidRPr="00F22A14">
          <w:rPr>
            <w:rStyle w:val="Hyperlink"/>
            <w:noProof/>
          </w:rPr>
          <w:t>Reponses to Particular Issues</w:t>
        </w:r>
        <w:r w:rsidR="00C72DDD">
          <w:rPr>
            <w:noProof/>
            <w:webHidden/>
          </w:rPr>
          <w:tab/>
        </w:r>
        <w:r w:rsidR="00C72DDD">
          <w:rPr>
            <w:noProof/>
            <w:webHidden/>
          </w:rPr>
          <w:fldChar w:fldCharType="begin"/>
        </w:r>
        <w:r w:rsidR="00C72DDD">
          <w:rPr>
            <w:noProof/>
            <w:webHidden/>
          </w:rPr>
          <w:instrText xml:space="preserve"> PAGEREF _Toc413165659 \h </w:instrText>
        </w:r>
        <w:r w:rsidR="00C72DDD">
          <w:rPr>
            <w:noProof/>
            <w:webHidden/>
          </w:rPr>
        </w:r>
        <w:r w:rsidR="00C72DDD">
          <w:rPr>
            <w:noProof/>
            <w:webHidden/>
          </w:rPr>
          <w:fldChar w:fldCharType="separate"/>
        </w:r>
        <w:r w:rsidR="00C72DDD">
          <w:rPr>
            <w:noProof/>
            <w:webHidden/>
          </w:rPr>
          <w:t>7</w:t>
        </w:r>
        <w:r w:rsidR="00C72DDD">
          <w:rPr>
            <w:noProof/>
            <w:webHidden/>
          </w:rPr>
          <w:fldChar w:fldCharType="end"/>
        </w:r>
      </w:hyperlink>
    </w:p>
    <w:p w:rsidR="00DC29A3" w:rsidRPr="002A5E9D" w:rsidRDefault="001C3D80" w:rsidP="003C308C">
      <w:pPr>
        <w:keepNext/>
        <w:rPr>
          <w:rFonts w:cs="Arial"/>
        </w:rPr>
      </w:pPr>
      <w:r w:rsidRPr="002A5E9D">
        <w:rPr>
          <w:rFonts w:cs="Arial"/>
          <w:b/>
          <w:sz w:val="28"/>
        </w:rPr>
        <w:fldChar w:fldCharType="end"/>
      </w:r>
    </w:p>
    <w:p w:rsidR="00F10B2A" w:rsidRPr="002A5E9D" w:rsidRDefault="00F10B2A" w:rsidP="003C308C">
      <w:pPr>
        <w:pStyle w:val="body"/>
        <w:keepNext/>
        <w:rPr>
          <w:rFonts w:cs="Arial"/>
        </w:rPr>
        <w:sectPr w:rsidR="00F10B2A" w:rsidRPr="002A5E9D" w:rsidSect="002056AD">
          <w:headerReference w:type="default" r:id="rId16"/>
          <w:footerReference w:type="default" r:id="rId17"/>
          <w:headerReference w:type="first" r:id="rId18"/>
          <w:pgSz w:w="11907" w:h="16839" w:code="9"/>
          <w:pgMar w:top="1440" w:right="1797" w:bottom="1440" w:left="1797" w:header="709" w:footer="709" w:gutter="0"/>
          <w:cols w:space="708"/>
          <w:titlePg/>
          <w:docGrid w:linePitch="360"/>
        </w:sectPr>
      </w:pPr>
    </w:p>
    <w:p w:rsidR="00DA1AA3" w:rsidRPr="002A5E9D" w:rsidRDefault="00DA1AA3" w:rsidP="003C308C">
      <w:pPr>
        <w:pStyle w:val="body"/>
        <w:keepNext/>
        <w:jc w:val="both"/>
        <w:rPr>
          <w:rFonts w:cs="Arial"/>
        </w:rPr>
      </w:pPr>
    </w:p>
    <w:p w:rsidR="00567FD4" w:rsidRPr="002A5E9D" w:rsidRDefault="00567FD4" w:rsidP="003C308C">
      <w:pPr>
        <w:pStyle w:val="body"/>
        <w:keepNext/>
        <w:rPr>
          <w:rFonts w:cs="Arial"/>
        </w:rPr>
      </w:pPr>
    </w:p>
    <w:p w:rsidR="00567FD4" w:rsidRPr="002A5E9D" w:rsidRDefault="00DC29A3" w:rsidP="003C308C">
      <w:pPr>
        <w:pStyle w:val="body"/>
        <w:keepNext/>
        <w:tabs>
          <w:tab w:val="left" w:pos="1540"/>
        </w:tabs>
        <w:rPr>
          <w:rFonts w:cs="Arial"/>
        </w:rPr>
      </w:pPr>
      <w:bookmarkStart w:id="4" w:name="_Toc174237848"/>
      <w:r w:rsidRPr="002A5E9D">
        <w:rPr>
          <w:rFonts w:cs="Arial"/>
          <w:noProof/>
          <w:lang w:eastAsia="en-AU"/>
        </w:rPr>
        <w:drawing>
          <wp:anchor distT="0" distB="0" distL="114300" distR="114300" simplePos="0" relativeHeight="251659776" behindDoc="1" locked="0" layoutInCell="1" allowOverlap="1" wp14:anchorId="7D80AFD7" wp14:editId="4CE6B727">
            <wp:simplePos x="0" y="0"/>
            <wp:positionH relativeFrom="column">
              <wp:posOffset>-457200</wp:posOffset>
            </wp:positionH>
            <wp:positionV relativeFrom="paragraph">
              <wp:posOffset>-513080</wp:posOffset>
            </wp:positionV>
            <wp:extent cx="6629400" cy="9321800"/>
            <wp:effectExtent l="0" t="0" r="0" b="0"/>
            <wp:wrapNone/>
            <wp:docPr id="35" name="Picture 35" descr="content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ontents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29400" cy="9321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4"/>
    </w:p>
    <w:p w:rsidR="00567FD4" w:rsidRPr="002A5E9D" w:rsidRDefault="00567FD4" w:rsidP="003C308C">
      <w:pPr>
        <w:pStyle w:val="body"/>
        <w:keepNext/>
        <w:rPr>
          <w:rFonts w:cs="Arial"/>
        </w:rPr>
      </w:pPr>
    </w:p>
    <w:p w:rsidR="00567FD4" w:rsidRPr="002A5E9D" w:rsidRDefault="00567FD4" w:rsidP="003C308C">
      <w:pPr>
        <w:pStyle w:val="body"/>
        <w:keepNext/>
        <w:rPr>
          <w:rFonts w:cs="Arial"/>
        </w:rPr>
      </w:pPr>
    </w:p>
    <w:bookmarkStart w:id="5" w:name="_Toc174237849"/>
    <w:p w:rsidR="00567FD4" w:rsidRPr="002A5E9D" w:rsidRDefault="00DC29A3" w:rsidP="003C308C">
      <w:pPr>
        <w:pStyle w:val="body"/>
        <w:keepNext/>
        <w:rPr>
          <w:rFonts w:cs="Arial"/>
        </w:rPr>
        <w:sectPr w:rsidR="00567FD4" w:rsidRPr="002A5E9D" w:rsidSect="002056AD">
          <w:headerReference w:type="first" r:id="rId20"/>
          <w:footerReference w:type="first" r:id="rId21"/>
          <w:pgSz w:w="11907" w:h="16839" w:code="9"/>
          <w:pgMar w:top="1440" w:right="1797" w:bottom="1440" w:left="1797" w:header="709" w:footer="709" w:gutter="0"/>
          <w:cols w:space="708"/>
          <w:titlePg/>
          <w:docGrid w:linePitch="360"/>
        </w:sectPr>
      </w:pPr>
      <w:r w:rsidRPr="002A5E9D">
        <w:rPr>
          <w:rFonts w:cs="Arial"/>
          <w:noProof/>
          <w:lang w:eastAsia="en-AU"/>
        </w:rPr>
        <mc:AlternateContent>
          <mc:Choice Requires="wps">
            <w:drawing>
              <wp:anchor distT="0" distB="0" distL="114300" distR="114300" simplePos="0" relativeHeight="251658752" behindDoc="0" locked="0" layoutInCell="1" allowOverlap="1" wp14:anchorId="4A0D2A29" wp14:editId="76173C4F">
                <wp:simplePos x="0" y="0"/>
                <wp:positionH relativeFrom="column">
                  <wp:posOffset>0</wp:posOffset>
                </wp:positionH>
                <wp:positionV relativeFrom="paragraph">
                  <wp:posOffset>4002405</wp:posOffset>
                </wp:positionV>
                <wp:extent cx="5486400" cy="3429000"/>
                <wp:effectExtent l="0" t="1905" r="1905" b="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39A" w:rsidRDefault="006A439A" w:rsidP="00567FD4">
                            <w:pPr>
                              <w:jc w:val="left"/>
                              <w:rPr>
                                <w:rFonts w:ascii="Arial Black" w:hAnsi="Arial Black"/>
                                <w:sz w:val="28"/>
                                <w:szCs w:val="28"/>
                              </w:rPr>
                            </w:pPr>
                          </w:p>
                          <w:p w:rsidR="006A439A" w:rsidRDefault="006A439A" w:rsidP="00567FD4">
                            <w:pPr>
                              <w:jc w:val="left"/>
                              <w:rPr>
                                <w:rFonts w:ascii="Arial Black" w:hAnsi="Arial Black"/>
                              </w:rPr>
                            </w:pPr>
                            <w:r w:rsidRPr="00F60092">
                              <w:rPr>
                                <w:rFonts w:ascii="Arial Black" w:hAnsi="Arial Black"/>
                              </w:rPr>
                              <w:t>HIA ::</w:t>
                            </w:r>
                          </w:p>
                          <w:p w:rsidR="006A439A" w:rsidRPr="000C60D9" w:rsidRDefault="006A439A" w:rsidP="00567FD4">
                            <w:pPr>
                              <w:jc w:val="left"/>
                              <w:rPr>
                                <w:rFonts w:cs="Arial"/>
                              </w:rPr>
                            </w:pPr>
                            <w:r>
                              <w:rPr>
                                <w:rFonts w:cs="Arial"/>
                              </w:rPr>
                              <w:t>David Humphrey</w:t>
                            </w:r>
                          </w:p>
                          <w:p w:rsidR="006A439A" w:rsidRPr="00F60092" w:rsidRDefault="006A439A" w:rsidP="00567FD4">
                            <w:pPr>
                              <w:jc w:val="left"/>
                            </w:pPr>
                            <w:r w:rsidRPr="00F60092">
                              <w:t>Housing Industry Association</w:t>
                            </w:r>
                          </w:p>
                          <w:p w:rsidR="006A439A" w:rsidRDefault="006A439A" w:rsidP="00567FD4">
                            <w:pPr>
                              <w:jc w:val="left"/>
                              <w:rPr>
                                <w:rFonts w:cs="Arial"/>
                                <w:noProof/>
                              </w:rPr>
                            </w:pPr>
                            <w:r>
                              <w:rPr>
                                <w:rFonts w:cs="Arial"/>
                                <w:noProof/>
                              </w:rPr>
                              <w:t>79 Constitution Ave</w:t>
                            </w:r>
                          </w:p>
                          <w:p w:rsidR="006A439A" w:rsidRDefault="006A439A" w:rsidP="00567FD4">
                            <w:pPr>
                              <w:jc w:val="left"/>
                              <w:rPr>
                                <w:rFonts w:cs="Arial"/>
                                <w:noProof/>
                              </w:rPr>
                            </w:pPr>
                            <w:r>
                              <w:rPr>
                                <w:rFonts w:cs="Arial"/>
                                <w:noProof/>
                              </w:rPr>
                              <w:t>CAMPBELL ACT 2612</w:t>
                            </w:r>
                          </w:p>
                          <w:p w:rsidR="006A439A" w:rsidRPr="00F60092" w:rsidRDefault="006A439A" w:rsidP="00567FD4">
                            <w:pPr>
                              <w:tabs>
                                <w:tab w:val="left" w:pos="1080"/>
                              </w:tabs>
                              <w:jc w:val="left"/>
                              <w:rPr>
                                <w:rFonts w:cs="Arial"/>
                                <w:noProof/>
                              </w:rPr>
                            </w:pPr>
                            <w:r>
                              <w:rPr>
                                <w:rFonts w:cs="Arial"/>
                                <w:noProof/>
                              </w:rPr>
                              <w:t xml:space="preserve">Phone: </w:t>
                            </w:r>
                            <w:r>
                              <w:rPr>
                                <w:rFonts w:cs="Arial"/>
                                <w:noProof/>
                              </w:rPr>
                              <w:tab/>
                            </w:r>
                            <w:r>
                              <w:rPr>
                                <w:rFonts w:cs="Arial"/>
                                <w:noProof/>
                              </w:rPr>
                              <w:fldChar w:fldCharType="begin"/>
                            </w:r>
                            <w:r>
                              <w:rPr>
                                <w:rFonts w:cs="Arial"/>
                                <w:noProof/>
                              </w:rPr>
                              <w:instrText xml:space="preserve"> FILLIN  "phone no."  \* MERGEFORMAT </w:instrText>
                            </w:r>
                            <w:r>
                              <w:rPr>
                                <w:rFonts w:cs="Arial"/>
                                <w:noProof/>
                              </w:rPr>
                              <w:fldChar w:fldCharType="separate"/>
                            </w:r>
                            <w:r>
                              <w:rPr>
                                <w:rFonts w:cs="Arial"/>
                                <w:noProof/>
                              </w:rPr>
                              <w:t xml:space="preserve">(02) 6245 1300 </w:t>
                            </w:r>
                            <w:r>
                              <w:rPr>
                                <w:rFonts w:cs="Arial"/>
                                <w:noProof/>
                              </w:rPr>
                              <w:fldChar w:fldCharType="end"/>
                            </w:r>
                          </w:p>
                          <w:p w:rsidR="006A439A" w:rsidRDefault="006A439A" w:rsidP="00567FD4">
                            <w:pPr>
                              <w:pBdr>
                                <w:bottom w:val="single" w:sz="12" w:space="1" w:color="auto"/>
                              </w:pBdr>
                              <w:jc w:val="left"/>
                              <w:rPr>
                                <w:rFonts w:cs="Arial"/>
                                <w:noProof/>
                              </w:rPr>
                            </w:pPr>
                          </w:p>
                          <w:p w:rsidR="006A439A" w:rsidRPr="00F60092" w:rsidRDefault="006A439A" w:rsidP="00567FD4">
                            <w:pPr>
                              <w:jc w:val="left"/>
                              <w:rPr>
                                <w:rFonts w:cs="Arial"/>
                                <w:noProof/>
                                <w:sz w:val="20"/>
                                <w:szCs w:val="20"/>
                              </w:rPr>
                            </w:pPr>
                          </w:p>
                          <w:p w:rsidR="006A439A" w:rsidRPr="00F60092" w:rsidRDefault="006A439A" w:rsidP="00567FD4">
                            <w:pPr>
                              <w:jc w:val="left"/>
                              <w:rPr>
                                <w:sz w:val="20"/>
                                <w:szCs w:val="20"/>
                              </w:rPr>
                            </w:pPr>
                            <w:r w:rsidRPr="00F60092">
                              <w:rPr>
                                <w:sz w:val="20"/>
                                <w:szCs w:val="20"/>
                              </w:rPr>
                              <w:t xml:space="preserve">HIA is the leading industry association in the Australian residential building sector, supporting the businesses and </w:t>
                            </w:r>
                            <w:r w:rsidR="00824780">
                              <w:rPr>
                                <w:sz w:val="20"/>
                                <w:szCs w:val="20"/>
                              </w:rPr>
                              <w:t>interests of over 40</w:t>
                            </w:r>
                            <w:r w:rsidRPr="00F60092">
                              <w:rPr>
                                <w:sz w:val="20"/>
                                <w:szCs w:val="20"/>
                              </w:rPr>
                              <w:t>,000 builders, contractors, manufacturers, suppliers</w:t>
                            </w:r>
                            <w:r>
                              <w:rPr>
                                <w:sz w:val="20"/>
                                <w:szCs w:val="20"/>
                              </w:rPr>
                              <w:t>, building professionals</w:t>
                            </w:r>
                            <w:r w:rsidRPr="00F60092">
                              <w:rPr>
                                <w:sz w:val="20"/>
                                <w:szCs w:val="20"/>
                              </w:rPr>
                              <w:t xml:space="preserve"> and business partners.</w:t>
                            </w:r>
                          </w:p>
                          <w:p w:rsidR="006A439A" w:rsidRPr="00F60092" w:rsidRDefault="006A439A" w:rsidP="00567FD4">
                            <w:pPr>
                              <w:jc w:val="left"/>
                              <w:rPr>
                                <w:sz w:val="20"/>
                                <w:szCs w:val="20"/>
                              </w:rPr>
                            </w:pPr>
                          </w:p>
                          <w:p w:rsidR="006A439A" w:rsidRDefault="006A439A" w:rsidP="00567FD4">
                            <w:pPr>
                              <w:jc w:val="left"/>
                              <w:rPr>
                                <w:sz w:val="20"/>
                                <w:szCs w:val="20"/>
                              </w:rPr>
                            </w:pPr>
                            <w:r w:rsidRPr="00F60092">
                              <w:rPr>
                                <w:sz w:val="20"/>
                                <w:szCs w:val="20"/>
                              </w:rPr>
                              <w:t>HIA members include businesses of all sizes, ranging from individuals working as independent contractors and home based small businesses, to la</w:t>
                            </w:r>
                            <w:r w:rsidR="006A7DBC">
                              <w:rPr>
                                <w:sz w:val="20"/>
                                <w:szCs w:val="20"/>
                              </w:rPr>
                              <w:t xml:space="preserve">rge publicly listed companies. </w:t>
                            </w:r>
                            <w:r w:rsidRPr="00F60092">
                              <w:rPr>
                                <w:sz w:val="20"/>
                                <w:szCs w:val="20"/>
                              </w:rPr>
                              <w:t>85% of all new home building work</w:t>
                            </w:r>
                            <w:r>
                              <w:rPr>
                                <w:sz w:val="20"/>
                                <w:szCs w:val="20"/>
                              </w:rPr>
                              <w:t xml:space="preserve"> in Australia</w:t>
                            </w:r>
                            <w:r w:rsidRPr="00F60092">
                              <w:rPr>
                                <w:sz w:val="20"/>
                                <w:szCs w:val="20"/>
                              </w:rPr>
                              <w:t xml:space="preserve"> is performed by HIA members.</w:t>
                            </w:r>
                          </w:p>
                          <w:p w:rsidR="006A439A" w:rsidRPr="00F60092" w:rsidRDefault="006A439A" w:rsidP="00567FD4">
                            <w:pPr>
                              <w:jc w:val="left"/>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7" type="#_x0000_t202" style="position:absolute;margin-left:0;margin-top:315.15pt;width:6in;height:27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" filled="f" stroked="f">
                <v:textbox>
                  <w:txbxContent>
                    <w:p w:rsidR="006A439A" w:rsidRDefault="006A439A" w:rsidP="00567FD4">
                      <w:pPr>
                        <w:jc w:val="left"/>
                        <w:rPr>
                          <w:rFonts w:ascii="Arial Black" w:hAnsi="Arial Black"/>
                          <w:sz w:val="28"/>
                          <w:szCs w:val="28"/>
                        </w:rPr>
                      </w:pPr>
                    </w:p>
                    <w:p w:rsidR="006A439A" w:rsidRDefault="006A439A" w:rsidP="00567FD4">
                      <w:pPr>
                        <w:jc w:val="left"/>
                        <w:rPr>
                          <w:rFonts w:ascii="Arial Black" w:hAnsi="Arial Black"/>
                        </w:rPr>
                      </w:pPr>
                      <w:proofErr w:type="gramStart"/>
                      <w:r w:rsidRPr="00F60092">
                        <w:rPr>
                          <w:rFonts w:ascii="Arial Black" w:hAnsi="Arial Black"/>
                        </w:rPr>
                        <w:t>HIA :</w:t>
                      </w:r>
                      <w:proofErr w:type="gramEnd"/>
                      <w:r w:rsidRPr="00F60092">
                        <w:rPr>
                          <w:rFonts w:ascii="Arial Black" w:hAnsi="Arial Black"/>
                        </w:rPr>
                        <w:t>:</w:t>
                      </w:r>
                    </w:p>
                    <w:p w:rsidR="006A439A" w:rsidRPr="000C60D9" w:rsidRDefault="006A439A" w:rsidP="00567FD4">
                      <w:pPr>
                        <w:jc w:val="left"/>
                        <w:rPr>
                          <w:rFonts w:cs="Arial"/>
                        </w:rPr>
                      </w:pPr>
                      <w:r>
                        <w:rPr>
                          <w:rFonts w:cs="Arial"/>
                        </w:rPr>
                        <w:t>David Humphrey</w:t>
                      </w:r>
                    </w:p>
                    <w:p w:rsidR="006A439A" w:rsidRPr="00F60092" w:rsidRDefault="006A439A" w:rsidP="00567FD4">
                      <w:pPr>
                        <w:jc w:val="left"/>
                      </w:pPr>
                      <w:r w:rsidRPr="00F60092">
                        <w:t>Housing Industry Association</w:t>
                      </w:r>
                    </w:p>
                    <w:p w:rsidR="006A439A" w:rsidRDefault="006A439A" w:rsidP="00567FD4">
                      <w:pPr>
                        <w:jc w:val="left"/>
                        <w:rPr>
                          <w:rFonts w:cs="Arial"/>
                          <w:noProof/>
                        </w:rPr>
                      </w:pPr>
                      <w:r>
                        <w:rPr>
                          <w:rFonts w:cs="Arial"/>
                          <w:noProof/>
                        </w:rPr>
                        <w:t>79 Constitution Ave</w:t>
                      </w:r>
                    </w:p>
                    <w:p w:rsidR="006A439A" w:rsidRDefault="006A439A" w:rsidP="00567FD4">
                      <w:pPr>
                        <w:jc w:val="left"/>
                        <w:rPr>
                          <w:rFonts w:cs="Arial"/>
                          <w:noProof/>
                        </w:rPr>
                      </w:pPr>
                      <w:r>
                        <w:rPr>
                          <w:rFonts w:cs="Arial"/>
                          <w:noProof/>
                        </w:rPr>
                        <w:t>CAMPBELL ACT 2612</w:t>
                      </w:r>
                    </w:p>
                    <w:p w:rsidR="006A439A" w:rsidRPr="00F60092" w:rsidRDefault="006A439A" w:rsidP="00567FD4">
                      <w:pPr>
                        <w:tabs>
                          <w:tab w:val="left" w:pos="1080"/>
                        </w:tabs>
                        <w:jc w:val="left"/>
                        <w:rPr>
                          <w:rFonts w:cs="Arial"/>
                          <w:noProof/>
                        </w:rPr>
                      </w:pPr>
                      <w:r>
                        <w:rPr>
                          <w:rFonts w:cs="Arial"/>
                          <w:noProof/>
                        </w:rPr>
                        <w:t xml:space="preserve">Phone: </w:t>
                      </w:r>
                      <w:r>
                        <w:rPr>
                          <w:rFonts w:cs="Arial"/>
                          <w:noProof/>
                        </w:rPr>
                        <w:tab/>
                      </w:r>
                      <w:r>
                        <w:rPr>
                          <w:rFonts w:cs="Arial"/>
                          <w:noProof/>
                        </w:rPr>
                        <w:fldChar w:fldCharType="begin"/>
                      </w:r>
                      <w:r>
                        <w:rPr>
                          <w:rFonts w:cs="Arial"/>
                          <w:noProof/>
                        </w:rPr>
                        <w:instrText xml:space="preserve"> FILLIN  "phone no."  \* MERGEFORMAT </w:instrText>
                      </w:r>
                      <w:r>
                        <w:rPr>
                          <w:rFonts w:cs="Arial"/>
                          <w:noProof/>
                        </w:rPr>
                        <w:fldChar w:fldCharType="separate"/>
                      </w:r>
                      <w:r>
                        <w:rPr>
                          <w:rFonts w:cs="Arial"/>
                          <w:noProof/>
                        </w:rPr>
                        <w:t xml:space="preserve">(02) 6245 1300 </w:t>
                      </w:r>
                      <w:r>
                        <w:rPr>
                          <w:rFonts w:cs="Arial"/>
                          <w:noProof/>
                        </w:rPr>
                        <w:fldChar w:fldCharType="end"/>
                      </w:r>
                    </w:p>
                    <w:p w:rsidR="006A439A" w:rsidRDefault="006A439A" w:rsidP="00567FD4">
                      <w:pPr>
                        <w:pBdr>
                          <w:bottom w:val="single" w:sz="12" w:space="1" w:color="auto"/>
                        </w:pBdr>
                        <w:jc w:val="left"/>
                        <w:rPr>
                          <w:rFonts w:cs="Arial"/>
                          <w:noProof/>
                        </w:rPr>
                      </w:pPr>
                      <w:bookmarkStart w:id="6" w:name="_GoBack"/>
                      <w:bookmarkEnd w:id="6"/>
                    </w:p>
                    <w:p w:rsidR="006A439A" w:rsidRPr="00F60092" w:rsidRDefault="006A439A" w:rsidP="00567FD4">
                      <w:pPr>
                        <w:jc w:val="left"/>
                        <w:rPr>
                          <w:rFonts w:cs="Arial"/>
                          <w:noProof/>
                          <w:sz w:val="20"/>
                          <w:szCs w:val="20"/>
                        </w:rPr>
                      </w:pPr>
                    </w:p>
                    <w:p w:rsidR="006A439A" w:rsidRPr="00F60092" w:rsidRDefault="006A439A" w:rsidP="00567FD4">
                      <w:pPr>
                        <w:jc w:val="left"/>
                        <w:rPr>
                          <w:sz w:val="20"/>
                          <w:szCs w:val="20"/>
                        </w:rPr>
                      </w:pPr>
                      <w:r w:rsidRPr="00F60092">
                        <w:rPr>
                          <w:sz w:val="20"/>
                          <w:szCs w:val="20"/>
                        </w:rPr>
                        <w:t xml:space="preserve">HIA is the leading industry association in the Australian residential building sector, supporting the businesses and </w:t>
                      </w:r>
                      <w:r w:rsidR="00824780">
                        <w:rPr>
                          <w:sz w:val="20"/>
                          <w:szCs w:val="20"/>
                        </w:rPr>
                        <w:t>interests of over 40</w:t>
                      </w:r>
                      <w:r w:rsidRPr="00F60092">
                        <w:rPr>
                          <w:sz w:val="20"/>
                          <w:szCs w:val="20"/>
                        </w:rPr>
                        <w:t>,000 builders, contractors, manufacturers, suppliers</w:t>
                      </w:r>
                      <w:r>
                        <w:rPr>
                          <w:sz w:val="20"/>
                          <w:szCs w:val="20"/>
                        </w:rPr>
                        <w:t>, building professionals</w:t>
                      </w:r>
                      <w:r w:rsidRPr="00F60092">
                        <w:rPr>
                          <w:sz w:val="20"/>
                          <w:szCs w:val="20"/>
                        </w:rPr>
                        <w:t xml:space="preserve"> and business partners.</w:t>
                      </w:r>
                    </w:p>
                    <w:p w:rsidR="006A439A" w:rsidRPr="00F60092" w:rsidRDefault="006A439A" w:rsidP="00567FD4">
                      <w:pPr>
                        <w:jc w:val="left"/>
                        <w:rPr>
                          <w:sz w:val="20"/>
                          <w:szCs w:val="20"/>
                        </w:rPr>
                      </w:pPr>
                    </w:p>
                    <w:p w:rsidR="006A439A" w:rsidRDefault="006A439A" w:rsidP="00567FD4">
                      <w:pPr>
                        <w:jc w:val="left"/>
                        <w:rPr>
                          <w:sz w:val="20"/>
                          <w:szCs w:val="20"/>
                        </w:rPr>
                      </w:pPr>
                      <w:r w:rsidRPr="00F60092">
                        <w:rPr>
                          <w:sz w:val="20"/>
                          <w:szCs w:val="20"/>
                        </w:rPr>
                        <w:t>HIA members include businesses of all sizes, ranging from individuals working as independent contractors and home based small businesses, to la</w:t>
                      </w:r>
                      <w:r w:rsidR="006A7DBC">
                        <w:rPr>
                          <w:sz w:val="20"/>
                          <w:szCs w:val="20"/>
                        </w:rPr>
                        <w:t xml:space="preserve">rge publicly listed companies. </w:t>
                      </w:r>
                      <w:r w:rsidRPr="00F60092">
                        <w:rPr>
                          <w:sz w:val="20"/>
                          <w:szCs w:val="20"/>
                        </w:rPr>
                        <w:t>85% of all new home building work</w:t>
                      </w:r>
                      <w:r>
                        <w:rPr>
                          <w:sz w:val="20"/>
                          <w:szCs w:val="20"/>
                        </w:rPr>
                        <w:t xml:space="preserve"> in Australia</w:t>
                      </w:r>
                      <w:r w:rsidRPr="00F60092">
                        <w:rPr>
                          <w:sz w:val="20"/>
                          <w:szCs w:val="20"/>
                        </w:rPr>
                        <w:t xml:space="preserve"> is performed by HIA members.</w:t>
                      </w:r>
                    </w:p>
                    <w:p w:rsidR="006A439A" w:rsidRPr="00F60092" w:rsidRDefault="006A439A" w:rsidP="00567FD4">
                      <w:pPr>
                        <w:jc w:val="left"/>
                        <w:rPr>
                          <w:sz w:val="20"/>
                          <w:szCs w:val="20"/>
                        </w:rPr>
                      </w:pPr>
                    </w:p>
                  </w:txbxContent>
                </v:textbox>
              </v:shape>
            </w:pict>
          </mc:Fallback>
        </mc:AlternateContent>
      </w:r>
      <w:bookmarkEnd w:id="5"/>
    </w:p>
    <w:p w:rsidR="001017A3" w:rsidRPr="008C73E4" w:rsidRDefault="001017A3" w:rsidP="008C73E4">
      <w:pPr>
        <w:pStyle w:val="Heading1"/>
      </w:pPr>
      <w:bookmarkStart w:id="6" w:name="_Toc391544171"/>
      <w:bookmarkStart w:id="7" w:name="_Toc413165657"/>
      <w:r w:rsidRPr="008C73E4">
        <w:lastRenderedPageBreak/>
        <w:t>Introduction</w:t>
      </w:r>
      <w:bookmarkEnd w:id="6"/>
      <w:bookmarkEnd w:id="7"/>
    </w:p>
    <w:p w:rsidR="001017A3" w:rsidRPr="00073E67" w:rsidRDefault="00824780" w:rsidP="00073E67">
      <w:pPr>
        <w:numPr>
          <w:ilvl w:val="1"/>
          <w:numId w:val="2"/>
        </w:numPr>
        <w:spacing w:after="120"/>
        <w:ind w:left="567" w:hanging="567"/>
        <w:jc w:val="both"/>
        <w:rPr>
          <w:rFonts w:cs="Arial"/>
          <w:sz w:val="22"/>
          <w:szCs w:val="22"/>
        </w:rPr>
      </w:pPr>
      <w:r>
        <w:rPr>
          <w:rFonts w:cs="Arial"/>
          <w:sz w:val="22"/>
          <w:szCs w:val="22"/>
        </w:rPr>
        <w:t>HIA is Australia’s only national industry association representing the interests of the residential building industry, including home builders, renovators, trade contractors, related building professionals, and suppliers and manufacturers of building products. As the voice of the home building sector, HIA represents 40,000 members throughout Australia. The residential building industry includes land development, detached home construction, home renovations, medium-density housing and high-rise apartment buildings.</w:t>
      </w:r>
    </w:p>
    <w:p w:rsidR="00AD184C" w:rsidRPr="00073E67" w:rsidRDefault="00AD184C" w:rsidP="00073E67">
      <w:pPr>
        <w:numPr>
          <w:ilvl w:val="1"/>
          <w:numId w:val="2"/>
        </w:numPr>
        <w:spacing w:after="120"/>
        <w:ind w:left="567" w:hanging="567"/>
        <w:jc w:val="both"/>
        <w:rPr>
          <w:rFonts w:cs="Arial"/>
          <w:sz w:val="22"/>
          <w:szCs w:val="22"/>
        </w:rPr>
      </w:pPr>
      <w:bookmarkStart w:id="8" w:name="_Toc392079109"/>
      <w:r w:rsidRPr="00073E67">
        <w:rPr>
          <w:rFonts w:cs="Arial"/>
          <w:sz w:val="22"/>
          <w:szCs w:val="22"/>
        </w:rPr>
        <w:t xml:space="preserve">HIA welcomes the opportunity to </w:t>
      </w:r>
      <w:bookmarkEnd w:id="8"/>
      <w:r w:rsidR="002D686B" w:rsidRPr="00073E67">
        <w:rPr>
          <w:rFonts w:cs="Arial"/>
          <w:sz w:val="22"/>
          <w:szCs w:val="22"/>
        </w:rPr>
        <w:t xml:space="preserve">provide comment in response to the </w:t>
      </w:r>
      <w:r w:rsidR="005E2631" w:rsidRPr="00073E67">
        <w:rPr>
          <w:rFonts w:cs="Arial"/>
          <w:sz w:val="22"/>
          <w:szCs w:val="22"/>
        </w:rPr>
        <w:t xml:space="preserve">Mutual Recognition Schemes Issues </w:t>
      </w:r>
      <w:r w:rsidR="002B1618">
        <w:rPr>
          <w:rFonts w:cs="Arial"/>
          <w:sz w:val="22"/>
          <w:szCs w:val="22"/>
        </w:rPr>
        <w:t>p</w:t>
      </w:r>
      <w:r w:rsidR="005E2631" w:rsidRPr="00073E67">
        <w:rPr>
          <w:rFonts w:cs="Arial"/>
          <w:sz w:val="22"/>
          <w:szCs w:val="22"/>
        </w:rPr>
        <w:t>aper</w:t>
      </w:r>
      <w:r w:rsidR="002D686B" w:rsidRPr="00073E67">
        <w:rPr>
          <w:rFonts w:cs="Arial"/>
          <w:sz w:val="22"/>
          <w:szCs w:val="22"/>
        </w:rPr>
        <w:t>.</w:t>
      </w:r>
    </w:p>
    <w:p w:rsidR="00553621" w:rsidRPr="00073E67" w:rsidRDefault="00553621" w:rsidP="00073E67">
      <w:pPr>
        <w:numPr>
          <w:ilvl w:val="1"/>
          <w:numId w:val="2"/>
        </w:numPr>
        <w:spacing w:after="120"/>
        <w:ind w:left="567" w:hanging="567"/>
        <w:jc w:val="both"/>
        <w:rPr>
          <w:rFonts w:cs="Arial"/>
          <w:sz w:val="22"/>
          <w:szCs w:val="22"/>
        </w:rPr>
      </w:pPr>
      <w:r w:rsidRPr="00073E67">
        <w:rPr>
          <w:rFonts w:cs="Arial"/>
          <w:sz w:val="22"/>
          <w:szCs w:val="22"/>
        </w:rPr>
        <w:t xml:space="preserve">Each state and territory has distinct occupational and business licensing arrangements in place for builders, trade contractors and workers in the residential building industry. </w:t>
      </w:r>
    </w:p>
    <w:p w:rsidR="005E2631" w:rsidRPr="00073E67" w:rsidRDefault="005E2631" w:rsidP="00073E67">
      <w:pPr>
        <w:numPr>
          <w:ilvl w:val="1"/>
          <w:numId w:val="2"/>
        </w:numPr>
        <w:spacing w:after="120"/>
        <w:ind w:left="567" w:hanging="567"/>
        <w:jc w:val="both"/>
        <w:rPr>
          <w:rFonts w:cs="Arial"/>
          <w:sz w:val="22"/>
          <w:szCs w:val="22"/>
        </w:rPr>
      </w:pPr>
      <w:r w:rsidRPr="00073E67">
        <w:rPr>
          <w:rFonts w:cs="Arial"/>
          <w:sz w:val="22"/>
          <w:szCs w:val="22"/>
        </w:rPr>
        <w:t xml:space="preserve">HIA supports efforts which seek to reduce unnecessary duplication of regulations restricting the movement of </w:t>
      </w:r>
      <w:r w:rsidR="00392625" w:rsidRPr="00073E67">
        <w:rPr>
          <w:rFonts w:cs="Arial"/>
          <w:sz w:val="22"/>
          <w:szCs w:val="22"/>
        </w:rPr>
        <w:t xml:space="preserve">these </w:t>
      </w:r>
      <w:r w:rsidRPr="00073E67">
        <w:rPr>
          <w:rFonts w:cs="Arial"/>
          <w:sz w:val="22"/>
          <w:szCs w:val="22"/>
        </w:rPr>
        <w:t xml:space="preserve">trades from state to state. </w:t>
      </w:r>
    </w:p>
    <w:p w:rsidR="00936E51" w:rsidRPr="00073E67" w:rsidRDefault="00DA34F6" w:rsidP="00073E67">
      <w:pPr>
        <w:numPr>
          <w:ilvl w:val="1"/>
          <w:numId w:val="2"/>
        </w:numPr>
        <w:spacing w:after="120"/>
        <w:ind w:left="567" w:hanging="567"/>
        <w:jc w:val="both"/>
        <w:rPr>
          <w:rFonts w:cs="Arial"/>
          <w:sz w:val="22"/>
          <w:szCs w:val="22"/>
        </w:rPr>
      </w:pPr>
      <w:r w:rsidRPr="00073E67">
        <w:rPr>
          <w:rFonts w:cs="Arial"/>
          <w:sz w:val="22"/>
          <w:szCs w:val="22"/>
        </w:rPr>
        <w:t>Mutual</w:t>
      </w:r>
      <w:r w:rsidR="00392625" w:rsidRPr="00073E67">
        <w:rPr>
          <w:rFonts w:cs="Arial"/>
          <w:sz w:val="22"/>
          <w:szCs w:val="22"/>
          <w:lang w:val="en-US"/>
        </w:rPr>
        <w:t xml:space="preserve"> recognition of regulations relating to goods and occupations was legislated in 1992 and </w:t>
      </w:r>
      <w:r w:rsidR="00392625" w:rsidRPr="00073E67">
        <w:rPr>
          <w:rFonts w:cs="Arial"/>
          <w:sz w:val="22"/>
          <w:szCs w:val="22"/>
        </w:rPr>
        <w:t>m</w:t>
      </w:r>
      <w:r w:rsidR="00936E51" w:rsidRPr="00073E67">
        <w:rPr>
          <w:rFonts w:cs="Arial"/>
          <w:sz w:val="22"/>
          <w:szCs w:val="22"/>
        </w:rPr>
        <w:t>utual recognition arrangements have made it easier for licensed tradespeople, and authorities that issue licenses, to know what license a worker is entitled to when applying for a license in another jurisdiction.</w:t>
      </w:r>
    </w:p>
    <w:p w:rsidR="00936E51" w:rsidRPr="00073E67" w:rsidRDefault="00392625" w:rsidP="00073E67">
      <w:pPr>
        <w:numPr>
          <w:ilvl w:val="1"/>
          <w:numId w:val="2"/>
        </w:numPr>
        <w:spacing w:after="120"/>
        <w:ind w:left="567" w:hanging="567"/>
        <w:jc w:val="both"/>
        <w:rPr>
          <w:rFonts w:cs="Arial"/>
          <w:sz w:val="22"/>
          <w:szCs w:val="22"/>
        </w:rPr>
      </w:pPr>
      <w:r w:rsidRPr="00073E67">
        <w:rPr>
          <w:rFonts w:cs="Arial"/>
          <w:sz w:val="22"/>
          <w:szCs w:val="22"/>
          <w:lang w:val="en-US"/>
        </w:rPr>
        <w:t>A</w:t>
      </w:r>
      <w:r w:rsidR="00553621" w:rsidRPr="00073E67">
        <w:rPr>
          <w:rFonts w:cs="Arial"/>
          <w:sz w:val="22"/>
          <w:szCs w:val="22"/>
          <w:lang w:val="en-US"/>
        </w:rPr>
        <w:t>rguably</w:t>
      </w:r>
      <w:r w:rsidRPr="00073E67">
        <w:rPr>
          <w:rFonts w:cs="Arial"/>
          <w:sz w:val="22"/>
          <w:szCs w:val="22"/>
          <w:lang w:val="en-US"/>
        </w:rPr>
        <w:t>, however</w:t>
      </w:r>
      <w:r w:rsidR="00553621" w:rsidRPr="00073E67">
        <w:rPr>
          <w:rFonts w:cs="Arial"/>
          <w:sz w:val="22"/>
          <w:szCs w:val="22"/>
          <w:lang w:val="en-US"/>
        </w:rPr>
        <w:t xml:space="preserve"> </w:t>
      </w:r>
      <w:r w:rsidR="00553621" w:rsidRPr="00073E67">
        <w:rPr>
          <w:rFonts w:cs="Arial"/>
          <w:sz w:val="22"/>
          <w:szCs w:val="22"/>
        </w:rPr>
        <w:t>t</w:t>
      </w:r>
      <w:r w:rsidR="00936E51" w:rsidRPr="00073E67">
        <w:rPr>
          <w:rFonts w:cs="Arial"/>
          <w:sz w:val="22"/>
          <w:szCs w:val="22"/>
        </w:rPr>
        <w:t>he full benefits of mutual recognition</w:t>
      </w:r>
      <w:r w:rsidR="00553621" w:rsidRPr="00073E67">
        <w:rPr>
          <w:rFonts w:cs="Arial"/>
          <w:sz w:val="22"/>
          <w:szCs w:val="22"/>
        </w:rPr>
        <w:t xml:space="preserve"> are </w:t>
      </w:r>
      <w:r w:rsidR="00936E51" w:rsidRPr="00073E67">
        <w:rPr>
          <w:rFonts w:cs="Arial"/>
          <w:sz w:val="22"/>
          <w:szCs w:val="22"/>
        </w:rPr>
        <w:t xml:space="preserve">yet </w:t>
      </w:r>
      <w:r w:rsidR="00553621" w:rsidRPr="00073E67">
        <w:rPr>
          <w:rFonts w:cs="Arial"/>
          <w:sz w:val="22"/>
          <w:szCs w:val="22"/>
        </w:rPr>
        <w:t xml:space="preserve">to </w:t>
      </w:r>
      <w:r w:rsidR="00936E51" w:rsidRPr="00073E67">
        <w:rPr>
          <w:rFonts w:cs="Arial"/>
          <w:sz w:val="22"/>
          <w:szCs w:val="22"/>
        </w:rPr>
        <w:t xml:space="preserve">be attained. </w:t>
      </w:r>
    </w:p>
    <w:p w:rsidR="00936E51" w:rsidRPr="00073E67" w:rsidRDefault="00936E51" w:rsidP="00073E67">
      <w:pPr>
        <w:numPr>
          <w:ilvl w:val="1"/>
          <w:numId w:val="2"/>
        </w:numPr>
        <w:spacing w:after="120"/>
        <w:ind w:left="567" w:hanging="567"/>
        <w:jc w:val="both"/>
        <w:rPr>
          <w:rFonts w:cs="Arial"/>
          <w:sz w:val="22"/>
          <w:szCs w:val="22"/>
        </w:rPr>
      </w:pPr>
      <w:r w:rsidRPr="00073E67">
        <w:rPr>
          <w:rFonts w:cs="Arial"/>
          <w:sz w:val="22"/>
          <w:szCs w:val="22"/>
        </w:rPr>
        <w:t>HIA notes that the 2009 Productivity Commission review into mutual recognition schemes considered the benefits that full labour mobility could deliver to the Australian economy, estimating that the removal of restrictions could lead to a 0.3 per cent increase in real GDP.</w:t>
      </w:r>
    </w:p>
    <w:p w:rsidR="00936E51" w:rsidRPr="00073E67" w:rsidRDefault="00936E51" w:rsidP="00073E67">
      <w:pPr>
        <w:numPr>
          <w:ilvl w:val="1"/>
          <w:numId w:val="2"/>
        </w:numPr>
        <w:spacing w:after="120"/>
        <w:ind w:left="567" w:hanging="567"/>
        <w:jc w:val="both"/>
        <w:rPr>
          <w:rFonts w:cs="Arial"/>
          <w:sz w:val="22"/>
          <w:szCs w:val="22"/>
        </w:rPr>
      </w:pPr>
      <w:r w:rsidRPr="00073E67">
        <w:rPr>
          <w:rFonts w:cs="Arial"/>
          <w:sz w:val="22"/>
          <w:szCs w:val="22"/>
        </w:rPr>
        <w:t xml:space="preserve">More effective automatic mutual recognition </w:t>
      </w:r>
      <w:r w:rsidR="002B1618">
        <w:rPr>
          <w:rFonts w:cs="Arial"/>
          <w:sz w:val="22"/>
          <w:szCs w:val="22"/>
        </w:rPr>
        <w:t xml:space="preserve">(of occupational licences in particular) </w:t>
      </w:r>
      <w:r w:rsidRPr="00073E67">
        <w:rPr>
          <w:rFonts w:cs="Arial"/>
          <w:sz w:val="22"/>
          <w:szCs w:val="22"/>
        </w:rPr>
        <w:t xml:space="preserve">would also help overcome some of the barriers state based licensing systems provide when interstate </w:t>
      </w:r>
      <w:r w:rsidR="00153386" w:rsidRPr="00073E67">
        <w:rPr>
          <w:rFonts w:cs="Arial"/>
          <w:sz w:val="22"/>
          <w:szCs w:val="22"/>
        </w:rPr>
        <w:t xml:space="preserve">trades </w:t>
      </w:r>
      <w:r w:rsidRPr="00073E67">
        <w:rPr>
          <w:rFonts w:cs="Arial"/>
          <w:sz w:val="22"/>
          <w:szCs w:val="22"/>
        </w:rPr>
        <w:t>attempt to temporarily work in regions affected by natural disasters, such as the bushfires in Victoria in 2009 and floods in Queensland in 2011. At the moment, the only way such occupations can lawfully work in such situations is through speci</w:t>
      </w:r>
      <w:r w:rsidR="002B1618">
        <w:rPr>
          <w:rFonts w:cs="Arial"/>
          <w:sz w:val="22"/>
          <w:szCs w:val="22"/>
        </w:rPr>
        <w:t xml:space="preserve">al permissions and exemptions. </w:t>
      </w:r>
    </w:p>
    <w:p w:rsidR="00073E67" w:rsidRPr="00073E67" w:rsidRDefault="00553621" w:rsidP="00073E67">
      <w:pPr>
        <w:numPr>
          <w:ilvl w:val="1"/>
          <w:numId w:val="2"/>
        </w:numPr>
        <w:spacing w:after="120"/>
        <w:ind w:left="567" w:hanging="567"/>
        <w:jc w:val="both"/>
        <w:rPr>
          <w:rFonts w:cs="Arial"/>
          <w:sz w:val="22"/>
          <w:szCs w:val="22"/>
        </w:rPr>
      </w:pPr>
      <w:r w:rsidRPr="00073E67">
        <w:rPr>
          <w:rFonts w:cs="Arial"/>
          <w:sz w:val="22"/>
          <w:szCs w:val="22"/>
        </w:rPr>
        <w:t xml:space="preserve">Importantly for HIA members, the majority of whom are </w:t>
      </w:r>
      <w:r w:rsidR="00130B40" w:rsidRPr="00073E67">
        <w:rPr>
          <w:rFonts w:cs="Arial"/>
          <w:sz w:val="22"/>
          <w:szCs w:val="22"/>
        </w:rPr>
        <w:t xml:space="preserve">first and foremost operating </w:t>
      </w:r>
      <w:r w:rsidRPr="00073E67">
        <w:rPr>
          <w:rFonts w:cs="Arial"/>
          <w:sz w:val="22"/>
          <w:szCs w:val="22"/>
        </w:rPr>
        <w:t xml:space="preserve">building or trade </w:t>
      </w:r>
      <w:r w:rsidR="00130B40" w:rsidRPr="00073E67">
        <w:rPr>
          <w:rFonts w:cs="Arial"/>
          <w:sz w:val="22"/>
          <w:szCs w:val="22"/>
        </w:rPr>
        <w:t xml:space="preserve">contracting </w:t>
      </w:r>
      <w:r w:rsidRPr="00073E67">
        <w:rPr>
          <w:rFonts w:cs="Arial"/>
          <w:sz w:val="22"/>
          <w:szCs w:val="22"/>
        </w:rPr>
        <w:t xml:space="preserve">businesses within their own distinct jurisdictional borders, the focus of any nationally coordinated approach </w:t>
      </w:r>
      <w:r w:rsidR="00130B40" w:rsidRPr="00073E67">
        <w:rPr>
          <w:rFonts w:cs="Arial"/>
          <w:sz w:val="22"/>
          <w:szCs w:val="22"/>
        </w:rPr>
        <w:t xml:space="preserve">should be to </w:t>
      </w:r>
      <w:r w:rsidR="00153386" w:rsidRPr="00073E67">
        <w:rPr>
          <w:rFonts w:cs="Arial"/>
          <w:sz w:val="22"/>
          <w:szCs w:val="22"/>
        </w:rPr>
        <w:t>i</w:t>
      </w:r>
      <w:r w:rsidR="00130B40" w:rsidRPr="00073E67">
        <w:rPr>
          <w:rFonts w:cs="Arial"/>
          <w:sz w:val="22"/>
          <w:szCs w:val="22"/>
        </w:rPr>
        <w:t>mprove and simplify</w:t>
      </w:r>
      <w:r w:rsidR="00EA3942" w:rsidRPr="00073E67">
        <w:rPr>
          <w:rFonts w:cs="Arial"/>
          <w:sz w:val="22"/>
          <w:szCs w:val="22"/>
        </w:rPr>
        <w:t xml:space="preserve"> </w:t>
      </w:r>
      <w:r w:rsidR="005A4D23" w:rsidRPr="00073E67">
        <w:rPr>
          <w:rFonts w:cs="Arial"/>
          <w:sz w:val="22"/>
          <w:szCs w:val="22"/>
        </w:rPr>
        <w:t xml:space="preserve">conditions </w:t>
      </w:r>
      <w:r w:rsidR="00EA3942" w:rsidRPr="00073E67">
        <w:rPr>
          <w:rFonts w:cs="Arial"/>
          <w:sz w:val="22"/>
          <w:szCs w:val="22"/>
        </w:rPr>
        <w:t>(not increasing the stringency)</w:t>
      </w:r>
      <w:r w:rsidR="00153386" w:rsidRPr="00073E67">
        <w:rPr>
          <w:rFonts w:cs="Arial"/>
          <w:sz w:val="22"/>
          <w:szCs w:val="22"/>
        </w:rPr>
        <w:t xml:space="preserve"> for licensees</w:t>
      </w:r>
      <w:r w:rsidRPr="00073E67">
        <w:rPr>
          <w:rFonts w:cs="Arial"/>
          <w:sz w:val="22"/>
          <w:szCs w:val="22"/>
        </w:rPr>
        <w:t xml:space="preserve">. </w:t>
      </w:r>
    </w:p>
    <w:p w:rsidR="001B71C9" w:rsidRPr="00073E67" w:rsidRDefault="005C0D73" w:rsidP="008C73E4">
      <w:pPr>
        <w:pStyle w:val="Heading1"/>
      </w:pPr>
      <w:bookmarkStart w:id="9" w:name="_Toc413165658"/>
      <w:r w:rsidRPr="00073E67">
        <w:t xml:space="preserve">General </w:t>
      </w:r>
      <w:r w:rsidR="008C73E4">
        <w:t>C</w:t>
      </w:r>
      <w:r w:rsidRPr="00073E67">
        <w:t xml:space="preserve">omments </w:t>
      </w:r>
      <w:r w:rsidR="00B13088">
        <w:t>on Mutual Recognition</w:t>
      </w:r>
      <w:bookmarkEnd w:id="9"/>
    </w:p>
    <w:p w:rsidR="00936E51" w:rsidRPr="00073E67" w:rsidRDefault="00C562CC" w:rsidP="00073E67">
      <w:pPr>
        <w:numPr>
          <w:ilvl w:val="1"/>
          <w:numId w:val="2"/>
        </w:numPr>
        <w:spacing w:after="120"/>
        <w:ind w:left="567" w:hanging="567"/>
        <w:jc w:val="both"/>
        <w:rPr>
          <w:rFonts w:cs="Arial"/>
          <w:sz w:val="22"/>
          <w:szCs w:val="22"/>
        </w:rPr>
      </w:pPr>
      <w:r w:rsidRPr="00073E67">
        <w:rPr>
          <w:rFonts w:cs="Arial"/>
          <w:sz w:val="22"/>
          <w:szCs w:val="22"/>
        </w:rPr>
        <w:t>HIA notes that i</w:t>
      </w:r>
      <w:r w:rsidR="00936E51" w:rsidRPr="00073E67">
        <w:rPr>
          <w:rFonts w:cs="Arial"/>
          <w:sz w:val="22"/>
          <w:szCs w:val="22"/>
        </w:rPr>
        <w:t>n 2006 the Council of Australian Governments (C</w:t>
      </w:r>
      <w:r w:rsidR="006A7DBC">
        <w:rPr>
          <w:rFonts w:cs="Arial"/>
          <w:sz w:val="22"/>
          <w:szCs w:val="22"/>
        </w:rPr>
        <w:t>o</w:t>
      </w:r>
      <w:r w:rsidR="00936E51" w:rsidRPr="00073E67">
        <w:rPr>
          <w:rFonts w:cs="Arial"/>
          <w:sz w:val="22"/>
          <w:szCs w:val="22"/>
        </w:rPr>
        <w:t>AG) reached agreement to achieve full mutual recognition of skills qualifications across Australia. The intention was for there to be more effective mutual recognition of electricians, plumbers, refrigeration and air-conditioning mechanics, carpenters</w:t>
      </w:r>
      <w:r w:rsidR="002B1618">
        <w:rPr>
          <w:rFonts w:cs="Arial"/>
          <w:sz w:val="22"/>
          <w:szCs w:val="22"/>
        </w:rPr>
        <w:t xml:space="preserve">, </w:t>
      </w:r>
      <w:r w:rsidR="00936E51" w:rsidRPr="00073E67">
        <w:rPr>
          <w:rFonts w:cs="Arial"/>
          <w:sz w:val="22"/>
          <w:szCs w:val="22"/>
        </w:rPr>
        <w:t>joiners and bricklayers.</w:t>
      </w:r>
    </w:p>
    <w:p w:rsidR="00936E51" w:rsidRPr="00073E67" w:rsidRDefault="00605EC4" w:rsidP="00073E67">
      <w:pPr>
        <w:numPr>
          <w:ilvl w:val="1"/>
          <w:numId w:val="2"/>
        </w:numPr>
        <w:spacing w:after="120"/>
        <w:ind w:left="567" w:hanging="567"/>
        <w:jc w:val="both"/>
        <w:rPr>
          <w:rFonts w:cs="Arial"/>
          <w:sz w:val="22"/>
          <w:szCs w:val="22"/>
        </w:rPr>
      </w:pPr>
      <w:r w:rsidRPr="00073E67">
        <w:rPr>
          <w:rFonts w:cs="Arial"/>
          <w:sz w:val="22"/>
          <w:szCs w:val="22"/>
        </w:rPr>
        <w:t xml:space="preserve">However </w:t>
      </w:r>
      <w:r w:rsidR="00936E51" w:rsidRPr="00073E67">
        <w:rPr>
          <w:rFonts w:cs="Arial"/>
          <w:sz w:val="22"/>
          <w:szCs w:val="22"/>
        </w:rPr>
        <w:t xml:space="preserve">during </w:t>
      </w:r>
      <w:r w:rsidR="002B1618">
        <w:rPr>
          <w:rFonts w:cs="Arial"/>
          <w:sz w:val="22"/>
          <w:szCs w:val="22"/>
        </w:rPr>
        <w:t xml:space="preserve">the period between </w:t>
      </w:r>
      <w:r w:rsidR="00936E51" w:rsidRPr="00073E67">
        <w:rPr>
          <w:rFonts w:cs="Arial"/>
          <w:sz w:val="22"/>
          <w:szCs w:val="22"/>
        </w:rPr>
        <w:t xml:space="preserve">2008 and 2013, rather than enhancing mutual recognition arrangements, </w:t>
      </w:r>
      <w:r w:rsidR="00C562CC" w:rsidRPr="00073E67">
        <w:rPr>
          <w:rFonts w:cs="Arial"/>
          <w:sz w:val="22"/>
          <w:szCs w:val="22"/>
        </w:rPr>
        <w:t xml:space="preserve">it appears that </w:t>
      </w:r>
      <w:r w:rsidR="00936E51" w:rsidRPr="00073E67">
        <w:rPr>
          <w:rFonts w:cs="Arial"/>
          <w:sz w:val="22"/>
          <w:szCs w:val="22"/>
        </w:rPr>
        <w:t>C</w:t>
      </w:r>
      <w:r w:rsidR="006A7DBC">
        <w:rPr>
          <w:rFonts w:cs="Arial"/>
          <w:sz w:val="22"/>
          <w:szCs w:val="22"/>
        </w:rPr>
        <w:t>o</w:t>
      </w:r>
      <w:r w:rsidR="00936E51" w:rsidRPr="00073E67">
        <w:rPr>
          <w:rFonts w:cs="Arial"/>
          <w:sz w:val="22"/>
          <w:szCs w:val="22"/>
        </w:rPr>
        <w:t>AG focused its efforts on establishing a national occupational licensing system for selected</w:t>
      </w:r>
      <w:r w:rsidR="00C562CC" w:rsidRPr="00073E67">
        <w:rPr>
          <w:rFonts w:cs="Arial"/>
          <w:sz w:val="22"/>
          <w:szCs w:val="22"/>
        </w:rPr>
        <w:t xml:space="preserve"> occupations</w:t>
      </w:r>
      <w:r w:rsidR="00936E51" w:rsidRPr="00073E67">
        <w:rPr>
          <w:rFonts w:cs="Arial"/>
          <w:sz w:val="22"/>
          <w:szCs w:val="22"/>
        </w:rPr>
        <w:t xml:space="preserve">, including building trades. </w:t>
      </w:r>
    </w:p>
    <w:p w:rsidR="00936E51" w:rsidRPr="00073E67" w:rsidRDefault="00936E51" w:rsidP="00073E67">
      <w:pPr>
        <w:numPr>
          <w:ilvl w:val="1"/>
          <w:numId w:val="2"/>
        </w:numPr>
        <w:spacing w:after="120"/>
        <w:ind w:left="567" w:hanging="567"/>
        <w:jc w:val="both"/>
        <w:rPr>
          <w:rFonts w:cs="Arial"/>
          <w:sz w:val="22"/>
          <w:szCs w:val="22"/>
        </w:rPr>
      </w:pPr>
      <w:r w:rsidRPr="00073E67">
        <w:rPr>
          <w:rFonts w:cs="Arial"/>
          <w:sz w:val="22"/>
          <w:szCs w:val="22"/>
        </w:rPr>
        <w:t xml:space="preserve">Under the national licensing model, all holders of state and territory licences were to be automatically deemed across to the new licence system. Cooperative national (but still state based) legislation was being developed with national governance </w:t>
      </w:r>
      <w:r w:rsidRPr="00073E67">
        <w:rPr>
          <w:rFonts w:cs="Arial"/>
          <w:sz w:val="22"/>
          <w:szCs w:val="22"/>
        </w:rPr>
        <w:lastRenderedPageBreak/>
        <w:t>arrangements established to handle standard setting and policy issues and to ensure consistent administration and compliance practices</w:t>
      </w:r>
      <w:r w:rsidR="002B1618">
        <w:rPr>
          <w:rFonts w:cs="Arial"/>
          <w:sz w:val="22"/>
          <w:szCs w:val="22"/>
        </w:rPr>
        <w:t>.</w:t>
      </w:r>
      <w:r w:rsidRPr="00073E67">
        <w:rPr>
          <w:rFonts w:cs="Arial"/>
          <w:sz w:val="22"/>
          <w:szCs w:val="22"/>
        </w:rPr>
        <w:t xml:space="preserve"> </w:t>
      </w:r>
    </w:p>
    <w:p w:rsidR="00936E51" w:rsidRPr="00073E67" w:rsidRDefault="00936E51" w:rsidP="00073E67">
      <w:pPr>
        <w:numPr>
          <w:ilvl w:val="1"/>
          <w:numId w:val="2"/>
        </w:numPr>
        <w:spacing w:after="120"/>
        <w:ind w:left="567" w:hanging="567"/>
        <w:jc w:val="both"/>
        <w:rPr>
          <w:rFonts w:cs="Arial"/>
          <w:sz w:val="22"/>
          <w:szCs w:val="22"/>
        </w:rPr>
      </w:pPr>
      <w:r w:rsidRPr="00073E67">
        <w:rPr>
          <w:rFonts w:cs="Arial"/>
          <w:sz w:val="22"/>
          <w:szCs w:val="22"/>
        </w:rPr>
        <w:t xml:space="preserve">Whilst the principle of a nationally consistent licensing system was </w:t>
      </w:r>
      <w:r w:rsidR="00C562CC" w:rsidRPr="00073E67">
        <w:rPr>
          <w:rFonts w:cs="Arial"/>
          <w:sz w:val="22"/>
          <w:szCs w:val="22"/>
        </w:rPr>
        <w:t>admirable</w:t>
      </w:r>
      <w:r w:rsidRPr="00073E67">
        <w:rPr>
          <w:rFonts w:cs="Arial"/>
          <w:sz w:val="22"/>
          <w:szCs w:val="22"/>
        </w:rPr>
        <w:t xml:space="preserve">, during the harmonisation process HIA </w:t>
      </w:r>
      <w:r w:rsidR="002B1618">
        <w:rPr>
          <w:rFonts w:cs="Arial"/>
          <w:sz w:val="22"/>
          <w:szCs w:val="22"/>
        </w:rPr>
        <w:t>became</w:t>
      </w:r>
      <w:r w:rsidRPr="00073E67">
        <w:rPr>
          <w:rFonts w:cs="Arial"/>
          <w:sz w:val="22"/>
          <w:szCs w:val="22"/>
        </w:rPr>
        <w:t xml:space="preserve"> increasingly concerned with the red tape burden that would result </w:t>
      </w:r>
      <w:r w:rsidR="002B1618">
        <w:rPr>
          <w:rFonts w:cs="Arial"/>
          <w:sz w:val="22"/>
          <w:szCs w:val="22"/>
        </w:rPr>
        <w:t>in the event that</w:t>
      </w:r>
      <w:r w:rsidRPr="00073E67">
        <w:rPr>
          <w:rFonts w:cs="Arial"/>
          <w:sz w:val="22"/>
          <w:szCs w:val="22"/>
        </w:rPr>
        <w:t xml:space="preserve"> jurisdictions resisted any reduction</w:t>
      </w:r>
      <w:r w:rsidR="002B1618">
        <w:rPr>
          <w:rFonts w:cs="Arial"/>
          <w:sz w:val="22"/>
          <w:szCs w:val="22"/>
        </w:rPr>
        <w:t xml:space="preserve"> </w:t>
      </w:r>
      <w:r w:rsidR="008E3BCC">
        <w:rPr>
          <w:rFonts w:cs="Arial"/>
          <w:sz w:val="22"/>
          <w:szCs w:val="22"/>
        </w:rPr>
        <w:t xml:space="preserve">in their particular regulatory </w:t>
      </w:r>
      <w:r w:rsidR="002B1618">
        <w:rPr>
          <w:rFonts w:cs="Arial"/>
          <w:sz w:val="22"/>
          <w:szCs w:val="22"/>
        </w:rPr>
        <w:t>objectives.</w:t>
      </w:r>
      <w:r w:rsidRPr="00073E67">
        <w:rPr>
          <w:rFonts w:cs="Arial"/>
          <w:sz w:val="22"/>
          <w:szCs w:val="22"/>
        </w:rPr>
        <w:t xml:space="preserve"> </w:t>
      </w:r>
    </w:p>
    <w:p w:rsidR="00936E51" w:rsidRPr="00073E67" w:rsidRDefault="00936E51" w:rsidP="00073E67">
      <w:pPr>
        <w:numPr>
          <w:ilvl w:val="1"/>
          <w:numId w:val="2"/>
        </w:numPr>
        <w:spacing w:after="120"/>
        <w:ind w:left="567" w:hanging="567"/>
        <w:jc w:val="both"/>
        <w:rPr>
          <w:rFonts w:cs="Arial"/>
          <w:sz w:val="22"/>
          <w:szCs w:val="22"/>
        </w:rPr>
      </w:pPr>
      <w:r w:rsidRPr="00073E67">
        <w:rPr>
          <w:rFonts w:cs="Arial"/>
          <w:sz w:val="22"/>
          <w:szCs w:val="22"/>
        </w:rPr>
        <w:t>In December 2013, C</w:t>
      </w:r>
      <w:r w:rsidR="006A7DBC">
        <w:rPr>
          <w:rFonts w:cs="Arial"/>
          <w:sz w:val="22"/>
          <w:szCs w:val="22"/>
        </w:rPr>
        <w:t>o</w:t>
      </w:r>
      <w:r w:rsidRPr="00073E67">
        <w:rPr>
          <w:rFonts w:cs="Arial"/>
          <w:sz w:val="22"/>
          <w:szCs w:val="22"/>
        </w:rPr>
        <w:t xml:space="preserve">AG decided to discontinue the proposed reforms and instead </w:t>
      </w:r>
      <w:r w:rsidR="00C562CC" w:rsidRPr="00073E67">
        <w:rPr>
          <w:rFonts w:cs="Arial"/>
          <w:sz w:val="22"/>
          <w:szCs w:val="22"/>
        </w:rPr>
        <w:t xml:space="preserve">announced </w:t>
      </w:r>
      <w:r w:rsidRPr="00073E67">
        <w:rPr>
          <w:rFonts w:cs="Arial"/>
          <w:sz w:val="22"/>
          <w:szCs w:val="22"/>
        </w:rPr>
        <w:t xml:space="preserve">that the States would work to develop alternative options. </w:t>
      </w:r>
    </w:p>
    <w:p w:rsidR="005A4D23" w:rsidRPr="00073E67" w:rsidRDefault="005A4D23" w:rsidP="00073E67">
      <w:pPr>
        <w:numPr>
          <w:ilvl w:val="1"/>
          <w:numId w:val="2"/>
        </w:numPr>
        <w:spacing w:after="120"/>
        <w:ind w:left="567" w:hanging="567"/>
        <w:jc w:val="both"/>
        <w:rPr>
          <w:rFonts w:cs="Arial"/>
          <w:sz w:val="22"/>
          <w:szCs w:val="22"/>
        </w:rPr>
      </w:pPr>
      <w:r w:rsidRPr="00073E67">
        <w:rPr>
          <w:rFonts w:cs="Arial"/>
          <w:sz w:val="22"/>
          <w:szCs w:val="22"/>
        </w:rPr>
        <w:t xml:space="preserve">The advantage of mutual recognition over harmonisation is that </w:t>
      </w:r>
      <w:r w:rsidR="002B1618">
        <w:rPr>
          <w:rFonts w:cs="Arial"/>
          <w:sz w:val="22"/>
          <w:szCs w:val="22"/>
        </w:rPr>
        <w:t xml:space="preserve">(in </w:t>
      </w:r>
      <w:r w:rsidRPr="00073E67">
        <w:rPr>
          <w:rFonts w:cs="Arial"/>
          <w:sz w:val="22"/>
          <w:szCs w:val="22"/>
        </w:rPr>
        <w:t>theory</w:t>
      </w:r>
      <w:r w:rsidR="002B1618">
        <w:rPr>
          <w:rFonts w:cs="Arial"/>
          <w:sz w:val="22"/>
          <w:szCs w:val="22"/>
        </w:rPr>
        <w:t>)</w:t>
      </w:r>
      <w:r w:rsidRPr="00073E67">
        <w:rPr>
          <w:rFonts w:cs="Arial"/>
          <w:sz w:val="22"/>
          <w:szCs w:val="22"/>
        </w:rPr>
        <w:t xml:space="preserve"> maintain</w:t>
      </w:r>
      <w:r w:rsidR="002B1618">
        <w:rPr>
          <w:rFonts w:cs="Arial"/>
          <w:sz w:val="22"/>
          <w:szCs w:val="22"/>
        </w:rPr>
        <w:t>ing options and capacity for differing requirements</w:t>
      </w:r>
      <w:r w:rsidRPr="00073E67">
        <w:rPr>
          <w:rFonts w:cs="Arial"/>
          <w:sz w:val="22"/>
          <w:szCs w:val="22"/>
        </w:rPr>
        <w:t xml:space="preserve"> enable</w:t>
      </w:r>
      <w:r w:rsidR="002B1618">
        <w:rPr>
          <w:rFonts w:cs="Arial"/>
          <w:sz w:val="22"/>
          <w:szCs w:val="22"/>
        </w:rPr>
        <w:t>s</w:t>
      </w:r>
      <w:r w:rsidRPr="00073E67">
        <w:rPr>
          <w:rFonts w:cs="Arial"/>
          <w:sz w:val="22"/>
          <w:szCs w:val="22"/>
        </w:rPr>
        <w:t xml:space="preserve"> competitive federalism to drive best practice regulation.</w:t>
      </w:r>
    </w:p>
    <w:p w:rsidR="003D14B5" w:rsidRDefault="005A4D23" w:rsidP="00073E67">
      <w:pPr>
        <w:numPr>
          <w:ilvl w:val="1"/>
          <w:numId w:val="2"/>
        </w:numPr>
        <w:spacing w:after="120"/>
        <w:ind w:left="567" w:hanging="567"/>
        <w:jc w:val="both"/>
        <w:rPr>
          <w:rFonts w:cs="Arial"/>
          <w:sz w:val="22"/>
          <w:szCs w:val="22"/>
        </w:rPr>
      </w:pPr>
      <w:r w:rsidRPr="00073E67">
        <w:rPr>
          <w:rFonts w:cs="Arial"/>
          <w:sz w:val="22"/>
          <w:szCs w:val="22"/>
        </w:rPr>
        <w:t>In the meantime, t</w:t>
      </w:r>
      <w:r w:rsidR="005E2631" w:rsidRPr="00073E67">
        <w:rPr>
          <w:rFonts w:cs="Arial"/>
          <w:sz w:val="22"/>
          <w:szCs w:val="22"/>
        </w:rPr>
        <w:t xml:space="preserve">here </w:t>
      </w:r>
      <w:r w:rsidRPr="00073E67">
        <w:rPr>
          <w:rFonts w:cs="Arial"/>
          <w:sz w:val="22"/>
          <w:szCs w:val="22"/>
        </w:rPr>
        <w:t xml:space="preserve">are some noticeable issues </w:t>
      </w:r>
      <w:r w:rsidR="005E2631" w:rsidRPr="00073E67">
        <w:rPr>
          <w:rFonts w:cs="Arial"/>
          <w:sz w:val="22"/>
          <w:szCs w:val="22"/>
        </w:rPr>
        <w:t xml:space="preserve">with the operation of the mutual recognition system for the </w:t>
      </w:r>
      <w:r w:rsidR="001B71C9" w:rsidRPr="00073E67">
        <w:rPr>
          <w:rFonts w:cs="Arial"/>
          <w:sz w:val="22"/>
          <w:szCs w:val="22"/>
        </w:rPr>
        <w:t xml:space="preserve">residential </w:t>
      </w:r>
      <w:r w:rsidR="005E2631" w:rsidRPr="00073E67">
        <w:rPr>
          <w:rFonts w:cs="Arial"/>
          <w:sz w:val="22"/>
          <w:szCs w:val="22"/>
        </w:rPr>
        <w:t xml:space="preserve">building </w:t>
      </w:r>
      <w:r w:rsidR="00130B40" w:rsidRPr="00073E67">
        <w:rPr>
          <w:rFonts w:cs="Arial"/>
          <w:sz w:val="22"/>
          <w:szCs w:val="22"/>
        </w:rPr>
        <w:t xml:space="preserve">industry. </w:t>
      </w:r>
      <w:r w:rsidR="005E2631" w:rsidRPr="00073E67">
        <w:rPr>
          <w:rFonts w:cs="Arial"/>
          <w:sz w:val="22"/>
          <w:szCs w:val="22"/>
        </w:rPr>
        <w:t>These include:</w:t>
      </w:r>
    </w:p>
    <w:p w:rsidR="00073E67" w:rsidRPr="00073E67" w:rsidRDefault="00073E67" w:rsidP="00073E67">
      <w:pPr>
        <w:spacing w:after="120"/>
        <w:ind w:left="567"/>
        <w:jc w:val="both"/>
        <w:rPr>
          <w:rFonts w:cs="Arial"/>
          <w:b/>
          <w:sz w:val="22"/>
          <w:szCs w:val="22"/>
          <w:u w:val="single"/>
        </w:rPr>
      </w:pPr>
      <w:r w:rsidRPr="00073E67">
        <w:rPr>
          <w:rFonts w:cs="Arial"/>
          <w:b/>
          <w:sz w:val="22"/>
          <w:szCs w:val="22"/>
          <w:u w:val="single"/>
        </w:rPr>
        <w:t>The marked disparity in the licensing of builders and trade contractors from state to state</w:t>
      </w:r>
    </w:p>
    <w:p w:rsidR="003D14B5" w:rsidRPr="00073E67" w:rsidRDefault="00C66113" w:rsidP="00073E67">
      <w:pPr>
        <w:numPr>
          <w:ilvl w:val="1"/>
          <w:numId w:val="2"/>
        </w:numPr>
        <w:spacing w:after="120"/>
        <w:ind w:left="567" w:hanging="567"/>
        <w:jc w:val="both"/>
        <w:rPr>
          <w:rFonts w:cs="Arial"/>
          <w:sz w:val="22"/>
          <w:szCs w:val="22"/>
        </w:rPr>
      </w:pPr>
      <w:r w:rsidRPr="00073E67">
        <w:rPr>
          <w:rFonts w:cs="Arial"/>
          <w:sz w:val="22"/>
          <w:szCs w:val="22"/>
        </w:rPr>
        <w:t>No two</w:t>
      </w:r>
      <w:r w:rsidR="003D14B5" w:rsidRPr="00073E67">
        <w:rPr>
          <w:rFonts w:cs="Arial"/>
          <w:sz w:val="22"/>
          <w:szCs w:val="22"/>
        </w:rPr>
        <w:t xml:space="preserve"> states have the same</w:t>
      </w:r>
      <w:r w:rsidR="00C562CC" w:rsidRPr="00073E67">
        <w:rPr>
          <w:rFonts w:cs="Arial"/>
          <w:sz w:val="22"/>
          <w:szCs w:val="22"/>
        </w:rPr>
        <w:t xml:space="preserve"> licensing or registration</w:t>
      </w:r>
      <w:r w:rsidR="003D14B5" w:rsidRPr="00073E67">
        <w:rPr>
          <w:rFonts w:cs="Arial"/>
          <w:sz w:val="22"/>
          <w:szCs w:val="22"/>
        </w:rPr>
        <w:t xml:space="preserve"> system</w:t>
      </w:r>
      <w:r w:rsidR="002B1618">
        <w:rPr>
          <w:rFonts w:cs="Arial"/>
          <w:sz w:val="22"/>
          <w:szCs w:val="22"/>
        </w:rPr>
        <w:t>,</w:t>
      </w:r>
      <w:r w:rsidR="00F843FE" w:rsidRPr="00073E67">
        <w:rPr>
          <w:rFonts w:cs="Arial"/>
          <w:sz w:val="22"/>
          <w:szCs w:val="22"/>
        </w:rPr>
        <w:t xml:space="preserve"> making it difficult to</w:t>
      </w:r>
      <w:r w:rsidR="002B1618">
        <w:rPr>
          <w:rFonts w:cs="Arial"/>
          <w:sz w:val="22"/>
          <w:szCs w:val="22"/>
        </w:rPr>
        <w:t xml:space="preserve"> compare or</w:t>
      </w:r>
      <w:r w:rsidR="00F843FE" w:rsidRPr="00073E67">
        <w:rPr>
          <w:rFonts w:cs="Arial"/>
          <w:sz w:val="22"/>
          <w:szCs w:val="22"/>
        </w:rPr>
        <w:t xml:space="preserve"> marry up licence classes</w:t>
      </w:r>
      <w:r w:rsidR="003D14B5" w:rsidRPr="00073E67">
        <w:rPr>
          <w:rFonts w:cs="Arial"/>
          <w:sz w:val="22"/>
          <w:szCs w:val="22"/>
        </w:rPr>
        <w:t>.</w:t>
      </w:r>
    </w:p>
    <w:p w:rsidR="00C562CC" w:rsidRPr="00073E67" w:rsidRDefault="00C562CC" w:rsidP="00073E67">
      <w:pPr>
        <w:numPr>
          <w:ilvl w:val="1"/>
          <w:numId w:val="2"/>
        </w:numPr>
        <w:spacing w:after="120"/>
        <w:ind w:left="567" w:hanging="567"/>
        <w:jc w:val="both"/>
        <w:rPr>
          <w:rFonts w:cs="Arial"/>
          <w:sz w:val="22"/>
          <w:szCs w:val="22"/>
        </w:rPr>
      </w:pPr>
      <w:r w:rsidRPr="00073E67">
        <w:rPr>
          <w:rFonts w:cs="Arial"/>
          <w:sz w:val="22"/>
          <w:szCs w:val="22"/>
        </w:rPr>
        <w:t xml:space="preserve">In addition, the residential building industry is complicated by the distinction between occupational and business licensing. </w:t>
      </w:r>
    </w:p>
    <w:p w:rsidR="00C562CC" w:rsidRPr="00073E67" w:rsidRDefault="00C562CC" w:rsidP="00073E67">
      <w:pPr>
        <w:numPr>
          <w:ilvl w:val="1"/>
          <w:numId w:val="2"/>
        </w:numPr>
        <w:spacing w:after="120"/>
        <w:ind w:left="567" w:hanging="567"/>
        <w:jc w:val="both"/>
        <w:rPr>
          <w:rFonts w:cs="Arial"/>
          <w:sz w:val="22"/>
          <w:szCs w:val="22"/>
        </w:rPr>
      </w:pPr>
      <w:r w:rsidRPr="00073E67">
        <w:rPr>
          <w:rFonts w:cs="Arial"/>
          <w:sz w:val="22"/>
          <w:szCs w:val="22"/>
        </w:rPr>
        <w:t>Under an occupational licensing regime, all practitioners require a license, usually linked to manda</w:t>
      </w:r>
      <w:r w:rsidR="006A7DBC">
        <w:rPr>
          <w:rFonts w:cs="Arial"/>
          <w:sz w:val="22"/>
          <w:szCs w:val="22"/>
        </w:rPr>
        <w:t xml:space="preserve">tory qualifications or skills. </w:t>
      </w:r>
      <w:r w:rsidRPr="00073E67">
        <w:rPr>
          <w:rFonts w:cs="Arial"/>
          <w:sz w:val="22"/>
          <w:szCs w:val="22"/>
        </w:rPr>
        <w:t>In these cases, public health and safety are protected by restricting the right to undertake work to license holders. Plumbers, gasfitters and electricians, for example, are required to h</w:t>
      </w:r>
      <w:r w:rsidR="002B1618">
        <w:rPr>
          <w:rFonts w:cs="Arial"/>
          <w:sz w:val="22"/>
          <w:szCs w:val="22"/>
        </w:rPr>
        <w:t>old</w:t>
      </w:r>
      <w:r w:rsidRPr="00073E67">
        <w:rPr>
          <w:rFonts w:cs="Arial"/>
          <w:sz w:val="22"/>
          <w:szCs w:val="22"/>
        </w:rPr>
        <w:t xml:space="preserve"> occupational licenses.</w:t>
      </w:r>
    </w:p>
    <w:p w:rsidR="00C562CC" w:rsidRPr="00073E67" w:rsidRDefault="00C562CC" w:rsidP="00073E67">
      <w:pPr>
        <w:numPr>
          <w:ilvl w:val="1"/>
          <w:numId w:val="2"/>
        </w:numPr>
        <w:spacing w:after="120"/>
        <w:ind w:left="567" w:hanging="567"/>
        <w:jc w:val="both"/>
        <w:rPr>
          <w:rFonts w:cs="Arial"/>
          <w:sz w:val="22"/>
          <w:szCs w:val="22"/>
        </w:rPr>
      </w:pPr>
      <w:r w:rsidRPr="00073E67">
        <w:rPr>
          <w:rFonts w:cs="Arial"/>
          <w:sz w:val="22"/>
          <w:szCs w:val="22"/>
        </w:rPr>
        <w:t>Under business licensing, the business contracting t</w:t>
      </w:r>
      <w:r w:rsidR="006A7DBC">
        <w:rPr>
          <w:rFonts w:cs="Arial"/>
          <w:sz w:val="22"/>
          <w:szCs w:val="22"/>
        </w:rPr>
        <w:t xml:space="preserve">o do work must hold a license. </w:t>
      </w:r>
      <w:r w:rsidRPr="00073E67">
        <w:rPr>
          <w:rFonts w:cs="Arial"/>
          <w:sz w:val="22"/>
          <w:szCs w:val="22"/>
        </w:rPr>
        <w:t xml:space="preserve">Licenses in these cases do not require the person doing the work to be licensed or qualified, only that the work is supervised or done by a registered business.  </w:t>
      </w:r>
    </w:p>
    <w:p w:rsidR="005E2631" w:rsidRPr="00073E67" w:rsidRDefault="00C562CC" w:rsidP="00073E67">
      <w:pPr>
        <w:numPr>
          <w:ilvl w:val="1"/>
          <w:numId w:val="2"/>
        </w:numPr>
        <w:spacing w:after="120"/>
        <w:ind w:left="567" w:hanging="567"/>
        <w:jc w:val="both"/>
        <w:rPr>
          <w:rFonts w:cs="Arial"/>
          <w:sz w:val="22"/>
          <w:szCs w:val="22"/>
        </w:rPr>
      </w:pPr>
      <w:r w:rsidRPr="00073E67">
        <w:rPr>
          <w:rFonts w:cs="Arial"/>
          <w:sz w:val="22"/>
          <w:szCs w:val="22"/>
        </w:rPr>
        <w:t xml:space="preserve">There is a marked disparity in the extent of </w:t>
      </w:r>
      <w:r w:rsidR="00F81E97" w:rsidRPr="00073E67">
        <w:rPr>
          <w:rFonts w:cs="Arial"/>
          <w:sz w:val="22"/>
          <w:szCs w:val="22"/>
        </w:rPr>
        <w:t xml:space="preserve">business and occupational </w:t>
      </w:r>
      <w:r w:rsidRPr="00073E67">
        <w:rPr>
          <w:rFonts w:cs="Arial"/>
          <w:sz w:val="22"/>
          <w:szCs w:val="22"/>
        </w:rPr>
        <w:t xml:space="preserve">licensing </w:t>
      </w:r>
      <w:r w:rsidR="00F81E97" w:rsidRPr="00073E67">
        <w:rPr>
          <w:rFonts w:cs="Arial"/>
          <w:sz w:val="22"/>
          <w:szCs w:val="22"/>
        </w:rPr>
        <w:t xml:space="preserve">amongst </w:t>
      </w:r>
      <w:r w:rsidR="00C66113" w:rsidRPr="00073E67">
        <w:rPr>
          <w:rFonts w:cs="Arial"/>
          <w:sz w:val="22"/>
          <w:szCs w:val="22"/>
        </w:rPr>
        <w:t xml:space="preserve">jurisdictions, </w:t>
      </w:r>
      <w:r w:rsidRPr="00073E67">
        <w:rPr>
          <w:rFonts w:cs="Arial"/>
          <w:sz w:val="22"/>
          <w:szCs w:val="22"/>
        </w:rPr>
        <w:t xml:space="preserve">with </w:t>
      </w:r>
      <w:r w:rsidR="005E2631" w:rsidRPr="00073E67">
        <w:rPr>
          <w:rFonts w:cs="Arial"/>
          <w:sz w:val="22"/>
          <w:szCs w:val="22"/>
        </w:rPr>
        <w:t xml:space="preserve">licensing of </w:t>
      </w:r>
      <w:r w:rsidRPr="00073E67">
        <w:rPr>
          <w:rFonts w:cs="Arial"/>
          <w:sz w:val="22"/>
          <w:szCs w:val="22"/>
        </w:rPr>
        <w:t xml:space="preserve">all builders and </w:t>
      </w:r>
      <w:r w:rsidR="005E2631" w:rsidRPr="00073E67">
        <w:rPr>
          <w:rFonts w:cs="Arial"/>
          <w:sz w:val="22"/>
          <w:szCs w:val="22"/>
        </w:rPr>
        <w:t xml:space="preserve">trade contractors mandatory </w:t>
      </w:r>
      <w:r w:rsidRPr="00073E67">
        <w:rPr>
          <w:rFonts w:cs="Arial"/>
          <w:sz w:val="22"/>
          <w:szCs w:val="22"/>
        </w:rPr>
        <w:t xml:space="preserve">in </w:t>
      </w:r>
      <w:r w:rsidR="005E2631" w:rsidRPr="00073E67">
        <w:rPr>
          <w:rFonts w:cs="Arial"/>
          <w:sz w:val="22"/>
          <w:szCs w:val="22"/>
        </w:rPr>
        <w:t>Q</w:t>
      </w:r>
      <w:r w:rsidR="005A4D23" w:rsidRPr="00073E67">
        <w:rPr>
          <w:rFonts w:cs="Arial"/>
          <w:sz w:val="22"/>
          <w:szCs w:val="22"/>
        </w:rPr>
        <w:t>ueensland</w:t>
      </w:r>
      <w:r w:rsidRPr="00073E67">
        <w:rPr>
          <w:rFonts w:cs="Arial"/>
          <w:sz w:val="22"/>
          <w:szCs w:val="22"/>
        </w:rPr>
        <w:t xml:space="preserve"> and </w:t>
      </w:r>
      <w:r w:rsidR="005A4D23" w:rsidRPr="00073E67">
        <w:rPr>
          <w:rFonts w:cs="Arial"/>
          <w:sz w:val="22"/>
          <w:szCs w:val="22"/>
        </w:rPr>
        <w:t>South Australia</w:t>
      </w:r>
      <w:r w:rsidR="005E2631" w:rsidRPr="00073E67">
        <w:rPr>
          <w:rFonts w:cs="Arial"/>
          <w:sz w:val="22"/>
          <w:szCs w:val="22"/>
        </w:rPr>
        <w:t xml:space="preserve"> whilst in some other</w:t>
      </w:r>
      <w:r w:rsidRPr="00073E67">
        <w:rPr>
          <w:rFonts w:cs="Arial"/>
          <w:sz w:val="22"/>
          <w:szCs w:val="22"/>
        </w:rPr>
        <w:t xml:space="preserve"> jurisdiction, such as the </w:t>
      </w:r>
      <w:r w:rsidR="006A7DBC" w:rsidRPr="00073E67">
        <w:rPr>
          <w:rFonts w:cs="Arial"/>
          <w:sz w:val="22"/>
          <w:szCs w:val="22"/>
        </w:rPr>
        <w:t xml:space="preserve">Australian Capital Territory </w:t>
      </w:r>
      <w:r w:rsidR="005E2631" w:rsidRPr="00073E67">
        <w:rPr>
          <w:rFonts w:cs="Arial"/>
          <w:sz w:val="22"/>
          <w:szCs w:val="22"/>
        </w:rPr>
        <w:t>only</w:t>
      </w:r>
      <w:r w:rsidR="003D14B5" w:rsidRPr="00073E67">
        <w:rPr>
          <w:rFonts w:cs="Arial"/>
          <w:sz w:val="22"/>
          <w:szCs w:val="22"/>
        </w:rPr>
        <w:t xml:space="preserve"> residential </w:t>
      </w:r>
      <w:r w:rsidR="005E2631" w:rsidRPr="00073E67">
        <w:rPr>
          <w:rFonts w:cs="Arial"/>
          <w:sz w:val="22"/>
          <w:szCs w:val="22"/>
        </w:rPr>
        <w:t xml:space="preserve">builders are required to be licensed. </w:t>
      </w:r>
    </w:p>
    <w:p w:rsidR="003D14B5" w:rsidRPr="00073E67" w:rsidRDefault="005E2631" w:rsidP="00073E67">
      <w:pPr>
        <w:numPr>
          <w:ilvl w:val="1"/>
          <w:numId w:val="2"/>
        </w:numPr>
        <w:spacing w:after="120"/>
        <w:ind w:left="567" w:hanging="567"/>
        <w:jc w:val="both"/>
        <w:rPr>
          <w:rFonts w:cs="Arial"/>
          <w:sz w:val="22"/>
          <w:szCs w:val="22"/>
        </w:rPr>
      </w:pPr>
      <w:r w:rsidRPr="00073E67">
        <w:rPr>
          <w:rFonts w:cs="Arial"/>
          <w:sz w:val="22"/>
          <w:szCs w:val="22"/>
        </w:rPr>
        <w:t>For builders, there appear to be two main approaches taken by the states and territories in defining general building lice</w:t>
      </w:r>
      <w:r w:rsidR="006A7DBC">
        <w:rPr>
          <w:rFonts w:cs="Arial"/>
          <w:sz w:val="22"/>
          <w:szCs w:val="22"/>
        </w:rPr>
        <w:t xml:space="preserve">nce categories in legislation. </w:t>
      </w:r>
      <w:r w:rsidRPr="00073E67">
        <w:rPr>
          <w:rFonts w:cs="Arial"/>
          <w:sz w:val="22"/>
          <w:szCs w:val="22"/>
        </w:rPr>
        <w:t>It should be noted that some states and territories have a combination of both approaches (</w:t>
      </w:r>
      <w:r w:rsidR="006A7DBC" w:rsidRPr="00073E67">
        <w:rPr>
          <w:rFonts w:cs="Arial"/>
          <w:sz w:val="22"/>
          <w:szCs w:val="22"/>
        </w:rPr>
        <w:t>e.g.</w:t>
      </w:r>
      <w:r w:rsidRPr="00073E67">
        <w:rPr>
          <w:rFonts w:cs="Arial"/>
          <w:sz w:val="22"/>
          <w:szCs w:val="22"/>
        </w:rPr>
        <w:t xml:space="preserve"> South Australia).</w:t>
      </w:r>
    </w:p>
    <w:p w:rsidR="00C66113" w:rsidRPr="00073E67" w:rsidRDefault="005E2631" w:rsidP="00073E67">
      <w:pPr>
        <w:numPr>
          <w:ilvl w:val="1"/>
          <w:numId w:val="2"/>
        </w:numPr>
        <w:spacing w:after="120"/>
        <w:ind w:left="567" w:hanging="567"/>
        <w:jc w:val="both"/>
        <w:rPr>
          <w:rFonts w:cs="Arial"/>
          <w:sz w:val="22"/>
          <w:szCs w:val="22"/>
        </w:rPr>
      </w:pPr>
      <w:r w:rsidRPr="00073E67">
        <w:rPr>
          <w:rFonts w:cs="Arial"/>
          <w:sz w:val="22"/>
          <w:szCs w:val="22"/>
        </w:rPr>
        <w:t>Some jurisdictions only require a licence for certain kinds of build</w:t>
      </w:r>
      <w:r w:rsidR="006E2387">
        <w:rPr>
          <w:rFonts w:cs="Arial"/>
          <w:sz w:val="22"/>
          <w:szCs w:val="22"/>
        </w:rPr>
        <w:t>ing work e.g. New South Wales</w:t>
      </w:r>
      <w:r w:rsidR="00C66113" w:rsidRPr="00073E67">
        <w:rPr>
          <w:rFonts w:cs="Arial"/>
          <w:sz w:val="22"/>
          <w:szCs w:val="22"/>
        </w:rPr>
        <w:t xml:space="preserve"> and Northern Territory, only require licenses for </w:t>
      </w:r>
      <w:r w:rsidRPr="00073E67">
        <w:rPr>
          <w:rFonts w:cs="Arial"/>
          <w:sz w:val="22"/>
          <w:szCs w:val="22"/>
        </w:rPr>
        <w:t>residential</w:t>
      </w:r>
      <w:r w:rsidR="00C66113" w:rsidRPr="00073E67">
        <w:rPr>
          <w:rFonts w:cs="Arial"/>
          <w:sz w:val="22"/>
          <w:szCs w:val="22"/>
        </w:rPr>
        <w:t xml:space="preserve"> building</w:t>
      </w:r>
      <w:r w:rsidR="002B1618">
        <w:rPr>
          <w:rFonts w:cs="Arial"/>
          <w:sz w:val="22"/>
          <w:szCs w:val="22"/>
        </w:rPr>
        <w:t xml:space="preserve"> (and not for commercial buildings)</w:t>
      </w:r>
      <w:r w:rsidRPr="00073E67">
        <w:rPr>
          <w:rFonts w:cs="Arial"/>
          <w:sz w:val="22"/>
          <w:szCs w:val="22"/>
        </w:rPr>
        <w:t xml:space="preserve">. </w:t>
      </w:r>
    </w:p>
    <w:p w:rsidR="005E2631" w:rsidRPr="00073E67" w:rsidRDefault="005E2631" w:rsidP="00073E67">
      <w:pPr>
        <w:numPr>
          <w:ilvl w:val="1"/>
          <w:numId w:val="2"/>
        </w:numPr>
        <w:spacing w:after="120"/>
        <w:ind w:left="567" w:hanging="567"/>
        <w:jc w:val="both"/>
        <w:rPr>
          <w:rFonts w:cs="Arial"/>
          <w:sz w:val="22"/>
          <w:szCs w:val="22"/>
        </w:rPr>
      </w:pPr>
      <w:r w:rsidRPr="00073E67">
        <w:rPr>
          <w:rFonts w:cs="Arial"/>
          <w:sz w:val="22"/>
          <w:szCs w:val="22"/>
        </w:rPr>
        <w:t xml:space="preserve">Some jurisdictions </w:t>
      </w:r>
      <w:r w:rsidR="00C66113" w:rsidRPr="00073E67">
        <w:rPr>
          <w:rFonts w:cs="Arial"/>
          <w:sz w:val="22"/>
          <w:szCs w:val="22"/>
        </w:rPr>
        <w:t xml:space="preserve">base license classes on </w:t>
      </w:r>
      <w:r w:rsidRPr="00073E67">
        <w:rPr>
          <w:rFonts w:cs="Arial"/>
          <w:sz w:val="22"/>
          <w:szCs w:val="22"/>
        </w:rPr>
        <w:t xml:space="preserve">the Building Code of Australia (BCA) to describe what work a licence covers e.g. Queensland, </w:t>
      </w:r>
      <w:r w:rsidR="006E2387" w:rsidRPr="00073E67">
        <w:rPr>
          <w:rFonts w:cs="Arial"/>
          <w:sz w:val="22"/>
          <w:szCs w:val="22"/>
        </w:rPr>
        <w:t>Australian Capital Territory</w:t>
      </w:r>
      <w:r w:rsidRPr="00073E67">
        <w:rPr>
          <w:rFonts w:cs="Arial"/>
          <w:sz w:val="22"/>
          <w:szCs w:val="22"/>
        </w:rPr>
        <w:t xml:space="preserve"> and Tasmania. </w:t>
      </w:r>
    </w:p>
    <w:p w:rsidR="00C66113" w:rsidRPr="00073E67" w:rsidRDefault="00C66113" w:rsidP="00073E67">
      <w:pPr>
        <w:numPr>
          <w:ilvl w:val="1"/>
          <w:numId w:val="2"/>
        </w:numPr>
        <w:spacing w:after="120"/>
        <w:ind w:left="567" w:hanging="567"/>
        <w:jc w:val="both"/>
        <w:rPr>
          <w:rFonts w:cs="Arial"/>
          <w:sz w:val="22"/>
          <w:szCs w:val="22"/>
        </w:rPr>
      </w:pPr>
      <w:r w:rsidRPr="00073E67">
        <w:rPr>
          <w:rFonts w:cs="Arial"/>
          <w:sz w:val="22"/>
          <w:szCs w:val="22"/>
        </w:rPr>
        <w:t>Other jurisdictions align licences to domestic/residential and/or industrial/commercial building (N</w:t>
      </w:r>
      <w:r w:rsidR="006E2387">
        <w:rPr>
          <w:rFonts w:cs="Arial"/>
          <w:sz w:val="22"/>
          <w:szCs w:val="22"/>
        </w:rPr>
        <w:t xml:space="preserve">ew </w:t>
      </w:r>
      <w:r w:rsidRPr="00073E67">
        <w:rPr>
          <w:rFonts w:cs="Arial"/>
          <w:sz w:val="22"/>
          <w:szCs w:val="22"/>
        </w:rPr>
        <w:t>S</w:t>
      </w:r>
      <w:r w:rsidR="006E2387">
        <w:rPr>
          <w:rFonts w:cs="Arial"/>
          <w:sz w:val="22"/>
          <w:szCs w:val="22"/>
        </w:rPr>
        <w:t xml:space="preserve">outh </w:t>
      </w:r>
      <w:r w:rsidRPr="00073E67">
        <w:rPr>
          <w:rFonts w:cs="Arial"/>
          <w:sz w:val="22"/>
          <w:szCs w:val="22"/>
        </w:rPr>
        <w:t>W</w:t>
      </w:r>
      <w:r w:rsidR="006E2387">
        <w:rPr>
          <w:rFonts w:cs="Arial"/>
          <w:sz w:val="22"/>
          <w:szCs w:val="22"/>
        </w:rPr>
        <w:t>ales</w:t>
      </w:r>
      <w:r w:rsidRPr="00073E67">
        <w:rPr>
          <w:rFonts w:cs="Arial"/>
          <w:sz w:val="22"/>
          <w:szCs w:val="22"/>
        </w:rPr>
        <w:t xml:space="preserve">, Victoria and South Australia). </w:t>
      </w:r>
    </w:p>
    <w:p w:rsidR="00C66113" w:rsidRDefault="008C73E4" w:rsidP="00073E67">
      <w:pPr>
        <w:numPr>
          <w:ilvl w:val="1"/>
          <w:numId w:val="2"/>
        </w:numPr>
        <w:spacing w:after="120"/>
        <w:ind w:left="567" w:hanging="567"/>
        <w:jc w:val="both"/>
        <w:rPr>
          <w:rFonts w:cs="Arial"/>
          <w:sz w:val="22"/>
          <w:szCs w:val="22"/>
        </w:rPr>
      </w:pPr>
      <w:r>
        <w:rPr>
          <w:rFonts w:cs="Arial"/>
          <w:sz w:val="22"/>
          <w:szCs w:val="22"/>
        </w:rPr>
        <w:t>Western Australia</w:t>
      </w:r>
      <w:r w:rsidR="00C66113" w:rsidRPr="00073E67">
        <w:rPr>
          <w:rFonts w:cs="Arial"/>
          <w:sz w:val="22"/>
          <w:szCs w:val="22"/>
        </w:rPr>
        <w:t xml:space="preserve"> issues a single open class of builder’s licence which covers all work above $20,000 regardless of the type of building or the consumer</w:t>
      </w:r>
      <w:r w:rsidR="002B1618">
        <w:rPr>
          <w:rFonts w:cs="Arial"/>
          <w:sz w:val="22"/>
          <w:szCs w:val="22"/>
        </w:rPr>
        <w:t>/client</w:t>
      </w:r>
      <w:r w:rsidR="00C66113" w:rsidRPr="00073E67">
        <w:rPr>
          <w:rFonts w:cs="Arial"/>
          <w:sz w:val="22"/>
          <w:szCs w:val="22"/>
        </w:rPr>
        <w:t xml:space="preserve">. </w:t>
      </w:r>
    </w:p>
    <w:p w:rsidR="002B1618" w:rsidRDefault="002B1618" w:rsidP="002B1618">
      <w:pPr>
        <w:spacing w:after="120"/>
        <w:ind w:left="567"/>
        <w:jc w:val="both"/>
        <w:rPr>
          <w:rFonts w:cs="Arial"/>
          <w:sz w:val="22"/>
          <w:szCs w:val="22"/>
        </w:rPr>
      </w:pPr>
    </w:p>
    <w:p w:rsidR="005E2631" w:rsidRDefault="005E2631" w:rsidP="00073E67">
      <w:pPr>
        <w:numPr>
          <w:ilvl w:val="1"/>
          <w:numId w:val="2"/>
        </w:numPr>
        <w:spacing w:after="120"/>
        <w:ind w:left="567" w:hanging="567"/>
        <w:jc w:val="both"/>
        <w:rPr>
          <w:rFonts w:cs="Arial"/>
          <w:sz w:val="22"/>
          <w:szCs w:val="22"/>
        </w:rPr>
      </w:pPr>
      <w:r w:rsidRPr="00073E67">
        <w:rPr>
          <w:rFonts w:cs="Arial"/>
          <w:sz w:val="22"/>
          <w:szCs w:val="22"/>
        </w:rPr>
        <w:lastRenderedPageBreak/>
        <w:t>There is a relatively consistent range of approaches across jurisdictions to the types of licences issued – with these covering:</w:t>
      </w:r>
    </w:p>
    <w:p w:rsidR="006A7DBC" w:rsidRDefault="006A7DBC" w:rsidP="006A7DBC">
      <w:pPr>
        <w:pStyle w:val="ListParagraph"/>
        <w:numPr>
          <w:ilvl w:val="0"/>
          <w:numId w:val="4"/>
        </w:numPr>
        <w:spacing w:after="120" w:line="240" w:lineRule="auto"/>
        <w:ind w:left="992" w:hanging="425"/>
        <w:jc w:val="both"/>
        <w:rPr>
          <w:rFonts w:ascii="Arial" w:eastAsia="Times New Roman" w:hAnsi="Arial" w:cs="Arial"/>
          <w:lang w:val="en-US"/>
        </w:rPr>
      </w:pPr>
      <w:r w:rsidRPr="006A7DBC">
        <w:rPr>
          <w:rFonts w:ascii="Arial" w:eastAsia="Times New Roman" w:hAnsi="Arial" w:cs="Arial"/>
          <w:lang w:val="en-US"/>
        </w:rPr>
        <w:t>Cont</w:t>
      </w:r>
      <w:r>
        <w:rPr>
          <w:rFonts w:ascii="Arial" w:eastAsia="Times New Roman" w:hAnsi="Arial" w:cs="Arial"/>
          <w:lang w:val="en-US"/>
        </w:rPr>
        <w:t>r</w:t>
      </w:r>
      <w:r w:rsidRPr="006A7DBC">
        <w:rPr>
          <w:rFonts w:ascii="Arial" w:eastAsia="Times New Roman" w:hAnsi="Arial" w:cs="Arial"/>
          <w:lang w:val="en-US"/>
        </w:rPr>
        <w:t>a</w:t>
      </w:r>
      <w:r>
        <w:rPr>
          <w:rFonts w:ascii="Arial" w:eastAsia="Times New Roman" w:hAnsi="Arial" w:cs="Arial"/>
          <w:lang w:val="en-US"/>
        </w:rPr>
        <w:t>ctor licences (for both business, entities, partnerships and individual); and</w:t>
      </w:r>
    </w:p>
    <w:p w:rsidR="006A7DBC" w:rsidRPr="006A7DBC" w:rsidRDefault="006A7DBC" w:rsidP="006A7DBC">
      <w:pPr>
        <w:pStyle w:val="ListParagraph"/>
        <w:numPr>
          <w:ilvl w:val="0"/>
          <w:numId w:val="4"/>
        </w:numPr>
        <w:spacing w:after="120" w:line="240" w:lineRule="auto"/>
        <w:ind w:left="992" w:hanging="425"/>
        <w:jc w:val="both"/>
        <w:rPr>
          <w:rFonts w:ascii="Arial" w:eastAsia="Times New Roman" w:hAnsi="Arial" w:cs="Arial"/>
          <w:lang w:val="en-US"/>
        </w:rPr>
      </w:pPr>
      <w:r>
        <w:rPr>
          <w:rFonts w:ascii="Arial" w:eastAsia="Times New Roman" w:hAnsi="Arial" w:cs="Arial"/>
          <w:lang w:val="en-US"/>
        </w:rPr>
        <w:t>Supervisor or nominee type licences.</w:t>
      </w:r>
    </w:p>
    <w:p w:rsidR="00C562CC" w:rsidRPr="00073E67" w:rsidRDefault="00C562CC" w:rsidP="00073E67">
      <w:pPr>
        <w:numPr>
          <w:ilvl w:val="1"/>
          <w:numId w:val="2"/>
        </w:numPr>
        <w:spacing w:after="120"/>
        <w:ind w:left="567" w:hanging="567"/>
        <w:jc w:val="both"/>
        <w:rPr>
          <w:rFonts w:cs="Arial"/>
          <w:sz w:val="22"/>
          <w:szCs w:val="22"/>
        </w:rPr>
      </w:pPr>
      <w:r w:rsidRPr="00073E67">
        <w:rPr>
          <w:rFonts w:cs="Arial"/>
          <w:sz w:val="22"/>
          <w:szCs w:val="22"/>
        </w:rPr>
        <w:t xml:space="preserve">All states and territories issue </w:t>
      </w:r>
      <w:r w:rsidR="006A7DBC">
        <w:rPr>
          <w:rFonts w:cs="Arial"/>
          <w:sz w:val="22"/>
          <w:szCs w:val="22"/>
        </w:rPr>
        <w:t>‘</w:t>
      </w:r>
      <w:r w:rsidRPr="00073E67">
        <w:rPr>
          <w:rFonts w:cs="Arial"/>
          <w:sz w:val="22"/>
          <w:szCs w:val="22"/>
        </w:rPr>
        <w:t>contractor</w:t>
      </w:r>
      <w:r w:rsidR="006A7DBC">
        <w:rPr>
          <w:rFonts w:cs="Arial"/>
          <w:sz w:val="22"/>
          <w:szCs w:val="22"/>
        </w:rPr>
        <w:t>’</w:t>
      </w:r>
      <w:r w:rsidRPr="00073E67">
        <w:rPr>
          <w:rFonts w:cs="Arial"/>
          <w:sz w:val="22"/>
          <w:szCs w:val="22"/>
        </w:rPr>
        <w:t xml:space="preserve"> licences to those who contract directly with the general pub</w:t>
      </w:r>
      <w:r w:rsidR="006A7DBC">
        <w:rPr>
          <w:rFonts w:cs="Arial"/>
          <w:sz w:val="22"/>
          <w:szCs w:val="22"/>
        </w:rPr>
        <w:t xml:space="preserve">lic for general building work. </w:t>
      </w:r>
      <w:r w:rsidRPr="00073E67">
        <w:rPr>
          <w:rFonts w:cs="Arial"/>
          <w:sz w:val="22"/>
          <w:szCs w:val="22"/>
        </w:rPr>
        <w:t xml:space="preserve">These licences may be issued to an individual, a partnership, or a corporation. </w:t>
      </w:r>
    </w:p>
    <w:p w:rsidR="005E2631" w:rsidRPr="00073E67" w:rsidRDefault="005E2631" w:rsidP="006A7DBC">
      <w:pPr>
        <w:numPr>
          <w:ilvl w:val="1"/>
          <w:numId w:val="2"/>
        </w:numPr>
        <w:spacing w:after="120"/>
        <w:ind w:left="567" w:hanging="567"/>
        <w:jc w:val="both"/>
        <w:rPr>
          <w:rFonts w:cs="Arial"/>
          <w:sz w:val="22"/>
          <w:szCs w:val="22"/>
        </w:rPr>
      </w:pPr>
      <w:r w:rsidRPr="00073E67">
        <w:rPr>
          <w:rFonts w:cs="Arial"/>
          <w:sz w:val="22"/>
          <w:szCs w:val="22"/>
        </w:rPr>
        <w:t xml:space="preserve">Where jurisdictions issue </w:t>
      </w:r>
      <w:r w:rsidR="00F843FE" w:rsidRPr="00073E67">
        <w:rPr>
          <w:rFonts w:cs="Arial"/>
          <w:sz w:val="22"/>
          <w:szCs w:val="22"/>
        </w:rPr>
        <w:t>licenses</w:t>
      </w:r>
      <w:r w:rsidRPr="00073E67">
        <w:rPr>
          <w:rFonts w:cs="Arial"/>
          <w:sz w:val="22"/>
          <w:szCs w:val="22"/>
        </w:rPr>
        <w:t xml:space="preserve"> to individuals, partnerships or bodies corporate, this is accompanied by a requirement for some technically qualified person to be nomin</w:t>
      </w:r>
      <w:r w:rsidR="00EC0BBC" w:rsidRPr="00073E67">
        <w:rPr>
          <w:rFonts w:cs="Arial"/>
          <w:sz w:val="22"/>
          <w:szCs w:val="22"/>
        </w:rPr>
        <w:t xml:space="preserve">ated as a licensed </w:t>
      </w:r>
      <w:r w:rsidR="006A7DBC">
        <w:rPr>
          <w:rFonts w:cs="Arial"/>
          <w:sz w:val="22"/>
          <w:szCs w:val="22"/>
        </w:rPr>
        <w:t>‘</w:t>
      </w:r>
      <w:r w:rsidR="00EC0BBC" w:rsidRPr="00073E67">
        <w:rPr>
          <w:rFonts w:cs="Arial"/>
          <w:sz w:val="22"/>
          <w:szCs w:val="22"/>
        </w:rPr>
        <w:t>supervisor</w:t>
      </w:r>
      <w:r w:rsidR="006A7DBC">
        <w:rPr>
          <w:rFonts w:cs="Arial"/>
          <w:sz w:val="22"/>
          <w:szCs w:val="22"/>
        </w:rPr>
        <w:t>’</w:t>
      </w:r>
      <w:r w:rsidRPr="00073E67">
        <w:rPr>
          <w:rFonts w:cs="Arial"/>
          <w:sz w:val="22"/>
          <w:szCs w:val="22"/>
        </w:rPr>
        <w:t xml:space="preserve">. This person needs to be an employee, partner or director.  </w:t>
      </w:r>
    </w:p>
    <w:p w:rsidR="00F843FE" w:rsidRDefault="00F843FE" w:rsidP="00073E67">
      <w:pPr>
        <w:numPr>
          <w:ilvl w:val="1"/>
          <w:numId w:val="2"/>
        </w:numPr>
        <w:spacing w:after="120"/>
        <w:ind w:left="567" w:hanging="567"/>
        <w:jc w:val="both"/>
        <w:rPr>
          <w:rFonts w:cs="Arial"/>
          <w:sz w:val="22"/>
          <w:szCs w:val="22"/>
        </w:rPr>
      </w:pPr>
      <w:r w:rsidRPr="00073E67">
        <w:rPr>
          <w:rFonts w:cs="Arial"/>
          <w:sz w:val="22"/>
          <w:szCs w:val="22"/>
        </w:rPr>
        <w:t xml:space="preserve">Notably </w:t>
      </w:r>
      <w:r w:rsidR="00B03B29" w:rsidRPr="00073E67">
        <w:rPr>
          <w:rFonts w:cs="Arial"/>
          <w:sz w:val="22"/>
          <w:szCs w:val="22"/>
        </w:rPr>
        <w:t xml:space="preserve">MRA </w:t>
      </w:r>
      <w:r w:rsidRPr="00073E67">
        <w:rPr>
          <w:rFonts w:cs="Arial"/>
          <w:sz w:val="22"/>
          <w:szCs w:val="22"/>
        </w:rPr>
        <w:t xml:space="preserve">does not yet enable mutual recognition of a company’s </w:t>
      </w:r>
      <w:r w:rsidR="00B03B29" w:rsidRPr="00073E67">
        <w:rPr>
          <w:rFonts w:cs="Arial"/>
          <w:sz w:val="22"/>
          <w:szCs w:val="22"/>
        </w:rPr>
        <w:t>building licence.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3"/>
        <w:gridCol w:w="854"/>
        <w:gridCol w:w="854"/>
        <w:gridCol w:w="854"/>
        <w:gridCol w:w="854"/>
        <w:gridCol w:w="854"/>
        <w:gridCol w:w="854"/>
        <w:gridCol w:w="854"/>
        <w:gridCol w:w="852"/>
      </w:tblGrid>
      <w:tr w:rsidR="008C73E4" w:rsidRPr="002A5E9D" w:rsidTr="008C73E4">
        <w:trPr>
          <w:cantSplit/>
          <w:trHeight w:val="1336"/>
        </w:trPr>
        <w:tc>
          <w:tcPr>
            <w:tcW w:w="2413" w:type="dxa"/>
            <w:tcBorders>
              <w:bottom w:val="single" w:sz="4" w:space="0" w:color="auto"/>
            </w:tcBorders>
            <w:shd w:val="clear" w:color="auto" w:fill="C6D9F1"/>
            <w:vAlign w:val="center"/>
          </w:tcPr>
          <w:p w:rsidR="006A7DBC" w:rsidRPr="002A5E9D" w:rsidRDefault="006A7DBC" w:rsidP="00371E51">
            <w:pPr>
              <w:pStyle w:val="TableHeading"/>
              <w:jc w:val="both"/>
              <w:rPr>
                <w:color w:val="auto"/>
              </w:rPr>
            </w:pPr>
            <w:r w:rsidRPr="002A5E9D">
              <w:rPr>
                <w:color w:val="auto"/>
              </w:rPr>
              <w:t>Licence type</w:t>
            </w:r>
          </w:p>
        </w:tc>
        <w:tc>
          <w:tcPr>
            <w:tcW w:w="854" w:type="dxa"/>
            <w:tcBorders>
              <w:bottom w:val="single" w:sz="4" w:space="0" w:color="auto"/>
            </w:tcBorders>
            <w:shd w:val="clear" w:color="auto" w:fill="C6D9F1"/>
            <w:textDirection w:val="btLr"/>
          </w:tcPr>
          <w:p w:rsidR="006A7DBC" w:rsidRPr="002A5E9D" w:rsidRDefault="006A7DBC" w:rsidP="00371E51">
            <w:pPr>
              <w:pStyle w:val="TableHeading"/>
              <w:ind w:left="113"/>
              <w:jc w:val="both"/>
              <w:rPr>
                <w:color w:val="auto"/>
              </w:rPr>
            </w:pPr>
            <w:r w:rsidRPr="002A5E9D">
              <w:rPr>
                <w:color w:val="auto"/>
              </w:rPr>
              <w:t>NSW</w:t>
            </w:r>
          </w:p>
        </w:tc>
        <w:tc>
          <w:tcPr>
            <w:tcW w:w="854" w:type="dxa"/>
            <w:tcBorders>
              <w:bottom w:val="single" w:sz="4" w:space="0" w:color="auto"/>
            </w:tcBorders>
            <w:shd w:val="clear" w:color="auto" w:fill="C6D9F1"/>
            <w:textDirection w:val="btLr"/>
          </w:tcPr>
          <w:p w:rsidR="006A7DBC" w:rsidRPr="002A5E9D" w:rsidRDefault="006A7DBC" w:rsidP="00371E51">
            <w:pPr>
              <w:pStyle w:val="TableHeading"/>
              <w:ind w:left="113"/>
              <w:jc w:val="both"/>
              <w:rPr>
                <w:color w:val="auto"/>
              </w:rPr>
            </w:pPr>
            <w:r w:rsidRPr="002A5E9D">
              <w:rPr>
                <w:color w:val="auto"/>
              </w:rPr>
              <w:t>Victoria</w:t>
            </w:r>
          </w:p>
        </w:tc>
        <w:tc>
          <w:tcPr>
            <w:tcW w:w="854" w:type="dxa"/>
            <w:tcBorders>
              <w:bottom w:val="single" w:sz="4" w:space="0" w:color="auto"/>
            </w:tcBorders>
            <w:shd w:val="clear" w:color="auto" w:fill="C6D9F1"/>
            <w:textDirection w:val="btLr"/>
          </w:tcPr>
          <w:p w:rsidR="006A7DBC" w:rsidRPr="002A5E9D" w:rsidRDefault="006A7DBC" w:rsidP="00371E51">
            <w:pPr>
              <w:pStyle w:val="TableHeading"/>
              <w:ind w:left="113"/>
              <w:jc w:val="both"/>
              <w:rPr>
                <w:color w:val="auto"/>
              </w:rPr>
            </w:pPr>
            <w:r w:rsidRPr="002A5E9D">
              <w:rPr>
                <w:color w:val="auto"/>
              </w:rPr>
              <w:t>Queensland</w:t>
            </w:r>
          </w:p>
        </w:tc>
        <w:tc>
          <w:tcPr>
            <w:tcW w:w="854" w:type="dxa"/>
            <w:tcBorders>
              <w:bottom w:val="single" w:sz="4" w:space="0" w:color="auto"/>
            </w:tcBorders>
            <w:shd w:val="clear" w:color="auto" w:fill="C6D9F1"/>
            <w:textDirection w:val="btLr"/>
          </w:tcPr>
          <w:p w:rsidR="006A7DBC" w:rsidRPr="002A5E9D" w:rsidRDefault="006A7DBC" w:rsidP="00371E51">
            <w:pPr>
              <w:pStyle w:val="TableHeading"/>
              <w:ind w:left="113"/>
              <w:jc w:val="both"/>
              <w:rPr>
                <w:color w:val="auto"/>
              </w:rPr>
            </w:pPr>
            <w:r w:rsidRPr="002A5E9D">
              <w:rPr>
                <w:color w:val="auto"/>
              </w:rPr>
              <w:t>South Australia</w:t>
            </w:r>
          </w:p>
        </w:tc>
        <w:tc>
          <w:tcPr>
            <w:tcW w:w="854" w:type="dxa"/>
            <w:tcBorders>
              <w:bottom w:val="single" w:sz="4" w:space="0" w:color="auto"/>
            </w:tcBorders>
            <w:shd w:val="clear" w:color="auto" w:fill="C6D9F1"/>
            <w:textDirection w:val="btLr"/>
          </w:tcPr>
          <w:p w:rsidR="006A7DBC" w:rsidRPr="002A5E9D" w:rsidRDefault="006A7DBC" w:rsidP="00371E51">
            <w:pPr>
              <w:pStyle w:val="TableHeading"/>
              <w:ind w:left="113"/>
              <w:jc w:val="both"/>
              <w:rPr>
                <w:color w:val="auto"/>
              </w:rPr>
            </w:pPr>
            <w:r w:rsidRPr="002A5E9D">
              <w:rPr>
                <w:color w:val="auto"/>
              </w:rPr>
              <w:t>Western Australia</w:t>
            </w:r>
          </w:p>
        </w:tc>
        <w:tc>
          <w:tcPr>
            <w:tcW w:w="854" w:type="dxa"/>
            <w:tcBorders>
              <w:bottom w:val="single" w:sz="4" w:space="0" w:color="auto"/>
            </w:tcBorders>
            <w:shd w:val="clear" w:color="auto" w:fill="C6D9F1"/>
            <w:textDirection w:val="btLr"/>
          </w:tcPr>
          <w:p w:rsidR="006A7DBC" w:rsidRPr="002A5E9D" w:rsidRDefault="006A7DBC" w:rsidP="00371E51">
            <w:pPr>
              <w:pStyle w:val="TableHeading"/>
              <w:ind w:left="113"/>
              <w:jc w:val="both"/>
              <w:rPr>
                <w:color w:val="auto"/>
              </w:rPr>
            </w:pPr>
            <w:r w:rsidRPr="002A5E9D">
              <w:rPr>
                <w:color w:val="auto"/>
              </w:rPr>
              <w:t>Tasmania</w:t>
            </w:r>
          </w:p>
        </w:tc>
        <w:tc>
          <w:tcPr>
            <w:tcW w:w="854" w:type="dxa"/>
            <w:tcBorders>
              <w:bottom w:val="single" w:sz="4" w:space="0" w:color="auto"/>
            </w:tcBorders>
            <w:shd w:val="clear" w:color="auto" w:fill="C6D9F1"/>
            <w:textDirection w:val="btLr"/>
          </w:tcPr>
          <w:p w:rsidR="006A7DBC" w:rsidRPr="002A5E9D" w:rsidRDefault="006A7DBC" w:rsidP="00371E51">
            <w:pPr>
              <w:pStyle w:val="TableHeading"/>
              <w:ind w:left="113"/>
              <w:jc w:val="both"/>
              <w:rPr>
                <w:color w:val="auto"/>
              </w:rPr>
            </w:pPr>
            <w:r w:rsidRPr="002A5E9D">
              <w:rPr>
                <w:color w:val="auto"/>
              </w:rPr>
              <w:t>Australian Capital Territory</w:t>
            </w:r>
          </w:p>
        </w:tc>
        <w:tc>
          <w:tcPr>
            <w:tcW w:w="852" w:type="dxa"/>
            <w:tcBorders>
              <w:bottom w:val="single" w:sz="4" w:space="0" w:color="auto"/>
            </w:tcBorders>
            <w:shd w:val="clear" w:color="auto" w:fill="C6D9F1"/>
            <w:textDirection w:val="btLr"/>
          </w:tcPr>
          <w:p w:rsidR="006A7DBC" w:rsidRPr="002A5E9D" w:rsidRDefault="006A7DBC" w:rsidP="00371E51">
            <w:pPr>
              <w:pStyle w:val="TableHeading"/>
              <w:ind w:left="113"/>
              <w:jc w:val="both"/>
              <w:rPr>
                <w:color w:val="auto"/>
              </w:rPr>
            </w:pPr>
            <w:r w:rsidRPr="002A5E9D">
              <w:rPr>
                <w:color w:val="auto"/>
              </w:rPr>
              <w:t>Northern Territory</w:t>
            </w:r>
          </w:p>
        </w:tc>
      </w:tr>
      <w:tr w:rsidR="008C73E4" w:rsidRPr="002A5E9D" w:rsidTr="008C73E4">
        <w:trPr>
          <w:trHeight w:val="319"/>
        </w:trPr>
        <w:tc>
          <w:tcPr>
            <w:tcW w:w="2413" w:type="dxa"/>
          </w:tcPr>
          <w:p w:rsidR="006A7DBC" w:rsidRPr="002A5E9D" w:rsidRDefault="006A7DBC" w:rsidP="00371E51">
            <w:pPr>
              <w:pStyle w:val="TableText"/>
              <w:jc w:val="both"/>
            </w:pPr>
            <w:r w:rsidRPr="002A5E9D">
              <w:t>Individual</w:t>
            </w:r>
          </w:p>
        </w:tc>
        <w:tc>
          <w:tcPr>
            <w:tcW w:w="854" w:type="dxa"/>
            <w:tcBorders>
              <w:bottom w:val="single" w:sz="4" w:space="0" w:color="auto"/>
            </w:tcBorders>
          </w:tcPr>
          <w:p w:rsidR="006A7DBC" w:rsidRPr="002A5E9D" w:rsidRDefault="006A7DBC" w:rsidP="00371E51">
            <w:pPr>
              <w:pStyle w:val="TableText"/>
              <w:jc w:val="both"/>
            </w:pPr>
            <w:r w:rsidRPr="002A5E9D">
              <w:t>Y</w:t>
            </w:r>
          </w:p>
        </w:tc>
        <w:tc>
          <w:tcPr>
            <w:tcW w:w="854" w:type="dxa"/>
          </w:tcPr>
          <w:p w:rsidR="006A7DBC" w:rsidRPr="002A5E9D" w:rsidRDefault="006A7DBC" w:rsidP="00371E51">
            <w:pPr>
              <w:pStyle w:val="TableText"/>
              <w:jc w:val="both"/>
            </w:pPr>
            <w:r w:rsidRPr="002A5E9D">
              <w:t>Y</w:t>
            </w:r>
          </w:p>
        </w:tc>
        <w:tc>
          <w:tcPr>
            <w:tcW w:w="854" w:type="dxa"/>
          </w:tcPr>
          <w:p w:rsidR="006A7DBC" w:rsidRPr="002A5E9D" w:rsidRDefault="006A7DBC" w:rsidP="00371E51">
            <w:pPr>
              <w:pStyle w:val="TableText"/>
              <w:jc w:val="both"/>
            </w:pPr>
            <w:r w:rsidRPr="002A5E9D">
              <w:t>Y</w:t>
            </w:r>
          </w:p>
        </w:tc>
        <w:tc>
          <w:tcPr>
            <w:tcW w:w="854" w:type="dxa"/>
          </w:tcPr>
          <w:p w:rsidR="006A7DBC" w:rsidRPr="002A5E9D" w:rsidRDefault="006A7DBC" w:rsidP="00371E51">
            <w:pPr>
              <w:pStyle w:val="TableText"/>
              <w:jc w:val="both"/>
            </w:pPr>
            <w:r w:rsidRPr="002A5E9D">
              <w:t>Y</w:t>
            </w:r>
          </w:p>
        </w:tc>
        <w:tc>
          <w:tcPr>
            <w:tcW w:w="854" w:type="dxa"/>
          </w:tcPr>
          <w:p w:rsidR="006A7DBC" w:rsidRPr="002A5E9D" w:rsidRDefault="006A7DBC" w:rsidP="00371E51">
            <w:pPr>
              <w:pStyle w:val="TableText"/>
              <w:jc w:val="both"/>
            </w:pPr>
            <w:r w:rsidRPr="002A5E9D">
              <w:t>Y</w:t>
            </w:r>
          </w:p>
        </w:tc>
        <w:tc>
          <w:tcPr>
            <w:tcW w:w="854" w:type="dxa"/>
          </w:tcPr>
          <w:p w:rsidR="006A7DBC" w:rsidRPr="002A5E9D" w:rsidRDefault="006A7DBC" w:rsidP="00371E51">
            <w:pPr>
              <w:pStyle w:val="TableText"/>
              <w:jc w:val="both"/>
            </w:pPr>
            <w:r w:rsidRPr="002A5E9D">
              <w:t>Y</w:t>
            </w:r>
          </w:p>
        </w:tc>
        <w:tc>
          <w:tcPr>
            <w:tcW w:w="854" w:type="dxa"/>
            <w:tcBorders>
              <w:bottom w:val="single" w:sz="4" w:space="0" w:color="auto"/>
            </w:tcBorders>
          </w:tcPr>
          <w:p w:rsidR="006A7DBC" w:rsidRPr="002A5E9D" w:rsidRDefault="006A7DBC" w:rsidP="00371E51">
            <w:pPr>
              <w:pStyle w:val="TableText"/>
              <w:jc w:val="both"/>
            </w:pPr>
            <w:r w:rsidRPr="002A5E9D">
              <w:t>Y</w:t>
            </w:r>
          </w:p>
        </w:tc>
        <w:tc>
          <w:tcPr>
            <w:tcW w:w="852" w:type="dxa"/>
            <w:tcBorders>
              <w:bottom w:val="single" w:sz="4" w:space="0" w:color="auto"/>
            </w:tcBorders>
          </w:tcPr>
          <w:p w:rsidR="006A7DBC" w:rsidRPr="002A5E9D" w:rsidRDefault="006A7DBC" w:rsidP="00371E51">
            <w:pPr>
              <w:pStyle w:val="TableText"/>
              <w:jc w:val="both"/>
            </w:pPr>
            <w:r w:rsidRPr="002A5E9D">
              <w:t>Y</w:t>
            </w:r>
          </w:p>
        </w:tc>
      </w:tr>
      <w:tr w:rsidR="008C73E4" w:rsidRPr="002A5E9D" w:rsidTr="008C73E4">
        <w:trPr>
          <w:trHeight w:val="330"/>
        </w:trPr>
        <w:tc>
          <w:tcPr>
            <w:tcW w:w="2413" w:type="dxa"/>
          </w:tcPr>
          <w:p w:rsidR="006A7DBC" w:rsidRPr="002A5E9D" w:rsidRDefault="006A7DBC" w:rsidP="00371E51">
            <w:pPr>
              <w:pStyle w:val="TableText"/>
              <w:jc w:val="both"/>
            </w:pPr>
            <w:r w:rsidRPr="002A5E9D">
              <w:t>Partnership</w:t>
            </w:r>
          </w:p>
        </w:tc>
        <w:tc>
          <w:tcPr>
            <w:tcW w:w="854" w:type="dxa"/>
            <w:tcBorders>
              <w:bottom w:val="single" w:sz="4" w:space="0" w:color="auto"/>
            </w:tcBorders>
          </w:tcPr>
          <w:p w:rsidR="006A7DBC" w:rsidRPr="002A5E9D" w:rsidRDefault="006A7DBC" w:rsidP="00371E51">
            <w:pPr>
              <w:pStyle w:val="TableText"/>
              <w:jc w:val="both"/>
            </w:pPr>
            <w:r w:rsidRPr="002A5E9D">
              <w:t>Y</w:t>
            </w:r>
          </w:p>
        </w:tc>
        <w:tc>
          <w:tcPr>
            <w:tcW w:w="854" w:type="dxa"/>
          </w:tcPr>
          <w:p w:rsidR="006A7DBC" w:rsidRPr="002A5E9D" w:rsidRDefault="006A7DBC" w:rsidP="00371E51">
            <w:pPr>
              <w:pStyle w:val="TableText"/>
              <w:jc w:val="both"/>
            </w:pPr>
            <w:r w:rsidRPr="002A5E9D">
              <w:t>N</w:t>
            </w:r>
          </w:p>
        </w:tc>
        <w:tc>
          <w:tcPr>
            <w:tcW w:w="854" w:type="dxa"/>
          </w:tcPr>
          <w:p w:rsidR="006A7DBC" w:rsidRPr="002A5E9D" w:rsidRDefault="006A7DBC" w:rsidP="00371E51">
            <w:pPr>
              <w:pStyle w:val="TableText"/>
              <w:jc w:val="both"/>
            </w:pPr>
            <w:r w:rsidRPr="002A5E9D">
              <w:t>N</w:t>
            </w:r>
          </w:p>
        </w:tc>
        <w:tc>
          <w:tcPr>
            <w:tcW w:w="854" w:type="dxa"/>
          </w:tcPr>
          <w:p w:rsidR="006A7DBC" w:rsidRPr="002A5E9D" w:rsidRDefault="006A7DBC" w:rsidP="00371E51">
            <w:pPr>
              <w:pStyle w:val="TableText"/>
              <w:jc w:val="both"/>
            </w:pPr>
            <w:r w:rsidRPr="002A5E9D">
              <w:t>N</w:t>
            </w:r>
          </w:p>
        </w:tc>
        <w:tc>
          <w:tcPr>
            <w:tcW w:w="854" w:type="dxa"/>
          </w:tcPr>
          <w:p w:rsidR="006A7DBC" w:rsidRPr="002A5E9D" w:rsidRDefault="006A7DBC" w:rsidP="00371E51">
            <w:pPr>
              <w:pStyle w:val="TableText"/>
              <w:jc w:val="both"/>
            </w:pPr>
            <w:r w:rsidRPr="002A5E9D">
              <w:t>Y</w:t>
            </w:r>
          </w:p>
        </w:tc>
        <w:tc>
          <w:tcPr>
            <w:tcW w:w="854" w:type="dxa"/>
          </w:tcPr>
          <w:p w:rsidR="006A7DBC" w:rsidRPr="002A5E9D" w:rsidRDefault="006A7DBC" w:rsidP="00371E51">
            <w:pPr>
              <w:pStyle w:val="TableText"/>
              <w:jc w:val="both"/>
            </w:pPr>
            <w:r w:rsidRPr="002A5E9D">
              <w:t>N</w:t>
            </w:r>
          </w:p>
        </w:tc>
        <w:tc>
          <w:tcPr>
            <w:tcW w:w="854" w:type="dxa"/>
            <w:tcBorders>
              <w:bottom w:val="single" w:sz="4" w:space="0" w:color="auto"/>
            </w:tcBorders>
          </w:tcPr>
          <w:p w:rsidR="006A7DBC" w:rsidRPr="002A5E9D" w:rsidRDefault="006A7DBC" w:rsidP="00371E51">
            <w:pPr>
              <w:pStyle w:val="TableText"/>
              <w:jc w:val="both"/>
            </w:pPr>
            <w:r w:rsidRPr="002A5E9D">
              <w:t>Y</w:t>
            </w:r>
          </w:p>
        </w:tc>
        <w:tc>
          <w:tcPr>
            <w:tcW w:w="852" w:type="dxa"/>
            <w:tcBorders>
              <w:bottom w:val="single" w:sz="4" w:space="0" w:color="auto"/>
            </w:tcBorders>
          </w:tcPr>
          <w:p w:rsidR="006A7DBC" w:rsidRPr="002A5E9D" w:rsidRDefault="006A7DBC" w:rsidP="00371E51">
            <w:pPr>
              <w:pStyle w:val="TableText"/>
              <w:jc w:val="both"/>
            </w:pPr>
            <w:r w:rsidRPr="002A5E9D">
              <w:t>N</w:t>
            </w:r>
          </w:p>
        </w:tc>
      </w:tr>
      <w:tr w:rsidR="008C73E4" w:rsidRPr="002A5E9D" w:rsidTr="008C73E4">
        <w:trPr>
          <w:trHeight w:val="330"/>
        </w:trPr>
        <w:tc>
          <w:tcPr>
            <w:tcW w:w="2413" w:type="dxa"/>
          </w:tcPr>
          <w:p w:rsidR="006A7DBC" w:rsidRPr="002A5E9D" w:rsidRDefault="006A7DBC" w:rsidP="00371E51">
            <w:pPr>
              <w:pStyle w:val="TableText"/>
              <w:jc w:val="both"/>
            </w:pPr>
            <w:r w:rsidRPr="002A5E9D">
              <w:t>Body Corporate</w:t>
            </w:r>
          </w:p>
        </w:tc>
        <w:tc>
          <w:tcPr>
            <w:tcW w:w="854" w:type="dxa"/>
            <w:tcBorders>
              <w:bottom w:val="single" w:sz="4" w:space="0" w:color="auto"/>
            </w:tcBorders>
          </w:tcPr>
          <w:p w:rsidR="006A7DBC" w:rsidRPr="002A5E9D" w:rsidRDefault="006A7DBC" w:rsidP="00371E51">
            <w:pPr>
              <w:pStyle w:val="TableText"/>
              <w:jc w:val="both"/>
            </w:pPr>
            <w:r w:rsidRPr="002A5E9D">
              <w:t>Y</w:t>
            </w:r>
          </w:p>
        </w:tc>
        <w:tc>
          <w:tcPr>
            <w:tcW w:w="854" w:type="dxa"/>
          </w:tcPr>
          <w:p w:rsidR="006A7DBC" w:rsidRPr="002A5E9D" w:rsidRDefault="006A7DBC" w:rsidP="00371E51">
            <w:pPr>
              <w:pStyle w:val="TableText"/>
              <w:jc w:val="both"/>
            </w:pPr>
            <w:r w:rsidRPr="002A5E9D">
              <w:t>N</w:t>
            </w:r>
          </w:p>
        </w:tc>
        <w:tc>
          <w:tcPr>
            <w:tcW w:w="854" w:type="dxa"/>
          </w:tcPr>
          <w:p w:rsidR="006A7DBC" w:rsidRPr="002A5E9D" w:rsidRDefault="006A7DBC" w:rsidP="00371E51">
            <w:pPr>
              <w:pStyle w:val="TableText"/>
              <w:jc w:val="both"/>
            </w:pPr>
            <w:r w:rsidRPr="002A5E9D">
              <w:t>Y</w:t>
            </w:r>
          </w:p>
        </w:tc>
        <w:tc>
          <w:tcPr>
            <w:tcW w:w="854" w:type="dxa"/>
          </w:tcPr>
          <w:p w:rsidR="006A7DBC" w:rsidRPr="002A5E9D" w:rsidRDefault="006A7DBC" w:rsidP="00371E51">
            <w:pPr>
              <w:pStyle w:val="TableText"/>
              <w:jc w:val="both"/>
            </w:pPr>
            <w:r w:rsidRPr="002A5E9D">
              <w:t>Y</w:t>
            </w:r>
          </w:p>
        </w:tc>
        <w:tc>
          <w:tcPr>
            <w:tcW w:w="854" w:type="dxa"/>
          </w:tcPr>
          <w:p w:rsidR="006A7DBC" w:rsidRPr="002A5E9D" w:rsidRDefault="006A7DBC" w:rsidP="00371E51">
            <w:pPr>
              <w:pStyle w:val="TableText"/>
              <w:jc w:val="both"/>
            </w:pPr>
            <w:r w:rsidRPr="002A5E9D">
              <w:t>Y</w:t>
            </w:r>
          </w:p>
        </w:tc>
        <w:tc>
          <w:tcPr>
            <w:tcW w:w="854" w:type="dxa"/>
          </w:tcPr>
          <w:p w:rsidR="006A7DBC" w:rsidRPr="002A5E9D" w:rsidRDefault="006A7DBC" w:rsidP="00371E51">
            <w:pPr>
              <w:pStyle w:val="TableText"/>
              <w:jc w:val="both"/>
            </w:pPr>
            <w:r w:rsidRPr="002A5E9D">
              <w:t>N</w:t>
            </w:r>
          </w:p>
        </w:tc>
        <w:tc>
          <w:tcPr>
            <w:tcW w:w="854" w:type="dxa"/>
            <w:tcBorders>
              <w:bottom w:val="single" w:sz="4" w:space="0" w:color="auto"/>
            </w:tcBorders>
          </w:tcPr>
          <w:p w:rsidR="006A7DBC" w:rsidRPr="002A5E9D" w:rsidRDefault="006A7DBC" w:rsidP="00371E51">
            <w:pPr>
              <w:pStyle w:val="TableText"/>
              <w:jc w:val="both"/>
            </w:pPr>
            <w:r w:rsidRPr="002A5E9D">
              <w:t>Y</w:t>
            </w:r>
          </w:p>
        </w:tc>
        <w:tc>
          <w:tcPr>
            <w:tcW w:w="852" w:type="dxa"/>
            <w:tcBorders>
              <w:bottom w:val="single" w:sz="4" w:space="0" w:color="auto"/>
            </w:tcBorders>
          </w:tcPr>
          <w:p w:rsidR="006A7DBC" w:rsidRPr="002A5E9D" w:rsidRDefault="006A7DBC" w:rsidP="00371E51">
            <w:pPr>
              <w:pStyle w:val="TableText"/>
              <w:jc w:val="both"/>
            </w:pPr>
            <w:r w:rsidRPr="002A5E9D">
              <w:t>Y</w:t>
            </w:r>
          </w:p>
        </w:tc>
      </w:tr>
    </w:tbl>
    <w:p w:rsidR="00C66113" w:rsidRPr="006A7DBC" w:rsidRDefault="00C66113" w:rsidP="006A7DBC">
      <w:pPr>
        <w:pStyle w:val="NoSpacing"/>
        <w:jc w:val="left"/>
        <w:rPr>
          <w:sz w:val="22"/>
          <w:szCs w:val="22"/>
        </w:rPr>
      </w:pPr>
    </w:p>
    <w:p w:rsidR="006A7DBC" w:rsidRDefault="00B03B29" w:rsidP="006A7DBC">
      <w:pPr>
        <w:numPr>
          <w:ilvl w:val="1"/>
          <w:numId w:val="2"/>
        </w:numPr>
        <w:spacing w:after="120"/>
        <w:ind w:left="567" w:hanging="567"/>
        <w:jc w:val="both"/>
        <w:rPr>
          <w:rFonts w:cs="Arial"/>
          <w:sz w:val="22"/>
          <w:szCs w:val="22"/>
        </w:rPr>
      </w:pPr>
      <w:r w:rsidRPr="006A7DBC">
        <w:rPr>
          <w:rFonts w:cs="Arial"/>
          <w:sz w:val="22"/>
          <w:szCs w:val="22"/>
        </w:rPr>
        <w:t>In addition, the residential construction sector is unique as the majority of the work in the industry is undertaken by trade contractors rather than employees.</w:t>
      </w:r>
    </w:p>
    <w:p w:rsidR="00B03B29" w:rsidRPr="006A7DBC" w:rsidRDefault="006A7DBC" w:rsidP="006A7DBC">
      <w:pPr>
        <w:spacing w:after="120"/>
        <w:ind w:left="567"/>
        <w:jc w:val="both"/>
        <w:rPr>
          <w:rFonts w:cs="Arial"/>
          <w:b/>
          <w:sz w:val="22"/>
          <w:szCs w:val="22"/>
          <w:u w:val="single"/>
        </w:rPr>
      </w:pPr>
      <w:r w:rsidRPr="006A7DBC">
        <w:rPr>
          <w:rFonts w:cs="Arial"/>
          <w:b/>
          <w:sz w:val="22"/>
          <w:szCs w:val="22"/>
          <w:u w:val="single"/>
        </w:rPr>
        <w:t>Different</w:t>
      </w:r>
      <w:r w:rsidR="00B03B29" w:rsidRPr="006A7DBC">
        <w:rPr>
          <w:rFonts w:cs="Arial"/>
          <w:b/>
          <w:sz w:val="22"/>
          <w:szCs w:val="22"/>
          <w:u w:val="single"/>
        </w:rPr>
        <w:t xml:space="preserve"> </w:t>
      </w:r>
      <w:r w:rsidRPr="006A7DBC">
        <w:rPr>
          <w:rFonts w:cs="Arial"/>
          <w:b/>
          <w:sz w:val="22"/>
          <w:szCs w:val="22"/>
          <w:u w:val="single"/>
        </w:rPr>
        <w:t>eligibility requirements for licensing make the mutual recognition process inconsistent</w:t>
      </w:r>
      <w:r w:rsidR="00B03B29" w:rsidRPr="006A7DBC">
        <w:rPr>
          <w:rFonts w:cs="Arial"/>
          <w:b/>
          <w:sz w:val="22"/>
          <w:szCs w:val="22"/>
          <w:u w:val="single"/>
        </w:rPr>
        <w:t xml:space="preserve"> </w:t>
      </w:r>
    </w:p>
    <w:p w:rsidR="005E2631" w:rsidRPr="006A7DBC" w:rsidRDefault="005E2631" w:rsidP="006A7DBC">
      <w:pPr>
        <w:numPr>
          <w:ilvl w:val="1"/>
          <w:numId w:val="2"/>
        </w:numPr>
        <w:spacing w:after="120"/>
        <w:ind w:left="567" w:hanging="567"/>
        <w:jc w:val="both"/>
        <w:rPr>
          <w:rFonts w:cs="Arial"/>
          <w:sz w:val="22"/>
          <w:szCs w:val="22"/>
        </w:rPr>
      </w:pPr>
      <w:r w:rsidRPr="006A7DBC">
        <w:rPr>
          <w:rFonts w:cs="Arial"/>
          <w:sz w:val="22"/>
          <w:szCs w:val="22"/>
        </w:rPr>
        <w:t xml:space="preserve">While the mutual recognition process treats comparable licences as equivalent, the eligibility requirements underpinning those licences can differ significantly. </w:t>
      </w:r>
    </w:p>
    <w:p w:rsidR="005E2631" w:rsidRPr="006A7DBC" w:rsidRDefault="005E2631" w:rsidP="006A7DBC">
      <w:pPr>
        <w:numPr>
          <w:ilvl w:val="1"/>
          <w:numId w:val="2"/>
        </w:numPr>
        <w:spacing w:after="120"/>
        <w:ind w:left="567" w:hanging="567"/>
        <w:jc w:val="both"/>
        <w:rPr>
          <w:rFonts w:cs="Arial"/>
          <w:sz w:val="22"/>
          <w:szCs w:val="22"/>
        </w:rPr>
      </w:pPr>
      <w:r w:rsidRPr="006A7DBC">
        <w:rPr>
          <w:rFonts w:cs="Arial"/>
          <w:sz w:val="22"/>
          <w:szCs w:val="22"/>
        </w:rPr>
        <w:t xml:space="preserve">In Queensland, South Australia, the Northern Territory and Western Australia builders must produce financial material to demonstrate they have sufficient financial assets and resources. </w:t>
      </w:r>
    </w:p>
    <w:p w:rsidR="005E2631" w:rsidRPr="006A7DBC" w:rsidRDefault="006A7DBC" w:rsidP="006A7DBC">
      <w:pPr>
        <w:numPr>
          <w:ilvl w:val="1"/>
          <w:numId w:val="2"/>
        </w:numPr>
        <w:spacing w:after="120"/>
        <w:ind w:left="567" w:hanging="567"/>
        <w:jc w:val="both"/>
        <w:rPr>
          <w:rFonts w:cs="Arial"/>
          <w:sz w:val="22"/>
          <w:szCs w:val="22"/>
        </w:rPr>
      </w:pPr>
      <w:r>
        <w:rPr>
          <w:rFonts w:cs="Arial"/>
          <w:sz w:val="22"/>
          <w:szCs w:val="22"/>
        </w:rPr>
        <w:t>In Victoria registration/</w:t>
      </w:r>
      <w:r w:rsidR="005E2631" w:rsidRPr="006A7DBC">
        <w:rPr>
          <w:rFonts w:cs="Arial"/>
          <w:sz w:val="22"/>
          <w:szCs w:val="22"/>
        </w:rPr>
        <w:t xml:space="preserve">accreditation depends on the applicant </w:t>
      </w:r>
      <w:r w:rsidR="002B1618">
        <w:rPr>
          <w:rFonts w:cs="Arial"/>
          <w:sz w:val="22"/>
          <w:szCs w:val="22"/>
        </w:rPr>
        <w:t>holding</w:t>
      </w:r>
      <w:r w:rsidR="005E2631" w:rsidRPr="006A7DBC">
        <w:rPr>
          <w:rFonts w:cs="Arial"/>
          <w:sz w:val="22"/>
          <w:szCs w:val="22"/>
        </w:rPr>
        <w:t xml:space="preserve"> the required insurance. </w:t>
      </w:r>
    </w:p>
    <w:p w:rsidR="005E2631" w:rsidRPr="006A7DBC" w:rsidRDefault="005E2631" w:rsidP="006A7DBC">
      <w:pPr>
        <w:numPr>
          <w:ilvl w:val="1"/>
          <w:numId w:val="2"/>
        </w:numPr>
        <w:spacing w:after="120"/>
        <w:ind w:left="567" w:hanging="567"/>
        <w:jc w:val="both"/>
        <w:rPr>
          <w:rFonts w:cs="Arial"/>
          <w:sz w:val="22"/>
          <w:szCs w:val="22"/>
        </w:rPr>
      </w:pPr>
      <w:r w:rsidRPr="006A7DBC">
        <w:rPr>
          <w:rFonts w:cs="Arial"/>
          <w:sz w:val="22"/>
          <w:szCs w:val="22"/>
        </w:rPr>
        <w:t xml:space="preserve">Training qualifications also vary across the states. Most states base their qualifications for builders on the Certificate IV in Building, together with at least </w:t>
      </w:r>
      <w:r w:rsidR="006A7DBC">
        <w:rPr>
          <w:rFonts w:cs="Arial"/>
          <w:sz w:val="22"/>
          <w:szCs w:val="22"/>
        </w:rPr>
        <w:t>two</w:t>
      </w:r>
      <w:r w:rsidRPr="006A7DBC">
        <w:rPr>
          <w:rFonts w:cs="Arial"/>
          <w:sz w:val="22"/>
          <w:szCs w:val="22"/>
        </w:rPr>
        <w:t xml:space="preserve"> years relevant experience carrying out or supervising building works, although the number of years of experience does vary from region to region.</w:t>
      </w:r>
    </w:p>
    <w:p w:rsidR="00C66113" w:rsidRPr="006A7DBC" w:rsidRDefault="005E2631" w:rsidP="006A7DBC">
      <w:pPr>
        <w:numPr>
          <w:ilvl w:val="1"/>
          <w:numId w:val="2"/>
        </w:numPr>
        <w:spacing w:after="120"/>
        <w:ind w:left="567" w:hanging="567"/>
        <w:jc w:val="both"/>
        <w:rPr>
          <w:rFonts w:cs="Arial"/>
          <w:sz w:val="22"/>
          <w:szCs w:val="22"/>
        </w:rPr>
      </w:pPr>
      <w:r w:rsidRPr="006A7DBC">
        <w:rPr>
          <w:rFonts w:cs="Arial"/>
          <w:sz w:val="22"/>
          <w:szCs w:val="22"/>
        </w:rPr>
        <w:t>In addition to dif</w:t>
      </w:r>
      <w:r w:rsidR="002B1618">
        <w:rPr>
          <w:rFonts w:cs="Arial"/>
          <w:sz w:val="22"/>
          <w:szCs w:val="22"/>
        </w:rPr>
        <w:t>ferent licensing requirements, s</w:t>
      </w:r>
      <w:r w:rsidRPr="006A7DBC">
        <w:rPr>
          <w:rFonts w:cs="Arial"/>
          <w:sz w:val="22"/>
          <w:szCs w:val="22"/>
        </w:rPr>
        <w:t>tate</w:t>
      </w:r>
      <w:r w:rsidR="002B1618">
        <w:rPr>
          <w:rFonts w:cs="Arial"/>
          <w:sz w:val="22"/>
          <w:szCs w:val="22"/>
        </w:rPr>
        <w:t>s</w:t>
      </w:r>
      <w:r w:rsidRPr="006A7DBC">
        <w:rPr>
          <w:rFonts w:cs="Arial"/>
          <w:sz w:val="22"/>
          <w:szCs w:val="22"/>
        </w:rPr>
        <w:t xml:space="preserve"> and </w:t>
      </w:r>
      <w:r w:rsidR="002B1618">
        <w:rPr>
          <w:rFonts w:cs="Arial"/>
          <w:sz w:val="22"/>
          <w:szCs w:val="22"/>
        </w:rPr>
        <w:t>t</w:t>
      </w:r>
      <w:r w:rsidRPr="006A7DBC">
        <w:rPr>
          <w:rFonts w:cs="Arial"/>
          <w:sz w:val="22"/>
          <w:szCs w:val="22"/>
        </w:rPr>
        <w:t>erritor</w:t>
      </w:r>
      <w:r w:rsidR="002B1618">
        <w:rPr>
          <w:rFonts w:cs="Arial"/>
          <w:sz w:val="22"/>
          <w:szCs w:val="22"/>
        </w:rPr>
        <w:t>ies</w:t>
      </w:r>
      <w:r w:rsidRPr="006A7DBC">
        <w:rPr>
          <w:rFonts w:cs="Arial"/>
          <w:sz w:val="22"/>
          <w:szCs w:val="22"/>
        </w:rPr>
        <w:t xml:space="preserve"> currently ha</w:t>
      </w:r>
      <w:r w:rsidR="002B1618">
        <w:rPr>
          <w:rFonts w:cs="Arial"/>
          <w:sz w:val="22"/>
          <w:szCs w:val="22"/>
        </w:rPr>
        <w:t>ve</w:t>
      </w:r>
      <w:r w:rsidRPr="006A7DBC">
        <w:rPr>
          <w:rFonts w:cs="Arial"/>
          <w:sz w:val="22"/>
          <w:szCs w:val="22"/>
        </w:rPr>
        <w:t xml:space="preserve"> unique legislation regulating the minimum conduct requirements required of licensees. </w:t>
      </w:r>
    </w:p>
    <w:p w:rsidR="005E2631" w:rsidRPr="006A7DBC" w:rsidRDefault="005E2631" w:rsidP="006A7DBC">
      <w:pPr>
        <w:numPr>
          <w:ilvl w:val="1"/>
          <w:numId w:val="2"/>
        </w:numPr>
        <w:spacing w:after="120"/>
        <w:ind w:left="567" w:hanging="567"/>
        <w:jc w:val="both"/>
        <w:rPr>
          <w:rFonts w:cs="Arial"/>
          <w:sz w:val="22"/>
          <w:szCs w:val="22"/>
        </w:rPr>
      </w:pPr>
      <w:r w:rsidRPr="006A7DBC">
        <w:rPr>
          <w:rFonts w:cs="Arial"/>
          <w:sz w:val="22"/>
          <w:szCs w:val="22"/>
        </w:rPr>
        <w:t xml:space="preserve">These </w:t>
      </w:r>
      <w:r w:rsidR="008C73E4">
        <w:rPr>
          <w:rFonts w:cs="Arial"/>
          <w:sz w:val="22"/>
          <w:szCs w:val="22"/>
        </w:rPr>
        <w:t>‘</w:t>
      </w:r>
      <w:r w:rsidRPr="006A7DBC">
        <w:rPr>
          <w:rFonts w:cs="Arial"/>
          <w:sz w:val="22"/>
          <w:szCs w:val="22"/>
        </w:rPr>
        <w:t>conduct</w:t>
      </w:r>
      <w:r w:rsidR="008C73E4">
        <w:rPr>
          <w:rFonts w:cs="Arial"/>
          <w:sz w:val="22"/>
          <w:szCs w:val="22"/>
        </w:rPr>
        <w:t>’</w:t>
      </w:r>
      <w:r w:rsidRPr="006A7DBC">
        <w:rPr>
          <w:rFonts w:cs="Arial"/>
          <w:sz w:val="22"/>
          <w:szCs w:val="22"/>
        </w:rPr>
        <w:t xml:space="preserve"> requirements include the way licensees perform the work, consumer protection and contract requirements, </w:t>
      </w:r>
      <w:r w:rsidR="0038256E" w:rsidRPr="006A7DBC">
        <w:rPr>
          <w:rFonts w:cs="Arial"/>
          <w:sz w:val="22"/>
          <w:szCs w:val="22"/>
        </w:rPr>
        <w:t xml:space="preserve">statutory </w:t>
      </w:r>
      <w:r w:rsidRPr="006A7DBC">
        <w:rPr>
          <w:rFonts w:cs="Arial"/>
          <w:sz w:val="22"/>
          <w:szCs w:val="22"/>
        </w:rPr>
        <w:t>warranties,</w:t>
      </w:r>
      <w:r w:rsidR="0088321B" w:rsidRPr="006A7DBC">
        <w:rPr>
          <w:rFonts w:cs="Arial"/>
          <w:sz w:val="22"/>
          <w:szCs w:val="22"/>
        </w:rPr>
        <w:t xml:space="preserve"> warrant</w:t>
      </w:r>
      <w:r w:rsidR="00C923ED">
        <w:rPr>
          <w:rFonts w:cs="Arial"/>
          <w:sz w:val="22"/>
          <w:szCs w:val="22"/>
        </w:rPr>
        <w:t>y</w:t>
      </w:r>
      <w:r w:rsidR="0088321B" w:rsidRPr="006A7DBC">
        <w:rPr>
          <w:rFonts w:cs="Arial"/>
          <w:sz w:val="22"/>
          <w:szCs w:val="22"/>
        </w:rPr>
        <w:t xml:space="preserve"> insurance</w:t>
      </w:r>
      <w:r w:rsidRPr="006A7DBC">
        <w:rPr>
          <w:rFonts w:cs="Arial"/>
          <w:sz w:val="22"/>
          <w:szCs w:val="22"/>
        </w:rPr>
        <w:t xml:space="preserve"> and financial controls.</w:t>
      </w:r>
    </w:p>
    <w:p w:rsidR="005E2631" w:rsidRPr="006A7DBC" w:rsidRDefault="005E2631" w:rsidP="006A7DBC">
      <w:pPr>
        <w:numPr>
          <w:ilvl w:val="1"/>
          <w:numId w:val="2"/>
        </w:numPr>
        <w:spacing w:after="120"/>
        <w:ind w:left="567" w:hanging="567"/>
        <w:jc w:val="both"/>
        <w:rPr>
          <w:rFonts w:cs="Arial"/>
          <w:sz w:val="22"/>
          <w:szCs w:val="22"/>
        </w:rPr>
      </w:pPr>
      <w:r w:rsidRPr="006A7DBC">
        <w:rPr>
          <w:rFonts w:cs="Arial"/>
          <w:sz w:val="22"/>
          <w:szCs w:val="22"/>
        </w:rPr>
        <w:t>Whilst there</w:t>
      </w:r>
      <w:r w:rsidR="002B1618">
        <w:rPr>
          <w:rFonts w:cs="Arial"/>
          <w:sz w:val="22"/>
          <w:szCs w:val="22"/>
        </w:rPr>
        <w:t xml:space="preserve"> are</w:t>
      </w:r>
      <w:r w:rsidRPr="006A7DBC">
        <w:rPr>
          <w:rFonts w:cs="Arial"/>
          <w:sz w:val="22"/>
          <w:szCs w:val="22"/>
        </w:rPr>
        <w:t xml:space="preserve"> common themes imposed under each jurisdictions</w:t>
      </w:r>
      <w:r w:rsidR="002738A4" w:rsidRPr="006A7DBC">
        <w:rPr>
          <w:rFonts w:cs="Arial"/>
          <w:sz w:val="22"/>
          <w:szCs w:val="22"/>
        </w:rPr>
        <w:t>’</w:t>
      </w:r>
      <w:r w:rsidRPr="006A7DBC">
        <w:rPr>
          <w:rFonts w:cs="Arial"/>
          <w:sz w:val="22"/>
          <w:szCs w:val="22"/>
        </w:rPr>
        <w:t xml:space="preserve"> legislation, many of the specific requirements are inconsistent. </w:t>
      </w:r>
    </w:p>
    <w:p w:rsidR="005E2631" w:rsidRPr="006A7DBC" w:rsidRDefault="005E2631" w:rsidP="006A7DBC">
      <w:pPr>
        <w:numPr>
          <w:ilvl w:val="1"/>
          <w:numId w:val="2"/>
        </w:numPr>
        <w:spacing w:after="120"/>
        <w:ind w:left="567" w:hanging="567"/>
        <w:jc w:val="both"/>
        <w:rPr>
          <w:rFonts w:cs="Arial"/>
          <w:sz w:val="22"/>
          <w:szCs w:val="22"/>
        </w:rPr>
      </w:pPr>
      <w:r w:rsidRPr="006A7DBC">
        <w:rPr>
          <w:rFonts w:cs="Arial"/>
          <w:sz w:val="22"/>
          <w:szCs w:val="22"/>
        </w:rPr>
        <w:t xml:space="preserve">For instance there are significant variations in the regulation of domestic building contracts across jurisdictions.  </w:t>
      </w:r>
    </w:p>
    <w:p w:rsidR="002A5E9D" w:rsidRPr="006A7DBC" w:rsidRDefault="002A5E9D" w:rsidP="006A7DBC">
      <w:pPr>
        <w:numPr>
          <w:ilvl w:val="1"/>
          <w:numId w:val="2"/>
        </w:numPr>
        <w:spacing w:after="120"/>
        <w:ind w:left="567" w:hanging="567"/>
        <w:jc w:val="both"/>
        <w:rPr>
          <w:rFonts w:cs="Arial"/>
          <w:sz w:val="22"/>
          <w:szCs w:val="22"/>
        </w:rPr>
      </w:pPr>
      <w:r w:rsidRPr="006A7DBC">
        <w:rPr>
          <w:rFonts w:cs="Arial"/>
          <w:sz w:val="22"/>
          <w:szCs w:val="22"/>
        </w:rPr>
        <w:lastRenderedPageBreak/>
        <w:t>The</w:t>
      </w:r>
      <w:r w:rsidR="002B1618">
        <w:rPr>
          <w:rFonts w:cs="Arial"/>
          <w:sz w:val="22"/>
          <w:szCs w:val="22"/>
        </w:rPr>
        <w:t>re are also separate home owner</w:t>
      </w:r>
      <w:r w:rsidRPr="006A7DBC">
        <w:rPr>
          <w:rFonts w:cs="Arial"/>
          <w:sz w:val="22"/>
          <w:szCs w:val="22"/>
        </w:rPr>
        <w:t xml:space="preserve"> warranty insurance schemes.</w:t>
      </w:r>
    </w:p>
    <w:p w:rsidR="0088321B" w:rsidRPr="006A7DBC" w:rsidRDefault="0088321B" w:rsidP="006A7DBC">
      <w:pPr>
        <w:numPr>
          <w:ilvl w:val="1"/>
          <w:numId w:val="2"/>
        </w:numPr>
        <w:spacing w:after="120"/>
        <w:ind w:left="567" w:hanging="567"/>
        <w:jc w:val="both"/>
        <w:rPr>
          <w:rFonts w:cs="Arial"/>
          <w:sz w:val="22"/>
          <w:szCs w:val="22"/>
        </w:rPr>
      </w:pPr>
      <w:r w:rsidRPr="006A7DBC">
        <w:rPr>
          <w:rFonts w:cs="Arial"/>
          <w:sz w:val="22"/>
          <w:szCs w:val="22"/>
        </w:rPr>
        <w:t>Warranty insurance, is an insurance taken by the residential builder, and covers the homeowner/co</w:t>
      </w:r>
      <w:r w:rsidR="006A439A" w:rsidRPr="006A7DBC">
        <w:rPr>
          <w:rFonts w:cs="Arial"/>
          <w:sz w:val="22"/>
          <w:szCs w:val="22"/>
        </w:rPr>
        <w:t xml:space="preserve">nsumer against loss from post construction defects </w:t>
      </w:r>
      <w:r w:rsidRPr="006A7DBC">
        <w:rPr>
          <w:rFonts w:cs="Arial"/>
          <w:sz w:val="22"/>
          <w:szCs w:val="22"/>
        </w:rPr>
        <w:t>or non-completion of building work in cer</w:t>
      </w:r>
      <w:r w:rsidR="00273583">
        <w:rPr>
          <w:rFonts w:cs="Arial"/>
          <w:sz w:val="22"/>
          <w:szCs w:val="22"/>
        </w:rPr>
        <w:t>tain conditions. In every state</w:t>
      </w:r>
      <w:r w:rsidRPr="006A7DBC">
        <w:rPr>
          <w:rFonts w:cs="Arial"/>
          <w:sz w:val="22"/>
          <w:szCs w:val="22"/>
        </w:rPr>
        <w:t xml:space="preserve"> and territory, except Tasmania, the insurance is mandatory and must be obtained </w:t>
      </w:r>
      <w:r w:rsidR="006A439A" w:rsidRPr="006A7DBC">
        <w:rPr>
          <w:rFonts w:cs="Arial"/>
          <w:sz w:val="22"/>
          <w:szCs w:val="22"/>
        </w:rPr>
        <w:t xml:space="preserve">either </w:t>
      </w:r>
      <w:r w:rsidRPr="006A7DBC">
        <w:rPr>
          <w:rFonts w:cs="Arial"/>
          <w:sz w:val="22"/>
          <w:szCs w:val="22"/>
        </w:rPr>
        <w:t xml:space="preserve">before </w:t>
      </w:r>
      <w:r w:rsidR="00EC0BBC" w:rsidRPr="006A7DBC">
        <w:rPr>
          <w:rFonts w:cs="Arial"/>
          <w:sz w:val="22"/>
          <w:szCs w:val="22"/>
        </w:rPr>
        <w:t>signing</w:t>
      </w:r>
      <w:r w:rsidRPr="006A7DBC">
        <w:rPr>
          <w:rFonts w:cs="Arial"/>
          <w:sz w:val="22"/>
          <w:szCs w:val="22"/>
        </w:rPr>
        <w:t xml:space="preserve"> a contract, taking a deposit or commencing work.</w:t>
      </w:r>
    </w:p>
    <w:p w:rsidR="0088321B" w:rsidRPr="006A7DBC" w:rsidRDefault="0088321B" w:rsidP="006A7DBC">
      <w:pPr>
        <w:numPr>
          <w:ilvl w:val="1"/>
          <w:numId w:val="2"/>
        </w:numPr>
        <w:spacing w:after="120"/>
        <w:ind w:left="567" w:hanging="567"/>
        <w:jc w:val="both"/>
        <w:rPr>
          <w:rFonts w:cs="Arial"/>
          <w:sz w:val="22"/>
          <w:szCs w:val="22"/>
        </w:rPr>
      </w:pPr>
      <w:r w:rsidRPr="006A7DBC">
        <w:rPr>
          <w:rFonts w:cs="Arial"/>
          <w:sz w:val="22"/>
          <w:szCs w:val="22"/>
        </w:rPr>
        <w:t xml:space="preserve">In Queensland the assessment of eligibility for warranty </w:t>
      </w:r>
      <w:r w:rsidR="002738A4" w:rsidRPr="006A7DBC">
        <w:rPr>
          <w:rFonts w:cs="Arial"/>
          <w:sz w:val="22"/>
          <w:szCs w:val="22"/>
        </w:rPr>
        <w:t>insurance</w:t>
      </w:r>
      <w:r w:rsidRPr="006A7DBC">
        <w:rPr>
          <w:rFonts w:cs="Arial"/>
          <w:sz w:val="22"/>
          <w:szCs w:val="22"/>
        </w:rPr>
        <w:t xml:space="preserve"> forms part of the annual licence review process</w:t>
      </w:r>
      <w:r w:rsidR="002738A4" w:rsidRPr="006A7DBC">
        <w:rPr>
          <w:rFonts w:cs="Arial"/>
          <w:sz w:val="22"/>
          <w:szCs w:val="22"/>
        </w:rPr>
        <w:t xml:space="preserve"> and is directly undertaken by the building industry regulator, the Queensland Building and Construction Commission (QBCC)</w:t>
      </w:r>
      <w:r w:rsidRPr="006A7DBC">
        <w:rPr>
          <w:rFonts w:cs="Arial"/>
          <w:sz w:val="22"/>
          <w:szCs w:val="22"/>
        </w:rPr>
        <w:t>.</w:t>
      </w:r>
      <w:r w:rsidR="00B03B29" w:rsidRPr="006A7DBC">
        <w:rPr>
          <w:rFonts w:cs="Arial"/>
          <w:sz w:val="22"/>
          <w:szCs w:val="22"/>
        </w:rPr>
        <w:t xml:space="preserve"> In other states</w:t>
      </w:r>
      <w:r w:rsidR="006A439A" w:rsidRPr="006A7DBC">
        <w:rPr>
          <w:rFonts w:cs="Arial"/>
          <w:sz w:val="22"/>
          <w:szCs w:val="22"/>
        </w:rPr>
        <w:t xml:space="preserve"> warranty insurance is separate to the licensing process.</w:t>
      </w:r>
    </w:p>
    <w:p w:rsidR="0088321B" w:rsidRPr="006A7DBC" w:rsidRDefault="0088321B" w:rsidP="006A7DBC">
      <w:pPr>
        <w:numPr>
          <w:ilvl w:val="1"/>
          <w:numId w:val="2"/>
        </w:numPr>
        <w:spacing w:after="120"/>
        <w:ind w:left="567" w:hanging="567"/>
        <w:jc w:val="both"/>
        <w:rPr>
          <w:rFonts w:cs="Arial"/>
          <w:sz w:val="22"/>
          <w:szCs w:val="22"/>
        </w:rPr>
      </w:pPr>
      <w:r w:rsidRPr="006A7DBC">
        <w:rPr>
          <w:rFonts w:cs="Arial"/>
          <w:sz w:val="22"/>
          <w:szCs w:val="22"/>
        </w:rPr>
        <w:t xml:space="preserve">In New South Wales, the </w:t>
      </w:r>
      <w:r w:rsidR="002738A4" w:rsidRPr="006A7DBC">
        <w:rPr>
          <w:rFonts w:cs="Arial"/>
          <w:sz w:val="22"/>
          <w:szCs w:val="22"/>
        </w:rPr>
        <w:t>suspension</w:t>
      </w:r>
      <w:r w:rsidRPr="006A7DBC">
        <w:rPr>
          <w:rFonts w:cs="Arial"/>
          <w:sz w:val="22"/>
          <w:szCs w:val="22"/>
        </w:rPr>
        <w:t xml:space="preserve"> of a builder’s </w:t>
      </w:r>
      <w:r w:rsidR="002738A4" w:rsidRPr="006A7DBC">
        <w:rPr>
          <w:rFonts w:cs="Arial"/>
          <w:sz w:val="22"/>
          <w:szCs w:val="22"/>
        </w:rPr>
        <w:t xml:space="preserve">licence </w:t>
      </w:r>
      <w:r w:rsidRPr="006A7DBC">
        <w:rPr>
          <w:rFonts w:cs="Arial"/>
          <w:sz w:val="22"/>
          <w:szCs w:val="22"/>
        </w:rPr>
        <w:t xml:space="preserve">can trigger a (consumer’s) right to claim on the policy. </w:t>
      </w:r>
    </w:p>
    <w:p w:rsidR="005E2631" w:rsidRPr="006A7DBC" w:rsidRDefault="005E2631" w:rsidP="006A7DBC">
      <w:pPr>
        <w:numPr>
          <w:ilvl w:val="1"/>
          <w:numId w:val="2"/>
        </w:numPr>
        <w:spacing w:after="120"/>
        <w:ind w:left="567" w:hanging="567"/>
        <w:jc w:val="both"/>
        <w:rPr>
          <w:rFonts w:cs="Arial"/>
          <w:sz w:val="22"/>
          <w:szCs w:val="22"/>
        </w:rPr>
      </w:pPr>
      <w:r w:rsidRPr="006A7DBC">
        <w:rPr>
          <w:rFonts w:cs="Arial"/>
          <w:sz w:val="22"/>
          <w:szCs w:val="22"/>
        </w:rPr>
        <w:t>An analysis of the conduct requirements for each State and Territory is provided at APPENDIX A</w:t>
      </w:r>
    </w:p>
    <w:p w:rsidR="008C73E4" w:rsidRDefault="005E2631" w:rsidP="006A7DBC">
      <w:pPr>
        <w:numPr>
          <w:ilvl w:val="1"/>
          <w:numId w:val="2"/>
        </w:numPr>
        <w:spacing w:after="120"/>
        <w:ind w:left="567" w:hanging="567"/>
        <w:jc w:val="both"/>
        <w:rPr>
          <w:rFonts w:cs="Arial"/>
          <w:sz w:val="22"/>
          <w:szCs w:val="22"/>
        </w:rPr>
      </w:pPr>
      <w:r w:rsidRPr="006A7DBC">
        <w:rPr>
          <w:rFonts w:cs="Arial"/>
          <w:sz w:val="22"/>
          <w:szCs w:val="22"/>
        </w:rPr>
        <w:t xml:space="preserve">The inconsistencies in conduct requirements can produce </w:t>
      </w:r>
      <w:r w:rsidR="00635849">
        <w:rPr>
          <w:rFonts w:cs="Arial"/>
          <w:sz w:val="22"/>
          <w:szCs w:val="22"/>
        </w:rPr>
        <w:t>irregularities</w:t>
      </w:r>
      <w:r w:rsidRPr="006A7DBC">
        <w:rPr>
          <w:rFonts w:cs="Arial"/>
          <w:sz w:val="22"/>
          <w:szCs w:val="22"/>
        </w:rPr>
        <w:t xml:space="preserve"> such as where </w:t>
      </w:r>
      <w:r w:rsidR="00635849">
        <w:rPr>
          <w:rFonts w:cs="Arial"/>
          <w:sz w:val="22"/>
          <w:szCs w:val="22"/>
        </w:rPr>
        <w:t>a builder who</w:t>
      </w:r>
      <w:r w:rsidRPr="006A7DBC">
        <w:rPr>
          <w:rFonts w:cs="Arial"/>
          <w:sz w:val="22"/>
          <w:szCs w:val="22"/>
        </w:rPr>
        <w:t xml:space="preserve"> </w:t>
      </w:r>
      <w:r w:rsidR="0088321B" w:rsidRPr="006A7DBC">
        <w:rPr>
          <w:rFonts w:cs="Arial"/>
          <w:sz w:val="22"/>
          <w:szCs w:val="22"/>
        </w:rPr>
        <w:t xml:space="preserve">holds </w:t>
      </w:r>
      <w:r w:rsidR="006A439A" w:rsidRPr="006A7DBC">
        <w:rPr>
          <w:rFonts w:cs="Arial"/>
          <w:sz w:val="22"/>
          <w:szCs w:val="22"/>
        </w:rPr>
        <w:t xml:space="preserve">a </w:t>
      </w:r>
      <w:r w:rsidRPr="006A7DBC">
        <w:rPr>
          <w:rFonts w:cs="Arial"/>
          <w:sz w:val="22"/>
          <w:szCs w:val="22"/>
        </w:rPr>
        <w:t>mutual</w:t>
      </w:r>
      <w:r w:rsidR="0088321B" w:rsidRPr="006A7DBC">
        <w:rPr>
          <w:rFonts w:cs="Arial"/>
          <w:sz w:val="22"/>
          <w:szCs w:val="22"/>
        </w:rPr>
        <w:t>ly</w:t>
      </w:r>
      <w:r w:rsidRPr="006A7DBC">
        <w:rPr>
          <w:rFonts w:cs="Arial"/>
          <w:sz w:val="22"/>
          <w:szCs w:val="22"/>
        </w:rPr>
        <w:t xml:space="preserve"> recognised licensee, has internal system</w:t>
      </w:r>
      <w:r w:rsidR="00635849">
        <w:rPr>
          <w:rFonts w:cs="Arial"/>
          <w:sz w:val="22"/>
          <w:szCs w:val="22"/>
        </w:rPr>
        <w:t>s</w:t>
      </w:r>
      <w:r w:rsidRPr="006A7DBC">
        <w:rPr>
          <w:rFonts w:cs="Arial"/>
          <w:sz w:val="22"/>
          <w:szCs w:val="22"/>
        </w:rPr>
        <w:t xml:space="preserve"> and procedures that </w:t>
      </w:r>
      <w:r w:rsidR="00635849">
        <w:rPr>
          <w:rFonts w:cs="Arial"/>
          <w:sz w:val="22"/>
          <w:szCs w:val="22"/>
        </w:rPr>
        <w:t>would satisfy the conduct requirements in one jurisdiction, but not another.</w:t>
      </w:r>
    </w:p>
    <w:p w:rsidR="005E2631" w:rsidRPr="008C73E4" w:rsidRDefault="008C73E4" w:rsidP="008C73E4">
      <w:pPr>
        <w:spacing w:after="120"/>
        <w:ind w:left="567"/>
        <w:jc w:val="both"/>
        <w:rPr>
          <w:rFonts w:cs="Arial"/>
          <w:b/>
          <w:u w:val="single"/>
        </w:rPr>
      </w:pPr>
      <w:r w:rsidRPr="008C73E4">
        <w:rPr>
          <w:rFonts w:cs="Arial"/>
          <w:b/>
          <w:u w:val="single"/>
        </w:rPr>
        <w:t>Cultural Impediments</w:t>
      </w:r>
      <w:r w:rsidR="005E2631" w:rsidRPr="008C73E4">
        <w:rPr>
          <w:rFonts w:cs="Arial"/>
          <w:b/>
          <w:u w:val="single"/>
        </w:rPr>
        <w:t xml:space="preserve"> </w:t>
      </w:r>
    </w:p>
    <w:p w:rsidR="005C0D73" w:rsidRPr="008C73E4" w:rsidRDefault="005C0D73" w:rsidP="008C73E4">
      <w:pPr>
        <w:numPr>
          <w:ilvl w:val="1"/>
          <w:numId w:val="2"/>
        </w:numPr>
        <w:spacing w:after="120"/>
        <w:ind w:left="567" w:hanging="567"/>
        <w:jc w:val="both"/>
        <w:rPr>
          <w:rFonts w:cs="Arial"/>
          <w:sz w:val="22"/>
          <w:szCs w:val="22"/>
        </w:rPr>
      </w:pPr>
      <w:r w:rsidRPr="008C73E4">
        <w:rPr>
          <w:rFonts w:cs="Arial"/>
          <w:sz w:val="22"/>
          <w:szCs w:val="22"/>
        </w:rPr>
        <w:t>In HIA’s experience</w:t>
      </w:r>
      <w:r w:rsidR="00635849">
        <w:rPr>
          <w:rFonts w:cs="Arial"/>
          <w:sz w:val="22"/>
          <w:szCs w:val="22"/>
        </w:rPr>
        <w:t>,</w:t>
      </w:r>
      <w:r w:rsidRPr="008C73E4">
        <w:rPr>
          <w:rFonts w:cs="Arial"/>
          <w:sz w:val="22"/>
          <w:szCs w:val="22"/>
        </w:rPr>
        <w:t xml:space="preserve"> one of the major issues with expanding mutual recognition (much as with attempts at national licensing) is that those jurisdictions with the higher entry standards and regulatory thresholds </w:t>
      </w:r>
      <w:r w:rsidR="00635849">
        <w:rPr>
          <w:rFonts w:cs="Arial"/>
          <w:sz w:val="22"/>
          <w:szCs w:val="22"/>
        </w:rPr>
        <w:t>may</w:t>
      </w:r>
      <w:r w:rsidRPr="008C73E4">
        <w:rPr>
          <w:rFonts w:cs="Arial"/>
          <w:sz w:val="22"/>
          <w:szCs w:val="22"/>
        </w:rPr>
        <w:t xml:space="preserve"> continue to look for ways in which to maintain these higher standards. </w:t>
      </w:r>
    </w:p>
    <w:p w:rsidR="008576E9" w:rsidRPr="008C73E4" w:rsidRDefault="00C66113" w:rsidP="008C73E4">
      <w:pPr>
        <w:numPr>
          <w:ilvl w:val="1"/>
          <w:numId w:val="2"/>
        </w:numPr>
        <w:spacing w:after="120"/>
        <w:ind w:left="567" w:hanging="567"/>
        <w:jc w:val="both"/>
        <w:rPr>
          <w:rFonts w:cs="Arial"/>
          <w:sz w:val="22"/>
          <w:szCs w:val="22"/>
        </w:rPr>
      </w:pPr>
      <w:r w:rsidRPr="008C73E4">
        <w:rPr>
          <w:rFonts w:cs="Arial"/>
          <w:sz w:val="22"/>
          <w:szCs w:val="22"/>
        </w:rPr>
        <w:t xml:space="preserve">For occupational </w:t>
      </w:r>
      <w:r w:rsidR="008576E9" w:rsidRPr="008C73E4">
        <w:rPr>
          <w:rFonts w:cs="Arial"/>
          <w:sz w:val="22"/>
          <w:szCs w:val="22"/>
        </w:rPr>
        <w:t xml:space="preserve">licensing </w:t>
      </w:r>
      <w:r w:rsidRPr="008C73E4">
        <w:rPr>
          <w:rFonts w:cs="Arial"/>
          <w:sz w:val="22"/>
          <w:szCs w:val="22"/>
        </w:rPr>
        <w:t xml:space="preserve">(as opposed to business </w:t>
      </w:r>
      <w:r w:rsidR="005C0D73" w:rsidRPr="008C73E4">
        <w:rPr>
          <w:rFonts w:cs="Arial"/>
          <w:sz w:val="22"/>
          <w:szCs w:val="22"/>
        </w:rPr>
        <w:t xml:space="preserve">to consumer </w:t>
      </w:r>
      <w:r w:rsidRPr="008C73E4">
        <w:rPr>
          <w:rFonts w:cs="Arial"/>
          <w:sz w:val="22"/>
          <w:szCs w:val="22"/>
        </w:rPr>
        <w:t xml:space="preserve">licensing) there appears to be little reason why </w:t>
      </w:r>
      <w:r w:rsidR="008576E9" w:rsidRPr="008C73E4">
        <w:rPr>
          <w:rFonts w:cs="Arial"/>
          <w:sz w:val="22"/>
          <w:szCs w:val="22"/>
        </w:rPr>
        <w:t xml:space="preserve">more effective automatic licensing arrangements are not </w:t>
      </w:r>
      <w:r w:rsidR="005C0D73" w:rsidRPr="008C73E4">
        <w:rPr>
          <w:rFonts w:cs="Arial"/>
          <w:sz w:val="22"/>
          <w:szCs w:val="22"/>
        </w:rPr>
        <w:t xml:space="preserve">already </w:t>
      </w:r>
      <w:r w:rsidR="008576E9" w:rsidRPr="008C73E4">
        <w:rPr>
          <w:rFonts w:cs="Arial"/>
          <w:sz w:val="22"/>
          <w:szCs w:val="22"/>
        </w:rPr>
        <w:t>in place.</w:t>
      </w:r>
    </w:p>
    <w:p w:rsidR="00800A39" w:rsidRPr="008C73E4" w:rsidRDefault="00800A39" w:rsidP="008C73E4">
      <w:pPr>
        <w:numPr>
          <w:ilvl w:val="1"/>
          <w:numId w:val="2"/>
        </w:numPr>
        <w:spacing w:after="120"/>
        <w:ind w:left="567" w:hanging="567"/>
        <w:jc w:val="both"/>
        <w:rPr>
          <w:rFonts w:cs="Arial"/>
          <w:sz w:val="22"/>
          <w:szCs w:val="22"/>
        </w:rPr>
      </w:pPr>
      <w:r w:rsidRPr="008C73E4">
        <w:rPr>
          <w:rFonts w:cs="Arial"/>
          <w:sz w:val="22"/>
          <w:szCs w:val="22"/>
        </w:rPr>
        <w:t xml:space="preserve">With relative simplicity, in 2014 </w:t>
      </w:r>
      <w:r w:rsidR="008C08BF" w:rsidRPr="00073E67">
        <w:rPr>
          <w:rFonts w:cs="Arial"/>
          <w:sz w:val="22"/>
          <w:szCs w:val="22"/>
        </w:rPr>
        <w:t>N</w:t>
      </w:r>
      <w:r w:rsidR="008C08BF">
        <w:rPr>
          <w:rFonts w:cs="Arial"/>
          <w:sz w:val="22"/>
          <w:szCs w:val="22"/>
        </w:rPr>
        <w:t xml:space="preserve">ew </w:t>
      </w:r>
      <w:r w:rsidR="008C08BF" w:rsidRPr="00073E67">
        <w:rPr>
          <w:rFonts w:cs="Arial"/>
          <w:sz w:val="22"/>
          <w:szCs w:val="22"/>
        </w:rPr>
        <w:t>S</w:t>
      </w:r>
      <w:r w:rsidR="008C08BF">
        <w:rPr>
          <w:rFonts w:cs="Arial"/>
          <w:sz w:val="22"/>
          <w:szCs w:val="22"/>
        </w:rPr>
        <w:t xml:space="preserve">outh </w:t>
      </w:r>
      <w:r w:rsidR="008C08BF" w:rsidRPr="00073E67">
        <w:rPr>
          <w:rFonts w:cs="Arial"/>
          <w:sz w:val="22"/>
          <w:szCs w:val="22"/>
        </w:rPr>
        <w:t>W</w:t>
      </w:r>
      <w:r w:rsidR="008C08BF">
        <w:rPr>
          <w:rFonts w:cs="Arial"/>
          <w:sz w:val="22"/>
          <w:szCs w:val="22"/>
        </w:rPr>
        <w:t>ales</w:t>
      </w:r>
      <w:r w:rsidRPr="008C73E4">
        <w:rPr>
          <w:rFonts w:cs="Arial"/>
          <w:sz w:val="22"/>
          <w:szCs w:val="22"/>
        </w:rPr>
        <w:t xml:space="preserve"> Parliament passed the Mutual Recognition (Automatic Licensed Occupations Recognition) Act to enable N</w:t>
      </w:r>
      <w:r w:rsidR="006E2387">
        <w:rPr>
          <w:rFonts w:cs="Arial"/>
          <w:sz w:val="22"/>
          <w:szCs w:val="22"/>
        </w:rPr>
        <w:t>ew South Wales</w:t>
      </w:r>
      <w:r w:rsidRPr="008C73E4">
        <w:rPr>
          <w:rFonts w:cs="Arial"/>
          <w:sz w:val="22"/>
          <w:szCs w:val="22"/>
        </w:rPr>
        <w:t>, Queensland and Victorian electricians t</w:t>
      </w:r>
      <w:r w:rsidR="008C73E4">
        <w:rPr>
          <w:rFonts w:cs="Arial"/>
          <w:sz w:val="22"/>
          <w:szCs w:val="22"/>
        </w:rPr>
        <w:t xml:space="preserve">o work across </w:t>
      </w:r>
      <w:r w:rsidRPr="008C73E4">
        <w:rPr>
          <w:rFonts w:cs="Arial"/>
          <w:sz w:val="22"/>
          <w:szCs w:val="22"/>
        </w:rPr>
        <w:t xml:space="preserve">state borders using the licence issued by their home state without having to apply for the issue of a </w:t>
      </w:r>
      <w:r w:rsidR="008C08BF" w:rsidRPr="00073E67">
        <w:rPr>
          <w:rFonts w:cs="Arial"/>
          <w:sz w:val="22"/>
          <w:szCs w:val="22"/>
        </w:rPr>
        <w:t>N</w:t>
      </w:r>
      <w:r w:rsidR="008C08BF">
        <w:rPr>
          <w:rFonts w:cs="Arial"/>
          <w:sz w:val="22"/>
          <w:szCs w:val="22"/>
        </w:rPr>
        <w:t xml:space="preserve">ew </w:t>
      </w:r>
      <w:r w:rsidR="008C08BF" w:rsidRPr="00073E67">
        <w:rPr>
          <w:rFonts w:cs="Arial"/>
          <w:sz w:val="22"/>
          <w:szCs w:val="22"/>
        </w:rPr>
        <w:t>S</w:t>
      </w:r>
      <w:r w:rsidR="008C08BF">
        <w:rPr>
          <w:rFonts w:cs="Arial"/>
          <w:sz w:val="22"/>
          <w:szCs w:val="22"/>
        </w:rPr>
        <w:t xml:space="preserve">outh </w:t>
      </w:r>
      <w:r w:rsidR="008C08BF" w:rsidRPr="00073E67">
        <w:rPr>
          <w:rFonts w:cs="Arial"/>
          <w:sz w:val="22"/>
          <w:szCs w:val="22"/>
        </w:rPr>
        <w:t>W</w:t>
      </w:r>
      <w:r w:rsidR="008C08BF">
        <w:rPr>
          <w:rFonts w:cs="Arial"/>
          <w:sz w:val="22"/>
          <w:szCs w:val="22"/>
        </w:rPr>
        <w:t>ales</w:t>
      </w:r>
      <w:r w:rsidRPr="008C73E4">
        <w:rPr>
          <w:rFonts w:cs="Arial"/>
          <w:sz w:val="22"/>
          <w:szCs w:val="22"/>
        </w:rPr>
        <w:t xml:space="preserve"> licence under mutual recognition.</w:t>
      </w:r>
    </w:p>
    <w:p w:rsidR="005E2631" w:rsidRPr="008C73E4" w:rsidRDefault="00800A39" w:rsidP="008C73E4">
      <w:pPr>
        <w:numPr>
          <w:ilvl w:val="1"/>
          <w:numId w:val="2"/>
        </w:numPr>
        <w:spacing w:after="120"/>
        <w:ind w:left="567" w:hanging="567"/>
        <w:jc w:val="both"/>
        <w:rPr>
          <w:rFonts w:cs="Arial"/>
          <w:sz w:val="22"/>
          <w:szCs w:val="22"/>
        </w:rPr>
      </w:pPr>
      <w:r w:rsidRPr="008C73E4">
        <w:rPr>
          <w:rFonts w:cs="Arial"/>
          <w:sz w:val="22"/>
          <w:szCs w:val="22"/>
        </w:rPr>
        <w:t xml:space="preserve">This demonstrates the underlying </w:t>
      </w:r>
      <w:r w:rsidR="006A439A" w:rsidRPr="008C73E4">
        <w:rPr>
          <w:rFonts w:cs="Arial"/>
          <w:sz w:val="22"/>
          <w:szCs w:val="22"/>
        </w:rPr>
        <w:t xml:space="preserve">capacity </w:t>
      </w:r>
      <w:r w:rsidRPr="008C73E4">
        <w:rPr>
          <w:rFonts w:cs="Arial"/>
          <w:sz w:val="22"/>
          <w:szCs w:val="22"/>
        </w:rPr>
        <w:t>of state government to introduce more effective mutual recognition arrangements that drive down unnecessary red tape and regulation</w:t>
      </w:r>
      <w:r w:rsidR="006A439A" w:rsidRPr="008C73E4">
        <w:rPr>
          <w:rFonts w:cs="Arial"/>
          <w:sz w:val="22"/>
          <w:szCs w:val="22"/>
        </w:rPr>
        <w:t xml:space="preserve"> when accompanied by political </w:t>
      </w:r>
      <w:r w:rsidR="00F81E97" w:rsidRPr="008C73E4">
        <w:rPr>
          <w:rFonts w:cs="Arial"/>
          <w:sz w:val="22"/>
          <w:szCs w:val="22"/>
        </w:rPr>
        <w:t>willingness for reform</w:t>
      </w:r>
      <w:r w:rsidRPr="008C73E4">
        <w:rPr>
          <w:rFonts w:cs="Arial"/>
          <w:sz w:val="22"/>
          <w:szCs w:val="22"/>
        </w:rPr>
        <w:t>.</w:t>
      </w:r>
    </w:p>
    <w:p w:rsidR="005C0D73" w:rsidRPr="002A5E9D" w:rsidRDefault="00553621" w:rsidP="008C73E4">
      <w:pPr>
        <w:pStyle w:val="Heading1"/>
        <w:tabs>
          <w:tab w:val="num" w:pos="567"/>
        </w:tabs>
        <w:ind w:left="567" w:hanging="567"/>
      </w:pPr>
      <w:bookmarkStart w:id="10" w:name="_Toc413165659"/>
      <w:r w:rsidRPr="002A5E9D">
        <w:t>Reponses</w:t>
      </w:r>
      <w:r w:rsidR="005C0D73" w:rsidRPr="002A5E9D">
        <w:t xml:space="preserve"> to </w:t>
      </w:r>
      <w:r w:rsidR="008C73E4">
        <w:t>P</w:t>
      </w:r>
      <w:r w:rsidRPr="002A5E9D">
        <w:t>articular</w:t>
      </w:r>
      <w:r w:rsidR="008C73E4">
        <w:t xml:space="preserve"> I</w:t>
      </w:r>
      <w:r w:rsidR="005C0D73" w:rsidRPr="002A5E9D">
        <w:t>ssues</w:t>
      </w:r>
      <w:bookmarkEnd w:id="10"/>
      <w:r w:rsidR="005C0D73" w:rsidRPr="002A5E9D">
        <w:t xml:space="preserve"> </w:t>
      </w:r>
    </w:p>
    <w:p w:rsidR="00D463AF" w:rsidRPr="00D463AF" w:rsidRDefault="00D463AF" w:rsidP="00D463AF">
      <w:pPr>
        <w:spacing w:after="120"/>
        <w:ind w:left="567" w:hanging="567"/>
        <w:jc w:val="both"/>
        <w:rPr>
          <w:i/>
          <w:sz w:val="22"/>
          <w:szCs w:val="22"/>
        </w:rPr>
      </w:pPr>
      <w:r w:rsidRPr="00D463AF">
        <w:rPr>
          <w:i/>
          <w:sz w:val="22"/>
          <w:szCs w:val="22"/>
        </w:rPr>
        <w:t>26.</w:t>
      </w:r>
      <w:r w:rsidRPr="00D463AF">
        <w:rPr>
          <w:i/>
          <w:sz w:val="22"/>
          <w:szCs w:val="22"/>
        </w:rPr>
        <w:tab/>
      </w:r>
      <w:r>
        <w:rPr>
          <w:i/>
          <w:sz w:val="22"/>
          <w:szCs w:val="22"/>
        </w:rPr>
        <w:t>To what extent do interjusidictional differences in laws for the ‘manner of carrying on’ an occupation hinder labour mobility within Australia and across the Tasman? Are such differences warranted because, for example, individual jurisdictions have to address significantly different risks and community expectations?</w:t>
      </w:r>
    </w:p>
    <w:p w:rsidR="00EA3942" w:rsidRPr="008C73E4" w:rsidRDefault="00A044CA" w:rsidP="008C73E4">
      <w:pPr>
        <w:spacing w:after="120"/>
        <w:ind w:left="567"/>
        <w:jc w:val="both"/>
        <w:rPr>
          <w:rFonts w:cs="Arial"/>
          <w:sz w:val="22"/>
          <w:szCs w:val="22"/>
        </w:rPr>
      </w:pPr>
      <w:r w:rsidRPr="008C73E4">
        <w:rPr>
          <w:rFonts w:cs="Arial"/>
          <w:sz w:val="22"/>
          <w:szCs w:val="22"/>
        </w:rPr>
        <w:t xml:space="preserve">As noted above, the minimum conduct requirements </w:t>
      </w:r>
      <w:r w:rsidR="00635849">
        <w:rPr>
          <w:rFonts w:cs="Arial"/>
          <w:sz w:val="22"/>
          <w:szCs w:val="22"/>
        </w:rPr>
        <w:t>applying to</w:t>
      </w:r>
      <w:r w:rsidRPr="008C73E4">
        <w:rPr>
          <w:rFonts w:cs="Arial"/>
          <w:sz w:val="22"/>
          <w:szCs w:val="22"/>
        </w:rPr>
        <w:t xml:space="preserve"> licensees in the residential building industry can </w:t>
      </w:r>
      <w:r w:rsidR="003C308C" w:rsidRPr="008C73E4">
        <w:rPr>
          <w:rFonts w:cs="Arial"/>
          <w:sz w:val="22"/>
          <w:szCs w:val="22"/>
        </w:rPr>
        <w:t xml:space="preserve">directly </w:t>
      </w:r>
      <w:r w:rsidRPr="008C73E4">
        <w:rPr>
          <w:rFonts w:cs="Arial"/>
          <w:sz w:val="22"/>
          <w:szCs w:val="22"/>
        </w:rPr>
        <w:t>impact on the mobility of trades</w:t>
      </w:r>
      <w:r w:rsidR="00B03B29" w:rsidRPr="008C73E4">
        <w:rPr>
          <w:rFonts w:cs="Arial"/>
          <w:sz w:val="22"/>
          <w:szCs w:val="22"/>
        </w:rPr>
        <w:t>, in particular the cost of carrying out work in another jurisdiction once an equivalent licence is recognised and obtained.</w:t>
      </w:r>
    </w:p>
    <w:p w:rsidR="00A044CA" w:rsidRPr="008C73E4" w:rsidRDefault="00B03B29" w:rsidP="008C73E4">
      <w:pPr>
        <w:spacing w:after="120"/>
        <w:ind w:left="567"/>
        <w:jc w:val="both"/>
        <w:rPr>
          <w:rFonts w:cs="Arial"/>
          <w:sz w:val="22"/>
          <w:szCs w:val="22"/>
        </w:rPr>
      </w:pPr>
      <w:r w:rsidRPr="008C73E4">
        <w:rPr>
          <w:rFonts w:cs="Arial"/>
          <w:sz w:val="22"/>
          <w:szCs w:val="22"/>
        </w:rPr>
        <w:t xml:space="preserve">Whilst the requirements are not so significant for trade contractors, those </w:t>
      </w:r>
      <w:r w:rsidR="00A044CA" w:rsidRPr="008C73E4">
        <w:rPr>
          <w:rFonts w:cs="Arial"/>
          <w:sz w:val="22"/>
          <w:szCs w:val="22"/>
        </w:rPr>
        <w:t xml:space="preserve">requirements </w:t>
      </w:r>
      <w:r w:rsidRPr="008C73E4">
        <w:rPr>
          <w:rFonts w:cs="Arial"/>
          <w:sz w:val="22"/>
          <w:szCs w:val="22"/>
        </w:rPr>
        <w:t xml:space="preserve">particularly around eligibility </w:t>
      </w:r>
      <w:r w:rsidR="00A044CA" w:rsidRPr="008C73E4">
        <w:rPr>
          <w:rFonts w:cs="Arial"/>
          <w:sz w:val="22"/>
          <w:szCs w:val="22"/>
        </w:rPr>
        <w:t>and obtain</w:t>
      </w:r>
      <w:r w:rsidRPr="008C73E4">
        <w:rPr>
          <w:rFonts w:cs="Arial"/>
          <w:sz w:val="22"/>
          <w:szCs w:val="22"/>
        </w:rPr>
        <w:t>ing</w:t>
      </w:r>
      <w:r w:rsidR="00A044CA" w:rsidRPr="008C73E4">
        <w:rPr>
          <w:rFonts w:cs="Arial"/>
          <w:sz w:val="22"/>
          <w:szCs w:val="22"/>
        </w:rPr>
        <w:t xml:space="preserve"> home owners warranty insurance</w:t>
      </w:r>
      <w:r w:rsidR="00275FEF" w:rsidRPr="008C73E4">
        <w:rPr>
          <w:rFonts w:cs="Arial"/>
          <w:sz w:val="22"/>
          <w:szCs w:val="22"/>
        </w:rPr>
        <w:t xml:space="preserve">, </w:t>
      </w:r>
      <w:r w:rsidR="00A044CA" w:rsidRPr="008C73E4">
        <w:rPr>
          <w:rFonts w:cs="Arial"/>
          <w:sz w:val="22"/>
          <w:szCs w:val="22"/>
        </w:rPr>
        <w:t xml:space="preserve">over and above the </w:t>
      </w:r>
      <w:r w:rsidR="00275FEF" w:rsidRPr="008C73E4">
        <w:rPr>
          <w:rFonts w:cs="Arial"/>
          <w:sz w:val="22"/>
          <w:szCs w:val="22"/>
        </w:rPr>
        <w:t xml:space="preserve">licensing </w:t>
      </w:r>
      <w:r w:rsidR="005E362D" w:rsidRPr="008C73E4">
        <w:rPr>
          <w:rFonts w:cs="Arial"/>
          <w:sz w:val="22"/>
          <w:szCs w:val="22"/>
        </w:rPr>
        <w:t>requirements</w:t>
      </w:r>
      <w:r w:rsidR="005C6A39" w:rsidRPr="008C73E4">
        <w:rPr>
          <w:rFonts w:cs="Arial"/>
          <w:sz w:val="22"/>
          <w:szCs w:val="22"/>
        </w:rPr>
        <w:t>,</w:t>
      </w:r>
      <w:r w:rsidR="005E362D" w:rsidRPr="008C73E4">
        <w:rPr>
          <w:rFonts w:cs="Arial"/>
          <w:sz w:val="22"/>
          <w:szCs w:val="22"/>
        </w:rPr>
        <w:t xml:space="preserve"> </w:t>
      </w:r>
      <w:r w:rsidR="00F81E97" w:rsidRPr="008C73E4">
        <w:rPr>
          <w:rFonts w:cs="Arial"/>
          <w:sz w:val="22"/>
          <w:szCs w:val="22"/>
        </w:rPr>
        <w:t xml:space="preserve">reduce the </w:t>
      </w:r>
      <w:r w:rsidR="00635849">
        <w:rPr>
          <w:rFonts w:cs="Arial"/>
          <w:sz w:val="22"/>
          <w:szCs w:val="22"/>
        </w:rPr>
        <w:t>comparative</w:t>
      </w:r>
      <w:r w:rsidR="00F81E97" w:rsidRPr="008C73E4">
        <w:rPr>
          <w:rFonts w:cs="Arial"/>
          <w:sz w:val="22"/>
          <w:szCs w:val="22"/>
        </w:rPr>
        <w:t xml:space="preserve"> benefits of </w:t>
      </w:r>
      <w:r w:rsidR="005E362D" w:rsidRPr="008C73E4">
        <w:rPr>
          <w:rFonts w:cs="Arial"/>
          <w:sz w:val="22"/>
          <w:szCs w:val="22"/>
        </w:rPr>
        <w:t xml:space="preserve">mutual recognition for these businesses. </w:t>
      </w:r>
    </w:p>
    <w:p w:rsidR="005C6A39" w:rsidRPr="008C73E4" w:rsidRDefault="005C6A39" w:rsidP="008C73E4">
      <w:pPr>
        <w:spacing w:after="120"/>
        <w:ind w:left="567"/>
        <w:jc w:val="both"/>
        <w:rPr>
          <w:rFonts w:cs="Arial"/>
          <w:sz w:val="22"/>
          <w:szCs w:val="22"/>
        </w:rPr>
      </w:pPr>
      <w:r w:rsidRPr="008C73E4">
        <w:rPr>
          <w:rFonts w:cs="Arial"/>
          <w:sz w:val="22"/>
          <w:szCs w:val="22"/>
        </w:rPr>
        <w:lastRenderedPageBreak/>
        <w:t>There are many reasons for legislative divergence in licensing arrangements among jurisdictions. The very causes for the current differences between sta</w:t>
      </w:r>
      <w:r w:rsidR="00635849">
        <w:rPr>
          <w:rFonts w:cs="Arial"/>
          <w:sz w:val="22"/>
          <w:szCs w:val="22"/>
        </w:rPr>
        <w:t>te regulations is not however a</w:t>
      </w:r>
      <w:r w:rsidRPr="008C73E4">
        <w:rPr>
          <w:rFonts w:cs="Arial"/>
          <w:sz w:val="22"/>
          <w:szCs w:val="22"/>
        </w:rPr>
        <w:t xml:space="preserve"> result of inherently</w:t>
      </w:r>
      <w:r w:rsidR="00635849">
        <w:rPr>
          <w:rFonts w:cs="Arial"/>
          <w:sz w:val="22"/>
          <w:szCs w:val="22"/>
        </w:rPr>
        <w:t xml:space="preserve"> </w:t>
      </w:r>
      <w:r w:rsidR="00635849" w:rsidRPr="008C73E4">
        <w:rPr>
          <w:rFonts w:cs="Arial"/>
          <w:sz w:val="22"/>
          <w:szCs w:val="22"/>
        </w:rPr>
        <w:t>different</w:t>
      </w:r>
      <w:r w:rsidRPr="008C73E4">
        <w:rPr>
          <w:rFonts w:cs="Arial"/>
          <w:sz w:val="22"/>
          <w:szCs w:val="22"/>
        </w:rPr>
        <w:t xml:space="preserve"> risks in construction from state to state </w:t>
      </w:r>
      <w:r w:rsidR="00514F75">
        <w:rPr>
          <w:rFonts w:cs="Arial"/>
          <w:sz w:val="22"/>
          <w:szCs w:val="22"/>
        </w:rPr>
        <w:t>–</w:t>
      </w:r>
      <w:r w:rsidRPr="008C73E4">
        <w:rPr>
          <w:rFonts w:cs="Arial"/>
          <w:sz w:val="22"/>
          <w:szCs w:val="22"/>
        </w:rPr>
        <w:t xml:space="preserve"> since 1997 there has been </w:t>
      </w:r>
      <w:r w:rsidR="003506FB" w:rsidRPr="008C73E4">
        <w:rPr>
          <w:rFonts w:cs="Arial"/>
          <w:sz w:val="22"/>
          <w:szCs w:val="22"/>
        </w:rPr>
        <w:t xml:space="preserve">one </w:t>
      </w:r>
      <w:r w:rsidR="00514F75">
        <w:rPr>
          <w:rFonts w:cs="Arial"/>
          <w:sz w:val="22"/>
          <w:szCs w:val="22"/>
        </w:rPr>
        <w:t xml:space="preserve">national </w:t>
      </w:r>
      <w:r w:rsidR="003506FB" w:rsidRPr="008C73E4">
        <w:rPr>
          <w:rFonts w:cs="Arial"/>
          <w:sz w:val="22"/>
          <w:szCs w:val="22"/>
        </w:rPr>
        <w:t xml:space="preserve">building code, the </w:t>
      </w:r>
      <w:r w:rsidR="00514F75">
        <w:rPr>
          <w:rFonts w:cs="Arial"/>
          <w:sz w:val="22"/>
          <w:szCs w:val="22"/>
        </w:rPr>
        <w:t>National Construction Code (NCC),</w:t>
      </w:r>
      <w:r w:rsidR="003506FB" w:rsidRPr="008C73E4">
        <w:rPr>
          <w:rFonts w:cs="Arial"/>
          <w:sz w:val="22"/>
          <w:szCs w:val="22"/>
        </w:rPr>
        <w:t xml:space="preserve"> governing the technical provisions for the design and construction of buildings</w:t>
      </w:r>
      <w:r w:rsidRPr="008C73E4">
        <w:rPr>
          <w:rFonts w:cs="Arial"/>
          <w:sz w:val="22"/>
          <w:szCs w:val="22"/>
        </w:rPr>
        <w:t xml:space="preserve">. Rather the </w:t>
      </w:r>
      <w:r w:rsidR="003506FB" w:rsidRPr="008C73E4">
        <w:rPr>
          <w:rFonts w:cs="Arial"/>
          <w:sz w:val="22"/>
          <w:szCs w:val="22"/>
        </w:rPr>
        <w:t xml:space="preserve">regional </w:t>
      </w:r>
      <w:r w:rsidRPr="008C73E4">
        <w:rPr>
          <w:rFonts w:cs="Arial"/>
          <w:sz w:val="22"/>
          <w:szCs w:val="22"/>
        </w:rPr>
        <w:t>differences flow for a variety of reasons</w:t>
      </w:r>
      <w:r w:rsidR="003506FB" w:rsidRPr="008C73E4">
        <w:rPr>
          <w:rFonts w:cs="Arial"/>
          <w:sz w:val="22"/>
          <w:szCs w:val="22"/>
        </w:rPr>
        <w:t xml:space="preserve">, reflecting the outcomes of </w:t>
      </w:r>
      <w:r w:rsidR="00514F75">
        <w:rPr>
          <w:rFonts w:cs="Arial"/>
          <w:sz w:val="22"/>
          <w:szCs w:val="22"/>
        </w:rPr>
        <w:t xml:space="preserve">state/territory </w:t>
      </w:r>
      <w:r w:rsidRPr="008C73E4">
        <w:rPr>
          <w:rFonts w:cs="Arial"/>
          <w:sz w:val="22"/>
          <w:szCs w:val="22"/>
        </w:rPr>
        <w:t>coronial inquiries, parliamentary committees (</w:t>
      </w:r>
      <w:r w:rsidR="00514F75">
        <w:rPr>
          <w:rFonts w:cs="Arial"/>
          <w:sz w:val="22"/>
          <w:szCs w:val="22"/>
        </w:rPr>
        <w:t>and government responses to</w:t>
      </w:r>
      <w:r w:rsidRPr="008C73E4">
        <w:rPr>
          <w:rFonts w:cs="Arial"/>
          <w:sz w:val="22"/>
          <w:szCs w:val="22"/>
        </w:rPr>
        <w:t>), court decisions, election commitments, budget constraint, regulatory culture</w:t>
      </w:r>
      <w:r w:rsidR="00514F75">
        <w:rPr>
          <w:rFonts w:cs="Arial"/>
          <w:sz w:val="22"/>
          <w:szCs w:val="22"/>
        </w:rPr>
        <w:t>, and the like</w:t>
      </w:r>
      <w:r w:rsidRPr="008C73E4">
        <w:rPr>
          <w:rFonts w:cs="Arial"/>
          <w:sz w:val="22"/>
          <w:szCs w:val="22"/>
        </w:rPr>
        <w:t>.</w:t>
      </w:r>
    </w:p>
    <w:p w:rsidR="00553621" w:rsidRPr="00D463AF" w:rsidRDefault="00D463AF" w:rsidP="00D463AF">
      <w:pPr>
        <w:spacing w:after="120"/>
        <w:ind w:left="567" w:hanging="567"/>
        <w:jc w:val="both"/>
        <w:rPr>
          <w:i/>
          <w:sz w:val="22"/>
          <w:szCs w:val="22"/>
        </w:rPr>
      </w:pPr>
      <w:r>
        <w:rPr>
          <w:i/>
          <w:sz w:val="22"/>
          <w:szCs w:val="22"/>
        </w:rPr>
        <w:t>27.</w:t>
      </w:r>
      <w:r>
        <w:rPr>
          <w:i/>
          <w:sz w:val="22"/>
          <w:szCs w:val="22"/>
        </w:rPr>
        <w:tab/>
      </w:r>
      <w:r w:rsidR="00553621" w:rsidRPr="00D463AF">
        <w:rPr>
          <w:i/>
          <w:sz w:val="22"/>
          <w:szCs w:val="22"/>
        </w:rPr>
        <w:t xml:space="preserve">What, if anything, should be done to reduce barriers to labour mobility caused by different laws for the ‘manner of carrying on’ an occupation, and what would be the costs and benefits of doing so? </w:t>
      </w:r>
    </w:p>
    <w:p w:rsidR="005C6A39" w:rsidRPr="008C73E4" w:rsidRDefault="005C6A39" w:rsidP="008C73E4">
      <w:pPr>
        <w:spacing w:after="120"/>
        <w:ind w:left="567"/>
        <w:jc w:val="both"/>
        <w:rPr>
          <w:rFonts w:cs="Arial"/>
          <w:sz w:val="22"/>
          <w:szCs w:val="22"/>
        </w:rPr>
      </w:pPr>
      <w:r w:rsidRPr="008C73E4">
        <w:rPr>
          <w:rFonts w:cs="Arial"/>
          <w:sz w:val="22"/>
          <w:szCs w:val="22"/>
        </w:rPr>
        <w:t xml:space="preserve">A major issue with the delivery of warranty insurance </w:t>
      </w:r>
      <w:r w:rsidR="00BE2AC0" w:rsidRPr="008C73E4">
        <w:rPr>
          <w:rFonts w:cs="Arial"/>
          <w:sz w:val="22"/>
          <w:szCs w:val="22"/>
        </w:rPr>
        <w:t xml:space="preserve">in recent years has been </w:t>
      </w:r>
      <w:r w:rsidR="00C86EC5">
        <w:rPr>
          <w:rFonts w:cs="Arial"/>
          <w:sz w:val="22"/>
          <w:szCs w:val="22"/>
        </w:rPr>
        <w:t>acces</w:t>
      </w:r>
      <w:r w:rsidR="008C08BF">
        <w:rPr>
          <w:rFonts w:cs="Arial"/>
          <w:sz w:val="22"/>
          <w:szCs w:val="22"/>
        </w:rPr>
        <w:t>s</w:t>
      </w:r>
      <w:r w:rsidR="00C86EC5">
        <w:rPr>
          <w:rFonts w:cs="Arial"/>
          <w:sz w:val="22"/>
          <w:szCs w:val="22"/>
        </w:rPr>
        <w:t xml:space="preserve"> to a </w:t>
      </w:r>
      <w:r w:rsidRPr="008C73E4">
        <w:rPr>
          <w:rFonts w:cs="Arial"/>
          <w:sz w:val="22"/>
          <w:szCs w:val="22"/>
        </w:rPr>
        <w:t xml:space="preserve">fair </w:t>
      </w:r>
      <w:r w:rsidR="003E4FF6" w:rsidRPr="008C73E4">
        <w:rPr>
          <w:rFonts w:cs="Arial"/>
          <w:sz w:val="22"/>
          <w:szCs w:val="22"/>
        </w:rPr>
        <w:t xml:space="preserve">and </w:t>
      </w:r>
      <w:r w:rsidRPr="008C73E4">
        <w:rPr>
          <w:rFonts w:cs="Arial"/>
          <w:sz w:val="22"/>
          <w:szCs w:val="22"/>
        </w:rPr>
        <w:t xml:space="preserve">competitive </w:t>
      </w:r>
      <w:r w:rsidR="003E4FF6" w:rsidRPr="008C73E4">
        <w:rPr>
          <w:rFonts w:cs="Arial"/>
          <w:sz w:val="22"/>
          <w:szCs w:val="22"/>
        </w:rPr>
        <w:t xml:space="preserve">private insurance </w:t>
      </w:r>
      <w:r w:rsidRPr="008C73E4">
        <w:rPr>
          <w:rFonts w:cs="Arial"/>
          <w:sz w:val="22"/>
          <w:szCs w:val="22"/>
        </w:rPr>
        <w:t xml:space="preserve">market. </w:t>
      </w:r>
    </w:p>
    <w:p w:rsidR="006A439A" w:rsidRPr="008C73E4" w:rsidRDefault="005C6A39" w:rsidP="00C86EC5">
      <w:pPr>
        <w:spacing w:after="120"/>
        <w:ind w:left="567"/>
        <w:jc w:val="both"/>
        <w:rPr>
          <w:rFonts w:cs="Arial"/>
          <w:sz w:val="22"/>
          <w:szCs w:val="22"/>
        </w:rPr>
      </w:pPr>
      <w:r w:rsidRPr="008C73E4">
        <w:rPr>
          <w:rFonts w:cs="Arial"/>
          <w:sz w:val="22"/>
          <w:szCs w:val="22"/>
        </w:rPr>
        <w:t xml:space="preserve">The </w:t>
      </w:r>
      <w:r w:rsidR="00C86EC5">
        <w:rPr>
          <w:rFonts w:cs="Arial"/>
          <w:sz w:val="22"/>
          <w:szCs w:val="22"/>
        </w:rPr>
        <w:t xml:space="preserve">alternative state-based government monopolies provide a less competitive approach for a </w:t>
      </w:r>
      <w:r w:rsidR="006A439A" w:rsidRPr="008C73E4">
        <w:rPr>
          <w:rFonts w:cs="Arial"/>
          <w:sz w:val="22"/>
          <w:szCs w:val="22"/>
        </w:rPr>
        <w:t>number of reasons. Firstly, the delivery of insurance by government is an inefficient allocation of public resources. Secondly, private insurers are more willing to take a market based approach</w:t>
      </w:r>
      <w:r w:rsidR="00C86EC5">
        <w:rPr>
          <w:rFonts w:cs="Arial"/>
          <w:sz w:val="22"/>
          <w:szCs w:val="22"/>
        </w:rPr>
        <w:t>,</w:t>
      </w:r>
      <w:r w:rsidR="006A439A" w:rsidRPr="008C73E4">
        <w:rPr>
          <w:rFonts w:cs="Arial"/>
          <w:sz w:val="22"/>
          <w:szCs w:val="22"/>
        </w:rPr>
        <w:t xml:space="preserve"> with premiums competitively set by insurers based on a builder’s risk, turnover and performance. Under government schemes </w:t>
      </w:r>
      <w:r w:rsidR="008C73E4">
        <w:rPr>
          <w:rFonts w:cs="Arial"/>
          <w:sz w:val="22"/>
          <w:szCs w:val="22"/>
        </w:rPr>
        <w:t>‘</w:t>
      </w:r>
      <w:r w:rsidR="006A439A" w:rsidRPr="008C73E4">
        <w:rPr>
          <w:rFonts w:cs="Arial"/>
          <w:sz w:val="22"/>
          <w:szCs w:val="22"/>
        </w:rPr>
        <w:t>flat</w:t>
      </w:r>
      <w:r w:rsidR="008C73E4">
        <w:rPr>
          <w:rFonts w:cs="Arial"/>
          <w:sz w:val="22"/>
          <w:szCs w:val="22"/>
        </w:rPr>
        <w:t>’</w:t>
      </w:r>
      <w:r w:rsidR="006A439A" w:rsidRPr="008C73E4">
        <w:rPr>
          <w:rFonts w:cs="Arial"/>
          <w:sz w:val="22"/>
          <w:szCs w:val="22"/>
        </w:rPr>
        <w:t xml:space="preserve"> ratings have undercapitalized builders subsidised by </w:t>
      </w:r>
      <w:r w:rsidR="00C562CC" w:rsidRPr="008C73E4">
        <w:rPr>
          <w:rFonts w:cs="Arial"/>
          <w:sz w:val="22"/>
          <w:szCs w:val="22"/>
        </w:rPr>
        <w:t>well performing builders.</w:t>
      </w:r>
    </w:p>
    <w:p w:rsidR="00BE2AC0" w:rsidRPr="008C73E4" w:rsidRDefault="00BE2AC0" w:rsidP="008C73E4">
      <w:pPr>
        <w:spacing w:after="120"/>
        <w:ind w:left="567"/>
        <w:jc w:val="both"/>
        <w:rPr>
          <w:rFonts w:cs="Arial"/>
          <w:sz w:val="22"/>
          <w:szCs w:val="22"/>
        </w:rPr>
      </w:pPr>
      <w:r w:rsidRPr="008C73E4">
        <w:rPr>
          <w:rFonts w:cs="Arial"/>
          <w:sz w:val="22"/>
          <w:szCs w:val="22"/>
        </w:rPr>
        <w:t>HIA ha</w:t>
      </w:r>
      <w:r w:rsidR="00C86EC5">
        <w:rPr>
          <w:rFonts w:cs="Arial"/>
          <w:sz w:val="22"/>
          <w:szCs w:val="22"/>
        </w:rPr>
        <w:t>s</w:t>
      </w:r>
      <w:r w:rsidRPr="008C73E4">
        <w:rPr>
          <w:rFonts w:cs="Arial"/>
          <w:sz w:val="22"/>
          <w:szCs w:val="22"/>
        </w:rPr>
        <w:t xml:space="preserve"> recommended to jurisdictions that they </w:t>
      </w:r>
      <w:r w:rsidR="006A439A" w:rsidRPr="008C73E4">
        <w:rPr>
          <w:rFonts w:cs="Arial"/>
          <w:sz w:val="22"/>
          <w:szCs w:val="22"/>
        </w:rPr>
        <w:t xml:space="preserve">move towards </w:t>
      </w:r>
      <w:r w:rsidRPr="008C73E4">
        <w:rPr>
          <w:rFonts w:cs="Arial"/>
          <w:sz w:val="22"/>
          <w:szCs w:val="22"/>
        </w:rPr>
        <w:t xml:space="preserve">a national </w:t>
      </w:r>
      <w:r w:rsidR="006A439A" w:rsidRPr="008C73E4">
        <w:rPr>
          <w:rFonts w:cs="Arial"/>
          <w:sz w:val="22"/>
          <w:szCs w:val="22"/>
        </w:rPr>
        <w:t xml:space="preserve">warranty </w:t>
      </w:r>
      <w:r w:rsidRPr="008C73E4">
        <w:rPr>
          <w:rFonts w:cs="Arial"/>
          <w:sz w:val="22"/>
          <w:szCs w:val="22"/>
        </w:rPr>
        <w:t xml:space="preserve">insurance </w:t>
      </w:r>
      <w:r w:rsidR="006A439A" w:rsidRPr="008C73E4">
        <w:rPr>
          <w:rFonts w:cs="Arial"/>
          <w:sz w:val="22"/>
          <w:szCs w:val="22"/>
        </w:rPr>
        <w:t xml:space="preserve">market </w:t>
      </w:r>
      <w:r w:rsidR="003E4FF6" w:rsidRPr="008C73E4">
        <w:rPr>
          <w:rFonts w:cs="Arial"/>
          <w:sz w:val="22"/>
          <w:szCs w:val="22"/>
        </w:rPr>
        <w:t xml:space="preserve">with a </w:t>
      </w:r>
      <w:r w:rsidR="006A439A" w:rsidRPr="008C73E4">
        <w:rPr>
          <w:rFonts w:cs="Arial"/>
          <w:sz w:val="22"/>
          <w:szCs w:val="22"/>
        </w:rPr>
        <w:t xml:space="preserve">nationally </w:t>
      </w:r>
      <w:r w:rsidR="00D463AF">
        <w:rPr>
          <w:rFonts w:cs="Arial"/>
          <w:sz w:val="22"/>
          <w:szCs w:val="22"/>
        </w:rPr>
        <w:t>‘</w:t>
      </w:r>
      <w:r w:rsidR="003E4FF6" w:rsidRPr="008C73E4">
        <w:rPr>
          <w:rFonts w:cs="Arial"/>
          <w:sz w:val="22"/>
          <w:szCs w:val="22"/>
        </w:rPr>
        <w:t>split</w:t>
      </w:r>
      <w:r w:rsidR="00D463AF">
        <w:rPr>
          <w:rFonts w:cs="Arial"/>
          <w:sz w:val="22"/>
          <w:szCs w:val="22"/>
        </w:rPr>
        <w:t>’</w:t>
      </w:r>
      <w:r w:rsidR="003E4FF6" w:rsidRPr="008C73E4">
        <w:rPr>
          <w:rFonts w:cs="Arial"/>
          <w:sz w:val="22"/>
          <w:szCs w:val="22"/>
        </w:rPr>
        <w:t xml:space="preserve"> insurance</w:t>
      </w:r>
      <w:r w:rsidR="006A439A" w:rsidRPr="008C73E4">
        <w:rPr>
          <w:rFonts w:cs="Arial"/>
          <w:sz w:val="22"/>
          <w:szCs w:val="22"/>
        </w:rPr>
        <w:t xml:space="preserve"> product </w:t>
      </w:r>
      <w:r w:rsidR="003E4FF6" w:rsidRPr="008C73E4">
        <w:rPr>
          <w:rFonts w:cs="Arial"/>
          <w:sz w:val="22"/>
          <w:szCs w:val="22"/>
        </w:rPr>
        <w:t xml:space="preserve">– </w:t>
      </w:r>
      <w:r w:rsidRPr="008C73E4">
        <w:rPr>
          <w:rFonts w:cs="Arial"/>
          <w:sz w:val="22"/>
          <w:szCs w:val="22"/>
        </w:rPr>
        <w:t>provid</w:t>
      </w:r>
      <w:r w:rsidR="003E4FF6" w:rsidRPr="008C73E4">
        <w:rPr>
          <w:rFonts w:cs="Arial"/>
          <w:sz w:val="22"/>
          <w:szCs w:val="22"/>
        </w:rPr>
        <w:t>ing consumers</w:t>
      </w:r>
      <w:r w:rsidRPr="008C73E4">
        <w:rPr>
          <w:rFonts w:cs="Arial"/>
          <w:sz w:val="22"/>
          <w:szCs w:val="22"/>
        </w:rPr>
        <w:t xml:space="preserve"> with a mandatory completion guarantee product and separately the option to voluntarily purchase a defective works insurance product for post occupancy warranty claims.</w:t>
      </w:r>
    </w:p>
    <w:p w:rsidR="00553621" w:rsidRPr="008C73E4" w:rsidRDefault="00553621" w:rsidP="008C73E4">
      <w:pPr>
        <w:spacing w:after="120"/>
        <w:ind w:left="567"/>
        <w:jc w:val="both"/>
        <w:rPr>
          <w:rFonts w:cs="Arial"/>
          <w:sz w:val="22"/>
          <w:szCs w:val="22"/>
        </w:rPr>
      </w:pPr>
      <w:r w:rsidRPr="008C73E4">
        <w:rPr>
          <w:rFonts w:cs="Arial"/>
          <w:sz w:val="22"/>
          <w:szCs w:val="22"/>
        </w:rPr>
        <w:t xml:space="preserve">Establishing of a national warranty </w:t>
      </w:r>
      <w:r w:rsidR="00275FEF" w:rsidRPr="008C73E4">
        <w:rPr>
          <w:rFonts w:cs="Arial"/>
          <w:sz w:val="22"/>
          <w:szCs w:val="22"/>
        </w:rPr>
        <w:t xml:space="preserve">insurance market, </w:t>
      </w:r>
      <w:r w:rsidRPr="008C73E4">
        <w:rPr>
          <w:rFonts w:cs="Arial"/>
          <w:sz w:val="22"/>
          <w:szCs w:val="22"/>
        </w:rPr>
        <w:t xml:space="preserve">with a </w:t>
      </w:r>
      <w:r w:rsidR="003E4FF6" w:rsidRPr="008C73E4">
        <w:rPr>
          <w:rFonts w:cs="Arial"/>
          <w:sz w:val="22"/>
          <w:szCs w:val="22"/>
        </w:rPr>
        <w:t xml:space="preserve">nationally </w:t>
      </w:r>
      <w:r w:rsidRPr="008C73E4">
        <w:rPr>
          <w:rFonts w:cs="Arial"/>
          <w:sz w:val="22"/>
          <w:szCs w:val="22"/>
        </w:rPr>
        <w:t xml:space="preserve">consistent </w:t>
      </w:r>
      <w:r w:rsidR="00275FEF" w:rsidRPr="008C73E4">
        <w:rPr>
          <w:rFonts w:cs="Arial"/>
          <w:sz w:val="22"/>
          <w:szCs w:val="22"/>
        </w:rPr>
        <w:t xml:space="preserve">insurance </w:t>
      </w:r>
      <w:r w:rsidRPr="008C73E4">
        <w:rPr>
          <w:rFonts w:cs="Arial"/>
          <w:sz w:val="22"/>
          <w:szCs w:val="22"/>
        </w:rPr>
        <w:t xml:space="preserve">product, </w:t>
      </w:r>
      <w:r w:rsidR="00275FEF" w:rsidRPr="008C73E4">
        <w:rPr>
          <w:rFonts w:cs="Arial"/>
          <w:sz w:val="22"/>
          <w:szCs w:val="22"/>
        </w:rPr>
        <w:t xml:space="preserve">a </w:t>
      </w:r>
      <w:r w:rsidRPr="008C73E4">
        <w:rPr>
          <w:rFonts w:cs="Arial"/>
          <w:sz w:val="22"/>
          <w:szCs w:val="22"/>
        </w:rPr>
        <w:t>national claims database and claims management process would have a number of advantages</w:t>
      </w:r>
      <w:r w:rsidR="00BE2AC0" w:rsidRPr="008C73E4">
        <w:rPr>
          <w:rFonts w:cs="Arial"/>
          <w:sz w:val="22"/>
          <w:szCs w:val="22"/>
        </w:rPr>
        <w:t xml:space="preserve">. Not only would it </w:t>
      </w:r>
      <w:r w:rsidR="006A439A" w:rsidRPr="008C73E4">
        <w:rPr>
          <w:rFonts w:cs="Arial"/>
          <w:sz w:val="22"/>
          <w:szCs w:val="22"/>
        </w:rPr>
        <w:t xml:space="preserve">encourage </w:t>
      </w:r>
      <w:r w:rsidR="003E4FF6" w:rsidRPr="008C73E4">
        <w:rPr>
          <w:rFonts w:cs="Arial"/>
          <w:sz w:val="22"/>
          <w:szCs w:val="22"/>
        </w:rPr>
        <w:t>private insur</w:t>
      </w:r>
      <w:r w:rsidR="006A439A" w:rsidRPr="008C73E4">
        <w:rPr>
          <w:rFonts w:cs="Arial"/>
          <w:sz w:val="22"/>
          <w:szCs w:val="22"/>
        </w:rPr>
        <w:t>ers</w:t>
      </w:r>
      <w:r w:rsidR="00C562CC" w:rsidRPr="008C73E4">
        <w:rPr>
          <w:rFonts w:cs="Arial"/>
          <w:sz w:val="22"/>
          <w:szCs w:val="22"/>
        </w:rPr>
        <w:t xml:space="preserve"> to return</w:t>
      </w:r>
      <w:r w:rsidR="003E4FF6" w:rsidRPr="008C73E4">
        <w:rPr>
          <w:rFonts w:cs="Arial"/>
          <w:sz w:val="22"/>
          <w:szCs w:val="22"/>
        </w:rPr>
        <w:t xml:space="preserve">, removing the risk and freeing Government resources for policy and </w:t>
      </w:r>
      <w:r w:rsidR="00C562CC" w:rsidRPr="008C73E4">
        <w:rPr>
          <w:rFonts w:cs="Arial"/>
          <w:sz w:val="22"/>
          <w:szCs w:val="22"/>
        </w:rPr>
        <w:t>regulatory</w:t>
      </w:r>
      <w:r w:rsidR="003E4FF6" w:rsidRPr="008C73E4">
        <w:rPr>
          <w:rFonts w:cs="Arial"/>
          <w:sz w:val="22"/>
          <w:szCs w:val="22"/>
        </w:rPr>
        <w:t xml:space="preserve"> activities</w:t>
      </w:r>
      <w:r w:rsidR="00C562CC" w:rsidRPr="008C73E4">
        <w:rPr>
          <w:rFonts w:cs="Arial"/>
          <w:sz w:val="22"/>
          <w:szCs w:val="22"/>
        </w:rPr>
        <w:t xml:space="preserve">, a competitive market would </w:t>
      </w:r>
      <w:r w:rsidR="00C86EC5">
        <w:rPr>
          <w:rFonts w:cs="Arial"/>
          <w:sz w:val="22"/>
          <w:szCs w:val="22"/>
        </w:rPr>
        <w:t>facilitate competitive premium rates.</w:t>
      </w:r>
    </w:p>
    <w:p w:rsidR="00553621" w:rsidRPr="00D463AF" w:rsidRDefault="00D463AF" w:rsidP="00D463AF">
      <w:pPr>
        <w:spacing w:after="120"/>
        <w:ind w:left="567" w:hanging="567"/>
        <w:jc w:val="both"/>
        <w:rPr>
          <w:i/>
          <w:sz w:val="22"/>
          <w:szCs w:val="22"/>
        </w:rPr>
      </w:pPr>
      <w:r>
        <w:rPr>
          <w:i/>
          <w:sz w:val="22"/>
          <w:szCs w:val="22"/>
        </w:rPr>
        <w:t>28.</w:t>
      </w:r>
      <w:r>
        <w:rPr>
          <w:i/>
          <w:sz w:val="22"/>
          <w:szCs w:val="22"/>
        </w:rPr>
        <w:tab/>
      </w:r>
      <w:r w:rsidR="00553621" w:rsidRPr="00D463AF">
        <w:rPr>
          <w:i/>
          <w:sz w:val="22"/>
          <w:szCs w:val="22"/>
        </w:rPr>
        <w:t>To what extent could cross</w:t>
      </w:r>
      <w:r w:rsidR="00553621" w:rsidRPr="00D463AF">
        <w:rPr>
          <w:i/>
          <w:sz w:val="22"/>
          <w:szCs w:val="22"/>
        </w:rPr>
        <w:noBreakHyphen/>
        <w:t>border provision of services by particular occupations be facilitated by the Agreement on Trans</w:t>
      </w:r>
      <w:r w:rsidR="00553621" w:rsidRPr="00D463AF">
        <w:rPr>
          <w:i/>
          <w:sz w:val="22"/>
          <w:szCs w:val="22"/>
        </w:rPr>
        <w:noBreakHyphen/>
        <w:t>Tasman Court Proceedings and Regulatory Enforcement?</w:t>
      </w:r>
    </w:p>
    <w:p w:rsidR="00A044CA" w:rsidRPr="00D463AF" w:rsidRDefault="00A044CA" w:rsidP="00D463AF">
      <w:pPr>
        <w:spacing w:after="120"/>
        <w:ind w:left="567"/>
        <w:jc w:val="both"/>
        <w:rPr>
          <w:rFonts w:cs="Arial"/>
          <w:sz w:val="22"/>
          <w:szCs w:val="22"/>
        </w:rPr>
      </w:pPr>
      <w:r w:rsidRPr="003506FB">
        <w:rPr>
          <w:rFonts w:cs="Arial"/>
          <w:sz w:val="22"/>
          <w:szCs w:val="22"/>
        </w:rPr>
        <w:t xml:space="preserve">No comment. </w:t>
      </w:r>
    </w:p>
    <w:p w:rsidR="00553621" w:rsidRPr="00D463AF" w:rsidRDefault="00D463AF" w:rsidP="00D463AF">
      <w:pPr>
        <w:spacing w:after="120"/>
        <w:ind w:left="567" w:hanging="567"/>
        <w:jc w:val="both"/>
        <w:rPr>
          <w:i/>
          <w:sz w:val="22"/>
          <w:szCs w:val="22"/>
        </w:rPr>
      </w:pPr>
      <w:r>
        <w:rPr>
          <w:i/>
          <w:sz w:val="22"/>
          <w:szCs w:val="22"/>
        </w:rPr>
        <w:t>29.</w:t>
      </w:r>
      <w:r>
        <w:rPr>
          <w:i/>
          <w:sz w:val="22"/>
          <w:szCs w:val="22"/>
        </w:rPr>
        <w:tab/>
      </w:r>
      <w:r w:rsidR="00553621" w:rsidRPr="00D463AF">
        <w:rPr>
          <w:i/>
          <w:sz w:val="22"/>
          <w:szCs w:val="22"/>
        </w:rPr>
        <w:t xml:space="preserve">Are </w:t>
      </w:r>
      <w:r w:rsidR="00F81E97" w:rsidRPr="00D463AF">
        <w:rPr>
          <w:i/>
          <w:sz w:val="22"/>
          <w:szCs w:val="22"/>
        </w:rPr>
        <w:t>coregulatory,</w:t>
      </w:r>
      <w:r w:rsidR="00553621" w:rsidRPr="00D463AF">
        <w:rPr>
          <w:i/>
          <w:sz w:val="22"/>
          <w:szCs w:val="22"/>
        </w:rPr>
        <w:t xml:space="preserve"> de facto and negative licensing arrangements covered by the mutual recognition schemes? Should they be? Why or why not? What issues would arise as a result of their inclusion? </w:t>
      </w:r>
    </w:p>
    <w:p w:rsidR="00553621" w:rsidRPr="00D463AF" w:rsidRDefault="002A5E9D" w:rsidP="00D463AF">
      <w:pPr>
        <w:spacing w:after="120"/>
        <w:ind w:left="567"/>
        <w:jc w:val="both"/>
        <w:rPr>
          <w:rFonts w:cs="Arial"/>
          <w:sz w:val="22"/>
          <w:szCs w:val="22"/>
        </w:rPr>
      </w:pPr>
      <w:r w:rsidRPr="003506FB">
        <w:rPr>
          <w:rFonts w:cs="Arial"/>
          <w:sz w:val="22"/>
          <w:szCs w:val="22"/>
        </w:rPr>
        <w:t xml:space="preserve">See </w:t>
      </w:r>
      <w:r w:rsidR="00553621" w:rsidRPr="003506FB">
        <w:rPr>
          <w:rFonts w:cs="Arial"/>
          <w:sz w:val="22"/>
          <w:szCs w:val="22"/>
        </w:rPr>
        <w:t>HIA</w:t>
      </w:r>
      <w:r w:rsidRPr="003506FB">
        <w:rPr>
          <w:rFonts w:cs="Arial"/>
          <w:sz w:val="22"/>
          <w:szCs w:val="22"/>
        </w:rPr>
        <w:t>’s</w:t>
      </w:r>
      <w:r w:rsidR="00553621" w:rsidRPr="003506FB">
        <w:rPr>
          <w:rFonts w:cs="Arial"/>
          <w:sz w:val="22"/>
          <w:szCs w:val="22"/>
        </w:rPr>
        <w:t xml:space="preserve"> comment </w:t>
      </w:r>
      <w:r w:rsidRPr="003506FB">
        <w:rPr>
          <w:rFonts w:cs="Arial"/>
          <w:sz w:val="22"/>
          <w:szCs w:val="22"/>
        </w:rPr>
        <w:t xml:space="preserve">on warranty insurance above. </w:t>
      </w:r>
    </w:p>
    <w:p w:rsidR="00553621" w:rsidRPr="00D463AF" w:rsidRDefault="00D463AF" w:rsidP="00D463AF">
      <w:pPr>
        <w:spacing w:after="120"/>
        <w:ind w:left="567" w:hanging="567"/>
        <w:jc w:val="both"/>
        <w:rPr>
          <w:i/>
          <w:sz w:val="22"/>
          <w:szCs w:val="22"/>
        </w:rPr>
      </w:pPr>
      <w:r>
        <w:rPr>
          <w:i/>
          <w:sz w:val="22"/>
          <w:szCs w:val="22"/>
        </w:rPr>
        <w:t>30.</w:t>
      </w:r>
      <w:r>
        <w:rPr>
          <w:i/>
          <w:sz w:val="22"/>
          <w:szCs w:val="22"/>
        </w:rPr>
        <w:tab/>
      </w:r>
      <w:r w:rsidR="00553621" w:rsidRPr="00D463AF">
        <w:rPr>
          <w:i/>
          <w:sz w:val="22"/>
          <w:szCs w:val="22"/>
        </w:rPr>
        <w:t>Are there other areas in which the occupations covered by the MRA and TTMRA are unclear?</w:t>
      </w:r>
    </w:p>
    <w:p w:rsidR="002A5E9D" w:rsidRDefault="002A5E9D" w:rsidP="00D463AF">
      <w:pPr>
        <w:spacing w:after="120"/>
        <w:ind w:left="567"/>
        <w:jc w:val="both"/>
        <w:rPr>
          <w:rFonts w:cs="Arial"/>
          <w:sz w:val="22"/>
          <w:szCs w:val="22"/>
        </w:rPr>
      </w:pPr>
      <w:r w:rsidRPr="003506FB">
        <w:rPr>
          <w:rFonts w:cs="Arial"/>
          <w:sz w:val="22"/>
          <w:szCs w:val="22"/>
        </w:rPr>
        <w:t xml:space="preserve">No comment. </w:t>
      </w:r>
    </w:p>
    <w:p w:rsidR="00553621" w:rsidRPr="00D463AF" w:rsidRDefault="00D463AF" w:rsidP="00D463AF">
      <w:pPr>
        <w:spacing w:after="120"/>
        <w:ind w:left="567" w:hanging="567"/>
        <w:jc w:val="both"/>
        <w:rPr>
          <w:i/>
          <w:sz w:val="22"/>
          <w:szCs w:val="22"/>
        </w:rPr>
      </w:pPr>
      <w:r>
        <w:rPr>
          <w:i/>
          <w:sz w:val="22"/>
          <w:szCs w:val="22"/>
        </w:rPr>
        <w:t>31.</w:t>
      </w:r>
      <w:r>
        <w:rPr>
          <w:i/>
          <w:sz w:val="22"/>
          <w:szCs w:val="22"/>
        </w:rPr>
        <w:tab/>
      </w:r>
      <w:r w:rsidR="00553621" w:rsidRPr="00D463AF">
        <w:rPr>
          <w:i/>
          <w:sz w:val="22"/>
          <w:szCs w:val="22"/>
        </w:rPr>
        <w:t>Which occupations require registration by some, but not all, practitioners? What would be the costs and benefits of expanding the MRA and TTMRA to these occupations?</w:t>
      </w:r>
    </w:p>
    <w:p w:rsidR="00553621" w:rsidRDefault="003506FB" w:rsidP="00D463AF">
      <w:pPr>
        <w:spacing w:after="120"/>
        <w:ind w:left="567"/>
        <w:jc w:val="both"/>
        <w:rPr>
          <w:rFonts w:cs="Arial"/>
          <w:sz w:val="22"/>
          <w:szCs w:val="22"/>
        </w:rPr>
      </w:pPr>
      <w:r w:rsidRPr="00AC7610">
        <w:rPr>
          <w:rFonts w:cs="Arial"/>
          <w:sz w:val="22"/>
          <w:szCs w:val="22"/>
        </w:rPr>
        <w:t xml:space="preserve">As noted in </w:t>
      </w:r>
      <w:r w:rsidR="00D463AF">
        <w:rPr>
          <w:rFonts w:cs="Arial"/>
          <w:sz w:val="22"/>
          <w:szCs w:val="22"/>
        </w:rPr>
        <w:t>S</w:t>
      </w:r>
      <w:r w:rsidRPr="00AC7610">
        <w:rPr>
          <w:rFonts w:cs="Arial"/>
          <w:sz w:val="22"/>
          <w:szCs w:val="22"/>
        </w:rPr>
        <w:t>ection 2, i</w:t>
      </w:r>
      <w:r w:rsidR="00553621" w:rsidRPr="00AC7610">
        <w:rPr>
          <w:rFonts w:cs="Arial"/>
          <w:sz w:val="22"/>
          <w:szCs w:val="22"/>
        </w:rPr>
        <w:t xml:space="preserve">n all jurisdictions, a </w:t>
      </w:r>
      <w:r w:rsidR="00D463AF">
        <w:rPr>
          <w:rFonts w:cs="Arial"/>
          <w:sz w:val="22"/>
          <w:szCs w:val="22"/>
        </w:rPr>
        <w:t>‘</w:t>
      </w:r>
      <w:r w:rsidR="00553621" w:rsidRPr="00AC7610">
        <w:rPr>
          <w:rFonts w:cs="Arial"/>
          <w:sz w:val="22"/>
          <w:szCs w:val="22"/>
        </w:rPr>
        <w:t>contractor</w:t>
      </w:r>
      <w:r w:rsidR="00D463AF">
        <w:rPr>
          <w:rFonts w:cs="Arial"/>
          <w:sz w:val="22"/>
          <w:szCs w:val="22"/>
        </w:rPr>
        <w:t>’</w:t>
      </w:r>
      <w:r w:rsidR="00553621" w:rsidRPr="00AC7610">
        <w:rPr>
          <w:rFonts w:cs="Arial"/>
          <w:sz w:val="22"/>
          <w:szCs w:val="22"/>
        </w:rPr>
        <w:t xml:space="preserve"> or </w:t>
      </w:r>
      <w:r w:rsidR="00D463AF">
        <w:rPr>
          <w:rFonts w:cs="Arial"/>
          <w:sz w:val="22"/>
          <w:szCs w:val="22"/>
        </w:rPr>
        <w:t>‘</w:t>
      </w:r>
      <w:r w:rsidR="00553621" w:rsidRPr="00AC7610">
        <w:rPr>
          <w:rFonts w:cs="Arial"/>
          <w:sz w:val="22"/>
          <w:szCs w:val="22"/>
        </w:rPr>
        <w:t>builder</w:t>
      </w:r>
      <w:r w:rsidR="00D463AF">
        <w:rPr>
          <w:rFonts w:cs="Arial"/>
          <w:sz w:val="22"/>
          <w:szCs w:val="22"/>
        </w:rPr>
        <w:t>’</w:t>
      </w:r>
      <w:r w:rsidR="00553621" w:rsidRPr="00AC7610">
        <w:rPr>
          <w:rFonts w:cs="Arial"/>
          <w:sz w:val="22"/>
          <w:szCs w:val="22"/>
        </w:rPr>
        <w:t xml:space="preserve"> licence is required by those who contract directly with the general pub</w:t>
      </w:r>
      <w:r w:rsidR="00C86EC5">
        <w:rPr>
          <w:rFonts w:cs="Arial"/>
          <w:sz w:val="22"/>
          <w:szCs w:val="22"/>
        </w:rPr>
        <w:t>lic for general building work.</w:t>
      </w:r>
    </w:p>
    <w:p w:rsidR="00553621" w:rsidRPr="00D463AF" w:rsidRDefault="003506FB" w:rsidP="00D463AF">
      <w:pPr>
        <w:spacing w:after="120"/>
        <w:ind w:left="567"/>
        <w:jc w:val="both"/>
        <w:rPr>
          <w:rFonts w:cs="Arial"/>
          <w:sz w:val="22"/>
          <w:szCs w:val="22"/>
        </w:rPr>
      </w:pPr>
      <w:r w:rsidRPr="00AC7610">
        <w:rPr>
          <w:rFonts w:cs="Arial"/>
          <w:sz w:val="22"/>
          <w:szCs w:val="22"/>
        </w:rPr>
        <w:t>On the other hand, l</w:t>
      </w:r>
      <w:r w:rsidR="00553621" w:rsidRPr="00AC7610">
        <w:rPr>
          <w:rFonts w:cs="Arial"/>
          <w:sz w:val="22"/>
          <w:szCs w:val="22"/>
        </w:rPr>
        <w:t xml:space="preserve">icensing of the </w:t>
      </w:r>
      <w:r w:rsidR="00D463AF">
        <w:rPr>
          <w:rFonts w:cs="Arial"/>
          <w:sz w:val="22"/>
          <w:szCs w:val="22"/>
        </w:rPr>
        <w:t>‘</w:t>
      </w:r>
      <w:r w:rsidR="00553621" w:rsidRPr="00AC7610">
        <w:rPr>
          <w:rFonts w:cs="Arial"/>
          <w:sz w:val="22"/>
          <w:szCs w:val="22"/>
        </w:rPr>
        <w:t>subcontractor</w:t>
      </w:r>
      <w:r w:rsidR="00D463AF">
        <w:rPr>
          <w:rFonts w:cs="Arial"/>
          <w:sz w:val="22"/>
          <w:szCs w:val="22"/>
        </w:rPr>
        <w:t>’</w:t>
      </w:r>
      <w:r w:rsidR="00553621" w:rsidRPr="00AC7610">
        <w:rPr>
          <w:rFonts w:cs="Arial"/>
          <w:sz w:val="22"/>
          <w:szCs w:val="22"/>
        </w:rPr>
        <w:t xml:space="preserve"> relationship, in particular</w:t>
      </w:r>
      <w:r w:rsidRPr="00AC7610">
        <w:rPr>
          <w:rFonts w:cs="Arial"/>
          <w:sz w:val="22"/>
          <w:szCs w:val="22"/>
        </w:rPr>
        <w:t>, varies</w:t>
      </w:r>
      <w:r w:rsidR="00553621" w:rsidRPr="00AC7610">
        <w:rPr>
          <w:rFonts w:cs="Arial"/>
          <w:sz w:val="22"/>
          <w:szCs w:val="22"/>
        </w:rPr>
        <w:t xml:space="preserve"> across the jurisdictions:</w:t>
      </w:r>
    </w:p>
    <w:p w:rsidR="00553621" w:rsidRPr="00D463AF" w:rsidRDefault="00553621" w:rsidP="00D463AF">
      <w:pPr>
        <w:pStyle w:val="ListParagraph"/>
        <w:numPr>
          <w:ilvl w:val="0"/>
          <w:numId w:val="4"/>
        </w:numPr>
        <w:spacing w:after="120" w:line="240" w:lineRule="auto"/>
        <w:ind w:left="992" w:hanging="425"/>
        <w:jc w:val="both"/>
        <w:rPr>
          <w:rFonts w:ascii="Arial" w:eastAsia="Times New Roman" w:hAnsi="Arial" w:cs="Arial"/>
          <w:lang w:val="en-US"/>
        </w:rPr>
      </w:pPr>
      <w:r w:rsidRPr="00D463AF">
        <w:rPr>
          <w:rFonts w:ascii="Arial" w:eastAsia="Times New Roman" w:hAnsi="Arial" w:cs="Arial"/>
          <w:lang w:val="en-US"/>
        </w:rPr>
        <w:lastRenderedPageBreak/>
        <w:t>Victoria requires the builder/trade contractor (va</w:t>
      </w:r>
      <w:r w:rsidR="006E2387">
        <w:rPr>
          <w:rFonts w:ascii="Arial" w:eastAsia="Times New Roman" w:hAnsi="Arial" w:cs="Arial"/>
          <w:lang w:val="en-US"/>
        </w:rPr>
        <w:t xml:space="preserve">rious classes) to be licensed. </w:t>
      </w:r>
      <w:r w:rsidRPr="00D463AF">
        <w:rPr>
          <w:rFonts w:ascii="Arial" w:eastAsia="Times New Roman" w:hAnsi="Arial" w:cs="Arial"/>
          <w:lang w:val="en-US"/>
        </w:rPr>
        <w:t xml:space="preserve">Where a subcontractor is engaged by a licensed builder/trade contractor, that subcontractor is not required to be licensed. </w:t>
      </w:r>
    </w:p>
    <w:p w:rsidR="00553621" w:rsidRPr="00D463AF" w:rsidRDefault="00553621" w:rsidP="00D463AF">
      <w:pPr>
        <w:pStyle w:val="ListParagraph"/>
        <w:numPr>
          <w:ilvl w:val="0"/>
          <w:numId w:val="4"/>
        </w:numPr>
        <w:spacing w:after="120" w:line="240" w:lineRule="auto"/>
        <w:ind w:left="992" w:hanging="425"/>
        <w:jc w:val="both"/>
        <w:rPr>
          <w:rFonts w:ascii="Arial" w:eastAsia="Times New Roman" w:hAnsi="Arial" w:cs="Arial"/>
          <w:lang w:val="en-US"/>
        </w:rPr>
      </w:pPr>
      <w:r w:rsidRPr="00D463AF">
        <w:rPr>
          <w:rFonts w:ascii="Arial" w:eastAsia="Times New Roman" w:hAnsi="Arial" w:cs="Arial"/>
          <w:lang w:val="en-US"/>
        </w:rPr>
        <w:t xml:space="preserve">Queensland requires the builder/trade contractor (various classes) to be licensed. Where a subcontractor is engaged by a licensed builder, that subcontractor is required to be licensed. Where a subcontractor is engaged by another subcontractor they are not required to be licensed. Employees also are not required to be </w:t>
      </w:r>
      <w:r w:rsidR="003506FB" w:rsidRPr="00D463AF">
        <w:rPr>
          <w:rFonts w:ascii="Arial" w:eastAsia="Times New Roman" w:hAnsi="Arial" w:cs="Arial"/>
          <w:lang w:val="en-US"/>
        </w:rPr>
        <w:t>licensed</w:t>
      </w:r>
      <w:r w:rsidRPr="00D463AF">
        <w:rPr>
          <w:rFonts w:ascii="Arial" w:eastAsia="Times New Roman" w:hAnsi="Arial" w:cs="Arial"/>
          <w:lang w:val="en-US"/>
        </w:rPr>
        <w:t xml:space="preserve">. </w:t>
      </w:r>
    </w:p>
    <w:p w:rsidR="00553621" w:rsidRPr="00D463AF" w:rsidRDefault="00553621" w:rsidP="00D463AF">
      <w:pPr>
        <w:pStyle w:val="ListParagraph"/>
        <w:numPr>
          <w:ilvl w:val="0"/>
          <w:numId w:val="4"/>
        </w:numPr>
        <w:spacing w:after="120" w:line="240" w:lineRule="auto"/>
        <w:ind w:left="992" w:hanging="425"/>
        <w:jc w:val="both"/>
        <w:rPr>
          <w:rFonts w:ascii="Arial" w:eastAsia="Times New Roman" w:hAnsi="Arial" w:cs="Arial"/>
          <w:lang w:val="en-US"/>
        </w:rPr>
      </w:pPr>
      <w:r w:rsidRPr="00D463AF">
        <w:rPr>
          <w:rFonts w:ascii="Arial" w:eastAsia="Times New Roman" w:hAnsi="Arial" w:cs="Arial"/>
          <w:lang w:val="en-US"/>
        </w:rPr>
        <w:t>New South Wales does not require subcontractors to be licensed where the nominated supervisor for the licensed general building contractor or building trade contractor is present on the building site</w:t>
      </w:r>
      <w:r w:rsidR="00C86EC5">
        <w:rPr>
          <w:rFonts w:ascii="Arial" w:eastAsia="Times New Roman" w:hAnsi="Arial" w:cs="Arial"/>
          <w:lang w:val="en-US"/>
        </w:rPr>
        <w:t>.</w:t>
      </w:r>
      <w:r w:rsidRPr="00D463AF">
        <w:rPr>
          <w:rFonts w:ascii="Arial" w:eastAsia="Times New Roman" w:hAnsi="Arial" w:cs="Arial"/>
          <w:lang w:val="en-US"/>
        </w:rPr>
        <w:t xml:space="preserve"> </w:t>
      </w:r>
    </w:p>
    <w:p w:rsidR="00553621" w:rsidRPr="00D463AF" w:rsidRDefault="00553621" w:rsidP="00D463AF">
      <w:pPr>
        <w:pStyle w:val="ListParagraph"/>
        <w:numPr>
          <w:ilvl w:val="0"/>
          <w:numId w:val="4"/>
        </w:numPr>
        <w:spacing w:after="120" w:line="240" w:lineRule="auto"/>
        <w:ind w:left="992" w:hanging="425"/>
        <w:jc w:val="both"/>
        <w:rPr>
          <w:rFonts w:ascii="Arial" w:eastAsia="Times New Roman" w:hAnsi="Arial" w:cs="Arial"/>
          <w:lang w:val="en-US"/>
        </w:rPr>
      </w:pPr>
      <w:r w:rsidRPr="00D463AF">
        <w:rPr>
          <w:rFonts w:ascii="Arial" w:eastAsia="Times New Roman" w:hAnsi="Arial" w:cs="Arial"/>
          <w:lang w:val="en-US"/>
        </w:rPr>
        <w:t>South Australia requires a subcontractor to be licensed if performing building work.</w:t>
      </w:r>
    </w:p>
    <w:p w:rsidR="003506FB" w:rsidRPr="00D463AF" w:rsidRDefault="003506FB" w:rsidP="00D463AF">
      <w:pPr>
        <w:pStyle w:val="ListParagraph"/>
        <w:numPr>
          <w:ilvl w:val="0"/>
          <w:numId w:val="4"/>
        </w:numPr>
        <w:spacing w:after="120" w:line="240" w:lineRule="auto"/>
        <w:ind w:left="992" w:hanging="425"/>
        <w:jc w:val="both"/>
        <w:rPr>
          <w:rFonts w:ascii="Arial" w:eastAsia="Times New Roman" w:hAnsi="Arial" w:cs="Arial"/>
          <w:lang w:val="en-US"/>
        </w:rPr>
      </w:pPr>
      <w:r w:rsidRPr="00D463AF">
        <w:rPr>
          <w:rFonts w:ascii="Arial" w:eastAsia="Times New Roman" w:hAnsi="Arial" w:cs="Arial"/>
          <w:lang w:val="en-US"/>
        </w:rPr>
        <w:t>Western Australia</w:t>
      </w:r>
      <w:r w:rsidRPr="00D463AF">
        <w:rPr>
          <w:rFonts w:ascii="Arial" w:eastAsia="Times New Roman" w:hAnsi="Arial" w:cs="Arial"/>
          <w:vertAlign w:val="superscript"/>
          <w:lang w:val="en-US"/>
        </w:rPr>
        <w:footnoteReference w:id="1"/>
      </w:r>
      <w:r w:rsidRPr="00D463AF">
        <w:rPr>
          <w:rFonts w:ascii="Arial" w:eastAsia="Times New Roman" w:hAnsi="Arial" w:cs="Arial"/>
          <w:vertAlign w:val="superscript"/>
          <w:lang w:val="en-US"/>
        </w:rPr>
        <w:t>,</w:t>
      </w:r>
      <w:r w:rsidRPr="00D463AF">
        <w:rPr>
          <w:rFonts w:ascii="Arial" w:eastAsia="Times New Roman" w:hAnsi="Arial" w:cs="Arial"/>
          <w:lang w:val="en-US"/>
        </w:rPr>
        <w:t xml:space="preserve"> Tasmania, the Northern Territory and the A</w:t>
      </w:r>
      <w:r w:rsidR="006E2387">
        <w:rPr>
          <w:rFonts w:ascii="Arial" w:eastAsia="Times New Roman" w:hAnsi="Arial" w:cs="Arial"/>
          <w:lang w:val="en-US"/>
        </w:rPr>
        <w:t>ustralian Capital Territory</w:t>
      </w:r>
      <w:r w:rsidRPr="00D463AF">
        <w:rPr>
          <w:rFonts w:ascii="Arial" w:eastAsia="Times New Roman" w:hAnsi="Arial" w:cs="Arial"/>
          <w:lang w:val="en-US"/>
        </w:rPr>
        <w:t xml:space="preserve"> do not require registration or licensing of trade contractors. </w:t>
      </w:r>
    </w:p>
    <w:p w:rsidR="00553621" w:rsidRPr="00D463AF" w:rsidRDefault="00D463AF" w:rsidP="00D463AF">
      <w:pPr>
        <w:spacing w:after="120"/>
        <w:ind w:left="567" w:hanging="567"/>
        <w:jc w:val="both"/>
        <w:rPr>
          <w:i/>
          <w:sz w:val="22"/>
          <w:szCs w:val="22"/>
        </w:rPr>
      </w:pPr>
      <w:r>
        <w:rPr>
          <w:i/>
          <w:sz w:val="22"/>
          <w:szCs w:val="22"/>
        </w:rPr>
        <w:t>32.</w:t>
      </w:r>
      <w:r>
        <w:rPr>
          <w:i/>
          <w:sz w:val="22"/>
          <w:szCs w:val="22"/>
        </w:rPr>
        <w:tab/>
      </w:r>
      <w:r w:rsidR="00553621" w:rsidRPr="00D463AF">
        <w:rPr>
          <w:i/>
          <w:sz w:val="22"/>
          <w:szCs w:val="22"/>
        </w:rPr>
        <w:t>Are marked differences between jurisdictions in the nature (or even existence) of licences for specific occupations hindering the assessment of occupation equivalence? If so, how can these differences be resolved?</w:t>
      </w:r>
    </w:p>
    <w:p w:rsidR="00F95A98" w:rsidRPr="002A6B99" w:rsidRDefault="00F95A98" w:rsidP="002A6B99">
      <w:pPr>
        <w:spacing w:after="120"/>
        <w:ind w:left="567"/>
        <w:jc w:val="both"/>
        <w:rPr>
          <w:rFonts w:cs="Arial"/>
          <w:sz w:val="22"/>
          <w:szCs w:val="22"/>
        </w:rPr>
      </w:pPr>
      <w:r w:rsidRPr="002A6B99">
        <w:rPr>
          <w:rFonts w:cs="Arial"/>
          <w:sz w:val="22"/>
          <w:szCs w:val="22"/>
        </w:rPr>
        <w:t>The Ministerial declaration, in particular the equivalence tables have assisted in identifying applicants and regulators in making decisions on the appropriate licence under mutual recognition.</w:t>
      </w:r>
    </w:p>
    <w:p w:rsidR="00F95A98" w:rsidRPr="002A6B99" w:rsidRDefault="00F95A98" w:rsidP="002A6B99">
      <w:pPr>
        <w:spacing w:after="120"/>
        <w:ind w:left="567"/>
        <w:jc w:val="both"/>
        <w:rPr>
          <w:rFonts w:cs="Arial"/>
          <w:sz w:val="22"/>
          <w:szCs w:val="22"/>
        </w:rPr>
      </w:pPr>
      <w:r w:rsidRPr="002A6B99">
        <w:rPr>
          <w:rFonts w:cs="Arial"/>
          <w:sz w:val="22"/>
          <w:szCs w:val="22"/>
        </w:rPr>
        <w:t xml:space="preserve">Since the abandonment of national licensing in 2013, </w:t>
      </w:r>
      <w:r w:rsidR="00AC7610" w:rsidRPr="002A6B99">
        <w:rPr>
          <w:rFonts w:cs="Arial"/>
          <w:sz w:val="22"/>
          <w:szCs w:val="22"/>
        </w:rPr>
        <w:t xml:space="preserve">it </w:t>
      </w:r>
      <w:r w:rsidRPr="002A6B99">
        <w:rPr>
          <w:rFonts w:cs="Arial"/>
          <w:sz w:val="22"/>
          <w:szCs w:val="22"/>
        </w:rPr>
        <w:t>is likely that in the coming years a number of jurisdictions will undertake reviews of their licensing schemes and arrangements that did not occur during the 2008-2013 period.</w:t>
      </w:r>
    </w:p>
    <w:p w:rsidR="00F95A98" w:rsidRPr="002A6B99" w:rsidRDefault="00F95A98" w:rsidP="002A6B99">
      <w:pPr>
        <w:spacing w:after="120"/>
        <w:ind w:left="567"/>
        <w:jc w:val="both"/>
        <w:rPr>
          <w:rFonts w:cs="Arial"/>
          <w:sz w:val="22"/>
          <w:szCs w:val="22"/>
        </w:rPr>
      </w:pPr>
      <w:r w:rsidRPr="002A6B99">
        <w:rPr>
          <w:rFonts w:cs="Arial"/>
          <w:sz w:val="22"/>
          <w:szCs w:val="22"/>
        </w:rPr>
        <w:t xml:space="preserve">It will be important in this period that </w:t>
      </w:r>
      <w:r w:rsidR="00AC7610" w:rsidRPr="002A6B99">
        <w:rPr>
          <w:rFonts w:cs="Arial"/>
          <w:sz w:val="22"/>
          <w:szCs w:val="22"/>
        </w:rPr>
        <w:t xml:space="preserve">any </w:t>
      </w:r>
      <w:r w:rsidRPr="002A6B99">
        <w:rPr>
          <w:rFonts w:cs="Arial"/>
          <w:sz w:val="22"/>
          <w:szCs w:val="22"/>
        </w:rPr>
        <w:t xml:space="preserve">changes to licence classes or conditions </w:t>
      </w:r>
      <w:r w:rsidR="00AC7610" w:rsidRPr="002A6B99">
        <w:rPr>
          <w:rFonts w:cs="Arial"/>
          <w:sz w:val="22"/>
          <w:szCs w:val="22"/>
        </w:rPr>
        <w:t>are reflected in the equivalence tables.</w:t>
      </w:r>
    </w:p>
    <w:p w:rsidR="00553621" w:rsidRPr="00D463AF" w:rsidRDefault="00D463AF" w:rsidP="00D463AF">
      <w:pPr>
        <w:spacing w:after="120"/>
        <w:ind w:left="567" w:hanging="567"/>
        <w:jc w:val="both"/>
        <w:rPr>
          <w:i/>
          <w:sz w:val="22"/>
          <w:szCs w:val="22"/>
        </w:rPr>
      </w:pPr>
      <w:r>
        <w:rPr>
          <w:i/>
          <w:sz w:val="22"/>
          <w:szCs w:val="22"/>
        </w:rPr>
        <w:t>33.</w:t>
      </w:r>
      <w:r>
        <w:rPr>
          <w:i/>
          <w:sz w:val="22"/>
          <w:szCs w:val="22"/>
        </w:rPr>
        <w:tab/>
      </w:r>
      <w:r w:rsidR="00553621" w:rsidRPr="00D463AF">
        <w:rPr>
          <w:i/>
          <w:sz w:val="22"/>
          <w:szCs w:val="22"/>
        </w:rPr>
        <w:t>To what extent have Ministerial Declarations had a positive impact on geographic labour mobility? How could the declarations process be made more efficient and what would be the advantages and disadvantages of any change?</w:t>
      </w:r>
    </w:p>
    <w:p w:rsidR="00553621" w:rsidRPr="00D463AF" w:rsidRDefault="00D463AF" w:rsidP="00D463AF">
      <w:pPr>
        <w:spacing w:after="120"/>
        <w:ind w:left="567" w:hanging="567"/>
        <w:jc w:val="both"/>
        <w:rPr>
          <w:i/>
          <w:sz w:val="22"/>
          <w:szCs w:val="22"/>
        </w:rPr>
      </w:pPr>
      <w:r>
        <w:rPr>
          <w:i/>
          <w:sz w:val="22"/>
          <w:szCs w:val="22"/>
        </w:rPr>
        <w:t>34.</w:t>
      </w:r>
      <w:r>
        <w:rPr>
          <w:i/>
          <w:sz w:val="22"/>
          <w:szCs w:val="22"/>
        </w:rPr>
        <w:tab/>
      </w:r>
      <w:r w:rsidR="00553621" w:rsidRPr="00D463AF">
        <w:rPr>
          <w:i/>
          <w:sz w:val="22"/>
          <w:szCs w:val="22"/>
        </w:rPr>
        <w:t xml:space="preserve">The Ministerial declaration, in particular the equivalence tables </w:t>
      </w:r>
      <w:r w:rsidR="00F95A98" w:rsidRPr="00D463AF">
        <w:rPr>
          <w:i/>
          <w:sz w:val="22"/>
          <w:szCs w:val="22"/>
        </w:rPr>
        <w:t xml:space="preserve">have </w:t>
      </w:r>
      <w:r w:rsidR="00553621" w:rsidRPr="00D463AF">
        <w:rPr>
          <w:i/>
          <w:sz w:val="22"/>
          <w:szCs w:val="22"/>
        </w:rPr>
        <w:t>assist</w:t>
      </w:r>
      <w:r w:rsidR="00F95A98" w:rsidRPr="00D463AF">
        <w:rPr>
          <w:i/>
          <w:sz w:val="22"/>
          <w:szCs w:val="22"/>
        </w:rPr>
        <w:t xml:space="preserve">ed in identifying applicants and </w:t>
      </w:r>
      <w:r w:rsidR="00553621" w:rsidRPr="00D463AF">
        <w:rPr>
          <w:i/>
          <w:sz w:val="22"/>
          <w:szCs w:val="22"/>
        </w:rPr>
        <w:t xml:space="preserve">regulators in making decisions on </w:t>
      </w:r>
      <w:r w:rsidR="00F95A98" w:rsidRPr="00D463AF">
        <w:rPr>
          <w:i/>
          <w:sz w:val="22"/>
          <w:szCs w:val="22"/>
        </w:rPr>
        <w:t xml:space="preserve">the appropriate </w:t>
      </w:r>
      <w:r w:rsidR="00553621" w:rsidRPr="00D463AF">
        <w:rPr>
          <w:i/>
          <w:sz w:val="22"/>
          <w:szCs w:val="22"/>
        </w:rPr>
        <w:t>licence under mutual recognition</w:t>
      </w:r>
      <w:r w:rsidR="00F95A98" w:rsidRPr="00D463AF">
        <w:rPr>
          <w:i/>
          <w:sz w:val="22"/>
          <w:szCs w:val="22"/>
        </w:rPr>
        <w:t>.</w:t>
      </w:r>
    </w:p>
    <w:p w:rsidR="00553621" w:rsidRPr="00D463AF" w:rsidRDefault="00D463AF" w:rsidP="00D463AF">
      <w:pPr>
        <w:spacing w:after="120"/>
        <w:ind w:left="567" w:hanging="567"/>
        <w:jc w:val="both"/>
        <w:rPr>
          <w:i/>
          <w:sz w:val="22"/>
          <w:szCs w:val="22"/>
        </w:rPr>
      </w:pPr>
      <w:r>
        <w:rPr>
          <w:i/>
          <w:sz w:val="22"/>
          <w:szCs w:val="22"/>
        </w:rPr>
        <w:t>35.</w:t>
      </w:r>
      <w:r>
        <w:rPr>
          <w:i/>
          <w:sz w:val="22"/>
          <w:szCs w:val="22"/>
        </w:rPr>
        <w:tab/>
      </w:r>
      <w:r w:rsidR="00553621" w:rsidRPr="00D463AF">
        <w:rPr>
          <w:i/>
          <w:sz w:val="22"/>
          <w:szCs w:val="22"/>
        </w:rPr>
        <w:t>Have current arrangements ensured that Ministerial Declarations are kept up to date? If not, what changes are required, and what would be the costs and benefits?</w:t>
      </w:r>
    </w:p>
    <w:p w:rsidR="00553621" w:rsidRPr="00D463AF" w:rsidRDefault="00D463AF" w:rsidP="00D463AF">
      <w:pPr>
        <w:spacing w:after="120"/>
        <w:ind w:left="567" w:hanging="567"/>
        <w:jc w:val="both"/>
        <w:rPr>
          <w:i/>
          <w:sz w:val="22"/>
          <w:szCs w:val="22"/>
        </w:rPr>
      </w:pPr>
      <w:r>
        <w:rPr>
          <w:i/>
          <w:sz w:val="22"/>
          <w:szCs w:val="22"/>
        </w:rPr>
        <w:t>36.</w:t>
      </w:r>
      <w:r>
        <w:rPr>
          <w:i/>
          <w:sz w:val="22"/>
          <w:szCs w:val="22"/>
        </w:rPr>
        <w:tab/>
      </w:r>
      <w:r w:rsidR="00553621" w:rsidRPr="00D463AF">
        <w:rPr>
          <w:i/>
          <w:sz w:val="22"/>
          <w:szCs w:val="22"/>
        </w:rPr>
        <w:t>Are there registered occupations not currently subject to a Ministerial Declaration — including occupations registered in New Zealand — which should be? Are there any barriers to this occurring?</w:t>
      </w:r>
    </w:p>
    <w:p w:rsidR="00553621" w:rsidRPr="00B13088" w:rsidRDefault="00F81E97" w:rsidP="00B13088">
      <w:pPr>
        <w:spacing w:after="120"/>
        <w:ind w:left="567"/>
        <w:jc w:val="both"/>
        <w:rPr>
          <w:rFonts w:cs="Arial"/>
          <w:sz w:val="22"/>
          <w:szCs w:val="22"/>
        </w:rPr>
      </w:pPr>
      <w:r>
        <w:rPr>
          <w:rFonts w:cs="Arial"/>
          <w:sz w:val="22"/>
          <w:szCs w:val="22"/>
        </w:rPr>
        <w:t>For questions 33</w:t>
      </w:r>
      <w:r w:rsidR="00B13088">
        <w:rPr>
          <w:rFonts w:cs="Arial"/>
          <w:sz w:val="22"/>
          <w:szCs w:val="22"/>
        </w:rPr>
        <w:t xml:space="preserve"> </w:t>
      </w:r>
      <w:r w:rsidR="008C08BF">
        <w:rPr>
          <w:rFonts w:cs="Arial"/>
          <w:sz w:val="22"/>
          <w:szCs w:val="22"/>
        </w:rPr>
        <w:t xml:space="preserve">– </w:t>
      </w:r>
      <w:r>
        <w:rPr>
          <w:rFonts w:cs="Arial"/>
          <w:sz w:val="22"/>
          <w:szCs w:val="22"/>
        </w:rPr>
        <w:t>36, s</w:t>
      </w:r>
      <w:r w:rsidR="00AC7610" w:rsidRPr="00AC7610">
        <w:rPr>
          <w:rFonts w:cs="Arial"/>
          <w:sz w:val="22"/>
          <w:szCs w:val="22"/>
        </w:rPr>
        <w:t xml:space="preserve">ee comments above </w:t>
      </w:r>
    </w:p>
    <w:p w:rsidR="00553621" w:rsidRPr="00B13088" w:rsidRDefault="00B13088" w:rsidP="00B13088">
      <w:pPr>
        <w:spacing w:after="120"/>
        <w:ind w:left="567" w:hanging="567"/>
        <w:jc w:val="both"/>
        <w:rPr>
          <w:i/>
          <w:sz w:val="22"/>
          <w:szCs w:val="22"/>
        </w:rPr>
      </w:pPr>
      <w:r>
        <w:rPr>
          <w:i/>
          <w:sz w:val="22"/>
          <w:szCs w:val="22"/>
        </w:rPr>
        <w:t>37.</w:t>
      </w:r>
      <w:r>
        <w:rPr>
          <w:i/>
          <w:sz w:val="22"/>
          <w:szCs w:val="22"/>
        </w:rPr>
        <w:tab/>
      </w:r>
      <w:r w:rsidR="00553621" w:rsidRPr="00B13088">
        <w:rPr>
          <w:i/>
          <w:sz w:val="22"/>
          <w:szCs w:val="22"/>
        </w:rPr>
        <w:t>How often do occupation</w:t>
      </w:r>
      <w:r w:rsidR="00553621" w:rsidRPr="00B13088">
        <w:rPr>
          <w:i/>
          <w:sz w:val="22"/>
          <w:szCs w:val="22"/>
        </w:rPr>
        <w:noBreakHyphen/>
        <w:t>registration bodies impose conditions on people registering under mutual recognition? In which occupations or jurisdictions does this most often occur, and what conditions are imposed?</w:t>
      </w:r>
    </w:p>
    <w:p w:rsidR="00553621" w:rsidRDefault="00C86EC5" w:rsidP="00B13088">
      <w:pPr>
        <w:spacing w:after="120"/>
        <w:ind w:left="567"/>
        <w:jc w:val="both"/>
        <w:rPr>
          <w:rFonts w:cs="Arial"/>
          <w:sz w:val="22"/>
          <w:szCs w:val="22"/>
        </w:rPr>
      </w:pPr>
      <w:r>
        <w:rPr>
          <w:rFonts w:cs="Arial"/>
          <w:sz w:val="22"/>
          <w:szCs w:val="22"/>
        </w:rPr>
        <w:t>Occasionally, certain conditions are imposed b</w:t>
      </w:r>
      <w:r w:rsidR="00553621" w:rsidRPr="00AC7610">
        <w:rPr>
          <w:rFonts w:cs="Arial"/>
          <w:sz w:val="22"/>
          <w:szCs w:val="22"/>
        </w:rPr>
        <w:t>ecause of the complexity in marrying the different licence classes across</w:t>
      </w:r>
      <w:r w:rsidR="00AC7610" w:rsidRPr="00AC7610">
        <w:rPr>
          <w:rFonts w:cs="Arial"/>
          <w:sz w:val="22"/>
          <w:szCs w:val="22"/>
        </w:rPr>
        <w:t>.</w:t>
      </w:r>
    </w:p>
    <w:p w:rsidR="00553621" w:rsidRPr="00B13088" w:rsidRDefault="00AC7610" w:rsidP="00B13088">
      <w:pPr>
        <w:spacing w:after="120"/>
        <w:ind w:left="567"/>
        <w:jc w:val="both"/>
        <w:rPr>
          <w:rFonts w:cs="Arial"/>
          <w:sz w:val="22"/>
          <w:szCs w:val="22"/>
        </w:rPr>
      </w:pPr>
      <w:r w:rsidRPr="00AC7610">
        <w:rPr>
          <w:rFonts w:cs="Arial"/>
          <w:sz w:val="22"/>
          <w:szCs w:val="22"/>
        </w:rPr>
        <w:t xml:space="preserve">For instance in </w:t>
      </w:r>
      <w:r w:rsidR="00C86EC5">
        <w:rPr>
          <w:rFonts w:cs="Arial"/>
          <w:sz w:val="22"/>
          <w:szCs w:val="22"/>
        </w:rPr>
        <w:t>Western Australia</w:t>
      </w:r>
      <w:r w:rsidR="00553621" w:rsidRPr="00AC7610">
        <w:rPr>
          <w:rFonts w:cs="Arial"/>
          <w:sz w:val="22"/>
          <w:szCs w:val="22"/>
        </w:rPr>
        <w:t xml:space="preserve"> there is only one categor</w:t>
      </w:r>
      <w:r w:rsidRPr="00AC7610">
        <w:rPr>
          <w:rFonts w:cs="Arial"/>
          <w:sz w:val="22"/>
          <w:szCs w:val="22"/>
        </w:rPr>
        <w:t>y of registration for builders with relatively high entry requirements</w:t>
      </w:r>
      <w:r w:rsidRPr="00B13088">
        <w:rPr>
          <w:sz w:val="22"/>
          <w:szCs w:val="22"/>
          <w:vertAlign w:val="superscript"/>
        </w:rPr>
        <w:footnoteReference w:id="2"/>
      </w:r>
      <w:r w:rsidR="00C86EC5">
        <w:rPr>
          <w:rFonts w:cs="Arial"/>
          <w:sz w:val="22"/>
          <w:szCs w:val="22"/>
        </w:rPr>
        <w:t>. R</w:t>
      </w:r>
      <w:r w:rsidR="00553621" w:rsidRPr="00AC7610">
        <w:rPr>
          <w:rFonts w:cs="Arial"/>
          <w:sz w:val="22"/>
          <w:szCs w:val="22"/>
        </w:rPr>
        <w:t xml:space="preserve">estrictions are </w:t>
      </w:r>
      <w:r w:rsidR="00C86EC5">
        <w:rPr>
          <w:rFonts w:cs="Arial"/>
          <w:sz w:val="22"/>
          <w:szCs w:val="22"/>
        </w:rPr>
        <w:t xml:space="preserve">therefore </w:t>
      </w:r>
      <w:r w:rsidR="00553621" w:rsidRPr="00AC7610">
        <w:rPr>
          <w:rFonts w:cs="Arial"/>
          <w:sz w:val="22"/>
          <w:szCs w:val="22"/>
        </w:rPr>
        <w:t>placed on applicants from other jurisdictions.</w:t>
      </w:r>
    </w:p>
    <w:p w:rsidR="00553621" w:rsidRPr="00B13088" w:rsidRDefault="00AC7610" w:rsidP="00B13088">
      <w:pPr>
        <w:spacing w:after="120"/>
        <w:ind w:left="567"/>
        <w:jc w:val="both"/>
        <w:rPr>
          <w:rFonts w:cs="Arial"/>
          <w:sz w:val="22"/>
          <w:szCs w:val="22"/>
        </w:rPr>
      </w:pPr>
      <w:r w:rsidRPr="00AC7610">
        <w:rPr>
          <w:rFonts w:cs="Arial"/>
          <w:sz w:val="22"/>
          <w:szCs w:val="22"/>
        </w:rPr>
        <w:lastRenderedPageBreak/>
        <w:t xml:space="preserve">As an example, a </w:t>
      </w:r>
      <w:r w:rsidR="00F95A98" w:rsidRPr="00AC7610">
        <w:rPr>
          <w:rFonts w:cs="Arial"/>
          <w:sz w:val="22"/>
          <w:szCs w:val="22"/>
        </w:rPr>
        <w:t>builder</w:t>
      </w:r>
      <w:r w:rsidR="00553621" w:rsidRPr="00AC7610">
        <w:rPr>
          <w:rFonts w:cs="Arial"/>
          <w:sz w:val="22"/>
          <w:szCs w:val="22"/>
        </w:rPr>
        <w:t xml:space="preserve"> with a low</w:t>
      </w:r>
      <w:r w:rsidR="00C86EC5">
        <w:rPr>
          <w:rFonts w:cs="Arial"/>
          <w:sz w:val="22"/>
          <w:szCs w:val="22"/>
        </w:rPr>
        <w:t>-</w:t>
      </w:r>
      <w:r w:rsidR="00553621" w:rsidRPr="00AC7610">
        <w:rPr>
          <w:rFonts w:cs="Arial"/>
          <w:sz w:val="22"/>
          <w:szCs w:val="22"/>
        </w:rPr>
        <w:t xml:space="preserve">rise </w:t>
      </w:r>
      <w:r w:rsidR="00C86EC5">
        <w:rPr>
          <w:rFonts w:cs="Arial"/>
          <w:sz w:val="22"/>
          <w:szCs w:val="22"/>
        </w:rPr>
        <w:t xml:space="preserve">(building) </w:t>
      </w:r>
      <w:r w:rsidR="00F95A98" w:rsidRPr="00AC7610">
        <w:rPr>
          <w:rFonts w:cs="Arial"/>
          <w:sz w:val="22"/>
          <w:szCs w:val="22"/>
        </w:rPr>
        <w:t>contractor’s</w:t>
      </w:r>
      <w:r w:rsidR="00553621" w:rsidRPr="00AC7610">
        <w:rPr>
          <w:rFonts w:cs="Arial"/>
          <w:sz w:val="22"/>
          <w:szCs w:val="22"/>
        </w:rPr>
        <w:t xml:space="preserve"> licence in Queensland, </w:t>
      </w:r>
      <w:r w:rsidR="00C86EC5">
        <w:rPr>
          <w:rFonts w:cs="Arial"/>
          <w:sz w:val="22"/>
          <w:szCs w:val="22"/>
        </w:rPr>
        <w:t>may</w:t>
      </w:r>
      <w:r w:rsidR="00553621" w:rsidRPr="00AC7610">
        <w:rPr>
          <w:rFonts w:cs="Arial"/>
          <w:sz w:val="22"/>
          <w:szCs w:val="22"/>
        </w:rPr>
        <w:t xml:space="preserve"> hold a builder’s licence in </w:t>
      </w:r>
      <w:r w:rsidR="00F95A98" w:rsidRPr="00AC7610">
        <w:rPr>
          <w:rFonts w:cs="Arial"/>
          <w:sz w:val="22"/>
          <w:szCs w:val="22"/>
        </w:rPr>
        <w:t>W</w:t>
      </w:r>
      <w:r w:rsidR="00553621" w:rsidRPr="00AC7610">
        <w:rPr>
          <w:rFonts w:cs="Arial"/>
          <w:sz w:val="22"/>
          <w:szCs w:val="22"/>
        </w:rPr>
        <w:t>estern Australia</w:t>
      </w:r>
      <w:r w:rsidR="00C86EC5">
        <w:rPr>
          <w:rFonts w:cs="Arial"/>
          <w:sz w:val="22"/>
          <w:szCs w:val="22"/>
        </w:rPr>
        <w:t>,</w:t>
      </w:r>
      <w:r w:rsidR="00553621" w:rsidRPr="00AC7610">
        <w:rPr>
          <w:rFonts w:cs="Arial"/>
          <w:sz w:val="22"/>
          <w:szCs w:val="22"/>
        </w:rPr>
        <w:t xml:space="preserve"> but with restrictions limiting the work to </w:t>
      </w:r>
      <w:r w:rsidR="00C86EC5">
        <w:rPr>
          <w:rFonts w:cs="Arial"/>
          <w:sz w:val="22"/>
          <w:szCs w:val="22"/>
        </w:rPr>
        <w:t>certain low-</w:t>
      </w:r>
      <w:r w:rsidR="00F95A98" w:rsidRPr="00AC7610">
        <w:rPr>
          <w:rFonts w:cs="Arial"/>
          <w:sz w:val="22"/>
          <w:szCs w:val="22"/>
        </w:rPr>
        <w:t xml:space="preserve">rise building </w:t>
      </w:r>
      <w:r w:rsidR="00553621" w:rsidRPr="00AC7610">
        <w:rPr>
          <w:rFonts w:cs="Arial"/>
          <w:sz w:val="22"/>
          <w:szCs w:val="22"/>
        </w:rPr>
        <w:t xml:space="preserve">classes </w:t>
      </w:r>
      <w:r w:rsidR="00F95A98" w:rsidRPr="00AC7610">
        <w:rPr>
          <w:rFonts w:cs="Arial"/>
          <w:sz w:val="22"/>
          <w:szCs w:val="22"/>
        </w:rPr>
        <w:t xml:space="preserve">covered under the </w:t>
      </w:r>
      <w:r w:rsidR="00C86EC5">
        <w:rPr>
          <w:rFonts w:cs="Arial"/>
          <w:sz w:val="22"/>
          <w:szCs w:val="22"/>
        </w:rPr>
        <w:t>NCC</w:t>
      </w:r>
      <w:r w:rsidR="00F95A98" w:rsidRPr="00AC7610">
        <w:rPr>
          <w:rFonts w:cs="Arial"/>
          <w:sz w:val="22"/>
          <w:szCs w:val="22"/>
        </w:rPr>
        <w:t>.</w:t>
      </w:r>
    </w:p>
    <w:p w:rsidR="00553621" w:rsidRPr="00B13088" w:rsidRDefault="00B13088" w:rsidP="00B13088">
      <w:pPr>
        <w:spacing w:after="120"/>
        <w:ind w:left="567" w:hanging="567"/>
        <w:jc w:val="both"/>
        <w:rPr>
          <w:i/>
          <w:sz w:val="22"/>
          <w:szCs w:val="22"/>
        </w:rPr>
      </w:pPr>
      <w:r>
        <w:rPr>
          <w:i/>
          <w:sz w:val="22"/>
          <w:szCs w:val="22"/>
        </w:rPr>
        <w:t>38.</w:t>
      </w:r>
      <w:r>
        <w:rPr>
          <w:i/>
          <w:sz w:val="22"/>
          <w:szCs w:val="22"/>
        </w:rPr>
        <w:tab/>
      </w:r>
      <w:r w:rsidR="00553621" w:rsidRPr="00B13088">
        <w:rPr>
          <w:i/>
          <w:sz w:val="22"/>
          <w:szCs w:val="22"/>
        </w:rPr>
        <w:t>Are the systems for setting conditions on occupations effective and efficient? If not, what changes are required, and what would be the costs and benefits?</w:t>
      </w:r>
    </w:p>
    <w:p w:rsidR="00553621" w:rsidRPr="00B13088" w:rsidRDefault="00F95A98" w:rsidP="00B13088">
      <w:pPr>
        <w:spacing w:after="120"/>
        <w:ind w:left="567"/>
        <w:jc w:val="both"/>
        <w:rPr>
          <w:rFonts w:cs="Arial"/>
          <w:sz w:val="22"/>
          <w:szCs w:val="22"/>
        </w:rPr>
      </w:pPr>
      <w:r w:rsidRPr="00EA3942">
        <w:rPr>
          <w:rFonts w:cs="Arial"/>
          <w:sz w:val="22"/>
          <w:szCs w:val="22"/>
        </w:rPr>
        <w:t>No further comment.</w:t>
      </w:r>
    </w:p>
    <w:p w:rsidR="00553621" w:rsidRPr="00B13088" w:rsidRDefault="00B13088" w:rsidP="00B13088">
      <w:pPr>
        <w:spacing w:after="120"/>
        <w:ind w:left="567" w:hanging="567"/>
        <w:jc w:val="both"/>
        <w:rPr>
          <w:i/>
          <w:sz w:val="22"/>
          <w:szCs w:val="22"/>
        </w:rPr>
      </w:pPr>
      <w:r>
        <w:rPr>
          <w:i/>
          <w:sz w:val="22"/>
          <w:szCs w:val="22"/>
        </w:rPr>
        <w:t>39.</w:t>
      </w:r>
      <w:r>
        <w:rPr>
          <w:i/>
          <w:sz w:val="22"/>
          <w:szCs w:val="22"/>
        </w:rPr>
        <w:tab/>
      </w:r>
      <w:r w:rsidR="00553621" w:rsidRPr="00B13088">
        <w:rPr>
          <w:i/>
          <w:sz w:val="22"/>
          <w:szCs w:val="22"/>
        </w:rPr>
        <w:t>Have the review processes available through the Administrative Appeals Tribunal and Trans</w:t>
      </w:r>
      <w:r w:rsidR="00553621" w:rsidRPr="00B13088">
        <w:rPr>
          <w:i/>
          <w:sz w:val="22"/>
          <w:szCs w:val="22"/>
        </w:rPr>
        <w:noBreakHyphen/>
        <w:t>Tasman Occupations Tribunal been effective in addressing disputes about conditions imposed on occupational registrations?</w:t>
      </w:r>
    </w:p>
    <w:p w:rsidR="00EA3942" w:rsidRPr="00B13088" w:rsidRDefault="00EA3942" w:rsidP="00B13088">
      <w:pPr>
        <w:spacing w:after="120"/>
        <w:ind w:left="567"/>
        <w:jc w:val="both"/>
        <w:rPr>
          <w:rFonts w:cs="Arial"/>
          <w:sz w:val="22"/>
          <w:szCs w:val="22"/>
        </w:rPr>
      </w:pPr>
      <w:r w:rsidRPr="00EA3942">
        <w:rPr>
          <w:rFonts w:cs="Arial"/>
          <w:sz w:val="22"/>
          <w:szCs w:val="22"/>
        </w:rPr>
        <w:t>No comment.</w:t>
      </w:r>
    </w:p>
    <w:p w:rsidR="00553621" w:rsidRPr="00B13088" w:rsidRDefault="00B13088" w:rsidP="00B13088">
      <w:pPr>
        <w:spacing w:after="120"/>
        <w:ind w:left="567" w:hanging="567"/>
        <w:jc w:val="both"/>
        <w:rPr>
          <w:i/>
          <w:sz w:val="22"/>
          <w:szCs w:val="22"/>
        </w:rPr>
      </w:pPr>
      <w:r>
        <w:rPr>
          <w:i/>
          <w:sz w:val="22"/>
          <w:szCs w:val="22"/>
        </w:rPr>
        <w:t>40.</w:t>
      </w:r>
      <w:r>
        <w:rPr>
          <w:i/>
          <w:sz w:val="22"/>
          <w:szCs w:val="22"/>
        </w:rPr>
        <w:tab/>
      </w:r>
      <w:r w:rsidR="00553621" w:rsidRPr="00B13088">
        <w:rPr>
          <w:i/>
          <w:sz w:val="22"/>
          <w:szCs w:val="22"/>
        </w:rPr>
        <w:t>Should people registered under mutual recognition be subject to the same ongoing requirements as other licence holders in a jurisdiction? Why or why not?</w:t>
      </w:r>
    </w:p>
    <w:p w:rsidR="00553621" w:rsidRPr="00B13088" w:rsidRDefault="00B92C74" w:rsidP="00B13088">
      <w:pPr>
        <w:spacing w:after="120"/>
        <w:ind w:left="567"/>
        <w:jc w:val="both"/>
        <w:rPr>
          <w:rFonts w:cs="Arial"/>
          <w:sz w:val="22"/>
          <w:szCs w:val="22"/>
        </w:rPr>
      </w:pPr>
      <w:r w:rsidRPr="00EA3942">
        <w:rPr>
          <w:rFonts w:cs="Arial"/>
          <w:sz w:val="22"/>
          <w:szCs w:val="22"/>
        </w:rPr>
        <w:t>Some states maintain demerits points systems</w:t>
      </w:r>
      <w:r w:rsidRPr="00B13088">
        <w:rPr>
          <w:vertAlign w:val="superscript"/>
        </w:rPr>
        <w:footnoteReference w:id="3"/>
      </w:r>
      <w:r w:rsidRPr="00EA3942">
        <w:rPr>
          <w:rFonts w:cs="Arial"/>
          <w:sz w:val="22"/>
          <w:szCs w:val="22"/>
        </w:rPr>
        <w:t xml:space="preserve"> and compulsory professional development (CPD)</w:t>
      </w:r>
      <w:r w:rsidRPr="00B13088">
        <w:rPr>
          <w:vertAlign w:val="superscript"/>
        </w:rPr>
        <w:footnoteReference w:id="4"/>
      </w:r>
      <w:r w:rsidRPr="00EA3942">
        <w:rPr>
          <w:rFonts w:cs="Arial"/>
          <w:sz w:val="22"/>
          <w:szCs w:val="22"/>
        </w:rPr>
        <w:t xml:space="preserve"> as part of their builder’s licensing system.</w:t>
      </w:r>
    </w:p>
    <w:p w:rsidR="00553621" w:rsidRPr="00B13088" w:rsidRDefault="00553621" w:rsidP="00B13088">
      <w:pPr>
        <w:spacing w:after="120"/>
        <w:ind w:left="567"/>
        <w:jc w:val="both"/>
        <w:rPr>
          <w:rFonts w:cs="Arial"/>
          <w:sz w:val="22"/>
          <w:szCs w:val="22"/>
        </w:rPr>
      </w:pPr>
      <w:r w:rsidRPr="00B13088">
        <w:rPr>
          <w:rFonts w:cs="Arial"/>
          <w:sz w:val="22"/>
          <w:szCs w:val="22"/>
        </w:rPr>
        <w:t xml:space="preserve">HIA does not support mutually recognised licensees being similarly subject to CPD. </w:t>
      </w:r>
      <w:r w:rsidR="00B92C74" w:rsidRPr="00B13088">
        <w:rPr>
          <w:rFonts w:cs="Arial"/>
          <w:sz w:val="22"/>
          <w:szCs w:val="22"/>
        </w:rPr>
        <w:t xml:space="preserve">It would </w:t>
      </w:r>
      <w:r w:rsidR="00EC0BBC" w:rsidRPr="00B13088">
        <w:rPr>
          <w:rFonts w:cs="Arial"/>
          <w:sz w:val="22"/>
          <w:szCs w:val="22"/>
        </w:rPr>
        <w:t xml:space="preserve">unnecessarily and artificially </w:t>
      </w:r>
      <w:r w:rsidR="00B92C74" w:rsidRPr="00B13088">
        <w:rPr>
          <w:rFonts w:cs="Arial"/>
          <w:sz w:val="22"/>
          <w:szCs w:val="22"/>
        </w:rPr>
        <w:t xml:space="preserve">increase </w:t>
      </w:r>
      <w:r w:rsidR="00EC0BBC" w:rsidRPr="00B13088">
        <w:rPr>
          <w:rFonts w:cs="Arial"/>
          <w:sz w:val="22"/>
          <w:szCs w:val="22"/>
        </w:rPr>
        <w:t xml:space="preserve">the </w:t>
      </w:r>
      <w:r w:rsidR="00B92C74" w:rsidRPr="00B13088">
        <w:rPr>
          <w:rFonts w:cs="Arial"/>
          <w:sz w:val="22"/>
          <w:szCs w:val="22"/>
        </w:rPr>
        <w:t xml:space="preserve">costs </w:t>
      </w:r>
      <w:r w:rsidR="00EC0BBC" w:rsidRPr="00B13088">
        <w:rPr>
          <w:rFonts w:cs="Arial"/>
          <w:sz w:val="22"/>
          <w:szCs w:val="22"/>
        </w:rPr>
        <w:t>of mutual recognition.</w:t>
      </w:r>
    </w:p>
    <w:p w:rsidR="00553621" w:rsidRPr="00B13088" w:rsidRDefault="00553621" w:rsidP="00B13088">
      <w:pPr>
        <w:spacing w:after="120"/>
        <w:ind w:left="567"/>
        <w:jc w:val="both"/>
        <w:rPr>
          <w:rFonts w:cs="Arial"/>
          <w:sz w:val="22"/>
          <w:szCs w:val="22"/>
        </w:rPr>
      </w:pPr>
      <w:r w:rsidRPr="00B13088">
        <w:rPr>
          <w:rFonts w:cs="Arial"/>
          <w:sz w:val="22"/>
          <w:szCs w:val="22"/>
        </w:rPr>
        <w:t xml:space="preserve">CPD is an unnecessary piece of red tape that adds </w:t>
      </w:r>
      <w:r w:rsidR="00B92C74" w:rsidRPr="00B13088">
        <w:rPr>
          <w:rFonts w:cs="Arial"/>
          <w:sz w:val="22"/>
          <w:szCs w:val="22"/>
        </w:rPr>
        <w:t xml:space="preserve">costs </w:t>
      </w:r>
      <w:r w:rsidRPr="00B13088">
        <w:rPr>
          <w:rFonts w:cs="Arial"/>
          <w:sz w:val="22"/>
          <w:szCs w:val="22"/>
        </w:rPr>
        <w:t xml:space="preserve">to an already </w:t>
      </w:r>
      <w:r w:rsidR="00B92C74" w:rsidRPr="00B13088">
        <w:rPr>
          <w:rFonts w:cs="Arial"/>
          <w:sz w:val="22"/>
          <w:szCs w:val="22"/>
        </w:rPr>
        <w:t xml:space="preserve">significantly regulated </w:t>
      </w:r>
      <w:r w:rsidRPr="00B13088">
        <w:rPr>
          <w:rFonts w:cs="Arial"/>
          <w:sz w:val="22"/>
          <w:szCs w:val="22"/>
        </w:rPr>
        <w:t xml:space="preserve">industry. </w:t>
      </w:r>
      <w:r w:rsidR="00B92C74" w:rsidRPr="00B13088">
        <w:rPr>
          <w:rFonts w:cs="Arial"/>
          <w:sz w:val="22"/>
          <w:szCs w:val="22"/>
        </w:rPr>
        <w:t>As IPART in 2014 concluded</w:t>
      </w:r>
      <w:r w:rsidR="00EC0BBC" w:rsidRPr="00B13088">
        <w:rPr>
          <w:rFonts w:cs="Arial"/>
          <w:sz w:val="22"/>
          <w:szCs w:val="22"/>
        </w:rPr>
        <w:t xml:space="preserve"> about the New South Wales scheme</w:t>
      </w:r>
      <w:r w:rsidR="00B92C74" w:rsidRPr="00B13088">
        <w:rPr>
          <w:rFonts w:cs="Arial"/>
          <w:sz w:val="22"/>
          <w:szCs w:val="22"/>
        </w:rPr>
        <w:t xml:space="preserve">, </w:t>
      </w:r>
      <w:r w:rsidRPr="00B13088">
        <w:rPr>
          <w:rFonts w:cs="Arial"/>
          <w:sz w:val="22"/>
          <w:szCs w:val="22"/>
        </w:rPr>
        <w:t xml:space="preserve">CPD neither guarantees that learning takes place nor does guarantee that these ‘learnings’ will be translated into changes that improve practice within the industry. </w:t>
      </w:r>
    </w:p>
    <w:p w:rsidR="00B92C74" w:rsidRPr="00B13088" w:rsidRDefault="00EC0BBC" w:rsidP="00B13088">
      <w:pPr>
        <w:spacing w:after="120"/>
        <w:ind w:left="567"/>
        <w:jc w:val="both"/>
        <w:rPr>
          <w:rFonts w:cs="Arial"/>
          <w:sz w:val="22"/>
          <w:szCs w:val="22"/>
        </w:rPr>
      </w:pPr>
      <w:r w:rsidRPr="00EA3942">
        <w:rPr>
          <w:rFonts w:cs="Arial"/>
          <w:sz w:val="22"/>
          <w:szCs w:val="22"/>
        </w:rPr>
        <w:t xml:space="preserve">Whilst it is necessary that a mutually recognised licensee complies with and is subject to the same laws and regulations when doing work in another state, HIA does not support the extension of a uniform demerit point system. </w:t>
      </w:r>
    </w:p>
    <w:p w:rsidR="00553621" w:rsidRPr="00B13088" w:rsidRDefault="00B13088" w:rsidP="00B13088">
      <w:pPr>
        <w:spacing w:after="120"/>
        <w:ind w:left="567" w:hanging="567"/>
        <w:jc w:val="both"/>
        <w:rPr>
          <w:i/>
          <w:sz w:val="22"/>
          <w:szCs w:val="22"/>
        </w:rPr>
      </w:pPr>
      <w:r>
        <w:rPr>
          <w:i/>
          <w:sz w:val="22"/>
          <w:szCs w:val="22"/>
        </w:rPr>
        <w:t>41.</w:t>
      </w:r>
      <w:r>
        <w:rPr>
          <w:i/>
          <w:sz w:val="22"/>
          <w:szCs w:val="22"/>
        </w:rPr>
        <w:tab/>
      </w:r>
      <w:r w:rsidR="00553621" w:rsidRPr="00B13088">
        <w:rPr>
          <w:i/>
          <w:sz w:val="22"/>
          <w:szCs w:val="22"/>
        </w:rPr>
        <w:t>Are amendments to mutual recognition legislation needed to clarify whether requirements for ongoing registration apply equally to all registered persons within an occupation? Are there alternative options? What are the costs and benefits of these approaches?</w:t>
      </w:r>
    </w:p>
    <w:p w:rsidR="00EC0BBC" w:rsidRPr="00B13088" w:rsidRDefault="00EC0BBC" w:rsidP="00B13088">
      <w:pPr>
        <w:spacing w:after="120"/>
        <w:ind w:left="567"/>
        <w:jc w:val="both"/>
        <w:rPr>
          <w:rFonts w:cs="Arial"/>
          <w:sz w:val="22"/>
          <w:szCs w:val="22"/>
        </w:rPr>
      </w:pPr>
      <w:r w:rsidRPr="00EA3942">
        <w:rPr>
          <w:rFonts w:cs="Arial"/>
          <w:sz w:val="22"/>
          <w:szCs w:val="22"/>
        </w:rPr>
        <w:t>No comment.</w:t>
      </w:r>
    </w:p>
    <w:p w:rsidR="00553621" w:rsidRPr="00B13088" w:rsidRDefault="00B13088" w:rsidP="00B13088">
      <w:pPr>
        <w:spacing w:after="120"/>
        <w:ind w:left="567" w:hanging="567"/>
        <w:jc w:val="both"/>
        <w:rPr>
          <w:i/>
          <w:sz w:val="22"/>
          <w:szCs w:val="22"/>
        </w:rPr>
      </w:pPr>
      <w:r>
        <w:rPr>
          <w:i/>
          <w:sz w:val="22"/>
          <w:szCs w:val="22"/>
        </w:rPr>
        <w:t>42.</w:t>
      </w:r>
      <w:r>
        <w:rPr>
          <w:i/>
          <w:sz w:val="22"/>
          <w:szCs w:val="22"/>
        </w:rPr>
        <w:tab/>
      </w:r>
      <w:r w:rsidR="00553621" w:rsidRPr="00B13088">
        <w:rPr>
          <w:i/>
          <w:sz w:val="22"/>
          <w:szCs w:val="22"/>
        </w:rPr>
        <w:t>Is there any evidence of jurisdiction ‘shopping and hopping’ occurring for occupations which is leading to harm to property, health and safety in another jurisdiction via mutual recognition? If so, what is the extent of the problem and is it a systemic issue affecting an entire occupation? Is there evidence of any benefits, such as regulatory competition and innovation between jurisdictions?</w:t>
      </w:r>
    </w:p>
    <w:p w:rsidR="00553621" w:rsidRPr="00B13088" w:rsidRDefault="00553621" w:rsidP="00B13088">
      <w:pPr>
        <w:spacing w:after="120"/>
        <w:ind w:left="567"/>
        <w:jc w:val="both"/>
        <w:rPr>
          <w:rFonts w:cs="Arial"/>
          <w:sz w:val="22"/>
          <w:szCs w:val="22"/>
        </w:rPr>
      </w:pPr>
      <w:r w:rsidRPr="00EA3942">
        <w:rPr>
          <w:rFonts w:cs="Arial"/>
          <w:sz w:val="22"/>
          <w:szCs w:val="22"/>
        </w:rPr>
        <w:t xml:space="preserve">Anecdotally HIA is aware of </w:t>
      </w:r>
      <w:r w:rsidR="00EC0BBC" w:rsidRPr="00EA3942">
        <w:rPr>
          <w:rFonts w:cs="Arial"/>
          <w:sz w:val="22"/>
          <w:szCs w:val="22"/>
        </w:rPr>
        <w:t xml:space="preserve">allegations of </w:t>
      </w:r>
      <w:r w:rsidRPr="00EA3942">
        <w:rPr>
          <w:rFonts w:cs="Arial"/>
          <w:sz w:val="22"/>
          <w:szCs w:val="22"/>
        </w:rPr>
        <w:t xml:space="preserve">forum shopping, where unsuccessful applicants move to another state or territory to obtain registration, where there are less onerous requirements (such as no need to sit a written exam)  then re-apply in their original jurisdiction for registration utilising mutual recognition. </w:t>
      </w:r>
    </w:p>
    <w:p w:rsidR="00553621" w:rsidRDefault="00553621" w:rsidP="00B13088">
      <w:pPr>
        <w:spacing w:after="120"/>
        <w:ind w:left="567"/>
        <w:jc w:val="both"/>
        <w:rPr>
          <w:rFonts w:cs="Arial"/>
          <w:sz w:val="22"/>
          <w:szCs w:val="22"/>
        </w:rPr>
      </w:pPr>
      <w:r w:rsidRPr="00EA3942">
        <w:rPr>
          <w:rFonts w:cs="Arial"/>
          <w:sz w:val="22"/>
          <w:szCs w:val="22"/>
        </w:rPr>
        <w:t>HIA agrees this conduct, when it occurs, subverts the intent of mutual recognition.</w:t>
      </w:r>
    </w:p>
    <w:p w:rsidR="00553621" w:rsidRPr="00B13088" w:rsidRDefault="00B13088" w:rsidP="00B13088">
      <w:pPr>
        <w:spacing w:after="120"/>
        <w:ind w:left="567"/>
        <w:jc w:val="both"/>
        <w:rPr>
          <w:rFonts w:cs="Arial"/>
          <w:sz w:val="22"/>
          <w:szCs w:val="22"/>
        </w:rPr>
      </w:pPr>
      <w:r>
        <w:rPr>
          <w:rFonts w:cs="Arial"/>
          <w:sz w:val="22"/>
          <w:szCs w:val="22"/>
        </w:rPr>
        <w:t xml:space="preserve">All state licensing schemes </w:t>
      </w:r>
      <w:r w:rsidR="00553621" w:rsidRPr="00EA3942">
        <w:rPr>
          <w:rFonts w:cs="Arial"/>
          <w:sz w:val="22"/>
          <w:szCs w:val="22"/>
        </w:rPr>
        <w:t xml:space="preserve">have </w:t>
      </w:r>
      <w:r>
        <w:rPr>
          <w:rFonts w:cs="Arial"/>
          <w:sz w:val="22"/>
          <w:szCs w:val="22"/>
        </w:rPr>
        <w:t>‘</w:t>
      </w:r>
      <w:r w:rsidR="00553621" w:rsidRPr="00EA3942">
        <w:rPr>
          <w:rFonts w:cs="Arial"/>
          <w:sz w:val="22"/>
          <w:szCs w:val="22"/>
        </w:rPr>
        <w:t>fit and proper</w:t>
      </w:r>
      <w:r>
        <w:rPr>
          <w:rFonts w:cs="Arial"/>
          <w:sz w:val="22"/>
          <w:szCs w:val="22"/>
        </w:rPr>
        <w:t>’</w:t>
      </w:r>
      <w:r w:rsidR="00553621" w:rsidRPr="00EA3942">
        <w:rPr>
          <w:rFonts w:cs="Arial"/>
          <w:sz w:val="22"/>
          <w:szCs w:val="22"/>
        </w:rPr>
        <w:t xml:space="preserve"> person requirements and HIA would recommend that a positive obligation be placed on applicants to declare whether or not they have applied </w:t>
      </w:r>
      <w:r w:rsidR="00EC0BBC" w:rsidRPr="00EA3942">
        <w:rPr>
          <w:rFonts w:cs="Arial"/>
          <w:sz w:val="22"/>
          <w:szCs w:val="22"/>
        </w:rPr>
        <w:t xml:space="preserve">for </w:t>
      </w:r>
      <w:r w:rsidR="00553621" w:rsidRPr="00EA3942">
        <w:rPr>
          <w:rFonts w:cs="Arial"/>
          <w:sz w:val="22"/>
          <w:szCs w:val="22"/>
        </w:rPr>
        <w:t xml:space="preserve">an equivalent licence in another state as part of the registration process. </w:t>
      </w:r>
    </w:p>
    <w:p w:rsidR="00553621" w:rsidRPr="00B13088" w:rsidRDefault="00B13088" w:rsidP="00B13088">
      <w:pPr>
        <w:spacing w:after="120"/>
        <w:ind w:left="567" w:hanging="567"/>
        <w:jc w:val="both"/>
        <w:rPr>
          <w:i/>
          <w:sz w:val="22"/>
          <w:szCs w:val="22"/>
        </w:rPr>
      </w:pPr>
      <w:r>
        <w:rPr>
          <w:i/>
          <w:sz w:val="22"/>
          <w:szCs w:val="22"/>
        </w:rPr>
        <w:lastRenderedPageBreak/>
        <w:t>43.</w:t>
      </w:r>
      <w:r>
        <w:rPr>
          <w:i/>
          <w:sz w:val="22"/>
          <w:szCs w:val="22"/>
        </w:rPr>
        <w:tab/>
      </w:r>
      <w:r w:rsidR="00553621" w:rsidRPr="00B13088">
        <w:rPr>
          <w:i/>
          <w:sz w:val="22"/>
          <w:szCs w:val="22"/>
        </w:rPr>
        <w:t xml:space="preserve">How effective are current informal and formal processes — dialogue between jurisdictions, referral of occupational standards to Ministerial Councils, and recourse to a tribunal — in addressing concerns about differing standards across jurisdictions? </w:t>
      </w:r>
    </w:p>
    <w:p w:rsidR="00553621" w:rsidRPr="00B13088" w:rsidRDefault="00553621" w:rsidP="00B13088">
      <w:pPr>
        <w:spacing w:after="120"/>
        <w:ind w:left="567"/>
        <w:jc w:val="both"/>
        <w:rPr>
          <w:rFonts w:cs="Arial"/>
          <w:sz w:val="22"/>
          <w:szCs w:val="22"/>
        </w:rPr>
      </w:pPr>
      <w:bookmarkStart w:id="11" w:name="_Toc406773301"/>
      <w:r w:rsidRPr="00EA3942">
        <w:rPr>
          <w:rFonts w:cs="Arial"/>
          <w:sz w:val="22"/>
          <w:szCs w:val="22"/>
        </w:rPr>
        <w:t>No comment</w:t>
      </w:r>
    </w:p>
    <w:p w:rsidR="00553621" w:rsidRPr="00B13088" w:rsidRDefault="00B13088" w:rsidP="00B13088">
      <w:pPr>
        <w:spacing w:after="120"/>
        <w:ind w:left="567" w:hanging="567"/>
        <w:jc w:val="both"/>
        <w:rPr>
          <w:i/>
          <w:sz w:val="22"/>
          <w:szCs w:val="22"/>
        </w:rPr>
      </w:pPr>
      <w:r>
        <w:rPr>
          <w:i/>
          <w:sz w:val="22"/>
          <w:szCs w:val="22"/>
        </w:rPr>
        <w:t>44.</w:t>
      </w:r>
      <w:r>
        <w:rPr>
          <w:i/>
          <w:sz w:val="22"/>
          <w:szCs w:val="22"/>
        </w:rPr>
        <w:tab/>
      </w:r>
      <w:r w:rsidR="00553621" w:rsidRPr="00B13088">
        <w:rPr>
          <w:i/>
          <w:sz w:val="22"/>
          <w:szCs w:val="22"/>
        </w:rPr>
        <w:t>What are the costs and benefits from jurisdictions working on reducing differences in their registration requirements? How significant are they? What is the evidence?</w:t>
      </w:r>
      <w:bookmarkEnd w:id="11"/>
    </w:p>
    <w:p w:rsidR="00553621" w:rsidRPr="00B13088" w:rsidRDefault="00EC0BBC" w:rsidP="00B13088">
      <w:pPr>
        <w:spacing w:after="120"/>
        <w:ind w:left="567"/>
        <w:jc w:val="both"/>
        <w:rPr>
          <w:rFonts w:cs="Arial"/>
          <w:sz w:val="22"/>
          <w:szCs w:val="22"/>
        </w:rPr>
      </w:pPr>
      <w:r w:rsidRPr="00EA3942">
        <w:rPr>
          <w:rFonts w:cs="Arial"/>
          <w:sz w:val="22"/>
          <w:szCs w:val="22"/>
        </w:rPr>
        <w:t xml:space="preserve">No comment </w:t>
      </w:r>
    </w:p>
    <w:p w:rsidR="00553621" w:rsidRPr="00B13088" w:rsidRDefault="00B13088" w:rsidP="00B13088">
      <w:pPr>
        <w:spacing w:after="120"/>
        <w:ind w:left="567" w:hanging="567"/>
        <w:jc w:val="both"/>
        <w:rPr>
          <w:i/>
          <w:sz w:val="22"/>
          <w:szCs w:val="22"/>
        </w:rPr>
      </w:pPr>
      <w:r>
        <w:rPr>
          <w:i/>
          <w:sz w:val="22"/>
          <w:szCs w:val="22"/>
        </w:rPr>
        <w:t>45.</w:t>
      </w:r>
      <w:r>
        <w:rPr>
          <w:i/>
          <w:sz w:val="22"/>
          <w:szCs w:val="22"/>
        </w:rPr>
        <w:tab/>
      </w:r>
      <w:r w:rsidR="00553621" w:rsidRPr="00B13088">
        <w:rPr>
          <w:i/>
          <w:sz w:val="22"/>
          <w:szCs w:val="22"/>
        </w:rPr>
        <w:t>Is there a strong case for adopting automatic mutual recognition more widely? What would be the implications for the MRA and TTMRA?</w:t>
      </w:r>
    </w:p>
    <w:p w:rsidR="00553621" w:rsidRPr="00B13088" w:rsidRDefault="00EC0BBC" w:rsidP="00B13088">
      <w:pPr>
        <w:spacing w:after="120"/>
        <w:ind w:left="567"/>
        <w:jc w:val="both"/>
        <w:rPr>
          <w:rFonts w:cs="Arial"/>
          <w:sz w:val="22"/>
          <w:szCs w:val="22"/>
        </w:rPr>
      </w:pPr>
      <w:r w:rsidRPr="00EA3942">
        <w:rPr>
          <w:rFonts w:cs="Arial"/>
          <w:sz w:val="22"/>
          <w:szCs w:val="22"/>
        </w:rPr>
        <w:t>S</w:t>
      </w:r>
      <w:r w:rsidR="00553621" w:rsidRPr="00EA3942">
        <w:rPr>
          <w:rFonts w:cs="Arial"/>
          <w:sz w:val="22"/>
          <w:szCs w:val="22"/>
        </w:rPr>
        <w:t xml:space="preserve">ince December 2014, </w:t>
      </w:r>
      <w:r w:rsidR="006E2387">
        <w:rPr>
          <w:rFonts w:cs="Arial"/>
          <w:sz w:val="22"/>
          <w:szCs w:val="22"/>
        </w:rPr>
        <w:t xml:space="preserve">New </w:t>
      </w:r>
      <w:r w:rsidR="00553621" w:rsidRPr="00EA3942">
        <w:rPr>
          <w:rFonts w:cs="Arial"/>
          <w:sz w:val="22"/>
          <w:szCs w:val="22"/>
        </w:rPr>
        <w:t>S</w:t>
      </w:r>
      <w:r w:rsidR="006E2387">
        <w:rPr>
          <w:rFonts w:cs="Arial"/>
          <w:sz w:val="22"/>
          <w:szCs w:val="22"/>
        </w:rPr>
        <w:t xml:space="preserve">outh </w:t>
      </w:r>
      <w:r w:rsidR="00553621" w:rsidRPr="00EA3942">
        <w:rPr>
          <w:rFonts w:cs="Arial"/>
          <w:sz w:val="22"/>
          <w:szCs w:val="22"/>
        </w:rPr>
        <w:t>W</w:t>
      </w:r>
      <w:r w:rsidR="006E2387">
        <w:rPr>
          <w:rFonts w:cs="Arial"/>
          <w:sz w:val="22"/>
          <w:szCs w:val="22"/>
        </w:rPr>
        <w:t>ales</w:t>
      </w:r>
      <w:r w:rsidR="00553621" w:rsidRPr="00EA3942">
        <w:rPr>
          <w:rFonts w:cs="Arial"/>
          <w:sz w:val="22"/>
          <w:szCs w:val="22"/>
        </w:rPr>
        <w:t xml:space="preserve">, Queensland and Victorian electricians have been </w:t>
      </w:r>
      <w:r w:rsidR="002A6B99">
        <w:rPr>
          <w:rFonts w:cs="Arial"/>
          <w:sz w:val="22"/>
          <w:szCs w:val="22"/>
        </w:rPr>
        <w:t xml:space="preserve">able </w:t>
      </w:r>
      <w:r w:rsidR="00553621" w:rsidRPr="00EA3942">
        <w:rPr>
          <w:rFonts w:cs="Arial"/>
          <w:sz w:val="22"/>
          <w:szCs w:val="22"/>
        </w:rPr>
        <w:t>to work across</w:t>
      </w:r>
      <w:r w:rsidR="00B13088">
        <w:rPr>
          <w:rFonts w:cs="Arial"/>
          <w:sz w:val="22"/>
          <w:szCs w:val="22"/>
        </w:rPr>
        <w:t xml:space="preserve"> </w:t>
      </w:r>
      <w:r w:rsidR="00553621" w:rsidRPr="00EA3942">
        <w:rPr>
          <w:rFonts w:cs="Arial"/>
          <w:sz w:val="22"/>
          <w:szCs w:val="22"/>
        </w:rPr>
        <w:t xml:space="preserve">state borders using the licence issued by their home state without having to apply for the issue of a </w:t>
      </w:r>
      <w:r w:rsidR="008C08BF">
        <w:rPr>
          <w:rFonts w:cs="Arial"/>
          <w:sz w:val="22"/>
          <w:szCs w:val="22"/>
        </w:rPr>
        <w:t>New South Wales</w:t>
      </w:r>
      <w:r w:rsidR="00553621" w:rsidRPr="00EA3942">
        <w:rPr>
          <w:rFonts w:cs="Arial"/>
          <w:sz w:val="22"/>
          <w:szCs w:val="22"/>
        </w:rPr>
        <w:t xml:space="preserve"> licence under mutual recognition. This removes the need for two licences to perform the same work in a bordering region, saving time and fees.</w:t>
      </w:r>
    </w:p>
    <w:p w:rsidR="00553621" w:rsidRPr="00B13088" w:rsidRDefault="00553621" w:rsidP="00B13088">
      <w:pPr>
        <w:spacing w:after="120"/>
        <w:ind w:left="567"/>
        <w:jc w:val="both"/>
        <w:rPr>
          <w:rFonts w:cs="Arial"/>
          <w:sz w:val="22"/>
          <w:szCs w:val="22"/>
        </w:rPr>
      </w:pPr>
      <w:r w:rsidRPr="00EA3942">
        <w:rPr>
          <w:rFonts w:cs="Arial"/>
          <w:sz w:val="22"/>
          <w:szCs w:val="22"/>
        </w:rPr>
        <w:t xml:space="preserve">HIA </w:t>
      </w:r>
      <w:r w:rsidR="008C08BF">
        <w:rPr>
          <w:rFonts w:cs="Arial"/>
          <w:sz w:val="22"/>
          <w:szCs w:val="22"/>
        </w:rPr>
        <w:t>commend</w:t>
      </w:r>
      <w:r w:rsidR="00EC0BBC" w:rsidRPr="00EA3942">
        <w:rPr>
          <w:rFonts w:cs="Arial"/>
          <w:sz w:val="22"/>
          <w:szCs w:val="22"/>
        </w:rPr>
        <w:t xml:space="preserve">s the efforts of the </w:t>
      </w:r>
      <w:r w:rsidR="008C08BF" w:rsidRPr="00073E67">
        <w:rPr>
          <w:rFonts w:cs="Arial"/>
          <w:sz w:val="22"/>
          <w:szCs w:val="22"/>
        </w:rPr>
        <w:t>N</w:t>
      </w:r>
      <w:r w:rsidR="008C08BF">
        <w:rPr>
          <w:rFonts w:cs="Arial"/>
          <w:sz w:val="22"/>
          <w:szCs w:val="22"/>
        </w:rPr>
        <w:t xml:space="preserve">ew </w:t>
      </w:r>
      <w:r w:rsidR="008C08BF" w:rsidRPr="00073E67">
        <w:rPr>
          <w:rFonts w:cs="Arial"/>
          <w:sz w:val="22"/>
          <w:szCs w:val="22"/>
        </w:rPr>
        <w:t>S</w:t>
      </w:r>
      <w:r w:rsidR="008C08BF">
        <w:rPr>
          <w:rFonts w:cs="Arial"/>
          <w:sz w:val="22"/>
          <w:szCs w:val="22"/>
        </w:rPr>
        <w:t xml:space="preserve">outh </w:t>
      </w:r>
      <w:r w:rsidR="008C08BF" w:rsidRPr="00073E67">
        <w:rPr>
          <w:rFonts w:cs="Arial"/>
          <w:sz w:val="22"/>
          <w:szCs w:val="22"/>
        </w:rPr>
        <w:t>W</w:t>
      </w:r>
      <w:r w:rsidR="008C08BF">
        <w:rPr>
          <w:rFonts w:cs="Arial"/>
          <w:sz w:val="22"/>
          <w:szCs w:val="22"/>
        </w:rPr>
        <w:t>ales</w:t>
      </w:r>
      <w:r w:rsidR="008C08BF" w:rsidRPr="00EA3942">
        <w:rPr>
          <w:rFonts w:cs="Arial"/>
          <w:sz w:val="22"/>
          <w:szCs w:val="22"/>
        </w:rPr>
        <w:t xml:space="preserve"> </w:t>
      </w:r>
      <w:r w:rsidR="00EC0BBC" w:rsidRPr="00EA3942">
        <w:rPr>
          <w:rFonts w:cs="Arial"/>
          <w:sz w:val="22"/>
          <w:szCs w:val="22"/>
        </w:rPr>
        <w:t xml:space="preserve">Government and supports an </w:t>
      </w:r>
      <w:r w:rsidRPr="00EA3942">
        <w:rPr>
          <w:rFonts w:cs="Arial"/>
          <w:sz w:val="22"/>
          <w:szCs w:val="22"/>
        </w:rPr>
        <w:t xml:space="preserve">extension of </w:t>
      </w:r>
      <w:r w:rsidR="00EC0BBC" w:rsidRPr="00EA3942">
        <w:rPr>
          <w:rFonts w:cs="Arial"/>
          <w:sz w:val="22"/>
          <w:szCs w:val="22"/>
        </w:rPr>
        <w:t xml:space="preserve">automatic mutual recognition </w:t>
      </w:r>
      <w:r w:rsidRPr="00EA3942">
        <w:rPr>
          <w:rFonts w:cs="Arial"/>
          <w:sz w:val="22"/>
          <w:szCs w:val="22"/>
        </w:rPr>
        <w:t xml:space="preserve">to other </w:t>
      </w:r>
      <w:r w:rsidR="00EC0BBC" w:rsidRPr="00EA3942">
        <w:rPr>
          <w:rFonts w:cs="Arial"/>
          <w:sz w:val="22"/>
          <w:szCs w:val="22"/>
        </w:rPr>
        <w:t xml:space="preserve">trades, particularly those that have occupational based licensing. </w:t>
      </w:r>
    </w:p>
    <w:p w:rsidR="00553621" w:rsidRPr="00B13088" w:rsidRDefault="00B13088" w:rsidP="00B13088">
      <w:pPr>
        <w:spacing w:after="120"/>
        <w:ind w:left="567" w:hanging="567"/>
        <w:jc w:val="both"/>
        <w:rPr>
          <w:i/>
          <w:sz w:val="22"/>
          <w:szCs w:val="22"/>
        </w:rPr>
      </w:pPr>
      <w:r>
        <w:rPr>
          <w:i/>
          <w:sz w:val="22"/>
          <w:szCs w:val="22"/>
        </w:rPr>
        <w:t>46.</w:t>
      </w:r>
      <w:r>
        <w:rPr>
          <w:i/>
          <w:sz w:val="22"/>
          <w:szCs w:val="22"/>
        </w:rPr>
        <w:tab/>
      </w:r>
      <w:r w:rsidR="00553621" w:rsidRPr="00B13088">
        <w:rPr>
          <w:i/>
          <w:sz w:val="22"/>
          <w:szCs w:val="22"/>
        </w:rPr>
        <w:t xml:space="preserve">What are the advantages and disadvantages of the ‘external equivalence’ model being considered by the Council for the Australian Federation? </w:t>
      </w:r>
    </w:p>
    <w:p w:rsidR="00553621" w:rsidRPr="00B13088" w:rsidRDefault="00B13088" w:rsidP="00B13088">
      <w:pPr>
        <w:spacing w:after="120"/>
        <w:ind w:left="567" w:hanging="567"/>
        <w:jc w:val="both"/>
        <w:rPr>
          <w:i/>
          <w:sz w:val="22"/>
          <w:szCs w:val="22"/>
        </w:rPr>
      </w:pPr>
      <w:r>
        <w:rPr>
          <w:i/>
          <w:sz w:val="22"/>
          <w:szCs w:val="22"/>
        </w:rPr>
        <w:t>47.</w:t>
      </w:r>
      <w:r>
        <w:rPr>
          <w:i/>
          <w:sz w:val="22"/>
          <w:szCs w:val="22"/>
        </w:rPr>
        <w:tab/>
      </w:r>
      <w:r w:rsidR="00553621" w:rsidRPr="00B13088">
        <w:rPr>
          <w:i/>
          <w:sz w:val="22"/>
          <w:szCs w:val="22"/>
        </w:rPr>
        <w:t>What are the strengths and weaknesses of the different models of automatic mutual recognition adopted by New South Wales and Queensland for electrical occupations? Would it be desirable to expand either of these approaches to other occupations and jurisdictions? Are there better models of automatic mutual recognition in place elsewhere?</w:t>
      </w:r>
    </w:p>
    <w:p w:rsidR="008E3BCC" w:rsidRDefault="00EC0BBC" w:rsidP="00B13088">
      <w:pPr>
        <w:spacing w:after="120"/>
        <w:ind w:left="567"/>
        <w:jc w:val="both"/>
        <w:rPr>
          <w:rFonts w:cs="Arial"/>
          <w:sz w:val="22"/>
          <w:szCs w:val="22"/>
        </w:rPr>
      </w:pPr>
      <w:r w:rsidRPr="00AC7610">
        <w:rPr>
          <w:rFonts w:cs="Arial"/>
          <w:sz w:val="22"/>
          <w:szCs w:val="22"/>
        </w:rPr>
        <w:t>See comments above</w:t>
      </w:r>
    </w:p>
    <w:p w:rsidR="008E3BCC" w:rsidRDefault="008E3BCC" w:rsidP="00B13088">
      <w:pPr>
        <w:spacing w:after="120"/>
        <w:ind w:left="567"/>
        <w:jc w:val="both"/>
        <w:rPr>
          <w:rFonts w:cs="Arial"/>
          <w:sz w:val="22"/>
          <w:szCs w:val="22"/>
        </w:rPr>
        <w:sectPr w:rsidR="008E3BCC" w:rsidSect="00D463AF">
          <w:pgSz w:w="11907" w:h="16839" w:code="9"/>
          <w:pgMar w:top="1440" w:right="1440" w:bottom="1276" w:left="1440" w:header="720" w:footer="720" w:gutter="0"/>
          <w:cols w:space="708"/>
          <w:noEndnote/>
          <w:docGrid w:linePitch="326"/>
        </w:sectPr>
      </w:pPr>
    </w:p>
    <w:p w:rsidR="008E3BCC" w:rsidRPr="004F3BC5" w:rsidRDefault="008E3BCC" w:rsidP="008E3BCC">
      <w:pPr>
        <w:tabs>
          <w:tab w:val="left" w:pos="600"/>
        </w:tabs>
        <w:rPr>
          <w:rFonts w:cs="Arial"/>
          <w:b/>
          <w:bCs/>
          <w:iCs/>
          <w:sz w:val="20"/>
          <w:szCs w:val="20"/>
          <w:u w:val="single"/>
        </w:rPr>
      </w:pPr>
      <w:r w:rsidRPr="004F3BC5">
        <w:rPr>
          <w:rFonts w:cs="Arial"/>
          <w:b/>
          <w:bCs/>
          <w:iCs/>
          <w:sz w:val="20"/>
          <w:szCs w:val="20"/>
          <w:u w:val="single"/>
        </w:rPr>
        <w:lastRenderedPageBreak/>
        <w:t>APPENDIX A</w:t>
      </w:r>
    </w:p>
    <w:p w:rsidR="008E3BCC" w:rsidRPr="004F3BC5" w:rsidRDefault="008E3BCC" w:rsidP="008E3BCC">
      <w:pPr>
        <w:tabs>
          <w:tab w:val="left" w:pos="600"/>
        </w:tabs>
        <w:rPr>
          <w:rFonts w:cs="Arial"/>
          <w:b/>
          <w:bCs/>
          <w:iCs/>
          <w:sz w:val="20"/>
          <w:szCs w:val="20"/>
          <w:u w:val="single"/>
        </w:rPr>
      </w:pPr>
    </w:p>
    <w:tbl>
      <w:tblPr>
        <w:tblStyle w:val="TableGrid"/>
        <w:tblW w:w="5000" w:type="pct"/>
        <w:tblLook w:val="01E0" w:firstRow="1" w:lastRow="1" w:firstColumn="1" w:lastColumn="1" w:noHBand="0" w:noVBand="0"/>
      </w:tblPr>
      <w:tblGrid>
        <w:gridCol w:w="1907"/>
        <w:gridCol w:w="1534"/>
        <w:gridCol w:w="1494"/>
        <w:gridCol w:w="1494"/>
        <w:gridCol w:w="1701"/>
        <w:gridCol w:w="1494"/>
        <w:gridCol w:w="1534"/>
        <w:gridCol w:w="1701"/>
        <w:gridCol w:w="1480"/>
      </w:tblGrid>
      <w:tr w:rsidR="00C923ED" w:rsidRPr="004F3BC5" w:rsidTr="00A041B4">
        <w:tc>
          <w:tcPr>
            <w:tcW w:w="665" w:type="pct"/>
          </w:tcPr>
          <w:p w:rsidR="008E3BCC" w:rsidRPr="004F3BC5" w:rsidRDefault="008E3BCC" w:rsidP="00A041B4">
            <w:pPr>
              <w:widowControl/>
              <w:tabs>
                <w:tab w:val="left" w:pos="600"/>
              </w:tabs>
              <w:jc w:val="left"/>
              <w:rPr>
                <w:rFonts w:cs="Arial"/>
                <w:b/>
                <w:bCs/>
                <w:iCs/>
                <w:sz w:val="20"/>
                <w:szCs w:val="20"/>
              </w:rPr>
            </w:pPr>
            <w:r w:rsidRPr="004F3BC5">
              <w:rPr>
                <w:rFonts w:cs="Arial"/>
                <w:b/>
                <w:bCs/>
                <w:iCs/>
                <w:sz w:val="20"/>
                <w:szCs w:val="20"/>
              </w:rPr>
              <w:t>Issue</w:t>
            </w:r>
          </w:p>
        </w:tc>
        <w:tc>
          <w:tcPr>
            <w:tcW w:w="535" w:type="pct"/>
          </w:tcPr>
          <w:p w:rsidR="008E3BCC" w:rsidRPr="004F3BC5" w:rsidRDefault="008E3BCC" w:rsidP="00A041B4">
            <w:pPr>
              <w:widowControl/>
              <w:tabs>
                <w:tab w:val="left" w:pos="600"/>
              </w:tabs>
              <w:jc w:val="left"/>
              <w:rPr>
                <w:rFonts w:cs="Arial"/>
                <w:b/>
                <w:bCs/>
                <w:iCs/>
                <w:sz w:val="20"/>
                <w:szCs w:val="20"/>
              </w:rPr>
            </w:pPr>
            <w:r w:rsidRPr="004F3BC5">
              <w:rPr>
                <w:rFonts w:cs="Arial"/>
                <w:b/>
                <w:bCs/>
                <w:iCs/>
                <w:sz w:val="20"/>
                <w:szCs w:val="20"/>
              </w:rPr>
              <w:t>NSW</w:t>
            </w:r>
          </w:p>
        </w:tc>
        <w:tc>
          <w:tcPr>
            <w:tcW w:w="521" w:type="pct"/>
          </w:tcPr>
          <w:p w:rsidR="008E3BCC" w:rsidRPr="004F3BC5" w:rsidRDefault="008E3BCC" w:rsidP="00A041B4">
            <w:pPr>
              <w:widowControl/>
              <w:tabs>
                <w:tab w:val="left" w:pos="600"/>
              </w:tabs>
              <w:jc w:val="left"/>
              <w:rPr>
                <w:rFonts w:cs="Arial"/>
                <w:b/>
                <w:bCs/>
                <w:iCs/>
                <w:sz w:val="20"/>
                <w:szCs w:val="20"/>
              </w:rPr>
            </w:pPr>
            <w:r w:rsidRPr="004F3BC5">
              <w:rPr>
                <w:rFonts w:cs="Arial"/>
                <w:b/>
                <w:bCs/>
                <w:iCs/>
                <w:sz w:val="20"/>
                <w:szCs w:val="20"/>
              </w:rPr>
              <w:t>Qld</w:t>
            </w:r>
          </w:p>
        </w:tc>
        <w:tc>
          <w:tcPr>
            <w:tcW w:w="521" w:type="pct"/>
          </w:tcPr>
          <w:p w:rsidR="008E3BCC" w:rsidRPr="004F3BC5" w:rsidRDefault="008E3BCC" w:rsidP="00A041B4">
            <w:pPr>
              <w:widowControl/>
              <w:tabs>
                <w:tab w:val="left" w:pos="600"/>
              </w:tabs>
              <w:jc w:val="left"/>
              <w:rPr>
                <w:rFonts w:cs="Arial"/>
                <w:b/>
                <w:bCs/>
                <w:iCs/>
                <w:sz w:val="20"/>
                <w:szCs w:val="20"/>
              </w:rPr>
            </w:pPr>
            <w:r w:rsidRPr="004F3BC5">
              <w:rPr>
                <w:rFonts w:cs="Arial"/>
                <w:b/>
                <w:bCs/>
                <w:iCs/>
                <w:sz w:val="20"/>
                <w:szCs w:val="20"/>
              </w:rPr>
              <w:t>Vic</w:t>
            </w:r>
          </w:p>
        </w:tc>
        <w:tc>
          <w:tcPr>
            <w:tcW w:w="593" w:type="pct"/>
          </w:tcPr>
          <w:p w:rsidR="008E3BCC" w:rsidRPr="004F3BC5" w:rsidRDefault="008E3BCC" w:rsidP="00A041B4">
            <w:pPr>
              <w:widowControl/>
              <w:tabs>
                <w:tab w:val="left" w:pos="600"/>
              </w:tabs>
              <w:jc w:val="left"/>
              <w:rPr>
                <w:rFonts w:cs="Arial"/>
                <w:b/>
                <w:bCs/>
                <w:iCs/>
                <w:sz w:val="20"/>
                <w:szCs w:val="20"/>
              </w:rPr>
            </w:pPr>
            <w:r w:rsidRPr="004F3BC5">
              <w:rPr>
                <w:rFonts w:cs="Arial"/>
                <w:b/>
                <w:bCs/>
                <w:iCs/>
                <w:sz w:val="20"/>
                <w:szCs w:val="20"/>
              </w:rPr>
              <w:t>WA</w:t>
            </w:r>
          </w:p>
        </w:tc>
        <w:tc>
          <w:tcPr>
            <w:tcW w:w="521" w:type="pct"/>
          </w:tcPr>
          <w:p w:rsidR="008E3BCC" w:rsidRPr="004F3BC5" w:rsidRDefault="008E3BCC" w:rsidP="00A041B4">
            <w:pPr>
              <w:widowControl/>
              <w:tabs>
                <w:tab w:val="left" w:pos="600"/>
              </w:tabs>
              <w:jc w:val="left"/>
              <w:rPr>
                <w:rFonts w:cs="Arial"/>
                <w:b/>
                <w:bCs/>
                <w:iCs/>
                <w:sz w:val="20"/>
                <w:szCs w:val="20"/>
              </w:rPr>
            </w:pPr>
            <w:r w:rsidRPr="004F3BC5">
              <w:rPr>
                <w:rFonts w:cs="Arial"/>
                <w:b/>
                <w:bCs/>
                <w:iCs/>
                <w:sz w:val="20"/>
                <w:szCs w:val="20"/>
              </w:rPr>
              <w:t>SA</w:t>
            </w:r>
          </w:p>
        </w:tc>
        <w:tc>
          <w:tcPr>
            <w:tcW w:w="535" w:type="pct"/>
          </w:tcPr>
          <w:p w:rsidR="008E3BCC" w:rsidRPr="004F3BC5" w:rsidRDefault="008E3BCC" w:rsidP="00A041B4">
            <w:pPr>
              <w:widowControl/>
              <w:tabs>
                <w:tab w:val="left" w:pos="600"/>
              </w:tabs>
              <w:jc w:val="left"/>
              <w:rPr>
                <w:rFonts w:cs="Arial"/>
                <w:b/>
                <w:bCs/>
                <w:iCs/>
                <w:sz w:val="20"/>
                <w:szCs w:val="20"/>
              </w:rPr>
            </w:pPr>
            <w:r w:rsidRPr="004F3BC5">
              <w:rPr>
                <w:rFonts w:cs="Arial"/>
                <w:b/>
                <w:bCs/>
                <w:iCs/>
                <w:sz w:val="20"/>
                <w:szCs w:val="20"/>
              </w:rPr>
              <w:t>NT</w:t>
            </w:r>
          </w:p>
        </w:tc>
        <w:tc>
          <w:tcPr>
            <w:tcW w:w="593" w:type="pct"/>
          </w:tcPr>
          <w:p w:rsidR="008E3BCC" w:rsidRPr="004F3BC5" w:rsidRDefault="008E3BCC" w:rsidP="00A041B4">
            <w:pPr>
              <w:widowControl/>
              <w:tabs>
                <w:tab w:val="left" w:pos="600"/>
              </w:tabs>
              <w:jc w:val="left"/>
              <w:rPr>
                <w:rFonts w:cs="Arial"/>
                <w:b/>
                <w:bCs/>
                <w:iCs/>
                <w:sz w:val="20"/>
                <w:szCs w:val="20"/>
              </w:rPr>
            </w:pPr>
            <w:r w:rsidRPr="004F3BC5">
              <w:rPr>
                <w:rFonts w:cs="Arial"/>
                <w:b/>
                <w:bCs/>
                <w:iCs/>
                <w:sz w:val="20"/>
                <w:szCs w:val="20"/>
              </w:rPr>
              <w:t>ACT</w:t>
            </w:r>
          </w:p>
        </w:tc>
        <w:tc>
          <w:tcPr>
            <w:tcW w:w="516" w:type="pct"/>
          </w:tcPr>
          <w:p w:rsidR="008E3BCC" w:rsidRPr="004F3BC5" w:rsidRDefault="008E3BCC" w:rsidP="00A041B4">
            <w:pPr>
              <w:widowControl/>
              <w:tabs>
                <w:tab w:val="left" w:pos="600"/>
              </w:tabs>
              <w:jc w:val="left"/>
              <w:rPr>
                <w:rFonts w:cs="Arial"/>
                <w:b/>
                <w:bCs/>
                <w:iCs/>
                <w:sz w:val="20"/>
                <w:szCs w:val="20"/>
              </w:rPr>
            </w:pPr>
            <w:r w:rsidRPr="004F3BC5">
              <w:rPr>
                <w:rFonts w:cs="Arial"/>
                <w:b/>
                <w:bCs/>
                <w:iCs/>
                <w:sz w:val="20"/>
                <w:szCs w:val="20"/>
              </w:rPr>
              <w:t>TAS</w:t>
            </w:r>
          </w:p>
        </w:tc>
      </w:tr>
      <w:tr w:rsidR="00C923ED" w:rsidRPr="004F3BC5" w:rsidTr="00A041B4">
        <w:tc>
          <w:tcPr>
            <w:tcW w:w="665" w:type="pct"/>
          </w:tcPr>
          <w:p w:rsidR="008E3BCC" w:rsidRPr="004F3BC5" w:rsidRDefault="008E3BCC" w:rsidP="00A041B4">
            <w:pPr>
              <w:widowControl/>
              <w:tabs>
                <w:tab w:val="left" w:pos="600"/>
              </w:tabs>
              <w:spacing w:before="100" w:beforeAutospacing="1" w:after="100" w:afterAutospacing="1"/>
              <w:jc w:val="left"/>
              <w:rPr>
                <w:rFonts w:cs="Arial"/>
                <w:b/>
                <w:bCs/>
                <w:iCs/>
                <w:sz w:val="20"/>
                <w:szCs w:val="20"/>
              </w:rPr>
            </w:pPr>
            <w:r w:rsidRPr="004F3BC5">
              <w:rPr>
                <w:rFonts w:cs="Arial"/>
                <w:b/>
                <w:bCs/>
                <w:iCs/>
                <w:sz w:val="20"/>
                <w:szCs w:val="20"/>
              </w:rPr>
              <w:t xml:space="preserve">HOWI </w:t>
            </w:r>
          </w:p>
        </w:tc>
        <w:tc>
          <w:tcPr>
            <w:tcW w:w="535" w:type="pct"/>
          </w:tcPr>
          <w:p w:rsidR="008E3BCC" w:rsidRPr="004F3BC5" w:rsidRDefault="008E3BCC" w:rsidP="008E3BCC">
            <w:pPr>
              <w:widowControl/>
              <w:tabs>
                <w:tab w:val="left" w:pos="600"/>
              </w:tabs>
              <w:spacing w:before="100" w:beforeAutospacing="1" w:after="100" w:afterAutospacing="1"/>
              <w:jc w:val="left"/>
              <w:rPr>
                <w:rFonts w:cs="Arial"/>
                <w:bCs/>
                <w:iCs/>
                <w:sz w:val="20"/>
                <w:szCs w:val="20"/>
              </w:rPr>
            </w:pPr>
            <w:r w:rsidRPr="004F3BC5">
              <w:rPr>
                <w:rFonts w:cs="Arial"/>
                <w:bCs/>
                <w:iCs/>
                <w:sz w:val="20"/>
                <w:szCs w:val="20"/>
              </w:rPr>
              <w:t>Mandatory for work over $</w:t>
            </w:r>
            <w:r>
              <w:rPr>
                <w:rFonts w:cs="Arial"/>
                <w:bCs/>
                <w:iCs/>
                <w:sz w:val="20"/>
                <w:szCs w:val="20"/>
              </w:rPr>
              <w:t>20</w:t>
            </w:r>
            <w:r w:rsidRPr="004F3BC5">
              <w:rPr>
                <w:rFonts w:cs="Arial"/>
                <w:bCs/>
                <w:iCs/>
                <w:sz w:val="20"/>
                <w:szCs w:val="20"/>
              </w:rPr>
              <w:t>,000</w:t>
            </w:r>
          </w:p>
        </w:tc>
        <w:tc>
          <w:tcPr>
            <w:tcW w:w="521" w:type="pct"/>
          </w:tcPr>
          <w:p w:rsidR="008E3BCC" w:rsidRPr="004F3BC5" w:rsidRDefault="008E3BCC" w:rsidP="00A041B4">
            <w:pPr>
              <w:widowControl/>
              <w:tabs>
                <w:tab w:val="left" w:pos="600"/>
              </w:tabs>
              <w:spacing w:before="100" w:beforeAutospacing="1" w:after="100" w:afterAutospacing="1"/>
              <w:jc w:val="left"/>
              <w:rPr>
                <w:rFonts w:cs="Arial"/>
                <w:bCs/>
                <w:iCs/>
                <w:sz w:val="20"/>
                <w:szCs w:val="20"/>
              </w:rPr>
            </w:pPr>
            <w:r w:rsidRPr="004F3BC5">
              <w:rPr>
                <w:rFonts w:cs="Arial"/>
                <w:bCs/>
                <w:iCs/>
                <w:sz w:val="20"/>
                <w:szCs w:val="20"/>
              </w:rPr>
              <w:t>Mandatory for work over $3,300</w:t>
            </w:r>
          </w:p>
        </w:tc>
        <w:tc>
          <w:tcPr>
            <w:tcW w:w="521" w:type="pct"/>
          </w:tcPr>
          <w:p w:rsidR="008E3BCC" w:rsidRPr="004F3BC5" w:rsidRDefault="008E3BCC" w:rsidP="00746FDF">
            <w:pPr>
              <w:widowControl/>
              <w:tabs>
                <w:tab w:val="left" w:pos="600"/>
              </w:tabs>
              <w:spacing w:before="100" w:beforeAutospacing="1" w:after="100" w:afterAutospacing="1"/>
              <w:jc w:val="left"/>
              <w:rPr>
                <w:rFonts w:cs="Arial"/>
                <w:bCs/>
                <w:iCs/>
                <w:sz w:val="20"/>
                <w:szCs w:val="20"/>
              </w:rPr>
            </w:pPr>
            <w:r w:rsidRPr="004F3BC5">
              <w:rPr>
                <w:rFonts w:cs="Arial"/>
                <w:bCs/>
                <w:iCs/>
                <w:sz w:val="20"/>
                <w:szCs w:val="20"/>
              </w:rPr>
              <w:t>Mandatory for work over $1</w:t>
            </w:r>
            <w:r w:rsidR="00746FDF">
              <w:rPr>
                <w:rFonts w:cs="Arial"/>
                <w:bCs/>
                <w:iCs/>
                <w:sz w:val="20"/>
                <w:szCs w:val="20"/>
              </w:rPr>
              <w:t>6</w:t>
            </w:r>
            <w:r w:rsidRPr="004F3BC5">
              <w:rPr>
                <w:rFonts w:cs="Arial"/>
                <w:bCs/>
                <w:iCs/>
                <w:sz w:val="20"/>
                <w:szCs w:val="20"/>
              </w:rPr>
              <w:t>,000</w:t>
            </w:r>
          </w:p>
        </w:tc>
        <w:tc>
          <w:tcPr>
            <w:tcW w:w="593" w:type="pct"/>
          </w:tcPr>
          <w:p w:rsidR="008E3BCC" w:rsidRPr="004F3BC5" w:rsidRDefault="008E3BCC" w:rsidP="00A041B4">
            <w:pPr>
              <w:widowControl/>
              <w:tabs>
                <w:tab w:val="left" w:pos="600"/>
              </w:tabs>
              <w:spacing w:before="100" w:beforeAutospacing="1" w:after="100" w:afterAutospacing="1"/>
              <w:jc w:val="left"/>
              <w:rPr>
                <w:rFonts w:cs="Arial"/>
                <w:bCs/>
                <w:iCs/>
                <w:sz w:val="20"/>
                <w:szCs w:val="20"/>
              </w:rPr>
            </w:pPr>
            <w:r w:rsidRPr="004F3BC5">
              <w:rPr>
                <w:rFonts w:cs="Arial"/>
                <w:bCs/>
                <w:iCs/>
                <w:sz w:val="20"/>
                <w:szCs w:val="20"/>
              </w:rPr>
              <w:t>Mandatory for work over $20,000</w:t>
            </w:r>
          </w:p>
        </w:tc>
        <w:tc>
          <w:tcPr>
            <w:tcW w:w="521" w:type="pct"/>
          </w:tcPr>
          <w:p w:rsidR="008E3BCC" w:rsidRPr="004F3BC5" w:rsidRDefault="008E3BCC" w:rsidP="00A041B4">
            <w:pPr>
              <w:widowControl/>
              <w:tabs>
                <w:tab w:val="left" w:pos="600"/>
              </w:tabs>
              <w:spacing w:before="100" w:beforeAutospacing="1" w:after="100" w:afterAutospacing="1"/>
              <w:jc w:val="left"/>
              <w:rPr>
                <w:rFonts w:cs="Arial"/>
                <w:bCs/>
                <w:iCs/>
                <w:sz w:val="20"/>
                <w:szCs w:val="20"/>
              </w:rPr>
            </w:pPr>
            <w:r w:rsidRPr="004F3BC5">
              <w:rPr>
                <w:rFonts w:cs="Arial"/>
                <w:bCs/>
                <w:iCs/>
                <w:sz w:val="20"/>
                <w:szCs w:val="20"/>
              </w:rPr>
              <w:t>Mandatory for work over $12,000</w:t>
            </w:r>
          </w:p>
        </w:tc>
        <w:tc>
          <w:tcPr>
            <w:tcW w:w="535" w:type="pct"/>
          </w:tcPr>
          <w:p w:rsidR="008E3BCC" w:rsidRPr="004F3BC5" w:rsidRDefault="00746FDF" w:rsidP="00746FDF">
            <w:pPr>
              <w:widowControl/>
              <w:tabs>
                <w:tab w:val="left" w:pos="600"/>
              </w:tabs>
              <w:spacing w:before="100" w:beforeAutospacing="1" w:after="100" w:afterAutospacing="1"/>
              <w:jc w:val="left"/>
              <w:rPr>
                <w:rFonts w:cs="Arial"/>
                <w:bCs/>
                <w:iCs/>
                <w:sz w:val="20"/>
                <w:szCs w:val="20"/>
              </w:rPr>
            </w:pPr>
            <w:r w:rsidRPr="004F3BC5">
              <w:rPr>
                <w:rFonts w:cs="Arial"/>
                <w:bCs/>
                <w:iCs/>
                <w:sz w:val="20"/>
                <w:szCs w:val="20"/>
              </w:rPr>
              <w:t xml:space="preserve">Mandatory for </w:t>
            </w:r>
            <w:r>
              <w:rPr>
                <w:rFonts w:cs="Arial"/>
                <w:bCs/>
                <w:iCs/>
                <w:sz w:val="20"/>
                <w:szCs w:val="20"/>
              </w:rPr>
              <w:t xml:space="preserve">new dwelling construction </w:t>
            </w:r>
            <w:r w:rsidRPr="004F3BC5">
              <w:rPr>
                <w:rFonts w:cs="Arial"/>
                <w:bCs/>
                <w:iCs/>
                <w:sz w:val="20"/>
                <w:szCs w:val="20"/>
              </w:rPr>
              <w:t>over $12,000</w:t>
            </w:r>
          </w:p>
        </w:tc>
        <w:tc>
          <w:tcPr>
            <w:tcW w:w="593" w:type="pct"/>
          </w:tcPr>
          <w:p w:rsidR="008E3BCC" w:rsidRPr="004F3BC5" w:rsidRDefault="008E3BCC" w:rsidP="00746FDF">
            <w:pPr>
              <w:widowControl/>
              <w:tabs>
                <w:tab w:val="left" w:pos="600"/>
              </w:tabs>
              <w:spacing w:before="100" w:beforeAutospacing="1" w:after="100" w:afterAutospacing="1"/>
              <w:jc w:val="left"/>
              <w:rPr>
                <w:rFonts w:cs="Arial"/>
                <w:bCs/>
                <w:iCs/>
                <w:sz w:val="20"/>
                <w:szCs w:val="20"/>
              </w:rPr>
            </w:pPr>
            <w:r w:rsidRPr="004F3BC5">
              <w:rPr>
                <w:rFonts w:cs="Arial"/>
                <w:bCs/>
                <w:iCs/>
                <w:sz w:val="20"/>
                <w:szCs w:val="20"/>
              </w:rPr>
              <w:t>Mandatory for work over $</w:t>
            </w:r>
            <w:r w:rsidR="00746FDF">
              <w:rPr>
                <w:rFonts w:cs="Arial"/>
                <w:bCs/>
                <w:iCs/>
                <w:sz w:val="20"/>
                <w:szCs w:val="20"/>
              </w:rPr>
              <w:t>20</w:t>
            </w:r>
            <w:r w:rsidRPr="004F3BC5">
              <w:rPr>
                <w:rFonts w:cs="Arial"/>
                <w:bCs/>
                <w:iCs/>
                <w:sz w:val="20"/>
                <w:szCs w:val="20"/>
              </w:rPr>
              <w:t>,000</w:t>
            </w:r>
          </w:p>
        </w:tc>
        <w:tc>
          <w:tcPr>
            <w:tcW w:w="516" w:type="pct"/>
          </w:tcPr>
          <w:p w:rsidR="008E3BCC" w:rsidRPr="004F3BC5" w:rsidRDefault="008E3BCC" w:rsidP="00A041B4">
            <w:pPr>
              <w:widowControl/>
              <w:tabs>
                <w:tab w:val="left" w:pos="600"/>
              </w:tabs>
              <w:spacing w:before="100" w:beforeAutospacing="1" w:after="100" w:afterAutospacing="1"/>
              <w:jc w:val="left"/>
              <w:rPr>
                <w:rFonts w:cs="Arial"/>
                <w:bCs/>
                <w:iCs/>
                <w:sz w:val="20"/>
                <w:szCs w:val="20"/>
              </w:rPr>
            </w:pPr>
            <w:r w:rsidRPr="004F3BC5">
              <w:rPr>
                <w:rFonts w:cs="Arial"/>
                <w:bCs/>
                <w:iCs/>
                <w:sz w:val="20"/>
                <w:szCs w:val="20"/>
              </w:rPr>
              <w:t>Not mandatory</w:t>
            </w:r>
          </w:p>
        </w:tc>
      </w:tr>
      <w:tr w:rsidR="00C923ED" w:rsidRPr="004F3BC5" w:rsidTr="00C5435F">
        <w:tc>
          <w:tcPr>
            <w:tcW w:w="665" w:type="pct"/>
            <w:vAlign w:val="center"/>
          </w:tcPr>
          <w:p w:rsidR="00C923ED" w:rsidRPr="00C923ED" w:rsidRDefault="00C923ED" w:rsidP="00C923ED">
            <w:pPr>
              <w:widowControl/>
              <w:tabs>
                <w:tab w:val="left" w:pos="600"/>
              </w:tabs>
              <w:spacing w:before="100" w:beforeAutospacing="1" w:after="100" w:afterAutospacing="1"/>
              <w:jc w:val="left"/>
              <w:rPr>
                <w:rFonts w:cs="Arial"/>
                <w:b/>
                <w:bCs/>
                <w:iCs/>
                <w:sz w:val="20"/>
                <w:szCs w:val="20"/>
              </w:rPr>
            </w:pPr>
            <w:r w:rsidRPr="00C923ED">
              <w:rPr>
                <w:rFonts w:cs="Arial"/>
                <w:b/>
                <w:bCs/>
                <w:iCs/>
                <w:sz w:val="20"/>
                <w:szCs w:val="20"/>
              </w:rPr>
              <w:t>Building contract legislation</w:t>
            </w:r>
          </w:p>
        </w:tc>
        <w:tc>
          <w:tcPr>
            <w:tcW w:w="535" w:type="pct"/>
            <w:vAlign w:val="center"/>
          </w:tcPr>
          <w:p w:rsidR="00C923ED" w:rsidRPr="00C72DDD" w:rsidRDefault="00C923ED" w:rsidP="00A041B4">
            <w:pPr>
              <w:pStyle w:val="TableBodyTextHeading"/>
              <w:rPr>
                <w:b w:val="0"/>
                <w:bCs w:val="0"/>
                <w:i/>
              </w:rPr>
            </w:pPr>
            <w:r w:rsidRPr="00C72DDD">
              <w:rPr>
                <w:b w:val="0"/>
                <w:bCs w:val="0"/>
                <w:i/>
              </w:rPr>
              <w:t>Home Building Act</w:t>
            </w:r>
            <w:r w:rsidR="00C72DDD" w:rsidRPr="00C72DDD">
              <w:rPr>
                <w:b w:val="0"/>
                <w:bCs w:val="0"/>
                <w:i/>
              </w:rPr>
              <w:t xml:space="preserve"> 1989</w:t>
            </w:r>
          </w:p>
        </w:tc>
        <w:tc>
          <w:tcPr>
            <w:tcW w:w="521" w:type="pct"/>
            <w:vAlign w:val="center"/>
          </w:tcPr>
          <w:p w:rsidR="00C923ED" w:rsidRPr="00C72DDD" w:rsidRDefault="00C923ED" w:rsidP="00A041B4">
            <w:pPr>
              <w:pStyle w:val="TableBodyTextHeading"/>
              <w:rPr>
                <w:b w:val="0"/>
                <w:bCs w:val="0"/>
                <w:i/>
              </w:rPr>
            </w:pPr>
            <w:r w:rsidRPr="00C72DDD">
              <w:rPr>
                <w:b w:val="0"/>
                <w:bCs w:val="0"/>
                <w:i/>
              </w:rPr>
              <w:t xml:space="preserve">Queensland Building and Construction Commission Act 1991 </w:t>
            </w:r>
          </w:p>
        </w:tc>
        <w:tc>
          <w:tcPr>
            <w:tcW w:w="521" w:type="pct"/>
            <w:vAlign w:val="center"/>
          </w:tcPr>
          <w:p w:rsidR="00C923ED" w:rsidRPr="00C72DDD" w:rsidRDefault="00C923ED" w:rsidP="00C923ED">
            <w:pPr>
              <w:pStyle w:val="TableBodyTextHeading"/>
              <w:rPr>
                <w:b w:val="0"/>
                <w:bCs w:val="0"/>
                <w:i/>
              </w:rPr>
            </w:pPr>
            <w:r w:rsidRPr="00C72DDD">
              <w:rPr>
                <w:b w:val="0"/>
                <w:bCs w:val="0"/>
                <w:i/>
              </w:rPr>
              <w:t>Domestic Buildings Contracts Act 19995</w:t>
            </w:r>
          </w:p>
        </w:tc>
        <w:tc>
          <w:tcPr>
            <w:tcW w:w="593" w:type="pct"/>
            <w:vAlign w:val="center"/>
          </w:tcPr>
          <w:p w:rsidR="00C923ED" w:rsidRPr="00C72DDD" w:rsidRDefault="00C923ED" w:rsidP="00C923ED">
            <w:pPr>
              <w:pStyle w:val="TableBodyTextHeading"/>
              <w:rPr>
                <w:b w:val="0"/>
                <w:bCs w:val="0"/>
                <w:i/>
              </w:rPr>
            </w:pPr>
            <w:r w:rsidRPr="00C72DDD">
              <w:rPr>
                <w:b w:val="0"/>
                <w:bCs w:val="0"/>
                <w:i/>
              </w:rPr>
              <w:t>Home Building Contracts Act 1991</w:t>
            </w:r>
          </w:p>
        </w:tc>
        <w:tc>
          <w:tcPr>
            <w:tcW w:w="521" w:type="pct"/>
            <w:vAlign w:val="center"/>
          </w:tcPr>
          <w:p w:rsidR="00C923ED" w:rsidRPr="00C72DDD" w:rsidRDefault="00C923ED" w:rsidP="00A041B4">
            <w:pPr>
              <w:pStyle w:val="TableBodyTextHeading"/>
              <w:rPr>
                <w:b w:val="0"/>
                <w:bCs w:val="0"/>
                <w:i/>
              </w:rPr>
            </w:pPr>
            <w:r w:rsidRPr="00C72DDD">
              <w:rPr>
                <w:b w:val="0"/>
                <w:bCs w:val="0"/>
                <w:i/>
              </w:rPr>
              <w:t>Building Contracts Act 1995</w:t>
            </w:r>
          </w:p>
        </w:tc>
        <w:tc>
          <w:tcPr>
            <w:tcW w:w="535" w:type="pct"/>
            <w:vAlign w:val="center"/>
          </w:tcPr>
          <w:p w:rsidR="00C923ED" w:rsidRPr="00C72DDD" w:rsidRDefault="00C923ED" w:rsidP="00C923ED">
            <w:pPr>
              <w:pStyle w:val="TableBodyTextHeading"/>
              <w:rPr>
                <w:b w:val="0"/>
                <w:bCs w:val="0"/>
                <w:i/>
              </w:rPr>
            </w:pPr>
            <w:r w:rsidRPr="00C72DDD">
              <w:rPr>
                <w:b w:val="0"/>
                <w:bCs w:val="0"/>
                <w:i/>
              </w:rPr>
              <w:t>Building Act</w:t>
            </w:r>
          </w:p>
        </w:tc>
        <w:tc>
          <w:tcPr>
            <w:tcW w:w="593" w:type="pct"/>
            <w:vAlign w:val="center"/>
          </w:tcPr>
          <w:p w:rsidR="00C923ED" w:rsidRPr="00C72DDD" w:rsidRDefault="00C923ED" w:rsidP="00A041B4">
            <w:pPr>
              <w:pStyle w:val="TableBodyTextHeading"/>
              <w:rPr>
                <w:b w:val="0"/>
                <w:bCs w:val="0"/>
                <w:i/>
              </w:rPr>
            </w:pPr>
            <w:r w:rsidRPr="00C72DDD">
              <w:rPr>
                <w:b w:val="0"/>
                <w:bCs w:val="0"/>
                <w:i/>
              </w:rPr>
              <w:t xml:space="preserve">Building Act </w:t>
            </w:r>
          </w:p>
        </w:tc>
        <w:tc>
          <w:tcPr>
            <w:tcW w:w="516" w:type="pct"/>
            <w:vAlign w:val="center"/>
          </w:tcPr>
          <w:p w:rsidR="00C923ED" w:rsidRPr="00C72DDD" w:rsidRDefault="00C923ED" w:rsidP="00C923ED">
            <w:pPr>
              <w:pStyle w:val="TableBodyTextHeading"/>
              <w:rPr>
                <w:b w:val="0"/>
                <w:bCs w:val="0"/>
                <w:i/>
              </w:rPr>
            </w:pPr>
            <w:r w:rsidRPr="00C72DDD">
              <w:rPr>
                <w:b w:val="0"/>
                <w:bCs w:val="0"/>
                <w:i/>
              </w:rPr>
              <w:t xml:space="preserve">Housing Indemnity Act </w:t>
            </w:r>
          </w:p>
        </w:tc>
      </w:tr>
      <w:tr w:rsidR="00C923ED" w:rsidRPr="004F3BC5" w:rsidTr="00C5435F">
        <w:tc>
          <w:tcPr>
            <w:tcW w:w="665" w:type="pct"/>
            <w:vAlign w:val="center"/>
          </w:tcPr>
          <w:p w:rsidR="00C923ED" w:rsidRPr="00C923ED" w:rsidRDefault="00C923ED" w:rsidP="00C923ED">
            <w:pPr>
              <w:tabs>
                <w:tab w:val="left" w:pos="600"/>
              </w:tabs>
              <w:spacing w:before="100" w:beforeAutospacing="1" w:after="100" w:afterAutospacing="1"/>
              <w:jc w:val="left"/>
              <w:rPr>
                <w:rFonts w:cs="Arial"/>
                <w:b/>
                <w:bCs/>
                <w:iCs/>
                <w:sz w:val="20"/>
                <w:szCs w:val="20"/>
              </w:rPr>
            </w:pPr>
            <w:r w:rsidRPr="00C923ED">
              <w:rPr>
                <w:rFonts w:cs="Arial"/>
                <w:b/>
                <w:bCs/>
                <w:iCs/>
                <w:sz w:val="20"/>
                <w:szCs w:val="20"/>
              </w:rPr>
              <w:t>Builders must warrant their work</w:t>
            </w:r>
          </w:p>
        </w:tc>
        <w:tc>
          <w:tcPr>
            <w:tcW w:w="535" w:type="pct"/>
            <w:vAlign w:val="center"/>
          </w:tcPr>
          <w:p w:rsidR="00C923ED" w:rsidRPr="00C923ED" w:rsidRDefault="00C923ED" w:rsidP="00A041B4">
            <w:pPr>
              <w:pStyle w:val="TableBodyText"/>
              <w:spacing w:before="60" w:after="60"/>
              <w:rPr>
                <w:sz w:val="20"/>
                <w:szCs w:val="20"/>
              </w:rPr>
            </w:pPr>
            <w:r w:rsidRPr="00C923ED">
              <w:rPr>
                <w:sz w:val="20"/>
                <w:szCs w:val="20"/>
              </w:rPr>
              <w:t>Yes</w:t>
            </w:r>
          </w:p>
        </w:tc>
        <w:tc>
          <w:tcPr>
            <w:tcW w:w="521" w:type="pct"/>
            <w:vAlign w:val="center"/>
          </w:tcPr>
          <w:p w:rsidR="00C923ED" w:rsidRPr="00C923ED" w:rsidRDefault="00C923ED" w:rsidP="00A041B4">
            <w:pPr>
              <w:pStyle w:val="TableBodyText"/>
              <w:spacing w:before="60" w:after="60"/>
              <w:rPr>
                <w:sz w:val="20"/>
                <w:szCs w:val="20"/>
              </w:rPr>
            </w:pPr>
            <w:r w:rsidRPr="00C923ED">
              <w:rPr>
                <w:sz w:val="20"/>
                <w:szCs w:val="20"/>
              </w:rPr>
              <w:t>Yes</w:t>
            </w:r>
          </w:p>
        </w:tc>
        <w:tc>
          <w:tcPr>
            <w:tcW w:w="521" w:type="pct"/>
            <w:vAlign w:val="center"/>
          </w:tcPr>
          <w:p w:rsidR="00C923ED" w:rsidRPr="00C923ED" w:rsidRDefault="00C923ED" w:rsidP="00A041B4">
            <w:pPr>
              <w:pStyle w:val="TableBodyText"/>
              <w:spacing w:before="60" w:after="60"/>
              <w:rPr>
                <w:sz w:val="20"/>
                <w:szCs w:val="20"/>
              </w:rPr>
            </w:pPr>
            <w:r w:rsidRPr="00C923ED">
              <w:rPr>
                <w:sz w:val="20"/>
                <w:szCs w:val="20"/>
              </w:rPr>
              <w:t>Yes</w:t>
            </w:r>
          </w:p>
        </w:tc>
        <w:tc>
          <w:tcPr>
            <w:tcW w:w="593" w:type="pct"/>
            <w:vAlign w:val="center"/>
          </w:tcPr>
          <w:p w:rsidR="00C923ED" w:rsidRPr="00C923ED" w:rsidRDefault="00C923ED" w:rsidP="00A041B4">
            <w:pPr>
              <w:pStyle w:val="TableBodyText"/>
              <w:spacing w:before="60" w:after="60"/>
              <w:rPr>
                <w:sz w:val="20"/>
                <w:szCs w:val="20"/>
              </w:rPr>
            </w:pPr>
            <w:r w:rsidRPr="00C923ED">
              <w:rPr>
                <w:sz w:val="20"/>
                <w:szCs w:val="20"/>
              </w:rPr>
              <w:t>Yes</w:t>
            </w:r>
          </w:p>
        </w:tc>
        <w:tc>
          <w:tcPr>
            <w:tcW w:w="521" w:type="pct"/>
            <w:vAlign w:val="center"/>
          </w:tcPr>
          <w:p w:rsidR="00C923ED" w:rsidRPr="00C923ED" w:rsidRDefault="00C923ED" w:rsidP="00A041B4">
            <w:pPr>
              <w:pStyle w:val="TableBodyText"/>
              <w:spacing w:before="60" w:after="60"/>
              <w:rPr>
                <w:sz w:val="20"/>
                <w:szCs w:val="20"/>
              </w:rPr>
            </w:pPr>
            <w:r w:rsidRPr="00C923ED">
              <w:rPr>
                <w:sz w:val="20"/>
                <w:szCs w:val="20"/>
              </w:rPr>
              <w:t>Yes</w:t>
            </w:r>
          </w:p>
        </w:tc>
        <w:tc>
          <w:tcPr>
            <w:tcW w:w="535" w:type="pct"/>
            <w:vAlign w:val="center"/>
          </w:tcPr>
          <w:p w:rsidR="00C923ED" w:rsidRPr="00C923ED" w:rsidRDefault="00C923ED" w:rsidP="00A041B4">
            <w:pPr>
              <w:pStyle w:val="TableBodyText"/>
              <w:spacing w:before="60" w:after="60"/>
              <w:rPr>
                <w:sz w:val="20"/>
                <w:szCs w:val="20"/>
              </w:rPr>
            </w:pPr>
            <w:r w:rsidRPr="00C923ED">
              <w:rPr>
                <w:sz w:val="20"/>
                <w:szCs w:val="20"/>
              </w:rPr>
              <w:t>Yes</w:t>
            </w:r>
          </w:p>
        </w:tc>
        <w:tc>
          <w:tcPr>
            <w:tcW w:w="593" w:type="pct"/>
            <w:vAlign w:val="center"/>
          </w:tcPr>
          <w:p w:rsidR="00C923ED" w:rsidRPr="00C923ED" w:rsidRDefault="00C923ED" w:rsidP="00A041B4">
            <w:pPr>
              <w:pStyle w:val="TableBodyText"/>
              <w:spacing w:before="60" w:after="60"/>
              <w:rPr>
                <w:sz w:val="20"/>
                <w:szCs w:val="20"/>
              </w:rPr>
            </w:pPr>
            <w:r w:rsidRPr="00C923ED">
              <w:rPr>
                <w:sz w:val="20"/>
                <w:szCs w:val="20"/>
              </w:rPr>
              <w:t>Yes</w:t>
            </w:r>
          </w:p>
        </w:tc>
        <w:tc>
          <w:tcPr>
            <w:tcW w:w="516" w:type="pct"/>
            <w:vAlign w:val="center"/>
          </w:tcPr>
          <w:p w:rsidR="00C923ED" w:rsidRPr="00C923ED" w:rsidRDefault="00C923ED" w:rsidP="00A041B4">
            <w:pPr>
              <w:pStyle w:val="TableBodyText"/>
              <w:spacing w:before="60" w:after="60"/>
              <w:rPr>
                <w:sz w:val="20"/>
                <w:szCs w:val="20"/>
              </w:rPr>
            </w:pPr>
            <w:r>
              <w:rPr>
                <w:sz w:val="20"/>
                <w:szCs w:val="20"/>
              </w:rPr>
              <w:t>Yes</w:t>
            </w:r>
          </w:p>
        </w:tc>
      </w:tr>
      <w:tr w:rsidR="00C923ED" w:rsidRPr="004F3BC5" w:rsidTr="00C5435F">
        <w:tc>
          <w:tcPr>
            <w:tcW w:w="665" w:type="pct"/>
            <w:vAlign w:val="center"/>
          </w:tcPr>
          <w:p w:rsidR="00C923ED" w:rsidRPr="00C923ED" w:rsidRDefault="00C923ED" w:rsidP="00C923ED">
            <w:pPr>
              <w:tabs>
                <w:tab w:val="left" w:pos="600"/>
              </w:tabs>
              <w:spacing w:before="100" w:beforeAutospacing="1" w:after="100" w:afterAutospacing="1"/>
              <w:jc w:val="left"/>
              <w:rPr>
                <w:rFonts w:cs="Arial"/>
                <w:b/>
                <w:bCs/>
                <w:iCs/>
                <w:sz w:val="20"/>
                <w:szCs w:val="20"/>
              </w:rPr>
            </w:pPr>
            <w:r w:rsidRPr="00C923ED">
              <w:rPr>
                <w:rFonts w:cs="Arial"/>
                <w:b/>
                <w:bCs/>
                <w:iCs/>
                <w:sz w:val="20"/>
                <w:szCs w:val="20"/>
              </w:rPr>
              <w:t>Builders must enter into formal building contracts in addition to warranting their work</w:t>
            </w:r>
          </w:p>
        </w:tc>
        <w:tc>
          <w:tcPr>
            <w:tcW w:w="535" w:type="pct"/>
            <w:vAlign w:val="center"/>
          </w:tcPr>
          <w:p w:rsidR="00C923ED" w:rsidRPr="00C923ED" w:rsidRDefault="00C923ED" w:rsidP="00A041B4">
            <w:pPr>
              <w:pStyle w:val="TableBodyText"/>
              <w:spacing w:before="60" w:after="60"/>
              <w:rPr>
                <w:sz w:val="20"/>
                <w:szCs w:val="20"/>
              </w:rPr>
            </w:pPr>
            <w:r w:rsidRPr="00C923ED">
              <w:rPr>
                <w:sz w:val="20"/>
                <w:szCs w:val="20"/>
              </w:rPr>
              <w:t>Yes</w:t>
            </w:r>
          </w:p>
        </w:tc>
        <w:tc>
          <w:tcPr>
            <w:tcW w:w="521" w:type="pct"/>
            <w:vAlign w:val="center"/>
          </w:tcPr>
          <w:p w:rsidR="00C923ED" w:rsidRPr="00C923ED" w:rsidRDefault="00C923ED" w:rsidP="00A041B4">
            <w:pPr>
              <w:pStyle w:val="TableBodyText"/>
              <w:spacing w:before="60" w:after="60"/>
              <w:rPr>
                <w:sz w:val="20"/>
                <w:szCs w:val="20"/>
              </w:rPr>
            </w:pPr>
            <w:r w:rsidRPr="00C923ED">
              <w:rPr>
                <w:sz w:val="20"/>
                <w:szCs w:val="20"/>
              </w:rPr>
              <w:t>Yes</w:t>
            </w:r>
          </w:p>
        </w:tc>
        <w:tc>
          <w:tcPr>
            <w:tcW w:w="521" w:type="pct"/>
            <w:vAlign w:val="center"/>
          </w:tcPr>
          <w:p w:rsidR="00C923ED" w:rsidRPr="00C923ED" w:rsidRDefault="00C923ED" w:rsidP="00A041B4">
            <w:pPr>
              <w:pStyle w:val="TableBodyText"/>
              <w:spacing w:before="60" w:after="60"/>
              <w:rPr>
                <w:sz w:val="20"/>
                <w:szCs w:val="20"/>
              </w:rPr>
            </w:pPr>
            <w:r w:rsidRPr="00C923ED">
              <w:rPr>
                <w:sz w:val="20"/>
                <w:szCs w:val="20"/>
              </w:rPr>
              <w:t>Yes</w:t>
            </w:r>
          </w:p>
        </w:tc>
        <w:tc>
          <w:tcPr>
            <w:tcW w:w="593" w:type="pct"/>
            <w:vAlign w:val="center"/>
          </w:tcPr>
          <w:p w:rsidR="00C923ED" w:rsidRPr="00C923ED" w:rsidRDefault="00C923ED" w:rsidP="00A041B4">
            <w:pPr>
              <w:pStyle w:val="TableBodyText"/>
              <w:spacing w:before="60" w:after="60"/>
              <w:rPr>
                <w:sz w:val="20"/>
                <w:szCs w:val="20"/>
              </w:rPr>
            </w:pPr>
            <w:r w:rsidRPr="00C923ED">
              <w:rPr>
                <w:sz w:val="20"/>
                <w:szCs w:val="20"/>
              </w:rPr>
              <w:t>Yes</w:t>
            </w:r>
          </w:p>
        </w:tc>
        <w:tc>
          <w:tcPr>
            <w:tcW w:w="521" w:type="pct"/>
            <w:vAlign w:val="center"/>
          </w:tcPr>
          <w:p w:rsidR="00C923ED" w:rsidRPr="00C923ED" w:rsidRDefault="00C923ED" w:rsidP="00A041B4">
            <w:pPr>
              <w:pStyle w:val="TableBodyText"/>
              <w:spacing w:before="60" w:after="60"/>
              <w:rPr>
                <w:sz w:val="20"/>
                <w:szCs w:val="20"/>
              </w:rPr>
            </w:pPr>
            <w:r w:rsidRPr="00C923ED">
              <w:rPr>
                <w:sz w:val="20"/>
                <w:szCs w:val="20"/>
              </w:rPr>
              <w:t>Yes</w:t>
            </w:r>
          </w:p>
        </w:tc>
        <w:tc>
          <w:tcPr>
            <w:tcW w:w="535" w:type="pct"/>
            <w:vAlign w:val="center"/>
          </w:tcPr>
          <w:p w:rsidR="00C923ED" w:rsidRPr="00C923ED" w:rsidRDefault="00C923ED" w:rsidP="00A041B4">
            <w:pPr>
              <w:pStyle w:val="TableBodyText"/>
              <w:spacing w:before="60" w:after="60"/>
              <w:rPr>
                <w:sz w:val="20"/>
                <w:szCs w:val="20"/>
              </w:rPr>
            </w:pPr>
            <w:r>
              <w:rPr>
                <w:sz w:val="20"/>
                <w:szCs w:val="20"/>
              </w:rPr>
              <w:t>Yes</w:t>
            </w:r>
          </w:p>
        </w:tc>
        <w:tc>
          <w:tcPr>
            <w:tcW w:w="593" w:type="pct"/>
            <w:vAlign w:val="center"/>
          </w:tcPr>
          <w:p w:rsidR="00C923ED" w:rsidRPr="00C923ED" w:rsidRDefault="00C923ED" w:rsidP="00A041B4">
            <w:pPr>
              <w:pStyle w:val="TableBodyText"/>
              <w:spacing w:before="60" w:after="60"/>
              <w:rPr>
                <w:sz w:val="20"/>
                <w:szCs w:val="20"/>
              </w:rPr>
            </w:pPr>
            <w:r w:rsidRPr="00C923ED">
              <w:rPr>
                <w:sz w:val="20"/>
                <w:szCs w:val="20"/>
              </w:rPr>
              <w:t>No</w:t>
            </w:r>
          </w:p>
        </w:tc>
        <w:tc>
          <w:tcPr>
            <w:tcW w:w="516" w:type="pct"/>
            <w:vAlign w:val="center"/>
          </w:tcPr>
          <w:p w:rsidR="00C923ED" w:rsidRPr="00C923ED" w:rsidRDefault="00C923ED" w:rsidP="00A041B4">
            <w:pPr>
              <w:pStyle w:val="TableBodyText"/>
              <w:spacing w:before="60" w:after="60"/>
              <w:rPr>
                <w:sz w:val="20"/>
                <w:szCs w:val="20"/>
              </w:rPr>
            </w:pPr>
            <w:r w:rsidRPr="00C923ED">
              <w:rPr>
                <w:sz w:val="20"/>
                <w:szCs w:val="20"/>
              </w:rPr>
              <w:t>No</w:t>
            </w:r>
          </w:p>
        </w:tc>
      </w:tr>
      <w:tr w:rsidR="00C923ED" w:rsidRPr="004F3BC5" w:rsidTr="00A041B4">
        <w:tc>
          <w:tcPr>
            <w:tcW w:w="665" w:type="pct"/>
          </w:tcPr>
          <w:p w:rsidR="00C923ED" w:rsidRPr="004F3BC5" w:rsidRDefault="00C923ED" w:rsidP="00A041B4">
            <w:pPr>
              <w:widowControl/>
              <w:tabs>
                <w:tab w:val="left" w:pos="600"/>
              </w:tabs>
              <w:spacing w:before="100" w:beforeAutospacing="1" w:after="100" w:afterAutospacing="1"/>
              <w:jc w:val="left"/>
              <w:rPr>
                <w:rFonts w:cs="Arial"/>
                <w:b/>
                <w:bCs/>
                <w:iCs/>
                <w:sz w:val="20"/>
                <w:szCs w:val="20"/>
              </w:rPr>
            </w:pPr>
            <w:r w:rsidRPr="004F3BC5">
              <w:rPr>
                <w:rFonts w:cs="Arial"/>
                <w:b/>
                <w:bCs/>
                <w:iCs/>
                <w:sz w:val="20"/>
                <w:szCs w:val="20"/>
              </w:rPr>
              <w:t>CPD</w:t>
            </w:r>
          </w:p>
        </w:tc>
        <w:tc>
          <w:tcPr>
            <w:tcW w:w="535" w:type="pct"/>
          </w:tcPr>
          <w:p w:rsidR="00C923ED" w:rsidRPr="004F3BC5" w:rsidRDefault="00C923ED" w:rsidP="00A041B4">
            <w:pPr>
              <w:widowControl/>
              <w:tabs>
                <w:tab w:val="left" w:pos="600"/>
              </w:tabs>
              <w:spacing w:before="100" w:beforeAutospacing="1" w:after="100" w:afterAutospacing="1"/>
              <w:jc w:val="left"/>
              <w:rPr>
                <w:rFonts w:cs="Arial"/>
                <w:bCs/>
                <w:iCs/>
                <w:sz w:val="20"/>
                <w:szCs w:val="20"/>
              </w:rPr>
            </w:pPr>
            <w:r w:rsidRPr="004F3BC5">
              <w:rPr>
                <w:rFonts w:cs="Arial"/>
                <w:bCs/>
                <w:iCs/>
                <w:sz w:val="20"/>
                <w:szCs w:val="20"/>
              </w:rPr>
              <w:t>Yes, compulsory 12 point system</w:t>
            </w:r>
          </w:p>
        </w:tc>
        <w:tc>
          <w:tcPr>
            <w:tcW w:w="521" w:type="pct"/>
          </w:tcPr>
          <w:p w:rsidR="00C923ED" w:rsidRPr="004F3BC5" w:rsidRDefault="00C923ED" w:rsidP="00A041B4">
            <w:pPr>
              <w:widowControl/>
              <w:tabs>
                <w:tab w:val="left" w:pos="600"/>
              </w:tabs>
              <w:spacing w:before="100" w:beforeAutospacing="1" w:after="100" w:afterAutospacing="1"/>
              <w:jc w:val="left"/>
              <w:rPr>
                <w:rFonts w:cs="Arial"/>
                <w:bCs/>
                <w:iCs/>
                <w:sz w:val="20"/>
                <w:szCs w:val="20"/>
              </w:rPr>
            </w:pPr>
            <w:r>
              <w:rPr>
                <w:rFonts w:cs="Arial"/>
                <w:bCs/>
                <w:iCs/>
                <w:sz w:val="20"/>
                <w:szCs w:val="20"/>
              </w:rPr>
              <w:t xml:space="preserve">Yes, although yet to be introduced via regulations </w:t>
            </w:r>
          </w:p>
        </w:tc>
        <w:tc>
          <w:tcPr>
            <w:tcW w:w="521" w:type="pct"/>
          </w:tcPr>
          <w:p w:rsidR="00C923ED" w:rsidRPr="004F3BC5" w:rsidRDefault="00C923ED" w:rsidP="00A041B4">
            <w:pPr>
              <w:widowControl/>
              <w:tabs>
                <w:tab w:val="left" w:pos="600"/>
              </w:tabs>
              <w:spacing w:before="100" w:beforeAutospacing="1" w:after="100" w:afterAutospacing="1"/>
              <w:jc w:val="left"/>
              <w:rPr>
                <w:rFonts w:cs="Arial"/>
                <w:bCs/>
                <w:iCs/>
                <w:sz w:val="20"/>
                <w:szCs w:val="20"/>
              </w:rPr>
            </w:pPr>
            <w:r w:rsidRPr="004F3BC5">
              <w:rPr>
                <w:rFonts w:cs="Arial"/>
                <w:bCs/>
                <w:iCs/>
                <w:sz w:val="20"/>
                <w:szCs w:val="20"/>
              </w:rPr>
              <w:t>Voluntary</w:t>
            </w:r>
          </w:p>
        </w:tc>
        <w:tc>
          <w:tcPr>
            <w:tcW w:w="593" w:type="pct"/>
          </w:tcPr>
          <w:p w:rsidR="00C923ED" w:rsidRPr="004F3BC5" w:rsidRDefault="00C923ED" w:rsidP="00A041B4">
            <w:pPr>
              <w:widowControl/>
              <w:tabs>
                <w:tab w:val="left" w:pos="600"/>
              </w:tabs>
              <w:spacing w:before="100" w:beforeAutospacing="1" w:after="100" w:afterAutospacing="1"/>
              <w:jc w:val="left"/>
              <w:rPr>
                <w:rFonts w:cs="Arial"/>
                <w:bCs/>
                <w:iCs/>
                <w:sz w:val="20"/>
                <w:szCs w:val="20"/>
              </w:rPr>
            </w:pPr>
            <w:r w:rsidRPr="004F3BC5">
              <w:rPr>
                <w:rFonts w:cs="Arial"/>
                <w:bCs/>
                <w:iCs/>
                <w:sz w:val="20"/>
                <w:szCs w:val="20"/>
              </w:rPr>
              <w:t>No</w:t>
            </w:r>
          </w:p>
        </w:tc>
        <w:tc>
          <w:tcPr>
            <w:tcW w:w="521" w:type="pct"/>
          </w:tcPr>
          <w:p w:rsidR="00C923ED" w:rsidRPr="004F3BC5" w:rsidRDefault="00C923ED" w:rsidP="00A041B4">
            <w:pPr>
              <w:widowControl/>
              <w:tabs>
                <w:tab w:val="left" w:pos="600"/>
              </w:tabs>
              <w:spacing w:before="100" w:beforeAutospacing="1" w:after="100" w:afterAutospacing="1"/>
              <w:jc w:val="left"/>
              <w:rPr>
                <w:rFonts w:cs="Arial"/>
                <w:bCs/>
                <w:iCs/>
                <w:sz w:val="20"/>
                <w:szCs w:val="20"/>
              </w:rPr>
            </w:pPr>
            <w:r w:rsidRPr="004F3BC5">
              <w:rPr>
                <w:rFonts w:cs="Arial"/>
                <w:bCs/>
                <w:iCs/>
                <w:sz w:val="20"/>
                <w:szCs w:val="20"/>
              </w:rPr>
              <w:t>No</w:t>
            </w:r>
          </w:p>
        </w:tc>
        <w:tc>
          <w:tcPr>
            <w:tcW w:w="535" w:type="pct"/>
          </w:tcPr>
          <w:p w:rsidR="00C923ED" w:rsidRPr="004F3BC5" w:rsidRDefault="00C923ED" w:rsidP="00A041B4">
            <w:pPr>
              <w:widowControl/>
              <w:tabs>
                <w:tab w:val="left" w:pos="600"/>
              </w:tabs>
              <w:spacing w:before="100" w:beforeAutospacing="1" w:after="100" w:afterAutospacing="1"/>
              <w:jc w:val="left"/>
              <w:rPr>
                <w:rFonts w:cs="Arial"/>
                <w:bCs/>
                <w:iCs/>
                <w:sz w:val="20"/>
                <w:szCs w:val="20"/>
              </w:rPr>
            </w:pPr>
            <w:r w:rsidRPr="004F3BC5">
              <w:rPr>
                <w:rFonts w:cs="Arial"/>
                <w:bCs/>
                <w:iCs/>
                <w:sz w:val="20"/>
                <w:szCs w:val="20"/>
              </w:rPr>
              <w:t>No</w:t>
            </w:r>
          </w:p>
        </w:tc>
        <w:tc>
          <w:tcPr>
            <w:tcW w:w="593" w:type="pct"/>
          </w:tcPr>
          <w:p w:rsidR="00C923ED" w:rsidRPr="004F3BC5" w:rsidRDefault="00C923ED" w:rsidP="00A041B4">
            <w:pPr>
              <w:widowControl/>
              <w:tabs>
                <w:tab w:val="left" w:pos="600"/>
              </w:tabs>
              <w:spacing w:before="100" w:beforeAutospacing="1" w:after="100" w:afterAutospacing="1"/>
              <w:jc w:val="left"/>
              <w:rPr>
                <w:rFonts w:cs="Arial"/>
                <w:bCs/>
                <w:iCs/>
                <w:sz w:val="20"/>
                <w:szCs w:val="20"/>
              </w:rPr>
            </w:pPr>
            <w:r w:rsidRPr="004F3BC5">
              <w:rPr>
                <w:rFonts w:cs="Arial"/>
                <w:bCs/>
                <w:iCs/>
                <w:sz w:val="20"/>
                <w:szCs w:val="20"/>
              </w:rPr>
              <w:t>No</w:t>
            </w:r>
          </w:p>
        </w:tc>
        <w:tc>
          <w:tcPr>
            <w:tcW w:w="516" w:type="pct"/>
          </w:tcPr>
          <w:p w:rsidR="00C923ED" w:rsidRPr="004F3BC5" w:rsidRDefault="00C923ED" w:rsidP="00A041B4">
            <w:pPr>
              <w:widowControl/>
              <w:tabs>
                <w:tab w:val="left" w:pos="600"/>
              </w:tabs>
              <w:spacing w:before="100" w:beforeAutospacing="1" w:after="100" w:afterAutospacing="1"/>
              <w:jc w:val="left"/>
              <w:rPr>
                <w:rFonts w:cs="Arial"/>
                <w:bCs/>
                <w:iCs/>
                <w:sz w:val="20"/>
                <w:szCs w:val="20"/>
              </w:rPr>
            </w:pPr>
            <w:r w:rsidRPr="004F3BC5">
              <w:rPr>
                <w:rFonts w:cs="Arial"/>
                <w:bCs/>
                <w:iCs/>
                <w:sz w:val="20"/>
                <w:szCs w:val="20"/>
              </w:rPr>
              <w:t>Yes, point system</w:t>
            </w:r>
          </w:p>
        </w:tc>
      </w:tr>
    </w:tbl>
    <w:p w:rsidR="00EC0BBC" w:rsidRPr="00B13088" w:rsidRDefault="00EC0BBC" w:rsidP="002A6B99">
      <w:pPr>
        <w:spacing w:after="120"/>
        <w:jc w:val="both"/>
        <w:rPr>
          <w:rFonts w:cs="Arial"/>
          <w:sz w:val="22"/>
          <w:szCs w:val="22"/>
        </w:rPr>
      </w:pPr>
    </w:p>
    <w:sectPr w:rsidR="00EC0BBC" w:rsidRPr="00B13088" w:rsidSect="002A6B99">
      <w:headerReference w:type="default" r:id="rId22"/>
      <w:pgSz w:w="16839" w:h="11907" w:orient="landscape" w:code="9"/>
      <w:pgMar w:top="1440" w:right="1440" w:bottom="1440" w:left="1276"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19A" w:rsidRDefault="0096519A">
      <w:r>
        <w:separator/>
      </w:r>
    </w:p>
  </w:endnote>
  <w:endnote w:type="continuationSeparator" w:id="0">
    <w:p w:rsidR="0096519A" w:rsidRDefault="00965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39A" w:rsidRPr="00AA1A4A" w:rsidRDefault="006A439A">
    <w:pPr>
      <w:pStyle w:val="Footer"/>
      <w:rPr>
        <w:sz w:val="16"/>
        <w:szCs w:val="16"/>
      </w:rPr>
    </w:pPr>
    <w:r w:rsidRPr="00AA1A4A">
      <w:rPr>
        <w:sz w:val="16"/>
        <w:szCs w:val="16"/>
      </w:rPr>
      <w:fldChar w:fldCharType="begin"/>
    </w:r>
    <w:r w:rsidRPr="00AA1A4A">
      <w:rPr>
        <w:sz w:val="16"/>
        <w:szCs w:val="16"/>
      </w:rPr>
      <w:instrText xml:space="preserve"> PAGE   \* MERGEFORMAT </w:instrText>
    </w:r>
    <w:r w:rsidRPr="00AA1A4A">
      <w:rPr>
        <w:sz w:val="16"/>
        <w:szCs w:val="16"/>
      </w:rPr>
      <w:fldChar w:fldCharType="separate"/>
    </w:r>
    <w:r w:rsidR="00E01A20">
      <w:rPr>
        <w:noProof/>
        <w:sz w:val="16"/>
        <w:szCs w:val="16"/>
      </w:rPr>
      <w:t>2</w:t>
    </w:r>
    <w:r w:rsidRPr="00AA1A4A">
      <w:rPr>
        <w:noProof/>
        <w:sz w:val="16"/>
        <w:szCs w:val="16"/>
      </w:rPr>
      <w:fldChar w:fldCharType="end"/>
    </w:r>
  </w:p>
  <w:p w:rsidR="006A439A" w:rsidRDefault="006A43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39A" w:rsidRPr="00567FD4" w:rsidRDefault="006A439A" w:rsidP="00567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19A" w:rsidRDefault="0096519A">
      <w:r>
        <w:separator/>
      </w:r>
    </w:p>
  </w:footnote>
  <w:footnote w:type="continuationSeparator" w:id="0">
    <w:p w:rsidR="0096519A" w:rsidRDefault="0096519A">
      <w:r>
        <w:continuationSeparator/>
      </w:r>
    </w:p>
  </w:footnote>
  <w:footnote w:id="1">
    <w:p w:rsidR="006A439A" w:rsidRPr="00B13088" w:rsidRDefault="006A439A">
      <w:pPr>
        <w:pStyle w:val="FootnoteText"/>
        <w:rPr>
          <w:sz w:val="16"/>
          <w:szCs w:val="16"/>
        </w:rPr>
      </w:pPr>
      <w:r w:rsidRPr="00B13088">
        <w:rPr>
          <w:rStyle w:val="FootnoteReference"/>
          <w:sz w:val="16"/>
          <w:szCs w:val="16"/>
        </w:rPr>
        <w:footnoteRef/>
      </w:r>
      <w:r w:rsidRPr="00B13088">
        <w:rPr>
          <w:sz w:val="16"/>
          <w:szCs w:val="16"/>
        </w:rPr>
        <w:t xml:space="preserve"> Except for painters</w:t>
      </w:r>
    </w:p>
  </w:footnote>
  <w:footnote w:id="2">
    <w:p w:rsidR="006A439A" w:rsidRPr="003B54FD" w:rsidRDefault="006A439A" w:rsidP="00635849">
      <w:pPr>
        <w:rPr>
          <w:sz w:val="15"/>
          <w:szCs w:val="15"/>
        </w:rPr>
      </w:pPr>
      <w:r w:rsidRPr="003B54FD">
        <w:rPr>
          <w:rStyle w:val="FootnoteReference"/>
          <w:sz w:val="15"/>
          <w:szCs w:val="15"/>
        </w:rPr>
        <w:footnoteRef/>
      </w:r>
      <w:r w:rsidRPr="003B54FD">
        <w:rPr>
          <w:sz w:val="15"/>
          <w:szCs w:val="15"/>
        </w:rPr>
        <w:t xml:space="preserve"> </w:t>
      </w:r>
      <w:r w:rsidRPr="003B54FD">
        <w:rPr>
          <w:rFonts w:cs="Arial"/>
          <w:sz w:val="15"/>
          <w:szCs w:val="15"/>
        </w:rPr>
        <w:t>In Western Australia, a person must complete the prescribed course of training and accumulate at least seven years practical experience in the work of a builder, or as a supervisor of building work. The current prescribed course is at</w:t>
      </w:r>
      <w:r w:rsidR="008C08BF" w:rsidRPr="003B54FD">
        <w:rPr>
          <w:rFonts w:cs="Arial"/>
          <w:sz w:val="15"/>
          <w:szCs w:val="15"/>
        </w:rPr>
        <w:t xml:space="preserve"> D</w:t>
      </w:r>
      <w:r w:rsidRPr="003B54FD">
        <w:rPr>
          <w:rFonts w:cs="Arial"/>
          <w:sz w:val="15"/>
          <w:szCs w:val="15"/>
        </w:rPr>
        <w:t>iploma</w:t>
      </w:r>
      <w:r w:rsidR="003B54FD" w:rsidRPr="003B54FD">
        <w:rPr>
          <w:rFonts w:cs="Arial"/>
          <w:sz w:val="15"/>
          <w:szCs w:val="15"/>
        </w:rPr>
        <w:t xml:space="preserve"> (Certificate V) </w:t>
      </w:r>
      <w:r w:rsidRPr="003B54FD">
        <w:rPr>
          <w:rFonts w:cs="Arial"/>
          <w:sz w:val="15"/>
          <w:szCs w:val="15"/>
        </w:rPr>
        <w:t>level.</w:t>
      </w:r>
    </w:p>
  </w:footnote>
  <w:footnote w:id="3">
    <w:p w:rsidR="006A439A" w:rsidRPr="003B54FD" w:rsidRDefault="006A439A" w:rsidP="00B13088">
      <w:pPr>
        <w:pStyle w:val="FootnoteText"/>
        <w:rPr>
          <w:sz w:val="15"/>
          <w:szCs w:val="15"/>
        </w:rPr>
      </w:pPr>
      <w:r w:rsidRPr="003B54FD">
        <w:rPr>
          <w:rStyle w:val="FootnoteReference"/>
          <w:sz w:val="15"/>
          <w:szCs w:val="15"/>
        </w:rPr>
        <w:footnoteRef/>
      </w:r>
      <w:r w:rsidRPr="003B54FD">
        <w:rPr>
          <w:sz w:val="15"/>
          <w:szCs w:val="15"/>
        </w:rPr>
        <w:t xml:space="preserve"> Queensland</w:t>
      </w:r>
    </w:p>
  </w:footnote>
  <w:footnote w:id="4">
    <w:p w:rsidR="006A439A" w:rsidRPr="003B54FD" w:rsidRDefault="006A439A" w:rsidP="00B13088">
      <w:pPr>
        <w:pStyle w:val="FootnoteText"/>
        <w:rPr>
          <w:sz w:val="15"/>
          <w:szCs w:val="15"/>
        </w:rPr>
      </w:pPr>
      <w:r w:rsidRPr="003B54FD">
        <w:rPr>
          <w:rStyle w:val="FootnoteReference"/>
          <w:sz w:val="15"/>
          <w:szCs w:val="15"/>
        </w:rPr>
        <w:footnoteRef/>
      </w:r>
      <w:r w:rsidRPr="003B54FD">
        <w:rPr>
          <w:sz w:val="15"/>
          <w:szCs w:val="15"/>
        </w:rPr>
        <w:t xml:space="preserve"> NSW and Tasmania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E67" w:rsidRDefault="00073E67" w:rsidP="00073E67">
    <w:pPr>
      <w:pStyle w:val="Header"/>
    </w:pPr>
    <w:r>
      <w:rPr>
        <w:noProof/>
        <w:lang w:eastAsia="en-AU"/>
      </w:rPr>
      <w:drawing>
        <wp:inline distT="0" distB="0" distL="0" distR="0" wp14:anchorId="7158449D" wp14:editId="624D420E">
          <wp:extent cx="5486400" cy="519430"/>
          <wp:effectExtent l="0" t="0" r="0" b="0"/>
          <wp:docPr id="3" name="Picture 3" descr="head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519430"/>
                  </a:xfrm>
                  <a:prstGeom prst="rect">
                    <a:avLst/>
                  </a:prstGeom>
                  <a:noFill/>
                  <a:ln>
                    <a:noFill/>
                  </a:ln>
                </pic:spPr>
              </pic:pic>
            </a:graphicData>
          </a:graphic>
        </wp:inline>
      </w:drawing>
    </w:r>
  </w:p>
  <w:p w:rsidR="006A7DBC" w:rsidRPr="006A7DBC" w:rsidRDefault="006A7DBC" w:rsidP="00073E67">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39A" w:rsidRPr="005F1E8A" w:rsidRDefault="006A439A" w:rsidP="00DC15ED">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39A" w:rsidRPr="005F1E8A" w:rsidRDefault="006A439A" w:rsidP="005F1E8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BCC" w:rsidRDefault="008E3BCC" w:rsidP="00073E67">
    <w:pPr>
      <w:pStyle w:val="Header"/>
    </w:pPr>
    <w:r>
      <w:rPr>
        <w:noProof/>
        <w:lang w:eastAsia="en-AU"/>
      </w:rPr>
      <w:drawing>
        <wp:inline distT="0" distB="0" distL="0" distR="0" wp14:anchorId="3356D15B" wp14:editId="24AA5632">
          <wp:extent cx="5486400" cy="519430"/>
          <wp:effectExtent l="0" t="0" r="0" b="0"/>
          <wp:docPr id="4" name="Picture 4" descr="head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519430"/>
                  </a:xfrm>
                  <a:prstGeom prst="rect">
                    <a:avLst/>
                  </a:prstGeom>
                  <a:noFill/>
                  <a:ln>
                    <a:noFill/>
                  </a:ln>
                </pic:spPr>
              </pic:pic>
            </a:graphicData>
          </a:graphic>
        </wp:inline>
      </w:drawing>
    </w:r>
  </w:p>
  <w:p w:rsidR="008E3BCC" w:rsidRPr="006A7DBC" w:rsidRDefault="008E3BCC" w:rsidP="00073E67">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4FC6"/>
    <w:multiLevelType w:val="hybridMultilevel"/>
    <w:tmpl w:val="2B34BA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ED95F65"/>
    <w:multiLevelType w:val="multilevel"/>
    <w:tmpl w:val="32485EA4"/>
    <w:lvl w:ilvl="0">
      <w:start w:val="26"/>
      <w:numFmt w:val="decimal"/>
      <w:pStyle w:val="ListNumber"/>
      <w:lvlText w:val="%1."/>
      <w:lvlJc w:val="left"/>
      <w:pPr>
        <w:tabs>
          <w:tab w:val="num" w:pos="624"/>
        </w:tabs>
        <w:ind w:left="624" w:hanging="340"/>
      </w:pPr>
      <w:rPr>
        <w:rFonts w:hint="default"/>
        <w:b w:val="0"/>
        <w:bCs w:val="0"/>
        <w:i/>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F4C7123"/>
    <w:multiLevelType w:val="hybridMultilevel"/>
    <w:tmpl w:val="2A50BC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2C0A2FC9"/>
    <w:multiLevelType w:val="multilevel"/>
    <w:tmpl w:val="05DAF748"/>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3A41A17"/>
    <w:multiLevelType w:val="hybridMultilevel"/>
    <w:tmpl w:val="3BE407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697A3A58"/>
    <w:multiLevelType w:val="hybridMultilevel"/>
    <w:tmpl w:val="F3B02C4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7D032010"/>
    <w:multiLevelType w:val="hybridMultilevel"/>
    <w:tmpl w:val="B85E99AE"/>
    <w:lvl w:ilvl="0" w:tplc="0F241444">
      <w:start w:val="1"/>
      <w:numFmt w:val="bullet"/>
      <w:pStyle w:val="ListBullet"/>
      <w:lvlText w:val=""/>
      <w:lvlJc w:val="left"/>
      <w:pPr>
        <w:ind w:left="720" w:hanging="360"/>
      </w:pPr>
      <w:rPr>
        <w:rFonts w:ascii="Symbol" w:hAnsi="Symbol" w:hint="default"/>
      </w:rPr>
    </w:lvl>
    <w:lvl w:ilvl="1" w:tplc="21F6263A">
      <w:start w:val="1"/>
      <w:numFmt w:val="bullet"/>
      <w:lvlText w:val=""/>
      <w:lvlJc w:val="left"/>
      <w:pPr>
        <w:tabs>
          <w:tab w:val="num" w:pos="1440"/>
        </w:tabs>
        <w:ind w:left="1440" w:hanging="360"/>
      </w:pPr>
      <w:rPr>
        <w:rFonts w:ascii="Symbol" w:hAnsi="Symbol"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6"/>
  </w:num>
  <w:num w:numId="4">
    <w:abstractNumId w:val="2"/>
  </w:num>
  <w:num w:numId="5">
    <w:abstractNumId w:val="1"/>
  </w:num>
  <w:num w:numId="6">
    <w:abstractNumId w:val="0"/>
  </w:num>
  <w:num w:numId="7">
    <w:abstractNumId w:val="3"/>
  </w:num>
  <w:num w:numId="8">
    <w:abstractNumId w:val="3"/>
  </w:num>
  <w:num w:numId="9">
    <w:abstractNumId w:val="3"/>
  </w:num>
  <w:num w:numId="10">
    <w:abstractNumId w:val="3"/>
  </w:num>
  <w:num w:numId="11">
    <w:abstractNumId w:val="3"/>
  </w:num>
  <w:num w:numId="12">
    <w:abstractNumId w:val="4"/>
  </w:num>
  <w:num w:numId="13">
    <w:abstractNumId w:val="6"/>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o:colormru v:ext="edit" colors="#ffd520,#8c8c8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1C5"/>
    <w:rsid w:val="00021AA6"/>
    <w:rsid w:val="00023E22"/>
    <w:rsid w:val="000530B0"/>
    <w:rsid w:val="0006553C"/>
    <w:rsid w:val="00073E67"/>
    <w:rsid w:val="0007602D"/>
    <w:rsid w:val="000815DB"/>
    <w:rsid w:val="000B2745"/>
    <w:rsid w:val="000C4F88"/>
    <w:rsid w:val="000C60D9"/>
    <w:rsid w:val="000D0752"/>
    <w:rsid w:val="000D0B0F"/>
    <w:rsid w:val="000D2600"/>
    <w:rsid w:val="001017A3"/>
    <w:rsid w:val="0012402E"/>
    <w:rsid w:val="00130B40"/>
    <w:rsid w:val="0013569F"/>
    <w:rsid w:val="00143734"/>
    <w:rsid w:val="00153386"/>
    <w:rsid w:val="0016079F"/>
    <w:rsid w:val="00171FFB"/>
    <w:rsid w:val="00185A9A"/>
    <w:rsid w:val="001A0E36"/>
    <w:rsid w:val="001B71C9"/>
    <w:rsid w:val="001C3D80"/>
    <w:rsid w:val="001E7AD0"/>
    <w:rsid w:val="002056AD"/>
    <w:rsid w:val="00214D2C"/>
    <w:rsid w:val="00226CBA"/>
    <w:rsid w:val="00232C5A"/>
    <w:rsid w:val="00271A9D"/>
    <w:rsid w:val="00273583"/>
    <w:rsid w:val="002738A4"/>
    <w:rsid w:val="00275FEF"/>
    <w:rsid w:val="00284C68"/>
    <w:rsid w:val="0028750E"/>
    <w:rsid w:val="00296160"/>
    <w:rsid w:val="002A5E9D"/>
    <w:rsid w:val="002A6B99"/>
    <w:rsid w:val="002B1618"/>
    <w:rsid w:val="002B173A"/>
    <w:rsid w:val="002D686B"/>
    <w:rsid w:val="002F5829"/>
    <w:rsid w:val="002F72A8"/>
    <w:rsid w:val="00314A12"/>
    <w:rsid w:val="00326127"/>
    <w:rsid w:val="00330FF2"/>
    <w:rsid w:val="00335913"/>
    <w:rsid w:val="003425F8"/>
    <w:rsid w:val="0034776E"/>
    <w:rsid w:val="003506FB"/>
    <w:rsid w:val="00351D9F"/>
    <w:rsid w:val="00356A67"/>
    <w:rsid w:val="00367C7A"/>
    <w:rsid w:val="00372B68"/>
    <w:rsid w:val="0038256E"/>
    <w:rsid w:val="00392625"/>
    <w:rsid w:val="00393B93"/>
    <w:rsid w:val="003A3398"/>
    <w:rsid w:val="003B54FD"/>
    <w:rsid w:val="003C308C"/>
    <w:rsid w:val="003D14B5"/>
    <w:rsid w:val="003D7EC6"/>
    <w:rsid w:val="003E4FF6"/>
    <w:rsid w:val="004006BA"/>
    <w:rsid w:val="004014F8"/>
    <w:rsid w:val="00426740"/>
    <w:rsid w:val="00444500"/>
    <w:rsid w:val="00454A7B"/>
    <w:rsid w:val="00476BCD"/>
    <w:rsid w:val="004B0E3D"/>
    <w:rsid w:val="004B17B4"/>
    <w:rsid w:val="004F2785"/>
    <w:rsid w:val="00514F75"/>
    <w:rsid w:val="00536E94"/>
    <w:rsid w:val="00553621"/>
    <w:rsid w:val="00567FD4"/>
    <w:rsid w:val="00574D74"/>
    <w:rsid w:val="005A4D23"/>
    <w:rsid w:val="005C0D73"/>
    <w:rsid w:val="005C6772"/>
    <w:rsid w:val="005C6A39"/>
    <w:rsid w:val="005D0F58"/>
    <w:rsid w:val="005D30CE"/>
    <w:rsid w:val="005D4EC2"/>
    <w:rsid w:val="005E08E0"/>
    <w:rsid w:val="005E2631"/>
    <w:rsid w:val="005E362D"/>
    <w:rsid w:val="005E6E11"/>
    <w:rsid w:val="005F1E8A"/>
    <w:rsid w:val="005F2AC3"/>
    <w:rsid w:val="00602E1B"/>
    <w:rsid w:val="00603298"/>
    <w:rsid w:val="00605EC4"/>
    <w:rsid w:val="006070E3"/>
    <w:rsid w:val="00617E6A"/>
    <w:rsid w:val="00635849"/>
    <w:rsid w:val="00641061"/>
    <w:rsid w:val="006611C5"/>
    <w:rsid w:val="006A164D"/>
    <w:rsid w:val="006A439A"/>
    <w:rsid w:val="006A74B6"/>
    <w:rsid w:val="006A7DBC"/>
    <w:rsid w:val="006B5614"/>
    <w:rsid w:val="006D7AF5"/>
    <w:rsid w:val="006E2387"/>
    <w:rsid w:val="006F2934"/>
    <w:rsid w:val="00723EFF"/>
    <w:rsid w:val="00727867"/>
    <w:rsid w:val="007439D5"/>
    <w:rsid w:val="00746FDF"/>
    <w:rsid w:val="00754A95"/>
    <w:rsid w:val="0075712C"/>
    <w:rsid w:val="007D438D"/>
    <w:rsid w:val="007D57F5"/>
    <w:rsid w:val="007D7666"/>
    <w:rsid w:val="007E0B0E"/>
    <w:rsid w:val="00800A39"/>
    <w:rsid w:val="00801B94"/>
    <w:rsid w:val="00815C0E"/>
    <w:rsid w:val="0081636A"/>
    <w:rsid w:val="00824780"/>
    <w:rsid w:val="00845FF2"/>
    <w:rsid w:val="00846E79"/>
    <w:rsid w:val="00851E13"/>
    <w:rsid w:val="008576E9"/>
    <w:rsid w:val="00865E61"/>
    <w:rsid w:val="008735BC"/>
    <w:rsid w:val="0088321B"/>
    <w:rsid w:val="008C08BF"/>
    <w:rsid w:val="008C6EC8"/>
    <w:rsid w:val="008C73E4"/>
    <w:rsid w:val="008E3BCC"/>
    <w:rsid w:val="00903FB5"/>
    <w:rsid w:val="00922C2F"/>
    <w:rsid w:val="00924B13"/>
    <w:rsid w:val="00933A65"/>
    <w:rsid w:val="00934F66"/>
    <w:rsid w:val="00936E51"/>
    <w:rsid w:val="00945EDD"/>
    <w:rsid w:val="0096519A"/>
    <w:rsid w:val="0098599E"/>
    <w:rsid w:val="00987C71"/>
    <w:rsid w:val="009A1717"/>
    <w:rsid w:val="009C15C3"/>
    <w:rsid w:val="009C2037"/>
    <w:rsid w:val="009F3D92"/>
    <w:rsid w:val="00A044CA"/>
    <w:rsid w:val="00A208F1"/>
    <w:rsid w:val="00A3109B"/>
    <w:rsid w:val="00A674DE"/>
    <w:rsid w:val="00A71F3D"/>
    <w:rsid w:val="00A7675A"/>
    <w:rsid w:val="00A93E39"/>
    <w:rsid w:val="00AA1A4A"/>
    <w:rsid w:val="00AA3A3E"/>
    <w:rsid w:val="00AB38C0"/>
    <w:rsid w:val="00AC5B0A"/>
    <w:rsid w:val="00AC7610"/>
    <w:rsid w:val="00AC7ADC"/>
    <w:rsid w:val="00AD184C"/>
    <w:rsid w:val="00AD3888"/>
    <w:rsid w:val="00AF5983"/>
    <w:rsid w:val="00AF7FE0"/>
    <w:rsid w:val="00B03B29"/>
    <w:rsid w:val="00B13088"/>
    <w:rsid w:val="00B33E7D"/>
    <w:rsid w:val="00B3514C"/>
    <w:rsid w:val="00B35B5E"/>
    <w:rsid w:val="00B46567"/>
    <w:rsid w:val="00B53274"/>
    <w:rsid w:val="00B553DC"/>
    <w:rsid w:val="00B92C74"/>
    <w:rsid w:val="00BE2AC0"/>
    <w:rsid w:val="00BF113A"/>
    <w:rsid w:val="00C10D45"/>
    <w:rsid w:val="00C327CC"/>
    <w:rsid w:val="00C362B8"/>
    <w:rsid w:val="00C47C53"/>
    <w:rsid w:val="00C55678"/>
    <w:rsid w:val="00C55DFB"/>
    <w:rsid w:val="00C562CC"/>
    <w:rsid w:val="00C66113"/>
    <w:rsid w:val="00C66908"/>
    <w:rsid w:val="00C72DDD"/>
    <w:rsid w:val="00C86EC5"/>
    <w:rsid w:val="00C923ED"/>
    <w:rsid w:val="00C953F1"/>
    <w:rsid w:val="00CB4EDF"/>
    <w:rsid w:val="00CB685D"/>
    <w:rsid w:val="00D45CB8"/>
    <w:rsid w:val="00D463AF"/>
    <w:rsid w:val="00D50F25"/>
    <w:rsid w:val="00D53ED2"/>
    <w:rsid w:val="00D54B5D"/>
    <w:rsid w:val="00D61715"/>
    <w:rsid w:val="00D61EC2"/>
    <w:rsid w:val="00D66E3E"/>
    <w:rsid w:val="00D90002"/>
    <w:rsid w:val="00DA1AA3"/>
    <w:rsid w:val="00DA34F6"/>
    <w:rsid w:val="00DA3D90"/>
    <w:rsid w:val="00DC15ED"/>
    <w:rsid w:val="00DC29A3"/>
    <w:rsid w:val="00DC64A0"/>
    <w:rsid w:val="00DE0430"/>
    <w:rsid w:val="00DF0F2E"/>
    <w:rsid w:val="00E01A20"/>
    <w:rsid w:val="00E3561A"/>
    <w:rsid w:val="00E406FA"/>
    <w:rsid w:val="00E428E5"/>
    <w:rsid w:val="00E62FFD"/>
    <w:rsid w:val="00E66C86"/>
    <w:rsid w:val="00E83D92"/>
    <w:rsid w:val="00EA3942"/>
    <w:rsid w:val="00EC0BBC"/>
    <w:rsid w:val="00EF6A10"/>
    <w:rsid w:val="00F10B2A"/>
    <w:rsid w:val="00F154DD"/>
    <w:rsid w:val="00F504A7"/>
    <w:rsid w:val="00F5351D"/>
    <w:rsid w:val="00F60092"/>
    <w:rsid w:val="00F81E97"/>
    <w:rsid w:val="00F843FE"/>
    <w:rsid w:val="00F95A98"/>
    <w:rsid w:val="00FC3E4D"/>
    <w:rsid w:val="00FC7623"/>
    <w:rsid w:val="00FD2B1E"/>
    <w:rsid w:val="00FD52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ffd520,#8c8c8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over"/>
    <w:qFormat/>
    <w:rsid w:val="00CB685D"/>
    <w:pPr>
      <w:jc w:val="right"/>
    </w:pPr>
    <w:rPr>
      <w:rFonts w:ascii="Arial" w:hAnsi="Arial"/>
      <w:sz w:val="24"/>
      <w:szCs w:val="24"/>
      <w:lang w:eastAsia="en-US"/>
    </w:rPr>
  </w:style>
  <w:style w:type="paragraph" w:styleId="Heading1">
    <w:name w:val="heading 1"/>
    <w:aliases w:val="HIA Policy header 1"/>
    <w:basedOn w:val="Normal"/>
    <w:next w:val="body"/>
    <w:autoRedefine/>
    <w:qFormat/>
    <w:rsid w:val="008C73E4"/>
    <w:pPr>
      <w:keepNext/>
      <w:numPr>
        <w:numId w:val="2"/>
      </w:numPr>
      <w:spacing w:before="120" w:after="120"/>
      <w:jc w:val="both"/>
      <w:outlineLvl w:val="0"/>
    </w:pPr>
    <w:rPr>
      <w:rFonts w:cs="Arial"/>
      <w:b/>
      <w:bCs/>
      <w:kern w:val="32"/>
      <w:sz w:val="32"/>
      <w:szCs w:val="32"/>
    </w:rPr>
  </w:style>
  <w:style w:type="paragraph" w:styleId="Heading2">
    <w:name w:val="heading 2"/>
    <w:basedOn w:val="Normal"/>
    <w:next w:val="body"/>
    <w:qFormat/>
    <w:rsid w:val="004006BA"/>
    <w:pPr>
      <w:keepNext/>
      <w:spacing w:before="120" w:after="120"/>
      <w:jc w:val="left"/>
      <w:outlineLvl w:val="1"/>
    </w:pPr>
    <w:rPr>
      <w:rFonts w:cs="Arial"/>
      <w:b/>
      <w:bCs/>
      <w:iCs/>
      <w:sz w:val="28"/>
      <w:szCs w:val="28"/>
    </w:rPr>
  </w:style>
  <w:style w:type="paragraph" w:styleId="Heading3">
    <w:name w:val="heading 3"/>
    <w:aliases w:val="Heading 3 contents"/>
    <w:basedOn w:val="Normal"/>
    <w:next w:val="BodyText"/>
    <w:autoRedefine/>
    <w:qFormat/>
    <w:rsid w:val="00800A39"/>
    <w:pPr>
      <w:keepNext/>
      <w:spacing w:before="120" w:after="120"/>
      <w:ind w:left="624"/>
      <w:jc w:val="both"/>
      <w:outlineLvl w:val="2"/>
    </w:pPr>
    <w:rPr>
      <w:rFonts w:cs="Arial"/>
      <w:b/>
      <w:bCs/>
      <w:sz w:val="22"/>
      <w:u w:val="single"/>
    </w:rPr>
  </w:style>
  <w:style w:type="paragraph" w:styleId="Heading4">
    <w:name w:val="heading 4"/>
    <w:basedOn w:val="Normal"/>
    <w:next w:val="Normal"/>
    <w:qFormat/>
    <w:rsid w:val="00851E13"/>
    <w:pPr>
      <w:keepNext/>
      <w:tabs>
        <w:tab w:val="left" w:pos="1843"/>
      </w:tabs>
      <w:jc w:val="both"/>
      <w:outlineLvl w:val="3"/>
    </w:pPr>
    <w:rPr>
      <w:bCs/>
      <w:sz w:val="22"/>
      <w:szCs w:val="28"/>
    </w:rPr>
  </w:style>
  <w:style w:type="paragraph" w:styleId="Heading5">
    <w:name w:val="heading 5"/>
    <w:basedOn w:val="Normal"/>
    <w:next w:val="Normal"/>
    <w:qFormat/>
    <w:rsid w:val="00D61EC2"/>
    <w:pPr>
      <w:spacing w:before="240" w:after="60"/>
      <w:outlineLvl w:val="4"/>
    </w:pPr>
    <w:rPr>
      <w:b/>
      <w:bCs/>
      <w:i/>
      <w:iCs/>
      <w:sz w:val="26"/>
      <w:szCs w:val="26"/>
    </w:rPr>
  </w:style>
  <w:style w:type="paragraph" w:styleId="Heading6">
    <w:name w:val="heading 6"/>
    <w:basedOn w:val="Normal"/>
    <w:next w:val="Normal"/>
    <w:qFormat/>
    <w:rsid w:val="00D61EC2"/>
    <w:pPr>
      <w:spacing w:before="240" w:after="60"/>
      <w:outlineLvl w:val="5"/>
    </w:pPr>
    <w:rPr>
      <w:rFonts w:ascii="Times New Roman" w:hAnsi="Times New Roman"/>
      <w:b/>
      <w:bCs/>
      <w:sz w:val="22"/>
      <w:szCs w:val="22"/>
    </w:rPr>
  </w:style>
  <w:style w:type="paragraph" w:styleId="Heading7">
    <w:name w:val="heading 7"/>
    <w:basedOn w:val="Normal"/>
    <w:next w:val="Normal"/>
    <w:qFormat/>
    <w:rsid w:val="00D61EC2"/>
    <w:pPr>
      <w:spacing w:before="240" w:after="60"/>
      <w:outlineLvl w:val="6"/>
    </w:pPr>
    <w:rPr>
      <w:rFonts w:ascii="Times New Roman" w:hAnsi="Times New Roman"/>
    </w:rPr>
  </w:style>
  <w:style w:type="paragraph" w:styleId="Heading8">
    <w:name w:val="heading 8"/>
    <w:basedOn w:val="Normal"/>
    <w:next w:val="Normal"/>
    <w:qFormat/>
    <w:rsid w:val="00D61EC2"/>
    <w:pPr>
      <w:spacing w:before="240" w:after="60"/>
      <w:outlineLvl w:val="7"/>
    </w:pPr>
    <w:rPr>
      <w:rFonts w:ascii="Times New Roman" w:hAnsi="Times New Roman"/>
      <w:i/>
      <w:iCs/>
    </w:rPr>
  </w:style>
  <w:style w:type="paragraph" w:styleId="Heading9">
    <w:name w:val="heading 9"/>
    <w:basedOn w:val="Normal"/>
    <w:next w:val="Normal"/>
    <w:qFormat/>
    <w:rsid w:val="00D61EC2"/>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cover">
    <w:name w:val="date - cover"/>
    <w:basedOn w:val="Normal"/>
    <w:rsid w:val="00143734"/>
    <w:rPr>
      <w:b/>
      <w:noProof/>
      <w:color w:val="FFFFFF"/>
    </w:rPr>
  </w:style>
  <w:style w:type="paragraph" w:customStyle="1" w:styleId="body">
    <w:name w:val="body"/>
    <w:basedOn w:val="Normal"/>
    <w:rsid w:val="008735BC"/>
    <w:pPr>
      <w:jc w:val="left"/>
    </w:pPr>
  </w:style>
  <w:style w:type="paragraph" w:customStyle="1" w:styleId="Headingbodypages">
    <w:name w:val="Heading body pages"/>
    <w:basedOn w:val="Heading2"/>
    <w:rsid w:val="00143734"/>
    <w:pPr>
      <w:spacing w:before="0" w:after="0"/>
    </w:pPr>
    <w:rPr>
      <w:rFonts w:ascii="Century Gothic" w:hAnsi="Century Gothic"/>
      <w:i/>
      <w:sz w:val="36"/>
    </w:rPr>
  </w:style>
  <w:style w:type="paragraph" w:styleId="Header">
    <w:name w:val="header"/>
    <w:basedOn w:val="Normal"/>
    <w:rsid w:val="005F1E8A"/>
    <w:pPr>
      <w:tabs>
        <w:tab w:val="center" w:pos="4320"/>
        <w:tab w:val="right" w:pos="8640"/>
      </w:tabs>
    </w:pPr>
  </w:style>
  <w:style w:type="paragraph" w:styleId="Footer">
    <w:name w:val="footer"/>
    <w:basedOn w:val="Normal"/>
    <w:link w:val="FooterChar"/>
    <w:uiPriority w:val="99"/>
    <w:rsid w:val="005F1E8A"/>
    <w:pPr>
      <w:tabs>
        <w:tab w:val="center" w:pos="4320"/>
        <w:tab w:val="right" w:pos="8640"/>
      </w:tabs>
    </w:pPr>
  </w:style>
  <w:style w:type="paragraph" w:styleId="TOC4">
    <w:name w:val="toc 4"/>
    <w:basedOn w:val="Normal"/>
    <w:next w:val="Normal"/>
    <w:autoRedefine/>
    <w:semiHidden/>
    <w:rsid w:val="006D7AF5"/>
    <w:pPr>
      <w:ind w:left="720"/>
    </w:pPr>
  </w:style>
  <w:style w:type="character" w:styleId="PageNumber">
    <w:name w:val="page number"/>
    <w:rsid w:val="00CB685D"/>
    <w:rPr>
      <w:rFonts w:ascii="Arial" w:hAnsi="Arial"/>
      <w:color w:val="333333"/>
      <w:sz w:val="20"/>
    </w:rPr>
  </w:style>
  <w:style w:type="paragraph" w:customStyle="1" w:styleId="StyleHeading1HIAHeading1-titleAutoLeft">
    <w:name w:val="Style Heading 1HIA Heading 1 - title + Auto Left"/>
    <w:basedOn w:val="Heading1"/>
    <w:next w:val="BodyText"/>
    <w:rsid w:val="009C15C3"/>
    <w:pPr>
      <w:jc w:val="left"/>
    </w:pPr>
    <w:rPr>
      <w:rFonts w:cs="Times New Roman"/>
      <w:szCs w:val="20"/>
    </w:rPr>
  </w:style>
  <w:style w:type="paragraph" w:styleId="TOC1">
    <w:name w:val="toc 1"/>
    <w:basedOn w:val="Normal"/>
    <w:next w:val="Normal"/>
    <w:autoRedefine/>
    <w:uiPriority w:val="39"/>
    <w:rsid w:val="00073E67"/>
    <w:pPr>
      <w:tabs>
        <w:tab w:val="left" w:pos="567"/>
        <w:tab w:val="right" w:leader="dot" w:pos="8303"/>
      </w:tabs>
      <w:jc w:val="both"/>
    </w:pPr>
    <w:rPr>
      <w:b/>
      <w:sz w:val="28"/>
    </w:rPr>
  </w:style>
  <w:style w:type="paragraph" w:styleId="TOC2">
    <w:name w:val="toc 2"/>
    <w:basedOn w:val="Normal"/>
    <w:next w:val="Normal"/>
    <w:autoRedefine/>
    <w:uiPriority w:val="39"/>
    <w:rsid w:val="006D7AF5"/>
    <w:pPr>
      <w:ind w:left="240"/>
    </w:pPr>
  </w:style>
  <w:style w:type="paragraph" w:styleId="TOC3">
    <w:name w:val="toc 3"/>
    <w:basedOn w:val="Normal"/>
    <w:next w:val="Normal"/>
    <w:autoRedefine/>
    <w:uiPriority w:val="39"/>
    <w:rsid w:val="006D7AF5"/>
    <w:pPr>
      <w:ind w:left="480"/>
    </w:pPr>
    <w:rPr>
      <w:sz w:val="22"/>
    </w:rPr>
  </w:style>
  <w:style w:type="paragraph" w:customStyle="1" w:styleId="TOCheader">
    <w:name w:val="TOC header"/>
    <w:basedOn w:val="date-cover"/>
    <w:rsid w:val="00314A12"/>
    <w:pPr>
      <w:jc w:val="left"/>
    </w:pPr>
    <w:rPr>
      <w:bCs/>
      <w:color w:val="auto"/>
      <w:sz w:val="28"/>
      <w:szCs w:val="20"/>
    </w:rPr>
  </w:style>
  <w:style w:type="character" w:styleId="Hyperlink">
    <w:name w:val="Hyperlink"/>
    <w:uiPriority w:val="99"/>
    <w:rsid w:val="00F60092"/>
    <w:rPr>
      <w:color w:val="0000FF"/>
      <w:u w:val="single"/>
    </w:rPr>
  </w:style>
  <w:style w:type="paragraph" w:styleId="BalloonText">
    <w:name w:val="Balloon Text"/>
    <w:basedOn w:val="Normal"/>
    <w:link w:val="BalloonTextChar"/>
    <w:uiPriority w:val="99"/>
    <w:semiHidden/>
    <w:unhideWhenUsed/>
    <w:rsid w:val="002056AD"/>
    <w:rPr>
      <w:rFonts w:ascii="Tahoma" w:hAnsi="Tahoma" w:cs="Tahoma"/>
      <w:sz w:val="16"/>
      <w:szCs w:val="16"/>
    </w:rPr>
  </w:style>
  <w:style w:type="paragraph" w:styleId="BodyText">
    <w:name w:val="Body Text"/>
    <w:basedOn w:val="Normal"/>
    <w:rsid w:val="000530B0"/>
    <w:pPr>
      <w:spacing w:after="120"/>
      <w:jc w:val="both"/>
    </w:pPr>
  </w:style>
  <w:style w:type="character" w:customStyle="1" w:styleId="BalloonTextChar">
    <w:name w:val="Balloon Text Char"/>
    <w:link w:val="BalloonText"/>
    <w:uiPriority w:val="99"/>
    <w:semiHidden/>
    <w:rsid w:val="002056AD"/>
    <w:rPr>
      <w:rFonts w:ascii="Tahoma" w:hAnsi="Tahoma" w:cs="Tahoma"/>
      <w:sz w:val="16"/>
      <w:szCs w:val="16"/>
    </w:rPr>
  </w:style>
  <w:style w:type="paragraph" w:styleId="TOCHeading">
    <w:name w:val="TOC Heading"/>
    <w:basedOn w:val="Heading1"/>
    <w:next w:val="Normal"/>
    <w:uiPriority w:val="39"/>
    <w:semiHidden/>
    <w:unhideWhenUsed/>
    <w:qFormat/>
    <w:rsid w:val="00DC29A3"/>
    <w:pPr>
      <w:keepLines/>
      <w:numPr>
        <w:numId w:val="0"/>
      </w:numPr>
      <w:spacing w:before="480" w:after="0" w:line="276" w:lineRule="auto"/>
      <w:jc w:val="left"/>
      <w:outlineLvl w:val="9"/>
    </w:pPr>
    <w:rPr>
      <w:rFonts w:ascii="Cambria" w:eastAsia="MS Gothic" w:hAnsi="Cambria" w:cs="Times New Roman"/>
      <w:color w:val="365F91"/>
      <w:kern w:val="0"/>
      <w:sz w:val="28"/>
      <w:szCs w:val="28"/>
      <w:lang w:eastAsia="ja-JP"/>
    </w:rPr>
  </w:style>
  <w:style w:type="character" w:customStyle="1" w:styleId="FooterChar">
    <w:name w:val="Footer Char"/>
    <w:link w:val="Footer"/>
    <w:uiPriority w:val="99"/>
    <w:rsid w:val="00DC29A3"/>
    <w:rPr>
      <w:rFonts w:ascii="Arial" w:hAnsi="Arial"/>
      <w:sz w:val="24"/>
      <w:szCs w:val="24"/>
      <w:lang w:val="en-US" w:eastAsia="en-US"/>
    </w:rPr>
  </w:style>
  <w:style w:type="paragraph" w:customStyle="1" w:styleId="Default">
    <w:name w:val="Default"/>
    <w:rsid w:val="00021AA6"/>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unhideWhenUsed/>
    <w:rsid w:val="00DC64A0"/>
    <w:rPr>
      <w:sz w:val="20"/>
      <w:szCs w:val="20"/>
    </w:rPr>
  </w:style>
  <w:style w:type="character" w:customStyle="1" w:styleId="FootnoteTextChar">
    <w:name w:val="Footnote Text Char"/>
    <w:basedOn w:val="DefaultParagraphFont"/>
    <w:link w:val="FootnoteText"/>
    <w:uiPriority w:val="99"/>
    <w:semiHidden/>
    <w:rsid w:val="00DC64A0"/>
    <w:rPr>
      <w:rFonts w:ascii="Arial" w:hAnsi="Arial"/>
      <w:lang w:val="en-US" w:eastAsia="en-US"/>
    </w:rPr>
  </w:style>
  <w:style w:type="character" w:styleId="FootnoteReference">
    <w:name w:val="footnote reference"/>
    <w:basedOn w:val="DefaultParagraphFont"/>
    <w:uiPriority w:val="99"/>
    <w:semiHidden/>
    <w:unhideWhenUsed/>
    <w:rsid w:val="00DC64A0"/>
    <w:rPr>
      <w:vertAlign w:val="superscript"/>
    </w:rPr>
  </w:style>
  <w:style w:type="character" w:styleId="CommentReference">
    <w:name w:val="annotation reference"/>
    <w:basedOn w:val="DefaultParagraphFont"/>
    <w:uiPriority w:val="99"/>
    <w:semiHidden/>
    <w:unhideWhenUsed/>
    <w:rsid w:val="00C47C53"/>
    <w:rPr>
      <w:sz w:val="16"/>
      <w:szCs w:val="16"/>
    </w:rPr>
  </w:style>
  <w:style w:type="paragraph" w:styleId="CommentText">
    <w:name w:val="annotation text"/>
    <w:basedOn w:val="Normal"/>
    <w:link w:val="CommentTextChar"/>
    <w:uiPriority w:val="99"/>
    <w:semiHidden/>
    <w:unhideWhenUsed/>
    <w:rsid w:val="00C47C53"/>
    <w:rPr>
      <w:sz w:val="20"/>
      <w:szCs w:val="20"/>
    </w:rPr>
  </w:style>
  <w:style w:type="character" w:customStyle="1" w:styleId="CommentTextChar">
    <w:name w:val="Comment Text Char"/>
    <w:basedOn w:val="DefaultParagraphFont"/>
    <w:link w:val="CommentText"/>
    <w:uiPriority w:val="99"/>
    <w:semiHidden/>
    <w:rsid w:val="00C47C53"/>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C47C53"/>
    <w:rPr>
      <w:b/>
      <w:bCs/>
    </w:rPr>
  </w:style>
  <w:style w:type="character" w:customStyle="1" w:styleId="CommentSubjectChar">
    <w:name w:val="Comment Subject Char"/>
    <w:basedOn w:val="CommentTextChar"/>
    <w:link w:val="CommentSubject"/>
    <w:uiPriority w:val="99"/>
    <w:semiHidden/>
    <w:rsid w:val="00C47C53"/>
    <w:rPr>
      <w:rFonts w:ascii="Arial" w:hAnsi="Arial"/>
      <w:b/>
      <w:bCs/>
      <w:lang w:val="en-US" w:eastAsia="en-US"/>
    </w:rPr>
  </w:style>
  <w:style w:type="paragraph" w:styleId="Caption">
    <w:name w:val="caption"/>
    <w:basedOn w:val="Normal"/>
    <w:next w:val="Normal"/>
    <w:uiPriority w:val="99"/>
    <w:qFormat/>
    <w:rsid w:val="005E2631"/>
    <w:pPr>
      <w:keepNext/>
      <w:tabs>
        <w:tab w:val="left" w:pos="1134"/>
      </w:tabs>
      <w:spacing w:before="120" w:after="120"/>
      <w:ind w:left="1134" w:hanging="1134"/>
      <w:jc w:val="both"/>
    </w:pPr>
    <w:rPr>
      <w:rFonts w:cs="Arial"/>
      <w:b/>
      <w:bCs/>
      <w:sz w:val="20"/>
      <w:szCs w:val="20"/>
      <w:lang w:eastAsia="en-AU"/>
    </w:rPr>
  </w:style>
  <w:style w:type="paragraph" w:customStyle="1" w:styleId="TableText">
    <w:name w:val="Table Text"/>
    <w:basedOn w:val="Normal"/>
    <w:uiPriority w:val="99"/>
    <w:rsid w:val="005E2631"/>
    <w:pPr>
      <w:keepNext/>
      <w:spacing w:before="60" w:after="60"/>
      <w:jc w:val="left"/>
    </w:pPr>
    <w:rPr>
      <w:rFonts w:cs="Arial"/>
      <w:sz w:val="20"/>
      <w:szCs w:val="20"/>
    </w:rPr>
  </w:style>
  <w:style w:type="paragraph" w:customStyle="1" w:styleId="TableHeading">
    <w:name w:val="Table Heading"/>
    <w:basedOn w:val="TableText"/>
    <w:next w:val="TableText"/>
    <w:uiPriority w:val="99"/>
    <w:rsid w:val="005E2631"/>
    <w:rPr>
      <w:b/>
      <w:bCs/>
      <w:color w:val="FFFFFF"/>
    </w:rPr>
  </w:style>
  <w:style w:type="paragraph" w:styleId="ListBullet">
    <w:name w:val="List Bullet"/>
    <w:basedOn w:val="Normal"/>
    <w:uiPriority w:val="99"/>
    <w:rsid w:val="005E2631"/>
    <w:pPr>
      <w:keepNext/>
      <w:numPr>
        <w:numId w:val="3"/>
      </w:numPr>
      <w:tabs>
        <w:tab w:val="left" w:pos="426"/>
      </w:tabs>
      <w:spacing w:before="120" w:after="80"/>
      <w:jc w:val="both"/>
    </w:pPr>
    <w:rPr>
      <w:rFonts w:cs="Arial"/>
      <w:sz w:val="22"/>
      <w:szCs w:val="22"/>
      <w:lang w:eastAsia="en-AU"/>
    </w:rPr>
  </w:style>
  <w:style w:type="paragraph" w:styleId="ListParagraph">
    <w:name w:val="List Paragraph"/>
    <w:basedOn w:val="Normal"/>
    <w:uiPriority w:val="34"/>
    <w:qFormat/>
    <w:rsid w:val="005E2631"/>
    <w:pPr>
      <w:spacing w:after="200" w:line="276" w:lineRule="auto"/>
      <w:ind w:left="720"/>
      <w:contextualSpacing/>
      <w:jc w:val="left"/>
    </w:pPr>
    <w:rPr>
      <w:rFonts w:asciiTheme="minorHAnsi" w:eastAsiaTheme="minorHAnsi" w:hAnsiTheme="minorHAnsi" w:cstheme="minorBidi"/>
      <w:sz w:val="22"/>
      <w:szCs w:val="22"/>
    </w:rPr>
  </w:style>
  <w:style w:type="character" w:styleId="Strong">
    <w:name w:val="Strong"/>
    <w:basedOn w:val="DefaultParagraphFont"/>
    <w:uiPriority w:val="22"/>
    <w:qFormat/>
    <w:rsid w:val="00023E22"/>
    <w:rPr>
      <w:b/>
      <w:bCs/>
    </w:rPr>
  </w:style>
  <w:style w:type="paragraph" w:styleId="NormalWeb">
    <w:name w:val="Normal (Web)"/>
    <w:basedOn w:val="Normal"/>
    <w:unhideWhenUsed/>
    <w:rsid w:val="00023E22"/>
    <w:pPr>
      <w:spacing w:before="240" w:after="240"/>
      <w:jc w:val="left"/>
    </w:pPr>
    <w:rPr>
      <w:rFonts w:ascii="Times New Roman" w:hAnsi="Times New Roman"/>
      <w:lang w:eastAsia="en-AU"/>
    </w:rPr>
  </w:style>
  <w:style w:type="character" w:customStyle="1" w:styleId="QuestionindentedChar">
    <w:name w:val="Question indented Char"/>
    <w:basedOn w:val="DefaultParagraphFont"/>
    <w:link w:val="Questionindented"/>
    <w:locked/>
    <w:rsid w:val="00553621"/>
    <w:rPr>
      <w:i/>
      <w:sz w:val="24"/>
    </w:rPr>
  </w:style>
  <w:style w:type="paragraph" w:customStyle="1" w:styleId="Questionindented">
    <w:name w:val="Question indented"/>
    <w:basedOn w:val="ListNumber"/>
    <w:link w:val="QuestionindentedChar"/>
    <w:qFormat/>
    <w:rsid w:val="00553621"/>
    <w:pPr>
      <w:numPr>
        <w:numId w:val="0"/>
      </w:numPr>
      <w:tabs>
        <w:tab w:val="num" w:pos="624"/>
      </w:tabs>
      <w:spacing w:before="120" w:line="300" w:lineRule="atLeast"/>
      <w:ind w:left="624" w:hanging="340"/>
      <w:contextualSpacing w:val="0"/>
      <w:jc w:val="both"/>
    </w:pPr>
    <w:rPr>
      <w:rFonts w:ascii="Times New Roman" w:hAnsi="Times New Roman"/>
      <w:i/>
      <w:szCs w:val="20"/>
      <w:lang w:eastAsia="en-AU"/>
    </w:rPr>
  </w:style>
  <w:style w:type="paragraph" w:styleId="ListNumber">
    <w:name w:val="List Number"/>
    <w:basedOn w:val="Normal"/>
    <w:uiPriority w:val="99"/>
    <w:semiHidden/>
    <w:unhideWhenUsed/>
    <w:rsid w:val="00553621"/>
    <w:pPr>
      <w:numPr>
        <w:numId w:val="5"/>
      </w:numPr>
      <w:contextualSpacing/>
    </w:pPr>
  </w:style>
  <w:style w:type="paragraph" w:styleId="NoSpacing">
    <w:name w:val="No Spacing"/>
    <w:uiPriority w:val="1"/>
    <w:qFormat/>
    <w:rsid w:val="006A7DBC"/>
    <w:pPr>
      <w:jc w:val="right"/>
    </w:pPr>
    <w:rPr>
      <w:rFonts w:ascii="Arial" w:hAnsi="Arial"/>
      <w:sz w:val="24"/>
      <w:szCs w:val="24"/>
      <w:lang w:eastAsia="en-US"/>
    </w:rPr>
  </w:style>
  <w:style w:type="table" w:styleId="TableGrid">
    <w:name w:val="Table Grid"/>
    <w:basedOn w:val="TableNormal"/>
    <w:rsid w:val="008E3B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
    <w:name w:val="Char Char Char Char Char Char Char Char Char Char"/>
    <w:basedOn w:val="Normal"/>
    <w:rsid w:val="00C923ED"/>
    <w:pPr>
      <w:jc w:val="left"/>
    </w:pPr>
    <w:rPr>
      <w:sz w:val="22"/>
      <w:szCs w:val="20"/>
    </w:rPr>
  </w:style>
  <w:style w:type="paragraph" w:customStyle="1" w:styleId="TableBodyText">
    <w:name w:val="TableBodyText"/>
    <w:basedOn w:val="Normal"/>
    <w:next w:val="Normal"/>
    <w:rsid w:val="00C923ED"/>
    <w:pPr>
      <w:autoSpaceDE w:val="0"/>
      <w:autoSpaceDN w:val="0"/>
      <w:spacing w:before="20" w:after="20"/>
      <w:jc w:val="left"/>
    </w:pPr>
    <w:rPr>
      <w:rFonts w:cs="Arial"/>
      <w:color w:val="000000"/>
      <w:sz w:val="18"/>
      <w:szCs w:val="18"/>
      <w:lang w:eastAsia="en-AU"/>
    </w:rPr>
  </w:style>
  <w:style w:type="paragraph" w:customStyle="1" w:styleId="TableBodyTextHeading">
    <w:name w:val="TableBodyTextHeading"/>
    <w:basedOn w:val="TableBodyText"/>
    <w:rsid w:val="00C923ED"/>
    <w:pPr>
      <w:spacing w:before="60" w:after="60"/>
    </w:pPr>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over"/>
    <w:qFormat/>
    <w:rsid w:val="00CB685D"/>
    <w:pPr>
      <w:jc w:val="right"/>
    </w:pPr>
    <w:rPr>
      <w:rFonts w:ascii="Arial" w:hAnsi="Arial"/>
      <w:sz w:val="24"/>
      <w:szCs w:val="24"/>
      <w:lang w:eastAsia="en-US"/>
    </w:rPr>
  </w:style>
  <w:style w:type="paragraph" w:styleId="Heading1">
    <w:name w:val="heading 1"/>
    <w:aliases w:val="HIA Policy header 1"/>
    <w:basedOn w:val="Normal"/>
    <w:next w:val="body"/>
    <w:autoRedefine/>
    <w:qFormat/>
    <w:rsid w:val="008C73E4"/>
    <w:pPr>
      <w:keepNext/>
      <w:numPr>
        <w:numId w:val="2"/>
      </w:numPr>
      <w:spacing w:before="120" w:after="120"/>
      <w:jc w:val="both"/>
      <w:outlineLvl w:val="0"/>
    </w:pPr>
    <w:rPr>
      <w:rFonts w:cs="Arial"/>
      <w:b/>
      <w:bCs/>
      <w:kern w:val="32"/>
      <w:sz w:val="32"/>
      <w:szCs w:val="32"/>
    </w:rPr>
  </w:style>
  <w:style w:type="paragraph" w:styleId="Heading2">
    <w:name w:val="heading 2"/>
    <w:basedOn w:val="Normal"/>
    <w:next w:val="body"/>
    <w:qFormat/>
    <w:rsid w:val="004006BA"/>
    <w:pPr>
      <w:keepNext/>
      <w:spacing w:before="120" w:after="120"/>
      <w:jc w:val="left"/>
      <w:outlineLvl w:val="1"/>
    </w:pPr>
    <w:rPr>
      <w:rFonts w:cs="Arial"/>
      <w:b/>
      <w:bCs/>
      <w:iCs/>
      <w:sz w:val="28"/>
      <w:szCs w:val="28"/>
    </w:rPr>
  </w:style>
  <w:style w:type="paragraph" w:styleId="Heading3">
    <w:name w:val="heading 3"/>
    <w:aliases w:val="Heading 3 contents"/>
    <w:basedOn w:val="Normal"/>
    <w:next w:val="BodyText"/>
    <w:autoRedefine/>
    <w:qFormat/>
    <w:rsid w:val="00800A39"/>
    <w:pPr>
      <w:keepNext/>
      <w:spacing w:before="120" w:after="120"/>
      <w:ind w:left="624"/>
      <w:jc w:val="both"/>
      <w:outlineLvl w:val="2"/>
    </w:pPr>
    <w:rPr>
      <w:rFonts w:cs="Arial"/>
      <w:b/>
      <w:bCs/>
      <w:sz w:val="22"/>
      <w:u w:val="single"/>
    </w:rPr>
  </w:style>
  <w:style w:type="paragraph" w:styleId="Heading4">
    <w:name w:val="heading 4"/>
    <w:basedOn w:val="Normal"/>
    <w:next w:val="Normal"/>
    <w:qFormat/>
    <w:rsid w:val="00851E13"/>
    <w:pPr>
      <w:keepNext/>
      <w:tabs>
        <w:tab w:val="left" w:pos="1843"/>
      </w:tabs>
      <w:jc w:val="both"/>
      <w:outlineLvl w:val="3"/>
    </w:pPr>
    <w:rPr>
      <w:bCs/>
      <w:sz w:val="22"/>
      <w:szCs w:val="28"/>
    </w:rPr>
  </w:style>
  <w:style w:type="paragraph" w:styleId="Heading5">
    <w:name w:val="heading 5"/>
    <w:basedOn w:val="Normal"/>
    <w:next w:val="Normal"/>
    <w:qFormat/>
    <w:rsid w:val="00D61EC2"/>
    <w:pPr>
      <w:spacing w:before="240" w:after="60"/>
      <w:outlineLvl w:val="4"/>
    </w:pPr>
    <w:rPr>
      <w:b/>
      <w:bCs/>
      <w:i/>
      <w:iCs/>
      <w:sz w:val="26"/>
      <w:szCs w:val="26"/>
    </w:rPr>
  </w:style>
  <w:style w:type="paragraph" w:styleId="Heading6">
    <w:name w:val="heading 6"/>
    <w:basedOn w:val="Normal"/>
    <w:next w:val="Normal"/>
    <w:qFormat/>
    <w:rsid w:val="00D61EC2"/>
    <w:pPr>
      <w:spacing w:before="240" w:after="60"/>
      <w:outlineLvl w:val="5"/>
    </w:pPr>
    <w:rPr>
      <w:rFonts w:ascii="Times New Roman" w:hAnsi="Times New Roman"/>
      <w:b/>
      <w:bCs/>
      <w:sz w:val="22"/>
      <w:szCs w:val="22"/>
    </w:rPr>
  </w:style>
  <w:style w:type="paragraph" w:styleId="Heading7">
    <w:name w:val="heading 7"/>
    <w:basedOn w:val="Normal"/>
    <w:next w:val="Normal"/>
    <w:qFormat/>
    <w:rsid w:val="00D61EC2"/>
    <w:pPr>
      <w:spacing w:before="240" w:after="60"/>
      <w:outlineLvl w:val="6"/>
    </w:pPr>
    <w:rPr>
      <w:rFonts w:ascii="Times New Roman" w:hAnsi="Times New Roman"/>
    </w:rPr>
  </w:style>
  <w:style w:type="paragraph" w:styleId="Heading8">
    <w:name w:val="heading 8"/>
    <w:basedOn w:val="Normal"/>
    <w:next w:val="Normal"/>
    <w:qFormat/>
    <w:rsid w:val="00D61EC2"/>
    <w:pPr>
      <w:spacing w:before="240" w:after="60"/>
      <w:outlineLvl w:val="7"/>
    </w:pPr>
    <w:rPr>
      <w:rFonts w:ascii="Times New Roman" w:hAnsi="Times New Roman"/>
      <w:i/>
      <w:iCs/>
    </w:rPr>
  </w:style>
  <w:style w:type="paragraph" w:styleId="Heading9">
    <w:name w:val="heading 9"/>
    <w:basedOn w:val="Normal"/>
    <w:next w:val="Normal"/>
    <w:qFormat/>
    <w:rsid w:val="00D61EC2"/>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cover">
    <w:name w:val="date - cover"/>
    <w:basedOn w:val="Normal"/>
    <w:rsid w:val="00143734"/>
    <w:rPr>
      <w:b/>
      <w:noProof/>
      <w:color w:val="FFFFFF"/>
    </w:rPr>
  </w:style>
  <w:style w:type="paragraph" w:customStyle="1" w:styleId="body">
    <w:name w:val="body"/>
    <w:basedOn w:val="Normal"/>
    <w:rsid w:val="008735BC"/>
    <w:pPr>
      <w:jc w:val="left"/>
    </w:pPr>
  </w:style>
  <w:style w:type="paragraph" w:customStyle="1" w:styleId="Headingbodypages">
    <w:name w:val="Heading body pages"/>
    <w:basedOn w:val="Heading2"/>
    <w:rsid w:val="00143734"/>
    <w:pPr>
      <w:spacing w:before="0" w:after="0"/>
    </w:pPr>
    <w:rPr>
      <w:rFonts w:ascii="Century Gothic" w:hAnsi="Century Gothic"/>
      <w:i/>
      <w:sz w:val="36"/>
    </w:rPr>
  </w:style>
  <w:style w:type="paragraph" w:styleId="Header">
    <w:name w:val="header"/>
    <w:basedOn w:val="Normal"/>
    <w:rsid w:val="005F1E8A"/>
    <w:pPr>
      <w:tabs>
        <w:tab w:val="center" w:pos="4320"/>
        <w:tab w:val="right" w:pos="8640"/>
      </w:tabs>
    </w:pPr>
  </w:style>
  <w:style w:type="paragraph" w:styleId="Footer">
    <w:name w:val="footer"/>
    <w:basedOn w:val="Normal"/>
    <w:link w:val="FooterChar"/>
    <w:uiPriority w:val="99"/>
    <w:rsid w:val="005F1E8A"/>
    <w:pPr>
      <w:tabs>
        <w:tab w:val="center" w:pos="4320"/>
        <w:tab w:val="right" w:pos="8640"/>
      </w:tabs>
    </w:pPr>
  </w:style>
  <w:style w:type="paragraph" w:styleId="TOC4">
    <w:name w:val="toc 4"/>
    <w:basedOn w:val="Normal"/>
    <w:next w:val="Normal"/>
    <w:autoRedefine/>
    <w:semiHidden/>
    <w:rsid w:val="006D7AF5"/>
    <w:pPr>
      <w:ind w:left="720"/>
    </w:pPr>
  </w:style>
  <w:style w:type="character" w:styleId="PageNumber">
    <w:name w:val="page number"/>
    <w:rsid w:val="00CB685D"/>
    <w:rPr>
      <w:rFonts w:ascii="Arial" w:hAnsi="Arial"/>
      <w:color w:val="333333"/>
      <w:sz w:val="20"/>
    </w:rPr>
  </w:style>
  <w:style w:type="paragraph" w:customStyle="1" w:styleId="StyleHeading1HIAHeading1-titleAutoLeft">
    <w:name w:val="Style Heading 1HIA Heading 1 - title + Auto Left"/>
    <w:basedOn w:val="Heading1"/>
    <w:next w:val="BodyText"/>
    <w:rsid w:val="009C15C3"/>
    <w:pPr>
      <w:jc w:val="left"/>
    </w:pPr>
    <w:rPr>
      <w:rFonts w:cs="Times New Roman"/>
      <w:szCs w:val="20"/>
    </w:rPr>
  </w:style>
  <w:style w:type="paragraph" w:styleId="TOC1">
    <w:name w:val="toc 1"/>
    <w:basedOn w:val="Normal"/>
    <w:next w:val="Normal"/>
    <w:autoRedefine/>
    <w:uiPriority w:val="39"/>
    <w:rsid w:val="00073E67"/>
    <w:pPr>
      <w:tabs>
        <w:tab w:val="left" w:pos="567"/>
        <w:tab w:val="right" w:leader="dot" w:pos="8303"/>
      </w:tabs>
      <w:jc w:val="both"/>
    </w:pPr>
    <w:rPr>
      <w:b/>
      <w:sz w:val="28"/>
    </w:rPr>
  </w:style>
  <w:style w:type="paragraph" w:styleId="TOC2">
    <w:name w:val="toc 2"/>
    <w:basedOn w:val="Normal"/>
    <w:next w:val="Normal"/>
    <w:autoRedefine/>
    <w:uiPriority w:val="39"/>
    <w:rsid w:val="006D7AF5"/>
    <w:pPr>
      <w:ind w:left="240"/>
    </w:pPr>
  </w:style>
  <w:style w:type="paragraph" w:styleId="TOC3">
    <w:name w:val="toc 3"/>
    <w:basedOn w:val="Normal"/>
    <w:next w:val="Normal"/>
    <w:autoRedefine/>
    <w:uiPriority w:val="39"/>
    <w:rsid w:val="006D7AF5"/>
    <w:pPr>
      <w:ind w:left="480"/>
    </w:pPr>
    <w:rPr>
      <w:sz w:val="22"/>
    </w:rPr>
  </w:style>
  <w:style w:type="paragraph" w:customStyle="1" w:styleId="TOCheader">
    <w:name w:val="TOC header"/>
    <w:basedOn w:val="date-cover"/>
    <w:rsid w:val="00314A12"/>
    <w:pPr>
      <w:jc w:val="left"/>
    </w:pPr>
    <w:rPr>
      <w:bCs/>
      <w:color w:val="auto"/>
      <w:sz w:val="28"/>
      <w:szCs w:val="20"/>
    </w:rPr>
  </w:style>
  <w:style w:type="character" w:styleId="Hyperlink">
    <w:name w:val="Hyperlink"/>
    <w:uiPriority w:val="99"/>
    <w:rsid w:val="00F60092"/>
    <w:rPr>
      <w:color w:val="0000FF"/>
      <w:u w:val="single"/>
    </w:rPr>
  </w:style>
  <w:style w:type="paragraph" w:styleId="BalloonText">
    <w:name w:val="Balloon Text"/>
    <w:basedOn w:val="Normal"/>
    <w:link w:val="BalloonTextChar"/>
    <w:uiPriority w:val="99"/>
    <w:semiHidden/>
    <w:unhideWhenUsed/>
    <w:rsid w:val="002056AD"/>
    <w:rPr>
      <w:rFonts w:ascii="Tahoma" w:hAnsi="Tahoma" w:cs="Tahoma"/>
      <w:sz w:val="16"/>
      <w:szCs w:val="16"/>
    </w:rPr>
  </w:style>
  <w:style w:type="paragraph" w:styleId="BodyText">
    <w:name w:val="Body Text"/>
    <w:basedOn w:val="Normal"/>
    <w:rsid w:val="000530B0"/>
    <w:pPr>
      <w:spacing w:after="120"/>
      <w:jc w:val="both"/>
    </w:pPr>
  </w:style>
  <w:style w:type="character" w:customStyle="1" w:styleId="BalloonTextChar">
    <w:name w:val="Balloon Text Char"/>
    <w:link w:val="BalloonText"/>
    <w:uiPriority w:val="99"/>
    <w:semiHidden/>
    <w:rsid w:val="002056AD"/>
    <w:rPr>
      <w:rFonts w:ascii="Tahoma" w:hAnsi="Tahoma" w:cs="Tahoma"/>
      <w:sz w:val="16"/>
      <w:szCs w:val="16"/>
    </w:rPr>
  </w:style>
  <w:style w:type="paragraph" w:styleId="TOCHeading">
    <w:name w:val="TOC Heading"/>
    <w:basedOn w:val="Heading1"/>
    <w:next w:val="Normal"/>
    <w:uiPriority w:val="39"/>
    <w:semiHidden/>
    <w:unhideWhenUsed/>
    <w:qFormat/>
    <w:rsid w:val="00DC29A3"/>
    <w:pPr>
      <w:keepLines/>
      <w:numPr>
        <w:numId w:val="0"/>
      </w:numPr>
      <w:spacing w:before="480" w:after="0" w:line="276" w:lineRule="auto"/>
      <w:jc w:val="left"/>
      <w:outlineLvl w:val="9"/>
    </w:pPr>
    <w:rPr>
      <w:rFonts w:ascii="Cambria" w:eastAsia="MS Gothic" w:hAnsi="Cambria" w:cs="Times New Roman"/>
      <w:color w:val="365F91"/>
      <w:kern w:val="0"/>
      <w:sz w:val="28"/>
      <w:szCs w:val="28"/>
      <w:lang w:eastAsia="ja-JP"/>
    </w:rPr>
  </w:style>
  <w:style w:type="character" w:customStyle="1" w:styleId="FooterChar">
    <w:name w:val="Footer Char"/>
    <w:link w:val="Footer"/>
    <w:uiPriority w:val="99"/>
    <w:rsid w:val="00DC29A3"/>
    <w:rPr>
      <w:rFonts w:ascii="Arial" w:hAnsi="Arial"/>
      <w:sz w:val="24"/>
      <w:szCs w:val="24"/>
      <w:lang w:val="en-US" w:eastAsia="en-US"/>
    </w:rPr>
  </w:style>
  <w:style w:type="paragraph" w:customStyle="1" w:styleId="Default">
    <w:name w:val="Default"/>
    <w:rsid w:val="00021AA6"/>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unhideWhenUsed/>
    <w:rsid w:val="00DC64A0"/>
    <w:rPr>
      <w:sz w:val="20"/>
      <w:szCs w:val="20"/>
    </w:rPr>
  </w:style>
  <w:style w:type="character" w:customStyle="1" w:styleId="FootnoteTextChar">
    <w:name w:val="Footnote Text Char"/>
    <w:basedOn w:val="DefaultParagraphFont"/>
    <w:link w:val="FootnoteText"/>
    <w:uiPriority w:val="99"/>
    <w:semiHidden/>
    <w:rsid w:val="00DC64A0"/>
    <w:rPr>
      <w:rFonts w:ascii="Arial" w:hAnsi="Arial"/>
      <w:lang w:val="en-US" w:eastAsia="en-US"/>
    </w:rPr>
  </w:style>
  <w:style w:type="character" w:styleId="FootnoteReference">
    <w:name w:val="footnote reference"/>
    <w:basedOn w:val="DefaultParagraphFont"/>
    <w:uiPriority w:val="99"/>
    <w:semiHidden/>
    <w:unhideWhenUsed/>
    <w:rsid w:val="00DC64A0"/>
    <w:rPr>
      <w:vertAlign w:val="superscript"/>
    </w:rPr>
  </w:style>
  <w:style w:type="character" w:styleId="CommentReference">
    <w:name w:val="annotation reference"/>
    <w:basedOn w:val="DefaultParagraphFont"/>
    <w:uiPriority w:val="99"/>
    <w:semiHidden/>
    <w:unhideWhenUsed/>
    <w:rsid w:val="00C47C53"/>
    <w:rPr>
      <w:sz w:val="16"/>
      <w:szCs w:val="16"/>
    </w:rPr>
  </w:style>
  <w:style w:type="paragraph" w:styleId="CommentText">
    <w:name w:val="annotation text"/>
    <w:basedOn w:val="Normal"/>
    <w:link w:val="CommentTextChar"/>
    <w:uiPriority w:val="99"/>
    <w:semiHidden/>
    <w:unhideWhenUsed/>
    <w:rsid w:val="00C47C53"/>
    <w:rPr>
      <w:sz w:val="20"/>
      <w:szCs w:val="20"/>
    </w:rPr>
  </w:style>
  <w:style w:type="character" w:customStyle="1" w:styleId="CommentTextChar">
    <w:name w:val="Comment Text Char"/>
    <w:basedOn w:val="DefaultParagraphFont"/>
    <w:link w:val="CommentText"/>
    <w:uiPriority w:val="99"/>
    <w:semiHidden/>
    <w:rsid w:val="00C47C53"/>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C47C53"/>
    <w:rPr>
      <w:b/>
      <w:bCs/>
    </w:rPr>
  </w:style>
  <w:style w:type="character" w:customStyle="1" w:styleId="CommentSubjectChar">
    <w:name w:val="Comment Subject Char"/>
    <w:basedOn w:val="CommentTextChar"/>
    <w:link w:val="CommentSubject"/>
    <w:uiPriority w:val="99"/>
    <w:semiHidden/>
    <w:rsid w:val="00C47C53"/>
    <w:rPr>
      <w:rFonts w:ascii="Arial" w:hAnsi="Arial"/>
      <w:b/>
      <w:bCs/>
      <w:lang w:val="en-US" w:eastAsia="en-US"/>
    </w:rPr>
  </w:style>
  <w:style w:type="paragraph" w:styleId="Caption">
    <w:name w:val="caption"/>
    <w:basedOn w:val="Normal"/>
    <w:next w:val="Normal"/>
    <w:uiPriority w:val="99"/>
    <w:qFormat/>
    <w:rsid w:val="005E2631"/>
    <w:pPr>
      <w:keepNext/>
      <w:tabs>
        <w:tab w:val="left" w:pos="1134"/>
      </w:tabs>
      <w:spacing w:before="120" w:after="120"/>
      <w:ind w:left="1134" w:hanging="1134"/>
      <w:jc w:val="both"/>
    </w:pPr>
    <w:rPr>
      <w:rFonts w:cs="Arial"/>
      <w:b/>
      <w:bCs/>
      <w:sz w:val="20"/>
      <w:szCs w:val="20"/>
      <w:lang w:eastAsia="en-AU"/>
    </w:rPr>
  </w:style>
  <w:style w:type="paragraph" w:customStyle="1" w:styleId="TableText">
    <w:name w:val="Table Text"/>
    <w:basedOn w:val="Normal"/>
    <w:uiPriority w:val="99"/>
    <w:rsid w:val="005E2631"/>
    <w:pPr>
      <w:keepNext/>
      <w:spacing w:before="60" w:after="60"/>
      <w:jc w:val="left"/>
    </w:pPr>
    <w:rPr>
      <w:rFonts w:cs="Arial"/>
      <w:sz w:val="20"/>
      <w:szCs w:val="20"/>
    </w:rPr>
  </w:style>
  <w:style w:type="paragraph" w:customStyle="1" w:styleId="TableHeading">
    <w:name w:val="Table Heading"/>
    <w:basedOn w:val="TableText"/>
    <w:next w:val="TableText"/>
    <w:uiPriority w:val="99"/>
    <w:rsid w:val="005E2631"/>
    <w:rPr>
      <w:b/>
      <w:bCs/>
      <w:color w:val="FFFFFF"/>
    </w:rPr>
  </w:style>
  <w:style w:type="paragraph" w:styleId="ListBullet">
    <w:name w:val="List Bullet"/>
    <w:basedOn w:val="Normal"/>
    <w:uiPriority w:val="99"/>
    <w:rsid w:val="005E2631"/>
    <w:pPr>
      <w:keepNext/>
      <w:numPr>
        <w:numId w:val="3"/>
      </w:numPr>
      <w:tabs>
        <w:tab w:val="left" w:pos="426"/>
      </w:tabs>
      <w:spacing w:before="120" w:after="80"/>
      <w:jc w:val="both"/>
    </w:pPr>
    <w:rPr>
      <w:rFonts w:cs="Arial"/>
      <w:sz w:val="22"/>
      <w:szCs w:val="22"/>
      <w:lang w:eastAsia="en-AU"/>
    </w:rPr>
  </w:style>
  <w:style w:type="paragraph" w:styleId="ListParagraph">
    <w:name w:val="List Paragraph"/>
    <w:basedOn w:val="Normal"/>
    <w:uiPriority w:val="34"/>
    <w:qFormat/>
    <w:rsid w:val="005E2631"/>
    <w:pPr>
      <w:spacing w:after="200" w:line="276" w:lineRule="auto"/>
      <w:ind w:left="720"/>
      <w:contextualSpacing/>
      <w:jc w:val="left"/>
    </w:pPr>
    <w:rPr>
      <w:rFonts w:asciiTheme="minorHAnsi" w:eastAsiaTheme="minorHAnsi" w:hAnsiTheme="minorHAnsi" w:cstheme="minorBidi"/>
      <w:sz w:val="22"/>
      <w:szCs w:val="22"/>
    </w:rPr>
  </w:style>
  <w:style w:type="character" w:styleId="Strong">
    <w:name w:val="Strong"/>
    <w:basedOn w:val="DefaultParagraphFont"/>
    <w:uiPriority w:val="22"/>
    <w:qFormat/>
    <w:rsid w:val="00023E22"/>
    <w:rPr>
      <w:b/>
      <w:bCs/>
    </w:rPr>
  </w:style>
  <w:style w:type="paragraph" w:styleId="NormalWeb">
    <w:name w:val="Normal (Web)"/>
    <w:basedOn w:val="Normal"/>
    <w:unhideWhenUsed/>
    <w:rsid w:val="00023E22"/>
    <w:pPr>
      <w:spacing w:before="240" w:after="240"/>
      <w:jc w:val="left"/>
    </w:pPr>
    <w:rPr>
      <w:rFonts w:ascii="Times New Roman" w:hAnsi="Times New Roman"/>
      <w:lang w:eastAsia="en-AU"/>
    </w:rPr>
  </w:style>
  <w:style w:type="character" w:customStyle="1" w:styleId="QuestionindentedChar">
    <w:name w:val="Question indented Char"/>
    <w:basedOn w:val="DefaultParagraphFont"/>
    <w:link w:val="Questionindented"/>
    <w:locked/>
    <w:rsid w:val="00553621"/>
    <w:rPr>
      <w:i/>
      <w:sz w:val="24"/>
    </w:rPr>
  </w:style>
  <w:style w:type="paragraph" w:customStyle="1" w:styleId="Questionindented">
    <w:name w:val="Question indented"/>
    <w:basedOn w:val="ListNumber"/>
    <w:link w:val="QuestionindentedChar"/>
    <w:qFormat/>
    <w:rsid w:val="00553621"/>
    <w:pPr>
      <w:numPr>
        <w:numId w:val="0"/>
      </w:numPr>
      <w:tabs>
        <w:tab w:val="num" w:pos="624"/>
      </w:tabs>
      <w:spacing w:before="120" w:line="300" w:lineRule="atLeast"/>
      <w:ind w:left="624" w:hanging="340"/>
      <w:contextualSpacing w:val="0"/>
      <w:jc w:val="both"/>
    </w:pPr>
    <w:rPr>
      <w:rFonts w:ascii="Times New Roman" w:hAnsi="Times New Roman"/>
      <w:i/>
      <w:szCs w:val="20"/>
      <w:lang w:eastAsia="en-AU"/>
    </w:rPr>
  </w:style>
  <w:style w:type="paragraph" w:styleId="ListNumber">
    <w:name w:val="List Number"/>
    <w:basedOn w:val="Normal"/>
    <w:uiPriority w:val="99"/>
    <w:semiHidden/>
    <w:unhideWhenUsed/>
    <w:rsid w:val="00553621"/>
    <w:pPr>
      <w:numPr>
        <w:numId w:val="5"/>
      </w:numPr>
      <w:contextualSpacing/>
    </w:pPr>
  </w:style>
  <w:style w:type="paragraph" w:styleId="NoSpacing">
    <w:name w:val="No Spacing"/>
    <w:uiPriority w:val="1"/>
    <w:qFormat/>
    <w:rsid w:val="006A7DBC"/>
    <w:pPr>
      <w:jc w:val="right"/>
    </w:pPr>
    <w:rPr>
      <w:rFonts w:ascii="Arial" w:hAnsi="Arial"/>
      <w:sz w:val="24"/>
      <w:szCs w:val="24"/>
      <w:lang w:eastAsia="en-US"/>
    </w:rPr>
  </w:style>
  <w:style w:type="table" w:styleId="TableGrid">
    <w:name w:val="Table Grid"/>
    <w:basedOn w:val="TableNormal"/>
    <w:rsid w:val="008E3B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
    <w:name w:val="Char Char Char Char Char Char Char Char Char Char"/>
    <w:basedOn w:val="Normal"/>
    <w:rsid w:val="00C923ED"/>
    <w:pPr>
      <w:jc w:val="left"/>
    </w:pPr>
    <w:rPr>
      <w:sz w:val="22"/>
      <w:szCs w:val="20"/>
    </w:rPr>
  </w:style>
  <w:style w:type="paragraph" w:customStyle="1" w:styleId="TableBodyText">
    <w:name w:val="TableBodyText"/>
    <w:basedOn w:val="Normal"/>
    <w:next w:val="Normal"/>
    <w:rsid w:val="00C923ED"/>
    <w:pPr>
      <w:autoSpaceDE w:val="0"/>
      <w:autoSpaceDN w:val="0"/>
      <w:spacing w:before="20" w:after="20"/>
      <w:jc w:val="left"/>
    </w:pPr>
    <w:rPr>
      <w:rFonts w:cs="Arial"/>
      <w:color w:val="000000"/>
      <w:sz w:val="18"/>
      <w:szCs w:val="18"/>
      <w:lang w:eastAsia="en-AU"/>
    </w:rPr>
  </w:style>
  <w:style w:type="paragraph" w:customStyle="1" w:styleId="TableBodyTextHeading">
    <w:name w:val="TableBodyTextHeading"/>
    <w:basedOn w:val="TableBodyText"/>
    <w:rsid w:val="00C923ED"/>
    <w:pPr>
      <w:spacing w:before="60" w:after="60"/>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42515">
      <w:bodyDiv w:val="1"/>
      <w:marLeft w:val="0"/>
      <w:marRight w:val="0"/>
      <w:marTop w:val="0"/>
      <w:marBottom w:val="0"/>
      <w:divBdr>
        <w:top w:val="none" w:sz="0" w:space="0" w:color="auto"/>
        <w:left w:val="none" w:sz="0" w:space="0" w:color="auto"/>
        <w:bottom w:val="none" w:sz="0" w:space="0" w:color="auto"/>
        <w:right w:val="none" w:sz="0" w:space="0" w:color="auto"/>
      </w:divBdr>
    </w:div>
    <w:div w:id="414547231">
      <w:bodyDiv w:val="1"/>
      <w:marLeft w:val="0"/>
      <w:marRight w:val="0"/>
      <w:marTop w:val="0"/>
      <w:marBottom w:val="0"/>
      <w:divBdr>
        <w:top w:val="none" w:sz="0" w:space="0" w:color="auto"/>
        <w:left w:val="none" w:sz="0" w:space="0" w:color="auto"/>
        <w:bottom w:val="none" w:sz="0" w:space="0" w:color="auto"/>
        <w:right w:val="none" w:sz="0" w:space="0" w:color="auto"/>
      </w:divBdr>
      <w:divsChild>
        <w:div w:id="1828783976">
          <w:marLeft w:val="0"/>
          <w:marRight w:val="0"/>
          <w:marTop w:val="0"/>
          <w:marBottom w:val="0"/>
          <w:divBdr>
            <w:top w:val="none" w:sz="0" w:space="0" w:color="auto"/>
            <w:left w:val="none" w:sz="0" w:space="0" w:color="auto"/>
            <w:bottom w:val="none" w:sz="0" w:space="0" w:color="auto"/>
            <w:right w:val="none" w:sz="0" w:space="0" w:color="auto"/>
          </w:divBdr>
          <w:divsChild>
            <w:div w:id="1625621263">
              <w:marLeft w:val="0"/>
              <w:marRight w:val="0"/>
              <w:marTop w:val="0"/>
              <w:marBottom w:val="0"/>
              <w:divBdr>
                <w:top w:val="none" w:sz="0" w:space="0" w:color="auto"/>
                <w:left w:val="none" w:sz="0" w:space="0" w:color="auto"/>
                <w:bottom w:val="none" w:sz="0" w:space="0" w:color="auto"/>
                <w:right w:val="none" w:sz="0" w:space="0" w:color="auto"/>
              </w:divBdr>
              <w:divsChild>
                <w:div w:id="123204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86882">
      <w:bodyDiv w:val="1"/>
      <w:marLeft w:val="0"/>
      <w:marRight w:val="0"/>
      <w:marTop w:val="0"/>
      <w:marBottom w:val="0"/>
      <w:divBdr>
        <w:top w:val="none" w:sz="0" w:space="0" w:color="auto"/>
        <w:left w:val="none" w:sz="0" w:space="0" w:color="auto"/>
        <w:bottom w:val="none" w:sz="0" w:space="0" w:color="auto"/>
        <w:right w:val="none" w:sz="0" w:space="0" w:color="auto"/>
      </w:divBdr>
      <w:divsChild>
        <w:div w:id="916749649">
          <w:marLeft w:val="0"/>
          <w:marRight w:val="0"/>
          <w:marTop w:val="0"/>
          <w:marBottom w:val="0"/>
          <w:divBdr>
            <w:top w:val="none" w:sz="0" w:space="0" w:color="auto"/>
            <w:left w:val="none" w:sz="0" w:space="0" w:color="auto"/>
            <w:bottom w:val="none" w:sz="0" w:space="0" w:color="auto"/>
            <w:right w:val="none" w:sz="0" w:space="0" w:color="auto"/>
          </w:divBdr>
          <w:divsChild>
            <w:div w:id="1461725505">
              <w:marLeft w:val="0"/>
              <w:marRight w:val="0"/>
              <w:marTop w:val="0"/>
              <w:marBottom w:val="0"/>
              <w:divBdr>
                <w:top w:val="none" w:sz="0" w:space="0" w:color="auto"/>
                <w:left w:val="none" w:sz="0" w:space="0" w:color="auto"/>
                <w:bottom w:val="none" w:sz="0" w:space="0" w:color="auto"/>
                <w:right w:val="none" w:sz="0" w:space="0" w:color="auto"/>
              </w:divBdr>
              <w:divsChild>
                <w:div w:id="1045106324">
                  <w:marLeft w:val="0"/>
                  <w:marRight w:val="0"/>
                  <w:marTop w:val="0"/>
                  <w:marBottom w:val="0"/>
                  <w:divBdr>
                    <w:top w:val="none" w:sz="0" w:space="0" w:color="auto"/>
                    <w:left w:val="none" w:sz="0" w:space="0" w:color="auto"/>
                    <w:bottom w:val="none" w:sz="0" w:space="0" w:color="auto"/>
                    <w:right w:val="none" w:sz="0" w:space="0" w:color="auto"/>
                  </w:divBdr>
                  <w:divsChild>
                    <w:div w:id="746999335">
                      <w:marLeft w:val="0"/>
                      <w:marRight w:val="0"/>
                      <w:marTop w:val="0"/>
                      <w:marBottom w:val="0"/>
                      <w:divBdr>
                        <w:top w:val="none" w:sz="0" w:space="0" w:color="auto"/>
                        <w:left w:val="none" w:sz="0" w:space="0" w:color="auto"/>
                        <w:bottom w:val="none" w:sz="0" w:space="0" w:color="auto"/>
                        <w:right w:val="none" w:sz="0" w:space="0" w:color="auto"/>
                      </w:divBdr>
                      <w:divsChild>
                        <w:div w:id="1909803918">
                          <w:marLeft w:val="0"/>
                          <w:marRight w:val="0"/>
                          <w:marTop w:val="0"/>
                          <w:marBottom w:val="0"/>
                          <w:divBdr>
                            <w:top w:val="none" w:sz="0" w:space="0" w:color="auto"/>
                            <w:left w:val="none" w:sz="0" w:space="0" w:color="auto"/>
                            <w:bottom w:val="none" w:sz="0" w:space="0" w:color="auto"/>
                            <w:right w:val="none" w:sz="0" w:space="0" w:color="auto"/>
                          </w:divBdr>
                          <w:divsChild>
                            <w:div w:id="1707876697">
                              <w:marLeft w:val="0"/>
                              <w:marRight w:val="0"/>
                              <w:marTop w:val="0"/>
                              <w:marBottom w:val="0"/>
                              <w:divBdr>
                                <w:top w:val="none" w:sz="0" w:space="0" w:color="auto"/>
                                <w:left w:val="none" w:sz="0" w:space="0" w:color="auto"/>
                                <w:bottom w:val="none" w:sz="0" w:space="0" w:color="auto"/>
                                <w:right w:val="none" w:sz="0" w:space="0" w:color="auto"/>
                              </w:divBdr>
                              <w:divsChild>
                                <w:div w:id="12016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747181">
      <w:bodyDiv w:val="1"/>
      <w:marLeft w:val="0"/>
      <w:marRight w:val="0"/>
      <w:marTop w:val="0"/>
      <w:marBottom w:val="0"/>
      <w:divBdr>
        <w:top w:val="none" w:sz="0" w:space="0" w:color="auto"/>
        <w:left w:val="none" w:sz="0" w:space="0" w:color="auto"/>
        <w:bottom w:val="none" w:sz="0" w:space="0" w:color="auto"/>
        <w:right w:val="none" w:sz="0" w:space="0" w:color="auto"/>
      </w:divBdr>
    </w:div>
    <w:div w:id="1426926443">
      <w:bodyDiv w:val="1"/>
      <w:marLeft w:val="0"/>
      <w:marRight w:val="0"/>
      <w:marTop w:val="0"/>
      <w:marBottom w:val="0"/>
      <w:divBdr>
        <w:top w:val="none" w:sz="0" w:space="0" w:color="auto"/>
        <w:left w:val="none" w:sz="0" w:space="0" w:color="auto"/>
        <w:bottom w:val="none" w:sz="0" w:space="0" w:color="auto"/>
        <w:right w:val="none" w:sz="0" w:space="0" w:color="auto"/>
      </w:divBdr>
    </w:div>
    <w:div w:id="167087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4.pn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Notices" ma:contentTypeID="0x01010066EDC8E18BFE9C418F00295EA55D44EA00547332AAD5FDF348833D6B091BD8A95500D319B21C4C84C34087D9781B3FA20C0B" ma:contentTypeVersion="1" ma:contentTypeDescription="" ma:contentTypeScope="" ma:versionID="bdab6458e2924c05e9a7a720aa624444">
  <xsd:schema xmlns:xsd="http://www.w3.org/2001/XMLSchema" xmlns:xs="http://www.w3.org/2001/XMLSchema" xmlns:p="http://schemas.microsoft.com/office/2006/metadata/properties" xmlns:ns3="http://schemas.microsoft.com/sharepoint/v4" targetNamespace="http://schemas.microsoft.com/office/2006/metadata/properties" ma:root="true" ma:fieldsID="33f30728e81262bf063d632716cd6e5d" ns3:_="">
    <xsd:import namespace="http://schemas.microsoft.com/sharepoint/v4"/>
    <xsd:element name="properties">
      <xsd:complexType>
        <xsd:sequence>
          <xsd:element name="documentManagement">
            <xsd:complexType>
              <xsd:all>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3B52A-3CF9-4090-BDF3-3F90473B9E84}">
  <ds:schemaRefs>
    <ds:schemaRef ds:uri="http://purl.org/dc/dcmitype/"/>
    <ds:schemaRef ds:uri="http://purl.org/dc/elements/1.1/"/>
    <ds:schemaRef ds:uri="http://purl.org/dc/term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285E37FF-5FDF-40D9-96F3-EF1F69E33644}">
  <ds:schemaRefs>
    <ds:schemaRef ds:uri="http://schemas.microsoft.com/sharepoint/events"/>
  </ds:schemaRefs>
</ds:datastoreItem>
</file>

<file path=customXml/itemProps3.xml><?xml version="1.0" encoding="utf-8"?>
<ds:datastoreItem xmlns:ds="http://schemas.openxmlformats.org/officeDocument/2006/customXml" ds:itemID="{CCE17185-99DA-46D7-89CA-F6FFE3F2C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FED166-C1B1-42AE-91CD-66D476BC46C4}">
  <ds:schemaRefs>
    <ds:schemaRef ds:uri="http://schemas.microsoft.com/sharepoint/v3/contenttype/forms"/>
  </ds:schemaRefs>
</ds:datastoreItem>
</file>

<file path=customXml/itemProps5.xml><?xml version="1.0" encoding="utf-8"?>
<ds:datastoreItem xmlns:ds="http://schemas.openxmlformats.org/officeDocument/2006/customXml" ds:itemID="{318FC9BA-A991-4555-AB6A-9910AB57E0CF}">
  <ds:schemaRefs>
    <ds:schemaRef ds:uri="http://schemas.microsoft.com/office/2006/metadata/customXsn"/>
  </ds:schemaRefs>
</ds:datastoreItem>
</file>

<file path=customXml/itemProps6.xml><?xml version="1.0" encoding="utf-8"?>
<ds:datastoreItem xmlns:ds="http://schemas.openxmlformats.org/officeDocument/2006/customXml" ds:itemID="{B9F143A8-6444-4773-A775-060F5404B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3594</Words>
  <Characters>21057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Submission 37 - Housing Industry Association (HIA) - Mutual Recognition Schemes - Commissioned study</vt:lpstr>
    </vt:vector>
  </TitlesOfParts>
  <Company>Housing Industry Association (HIA)</Company>
  <LinksUpToDate>false</LinksUpToDate>
  <CharactersWithSpaces>24602</CharactersWithSpaces>
  <SharedDoc>false</SharedDoc>
  <HLinks>
    <vt:vector size="18" baseType="variant">
      <vt:variant>
        <vt:i4>1179700</vt:i4>
      </vt:variant>
      <vt:variant>
        <vt:i4>14</vt:i4>
      </vt:variant>
      <vt:variant>
        <vt:i4>0</vt:i4>
      </vt:variant>
      <vt:variant>
        <vt:i4>5</vt:i4>
      </vt:variant>
      <vt:variant>
        <vt:lpwstr/>
      </vt:variant>
      <vt:variant>
        <vt:lpwstr>_Toc263335653</vt:lpwstr>
      </vt:variant>
      <vt:variant>
        <vt:i4>1179700</vt:i4>
      </vt:variant>
      <vt:variant>
        <vt:i4>8</vt:i4>
      </vt:variant>
      <vt:variant>
        <vt:i4>0</vt:i4>
      </vt:variant>
      <vt:variant>
        <vt:i4>5</vt:i4>
      </vt:variant>
      <vt:variant>
        <vt:lpwstr/>
      </vt:variant>
      <vt:variant>
        <vt:lpwstr>_Toc263335652</vt:lpwstr>
      </vt:variant>
      <vt:variant>
        <vt:i4>1179700</vt:i4>
      </vt:variant>
      <vt:variant>
        <vt:i4>2</vt:i4>
      </vt:variant>
      <vt:variant>
        <vt:i4>0</vt:i4>
      </vt:variant>
      <vt:variant>
        <vt:i4>5</vt:i4>
      </vt:variant>
      <vt:variant>
        <vt:lpwstr/>
      </vt:variant>
      <vt:variant>
        <vt:lpwstr>_Toc263335651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37 - Housing Industry Association (HIA) - Mutual Recognition Schemes - Commissioned study</dc:title>
  <dc:creator>Housing Industry Association (HIA)</dc:creator>
  <cp:lastModifiedBy>Productivity Commission</cp:lastModifiedBy>
  <cp:revision>7</cp:revision>
  <cp:lastPrinted>2013-04-11T02:10:00Z</cp:lastPrinted>
  <dcterms:created xsi:type="dcterms:W3CDTF">2015-03-03T06:04:00Z</dcterms:created>
  <dcterms:modified xsi:type="dcterms:W3CDTF">2015-03-10T03:53:00Z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0x01010066EDC8E18BFE9C418F00295EA55D44EA00547332AAD5FDF348833D6B091BD8A95500D319B21C4C84C34087D9781B3FA20C0B</vt:lpwstr>
  </property>
  <property fmtid="{D5CDD505-2E9C-101B-9397-08002B2CF9AE}" pid="3" name="RecordPoint_ActiveItemSiteId">
    <vt:lpwstr/>
  </property>
  <property fmtid="{D5CDD505-2E9C-101B-9397-08002B2CF9AE}" pid="4" name="RecordPoint_ActiveItemListId">
    <vt:lpwstr/>
  </property>
  <property fmtid="{D5CDD505-2E9C-101B-9397-08002B2CF9AE}" pid="5" name="RecordPoint_ActiveItemUniqueId">
    <vt:lpwstr/>
  </property>
  <property fmtid="{D5CDD505-2E9C-101B-9397-08002B2CF9AE}" pid="6" name="RecordPoint_ActiveItemWebId">
    <vt:lpwstr/>
  </property>
  <property fmtid="{D5CDD505-2E9C-101B-9397-08002B2CF9AE}" pid="7" name="RecordPoint_WorkflowType">
    <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SubmissionCompleted">
    <vt:lpwstr/>
  </property>
</Properties>
</file>